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3471" w14:textId="78A08E59" w:rsidR="00B211B6" w:rsidRPr="00FA445D" w:rsidRDefault="00B211B6" w:rsidP="00567A9D">
      <w:pPr>
        <w:pStyle w:val="Subtitle"/>
        <w:rPr>
          <w:color w:val="auto"/>
        </w:rPr>
      </w:pPr>
      <w:r w:rsidRPr="00FA445D">
        <w:rPr>
          <w:color w:val="auto"/>
        </w:rPr>
        <w:t xml:space="preserve">New Zealand – Situation </w:t>
      </w:r>
      <w:r w:rsidR="00AA6786" w:rsidRPr="00FA445D">
        <w:rPr>
          <w:color w:val="auto"/>
        </w:rPr>
        <w:t>U</w:t>
      </w:r>
      <w:r w:rsidRPr="00FA445D">
        <w:rPr>
          <w:color w:val="auto"/>
        </w:rPr>
        <w:t xml:space="preserve">pdate </w:t>
      </w:r>
      <w:r w:rsidR="004009C1" w:rsidRPr="00FA445D">
        <w:rPr>
          <w:color w:val="auto"/>
        </w:rPr>
        <w:br/>
      </w:r>
      <w:r w:rsidR="00F037FA">
        <w:rPr>
          <w:color w:val="FF0000"/>
        </w:rPr>
        <w:t>3 Novem</w:t>
      </w:r>
      <w:r w:rsidR="00B201F7" w:rsidRPr="00FA445D">
        <w:rPr>
          <w:color w:val="FF0000"/>
        </w:rPr>
        <w:t>ber</w:t>
      </w:r>
      <w:r w:rsidR="00A05252" w:rsidRPr="00FA445D">
        <w:rPr>
          <w:color w:val="FF0000"/>
        </w:rPr>
        <w:t xml:space="preserve"> </w:t>
      </w:r>
      <w:r w:rsidRPr="00FA445D">
        <w:rPr>
          <w:color w:val="FF0000"/>
        </w:rPr>
        <w:t>202</w:t>
      </w:r>
      <w:r w:rsidR="00A1790B" w:rsidRPr="00FA445D">
        <w:rPr>
          <w:color w:val="FF0000"/>
        </w:rPr>
        <w:t>1</w:t>
      </w:r>
      <w:r w:rsidR="006B229F" w:rsidRPr="00FA445D">
        <w:rPr>
          <w:color w:val="FF0000"/>
        </w:rPr>
        <w:t xml:space="preserve"> </w:t>
      </w:r>
    </w:p>
    <w:p w14:paraId="14EAA972" w14:textId="77777777" w:rsidR="003F5DCC" w:rsidRPr="00FA445D" w:rsidRDefault="003F5DCC" w:rsidP="00590DF1">
      <w:pPr>
        <w:spacing w:before="1200" w:after="480"/>
        <w:rPr>
          <w:rFonts w:cs="Arial"/>
          <w:color w:val="auto"/>
        </w:rPr>
      </w:pPr>
    </w:p>
    <w:p w14:paraId="6B486B68" w14:textId="360DD025" w:rsidR="00047FE5" w:rsidRPr="00FE35FF" w:rsidRDefault="00751BBD" w:rsidP="00047FE5">
      <w:pPr>
        <w:spacing w:before="120" w:after="120"/>
        <w:rPr>
          <w:rFonts w:cs="Arial"/>
          <w:bCs/>
          <w:color w:val="FF0000"/>
          <w:sz w:val="22"/>
          <w:szCs w:val="22"/>
        </w:rPr>
      </w:pPr>
      <w:r>
        <w:rPr>
          <w:rFonts w:cs="Arial"/>
          <w:bCs/>
          <w:color w:val="FF0000"/>
        </w:rPr>
        <w:t>As a result of c</w:t>
      </w:r>
      <w:r w:rsidRPr="008808F5">
        <w:rPr>
          <w:rFonts w:cs="Arial"/>
          <w:bCs/>
          <w:color w:val="FF0000"/>
        </w:rPr>
        <w:t>hanges to the entry requirements for travellers returning to Australia</w:t>
      </w:r>
      <w:r>
        <w:rPr>
          <w:rFonts w:cs="Arial"/>
          <w:bCs/>
          <w:color w:val="FF0000"/>
        </w:rPr>
        <w:t xml:space="preserve">, this </w:t>
      </w:r>
      <w:r w:rsidRPr="008808F5">
        <w:rPr>
          <w:rFonts w:cs="Arial"/>
          <w:bCs/>
          <w:color w:val="FF0000"/>
        </w:rPr>
        <w:t>will be the last weekly situation update on the COVID-19 pandemic in New Zealand</w:t>
      </w:r>
      <w:r>
        <w:rPr>
          <w:rFonts w:cs="Arial"/>
          <w:bCs/>
          <w:color w:val="FF0000"/>
        </w:rPr>
        <w:t xml:space="preserve"> produced by the National Incident Centre</w:t>
      </w:r>
      <w:r w:rsidRPr="008808F5">
        <w:rPr>
          <w:rFonts w:cs="Arial"/>
          <w:bCs/>
          <w:color w:val="FF0000"/>
        </w:rPr>
        <w:t>. For those wishing more information on the status of the pandemic in New Zealand, please check the New Zealand Ministry of Health website</w:t>
      </w:r>
      <w:r w:rsidR="00B47AB4" w:rsidRPr="008808F5">
        <w:rPr>
          <w:rFonts w:cs="Arial"/>
          <w:bCs/>
          <w:color w:val="FF0000"/>
        </w:rPr>
        <w:t xml:space="preserve">: </w:t>
      </w:r>
      <w:hyperlink r:id="rId11" w:history="1">
        <w:r w:rsidR="00047FE5" w:rsidRPr="00FE35FF">
          <w:rPr>
            <w:rStyle w:val="Hyperlink"/>
            <w:rFonts w:cs="Arial"/>
            <w:bCs/>
            <w:sz w:val="22"/>
            <w:szCs w:val="22"/>
          </w:rPr>
          <w:t>https://www.health.govt.nz/our-work/diseases-and-conditions/covid-19-novel-coronavirus</w:t>
        </w:r>
      </w:hyperlink>
      <w:r w:rsidR="00047FE5" w:rsidRPr="00FE35FF">
        <w:rPr>
          <w:rFonts w:cs="Arial"/>
          <w:bCs/>
          <w:color w:val="FF0000"/>
          <w:sz w:val="22"/>
          <w:szCs w:val="22"/>
        </w:rPr>
        <w:t xml:space="preserve"> </w:t>
      </w:r>
    </w:p>
    <w:p w14:paraId="09733E74" w14:textId="64D1B84C" w:rsidR="003077BF" w:rsidRPr="00F037FA" w:rsidRDefault="00590CB1" w:rsidP="006A5D07">
      <w:pPr>
        <w:tabs>
          <w:tab w:val="left" w:pos="2169"/>
        </w:tabs>
        <w:spacing w:before="240" w:after="180" w:line="264" w:lineRule="auto"/>
        <w:rPr>
          <w:rFonts w:cs="Arial"/>
          <w:b/>
          <w:bCs/>
          <w:i/>
          <w:iCs/>
          <w:color w:val="auto"/>
          <w:sz w:val="22"/>
          <w:szCs w:val="22"/>
        </w:rPr>
      </w:pPr>
      <w:r w:rsidRPr="00F037FA">
        <w:rPr>
          <w:rStyle w:val="Strong"/>
          <w:b w:val="0"/>
          <w:bCs w:val="0"/>
          <w:i/>
          <w:iCs/>
          <w:color w:val="auto"/>
          <w:sz w:val="22"/>
          <w:szCs w:val="22"/>
        </w:rPr>
        <w:t>Information</w:t>
      </w:r>
      <w:r w:rsidR="00B211B6" w:rsidRPr="00F037FA">
        <w:rPr>
          <w:rStyle w:val="Strong"/>
          <w:b w:val="0"/>
          <w:bCs w:val="0"/>
          <w:i/>
          <w:iCs/>
          <w:color w:val="auto"/>
          <w:sz w:val="22"/>
          <w:szCs w:val="22"/>
        </w:rPr>
        <w:t xml:space="preserve"> presented in this assessment is based on</w:t>
      </w:r>
      <w:r w:rsidR="00B211B6" w:rsidRPr="00F037FA">
        <w:rPr>
          <w:rStyle w:val="Strong"/>
          <w:i/>
          <w:iCs/>
          <w:color w:val="auto"/>
          <w:sz w:val="22"/>
          <w:szCs w:val="22"/>
        </w:rPr>
        <w:t xml:space="preserve"> </w:t>
      </w:r>
      <w:r w:rsidR="003077BF" w:rsidRPr="00F037FA">
        <w:rPr>
          <w:rFonts w:cs="Arial"/>
          <w:i/>
          <w:iCs/>
          <w:color w:val="auto"/>
          <w:sz w:val="22"/>
          <w:szCs w:val="22"/>
        </w:rPr>
        <w:t>New Zealand’s publicly available information</w:t>
      </w:r>
      <w:r w:rsidR="007A46D6" w:rsidRPr="00F037FA">
        <w:rPr>
          <w:rFonts w:cs="Arial"/>
          <w:i/>
          <w:iCs/>
          <w:color w:val="auto"/>
          <w:sz w:val="22"/>
          <w:szCs w:val="22"/>
        </w:rPr>
        <w:t xml:space="preserve"> provided</w:t>
      </w:r>
      <w:r w:rsidR="003077BF" w:rsidRPr="00F037FA">
        <w:rPr>
          <w:rFonts w:cs="Arial"/>
          <w:i/>
          <w:iCs/>
          <w:color w:val="auto"/>
          <w:sz w:val="22"/>
          <w:szCs w:val="22"/>
        </w:rPr>
        <w:t xml:space="preserve"> on </w:t>
      </w:r>
      <w:r w:rsidR="007A46D6" w:rsidRPr="00F037FA">
        <w:rPr>
          <w:rFonts w:cs="Arial"/>
          <w:i/>
          <w:iCs/>
          <w:color w:val="auto"/>
          <w:sz w:val="22"/>
          <w:szCs w:val="22"/>
        </w:rPr>
        <w:t xml:space="preserve">the </w:t>
      </w:r>
      <w:hyperlink r:id="rId12" w:history="1">
        <w:r w:rsidR="00F13CB4" w:rsidRPr="00F037FA">
          <w:rPr>
            <w:rStyle w:val="Hyperlink"/>
            <w:rFonts w:cs="Arial"/>
            <w:i/>
            <w:iCs/>
            <w:color w:val="auto"/>
            <w:sz w:val="22"/>
            <w:szCs w:val="22"/>
          </w:rPr>
          <w:t>New</w:t>
        </w:r>
        <w:r w:rsidR="003077BF" w:rsidRPr="00F037FA">
          <w:rPr>
            <w:rStyle w:val="Hyperlink"/>
            <w:rFonts w:cs="Arial"/>
            <w:i/>
            <w:iCs/>
            <w:color w:val="auto"/>
            <w:sz w:val="22"/>
            <w:szCs w:val="22"/>
          </w:rPr>
          <w:t xml:space="preserve"> Zealand </w:t>
        </w:r>
        <w:r w:rsidR="00180AC2" w:rsidRPr="00F037FA">
          <w:rPr>
            <w:rStyle w:val="Hyperlink"/>
            <w:rFonts w:cs="Arial"/>
            <w:i/>
            <w:iCs/>
            <w:color w:val="auto"/>
            <w:sz w:val="22"/>
            <w:szCs w:val="22"/>
          </w:rPr>
          <w:t>Ministry of Health website</w:t>
        </w:r>
      </w:hyperlink>
      <w:r w:rsidR="00180AC2" w:rsidRPr="00F037FA">
        <w:rPr>
          <w:rFonts w:cs="Arial"/>
          <w:b/>
          <w:bCs/>
          <w:i/>
          <w:iCs/>
          <w:color w:val="auto"/>
          <w:sz w:val="22"/>
          <w:szCs w:val="22"/>
        </w:rPr>
        <w:t>.</w:t>
      </w:r>
    </w:p>
    <w:p w14:paraId="252F98EC" w14:textId="77777777" w:rsidR="009E22D0" w:rsidRPr="00F037FA" w:rsidRDefault="009E22D0" w:rsidP="006A5D07">
      <w:pPr>
        <w:pStyle w:val="Heading1"/>
        <w:spacing w:before="240" w:after="0" w:line="264" w:lineRule="auto"/>
        <w:contextualSpacing w:val="0"/>
        <w:rPr>
          <w:b/>
          <w:bCs/>
          <w:color w:val="auto"/>
          <w:sz w:val="28"/>
          <w:szCs w:val="28"/>
        </w:rPr>
      </w:pPr>
      <w:r w:rsidRPr="00F037FA">
        <w:rPr>
          <w:b/>
          <w:bCs/>
          <w:color w:val="auto"/>
          <w:sz w:val="28"/>
          <w:szCs w:val="28"/>
        </w:rPr>
        <w:t>Current Assessment Summary</w:t>
      </w:r>
    </w:p>
    <w:p w14:paraId="31CD4568" w14:textId="27A586AA" w:rsidR="007B06A1" w:rsidRPr="00F037FA" w:rsidRDefault="007B06A1" w:rsidP="009C2708">
      <w:pPr>
        <w:numPr>
          <w:ilvl w:val="0"/>
          <w:numId w:val="2"/>
        </w:numPr>
        <w:spacing w:before="120" w:after="0"/>
        <w:ind w:left="357" w:hanging="357"/>
        <w:contextualSpacing/>
        <w:rPr>
          <w:rFonts w:eastAsia="Calibri" w:cs="Arial"/>
          <w:color w:val="auto"/>
          <w:sz w:val="22"/>
          <w:szCs w:val="22"/>
        </w:rPr>
      </w:pPr>
      <w:bookmarkStart w:id="0" w:name="_Hlk80787831"/>
      <w:bookmarkStart w:id="1" w:name="_Hlk80788245"/>
      <w:r w:rsidRPr="00F037FA">
        <w:rPr>
          <w:rFonts w:eastAsia="Calibri" w:cs="Arial"/>
          <w:color w:val="auto"/>
          <w:sz w:val="22"/>
          <w:szCs w:val="22"/>
        </w:rPr>
        <w:t>New Zealand has officially recorded a</w:t>
      </w:r>
      <w:r w:rsidR="00B47AB4" w:rsidRPr="008808F5">
        <w:rPr>
          <w:rFonts w:eastAsia="Calibri" w:cs="Arial"/>
          <w:color w:val="auto"/>
          <w:sz w:val="22"/>
          <w:szCs w:val="22"/>
        </w:rPr>
        <w:t xml:space="preserve"> total of </w:t>
      </w:r>
      <w:r w:rsidR="00B47AB4" w:rsidRPr="000036BC">
        <w:rPr>
          <w:rFonts w:eastAsia="Calibri" w:cs="Arial"/>
          <w:color w:val="FF0000"/>
          <w:sz w:val="22"/>
          <w:szCs w:val="22"/>
        </w:rPr>
        <w:t xml:space="preserve">3,733 </w:t>
      </w:r>
      <w:r w:rsidR="00B47AB4" w:rsidRPr="008808F5">
        <w:rPr>
          <w:rFonts w:eastAsia="Calibri" w:cs="Arial"/>
          <w:color w:val="auto"/>
          <w:sz w:val="22"/>
          <w:szCs w:val="22"/>
        </w:rPr>
        <w:t xml:space="preserve">locally acquired cases in </w:t>
      </w:r>
      <w:r w:rsidR="00B47AB4">
        <w:rPr>
          <w:rFonts w:eastAsia="Calibri" w:cs="Arial"/>
          <w:color w:val="auto"/>
          <w:sz w:val="22"/>
          <w:szCs w:val="22"/>
        </w:rPr>
        <w:t>connection with the current outbreak</w:t>
      </w:r>
      <w:r w:rsidR="00B47AB4" w:rsidRPr="008808F5">
        <w:rPr>
          <w:rFonts w:eastAsia="Calibri" w:cs="Arial"/>
          <w:color w:val="auto"/>
          <w:sz w:val="22"/>
          <w:szCs w:val="22"/>
        </w:rPr>
        <w:t>.</w:t>
      </w:r>
    </w:p>
    <w:p w14:paraId="5CEAFAD2" w14:textId="63AFD74B" w:rsidR="00F037FA" w:rsidRPr="008F63CB" w:rsidRDefault="00F037FA" w:rsidP="00F037FA">
      <w:pPr>
        <w:pStyle w:val="ListParagraph"/>
        <w:spacing w:after="0" w:line="240" w:lineRule="auto"/>
        <w:contextualSpacing/>
        <w:textAlignment w:val="auto"/>
        <w:rPr>
          <w:rStyle w:val="Style1"/>
          <w:rFonts w:eastAsia="Calibri" w:cs="Calibri"/>
          <w:i w:val="0"/>
          <w:iCs/>
          <w:sz w:val="22"/>
          <w:szCs w:val="22"/>
        </w:rPr>
      </w:pPr>
      <w:bookmarkStart w:id="2" w:name="_Hlk86832926"/>
      <w:bookmarkEnd w:id="0"/>
      <w:r w:rsidRPr="008F63CB">
        <w:rPr>
          <w:rStyle w:val="Style1"/>
          <w:rFonts w:eastAsia="Calibri" w:cs="Calibri"/>
          <w:i w:val="0"/>
          <w:iCs/>
          <w:sz w:val="22"/>
          <w:szCs w:val="22"/>
        </w:rPr>
        <w:t xml:space="preserve">As at </w:t>
      </w:r>
      <w:r w:rsidR="008F63CB" w:rsidRPr="008F63CB">
        <w:rPr>
          <w:rStyle w:val="Style1"/>
          <w:rFonts w:eastAsia="Calibri" w:cs="Calibri"/>
          <w:i w:val="0"/>
          <w:iCs/>
          <w:sz w:val="22"/>
          <w:szCs w:val="22"/>
        </w:rPr>
        <w:t>3</w:t>
      </w:r>
      <w:r w:rsidRPr="008F63CB">
        <w:rPr>
          <w:rStyle w:val="Style1"/>
          <w:rFonts w:eastAsia="Calibri" w:cs="Calibri"/>
          <w:i w:val="0"/>
          <w:iCs/>
          <w:sz w:val="22"/>
          <w:szCs w:val="22"/>
        </w:rPr>
        <w:t xml:space="preserve"> November 2021: </w:t>
      </w:r>
    </w:p>
    <w:p w14:paraId="3DA51F7C" w14:textId="0FD69A41" w:rsidR="00F037FA" w:rsidRPr="008F63CB" w:rsidRDefault="00F037FA" w:rsidP="00F037FA">
      <w:pPr>
        <w:pStyle w:val="ListParagraph"/>
        <w:numPr>
          <w:ilvl w:val="1"/>
          <w:numId w:val="2"/>
        </w:numPr>
        <w:spacing w:after="0" w:line="240" w:lineRule="auto"/>
        <w:contextualSpacing/>
        <w:textAlignment w:val="auto"/>
        <w:rPr>
          <w:rStyle w:val="Style1"/>
          <w:rFonts w:eastAsia="Calibri" w:cs="Calibri"/>
          <w:i w:val="0"/>
          <w:iCs/>
          <w:sz w:val="22"/>
          <w:szCs w:val="22"/>
        </w:rPr>
      </w:pPr>
      <w:r w:rsidRPr="008F63CB">
        <w:rPr>
          <w:rStyle w:val="Style1"/>
          <w:rFonts w:eastAsia="Calibri" w:cs="Calibri"/>
          <w:i w:val="0"/>
          <w:iCs/>
          <w:sz w:val="22"/>
          <w:szCs w:val="22"/>
        </w:rPr>
        <w:t xml:space="preserve">The Auckland region </w:t>
      </w:r>
      <w:r w:rsidR="008F63CB" w:rsidRPr="008F63CB">
        <w:rPr>
          <w:rStyle w:val="Style1"/>
          <w:rFonts w:eastAsia="Calibri" w:cs="Calibri"/>
          <w:i w:val="0"/>
          <w:iCs/>
          <w:sz w:val="22"/>
          <w:szCs w:val="22"/>
        </w:rPr>
        <w:t>is at</w:t>
      </w:r>
      <w:r w:rsidRPr="008F63CB">
        <w:rPr>
          <w:rStyle w:val="Style1"/>
          <w:rFonts w:eastAsia="Calibri" w:cs="Calibri"/>
          <w:i w:val="0"/>
          <w:iCs/>
          <w:sz w:val="22"/>
          <w:szCs w:val="22"/>
        </w:rPr>
        <w:t xml:space="preserve"> Alert Level 3, step </w:t>
      </w:r>
      <w:r w:rsidR="008F63CB" w:rsidRPr="008F63CB">
        <w:rPr>
          <w:rStyle w:val="Style1"/>
          <w:rFonts w:eastAsia="Calibri" w:cs="Calibri"/>
          <w:i w:val="0"/>
          <w:iCs/>
          <w:sz w:val="22"/>
          <w:szCs w:val="22"/>
        </w:rPr>
        <w:t xml:space="preserve">1.  </w:t>
      </w:r>
    </w:p>
    <w:p w14:paraId="02B59FAF" w14:textId="2F7F4801" w:rsidR="00F037FA" w:rsidRPr="008F63CB" w:rsidRDefault="008F63CB" w:rsidP="00F037FA">
      <w:pPr>
        <w:pStyle w:val="ListParagraph"/>
        <w:numPr>
          <w:ilvl w:val="1"/>
          <w:numId w:val="2"/>
        </w:numPr>
        <w:spacing w:after="0" w:line="240" w:lineRule="auto"/>
        <w:contextualSpacing/>
        <w:textAlignment w:val="auto"/>
        <w:rPr>
          <w:rStyle w:val="Style1"/>
          <w:rFonts w:eastAsia="Calibri" w:cs="Calibri"/>
          <w:i w:val="0"/>
          <w:iCs/>
          <w:sz w:val="22"/>
          <w:szCs w:val="22"/>
        </w:rPr>
      </w:pPr>
      <w:r w:rsidRPr="008F63CB">
        <w:rPr>
          <w:rStyle w:val="Style1"/>
          <w:rFonts w:eastAsia="Calibri" w:cs="Calibri"/>
          <w:i w:val="0"/>
          <w:iCs/>
          <w:sz w:val="22"/>
          <w:szCs w:val="22"/>
        </w:rPr>
        <w:t xml:space="preserve">The northern and western </w:t>
      </w:r>
      <w:r w:rsidR="00F037FA" w:rsidRPr="008F63CB">
        <w:rPr>
          <w:rStyle w:val="Style1"/>
          <w:rFonts w:eastAsia="Calibri" w:cs="Calibri"/>
          <w:i w:val="0"/>
          <w:iCs/>
          <w:sz w:val="22"/>
          <w:szCs w:val="22"/>
        </w:rPr>
        <w:t xml:space="preserve">parts of Waikato </w:t>
      </w:r>
      <w:r w:rsidRPr="008F63CB">
        <w:rPr>
          <w:rStyle w:val="Style1"/>
          <w:rFonts w:eastAsia="Calibri" w:cs="Calibri"/>
          <w:i w:val="0"/>
          <w:iCs/>
          <w:sz w:val="22"/>
          <w:szCs w:val="22"/>
        </w:rPr>
        <w:t xml:space="preserve">are at </w:t>
      </w:r>
      <w:r w:rsidR="00F037FA" w:rsidRPr="008F63CB">
        <w:rPr>
          <w:rStyle w:val="Style1"/>
          <w:rFonts w:eastAsia="Calibri" w:cs="Calibri"/>
          <w:i w:val="0"/>
          <w:iCs/>
          <w:sz w:val="22"/>
          <w:szCs w:val="22"/>
        </w:rPr>
        <w:t xml:space="preserve">Alert Level 3, step </w:t>
      </w:r>
      <w:r w:rsidRPr="008F63CB">
        <w:rPr>
          <w:rStyle w:val="Style1"/>
          <w:rFonts w:eastAsia="Calibri" w:cs="Calibri"/>
          <w:i w:val="0"/>
          <w:iCs/>
          <w:sz w:val="22"/>
          <w:szCs w:val="22"/>
        </w:rPr>
        <w:t xml:space="preserve">2.  </w:t>
      </w:r>
    </w:p>
    <w:p w14:paraId="35509AF9" w14:textId="6AA0CC40" w:rsidR="008F63CB" w:rsidRPr="008F63CB" w:rsidRDefault="008F63CB" w:rsidP="008F63CB">
      <w:pPr>
        <w:pStyle w:val="List"/>
        <w:numPr>
          <w:ilvl w:val="1"/>
          <w:numId w:val="2"/>
        </w:numPr>
        <w:spacing w:after="0"/>
        <w:rPr>
          <w:color w:val="FF0000"/>
          <w:sz w:val="22"/>
          <w:szCs w:val="22"/>
        </w:rPr>
      </w:pPr>
      <w:r w:rsidRPr="008F63CB">
        <w:rPr>
          <w:color w:val="FF0000"/>
          <w:sz w:val="22"/>
          <w:szCs w:val="22"/>
        </w:rPr>
        <w:t xml:space="preserve">Upper Northland is at Alert Level 3.  </w:t>
      </w:r>
    </w:p>
    <w:p w14:paraId="0CBBA291" w14:textId="6443062B" w:rsidR="00F037FA" w:rsidRPr="008F63CB" w:rsidRDefault="00F037FA" w:rsidP="00F037FA">
      <w:pPr>
        <w:pStyle w:val="ListParagraph"/>
        <w:numPr>
          <w:ilvl w:val="1"/>
          <w:numId w:val="2"/>
        </w:numPr>
        <w:spacing w:after="0" w:line="240" w:lineRule="auto"/>
        <w:contextualSpacing/>
        <w:textAlignment w:val="auto"/>
        <w:rPr>
          <w:rStyle w:val="Style1"/>
          <w:rFonts w:eastAsia="Calibri" w:cs="Calibri"/>
          <w:i w:val="0"/>
          <w:iCs/>
          <w:color w:val="auto"/>
          <w:sz w:val="22"/>
          <w:szCs w:val="22"/>
        </w:rPr>
      </w:pPr>
      <w:r w:rsidRPr="008F63CB">
        <w:rPr>
          <w:rStyle w:val="Style1"/>
          <w:rFonts w:eastAsia="Calibri" w:cs="Calibri"/>
          <w:i w:val="0"/>
          <w:iCs/>
          <w:color w:val="auto"/>
          <w:sz w:val="22"/>
          <w:szCs w:val="22"/>
        </w:rPr>
        <w:t xml:space="preserve">The rest of New Zealand remains at Alert Level 2. </w:t>
      </w:r>
    </w:p>
    <w:p w14:paraId="7A509328" w14:textId="753B3908" w:rsidR="008F63CB" w:rsidRPr="008F63CB" w:rsidRDefault="008F63CB" w:rsidP="008F63CB">
      <w:pPr>
        <w:pStyle w:val="List"/>
        <w:numPr>
          <w:ilvl w:val="1"/>
          <w:numId w:val="2"/>
        </w:numPr>
        <w:rPr>
          <w:color w:val="FF0000"/>
          <w:sz w:val="22"/>
          <w:szCs w:val="22"/>
        </w:rPr>
      </w:pPr>
      <w:r w:rsidRPr="008F63CB">
        <w:rPr>
          <w:color w:val="FF0000"/>
          <w:sz w:val="22"/>
          <w:szCs w:val="22"/>
        </w:rPr>
        <w:t>All Current Alert Level settings will be reviewed on 8 November 2021.</w:t>
      </w:r>
    </w:p>
    <w:bookmarkEnd w:id="2"/>
    <w:p w14:paraId="53DAF5A3" w14:textId="77777777" w:rsidR="007431DE" w:rsidRPr="00F037FA" w:rsidRDefault="007431DE" w:rsidP="009C2708">
      <w:pPr>
        <w:pStyle w:val="Heading1"/>
        <w:spacing w:before="120" w:after="0" w:line="264" w:lineRule="auto"/>
        <w:contextualSpacing w:val="0"/>
        <w:rPr>
          <w:rFonts w:eastAsia="Calibri"/>
          <w:b/>
          <w:bCs/>
          <w:color w:val="auto"/>
          <w:sz w:val="24"/>
          <w:szCs w:val="24"/>
        </w:rPr>
      </w:pPr>
      <w:r w:rsidRPr="00F037FA">
        <w:rPr>
          <w:b/>
          <w:bCs/>
          <w:color w:val="auto"/>
          <w:sz w:val="24"/>
          <w:szCs w:val="24"/>
        </w:rPr>
        <w:t>Outbreak</w:t>
      </w:r>
      <w:r w:rsidRPr="00F037FA">
        <w:rPr>
          <w:rFonts w:eastAsia="Calibri"/>
          <w:b/>
          <w:bCs/>
          <w:color w:val="auto"/>
          <w:sz w:val="24"/>
          <w:szCs w:val="24"/>
        </w:rPr>
        <w:t xml:space="preserve"> Summary</w:t>
      </w:r>
    </w:p>
    <w:p w14:paraId="2CE1D0BC" w14:textId="682A3047" w:rsidR="008F63CB" w:rsidRPr="008808F5" w:rsidRDefault="008F63CB" w:rsidP="008F63CB">
      <w:pPr>
        <w:pStyle w:val="BodyText"/>
        <w:numPr>
          <w:ilvl w:val="0"/>
          <w:numId w:val="7"/>
        </w:numPr>
        <w:spacing w:after="0"/>
        <w:ind w:left="357" w:hanging="357"/>
        <w:rPr>
          <w:rFonts w:eastAsia="Calibri" w:cs="Arial"/>
          <w:color w:val="auto"/>
          <w:sz w:val="22"/>
          <w:szCs w:val="22"/>
        </w:rPr>
      </w:pPr>
      <w:bookmarkStart w:id="3" w:name="_Hlk84427771"/>
      <w:r w:rsidRPr="008808F5">
        <w:rPr>
          <w:rFonts w:eastAsia="Calibri" w:cs="Arial"/>
          <w:color w:val="auto"/>
          <w:sz w:val="22"/>
          <w:szCs w:val="22"/>
        </w:rPr>
        <w:t xml:space="preserve">Of the </w:t>
      </w:r>
      <w:r w:rsidRPr="000036BC">
        <w:rPr>
          <w:rFonts w:eastAsia="Calibri" w:cs="Arial"/>
          <w:color w:val="FF0000"/>
          <w:sz w:val="22"/>
          <w:szCs w:val="22"/>
        </w:rPr>
        <w:t xml:space="preserve">3,733 </w:t>
      </w:r>
      <w:r w:rsidRPr="008808F5">
        <w:rPr>
          <w:rFonts w:eastAsia="Calibri" w:cs="Arial"/>
          <w:color w:val="auto"/>
          <w:sz w:val="22"/>
          <w:szCs w:val="22"/>
        </w:rPr>
        <w:t xml:space="preserve">cases reported in the current outbreak, </w:t>
      </w:r>
      <w:r w:rsidRPr="000036BC">
        <w:rPr>
          <w:rFonts w:eastAsia="Calibri" w:cs="Arial"/>
          <w:color w:val="FF0000"/>
          <w:sz w:val="22"/>
          <w:szCs w:val="22"/>
        </w:rPr>
        <w:t>441</w:t>
      </w:r>
      <w:r w:rsidR="00B548DD">
        <w:rPr>
          <w:rFonts w:eastAsia="Calibri" w:cs="Arial"/>
          <w:color w:val="FF0000"/>
          <w:sz w:val="22"/>
          <w:szCs w:val="22"/>
        </w:rPr>
        <w:t xml:space="preserve"> active</w:t>
      </w:r>
      <w:r w:rsidRPr="008808F5">
        <w:rPr>
          <w:rFonts w:eastAsia="Calibri" w:cs="Arial"/>
          <w:color w:val="auto"/>
          <w:sz w:val="22"/>
          <w:szCs w:val="22"/>
        </w:rPr>
        <w:t xml:space="preserve"> cases are currently unlinked.</w:t>
      </w:r>
    </w:p>
    <w:p w14:paraId="6E1175B1" w14:textId="77777777" w:rsidR="008F63CB" w:rsidRPr="008808F5" w:rsidRDefault="008F63CB" w:rsidP="008F63CB">
      <w:pPr>
        <w:pStyle w:val="BodyText"/>
        <w:numPr>
          <w:ilvl w:val="0"/>
          <w:numId w:val="7"/>
        </w:numPr>
        <w:spacing w:after="0" w:line="240" w:lineRule="auto"/>
        <w:ind w:left="357" w:hanging="357"/>
        <w:rPr>
          <w:rFonts w:eastAsia="Calibri" w:cs="Arial"/>
          <w:color w:val="auto"/>
          <w:sz w:val="22"/>
          <w:szCs w:val="22"/>
        </w:rPr>
      </w:pPr>
      <w:r w:rsidRPr="008808F5">
        <w:rPr>
          <w:rFonts w:eastAsia="Calibri" w:cs="Arial"/>
          <w:color w:val="auto"/>
          <w:sz w:val="22"/>
          <w:szCs w:val="22"/>
        </w:rPr>
        <w:t xml:space="preserve">There are currently </w:t>
      </w:r>
      <w:r w:rsidRPr="000036BC">
        <w:rPr>
          <w:rFonts w:eastAsia="Calibri" w:cs="Arial"/>
          <w:color w:val="FF0000"/>
          <w:sz w:val="22"/>
          <w:szCs w:val="22"/>
        </w:rPr>
        <w:t>58</w:t>
      </w:r>
      <w:r w:rsidRPr="008808F5">
        <w:rPr>
          <w:rFonts w:eastAsia="Calibri" w:cs="Arial"/>
          <w:color w:val="auto"/>
          <w:sz w:val="22"/>
          <w:szCs w:val="22"/>
        </w:rPr>
        <w:t xml:space="preserve"> hospitalisations, with </w:t>
      </w:r>
      <w:r w:rsidRPr="000036BC">
        <w:rPr>
          <w:rFonts w:eastAsia="Calibri" w:cs="Arial"/>
          <w:color w:val="FF0000"/>
          <w:sz w:val="22"/>
          <w:szCs w:val="22"/>
        </w:rPr>
        <w:t>three</w:t>
      </w:r>
      <w:r w:rsidRPr="008808F5">
        <w:rPr>
          <w:rFonts w:eastAsia="Calibri" w:cs="Arial"/>
          <w:color w:val="auto"/>
          <w:sz w:val="22"/>
          <w:szCs w:val="22"/>
        </w:rPr>
        <w:t xml:space="preserve"> in ICU. </w:t>
      </w:r>
    </w:p>
    <w:p w14:paraId="2EDCE663" w14:textId="509D4A82" w:rsidR="008F63CB" w:rsidRPr="000036BC" w:rsidRDefault="008F63CB" w:rsidP="008F63CB">
      <w:pPr>
        <w:pStyle w:val="BodyText"/>
        <w:numPr>
          <w:ilvl w:val="0"/>
          <w:numId w:val="7"/>
        </w:numPr>
        <w:spacing w:after="0"/>
        <w:ind w:left="357" w:hanging="357"/>
        <w:rPr>
          <w:rFonts w:eastAsia="Calibri" w:cs="Arial"/>
          <w:color w:val="auto"/>
          <w:sz w:val="22"/>
          <w:szCs w:val="22"/>
        </w:rPr>
      </w:pPr>
      <w:bookmarkStart w:id="4" w:name="_Hlk84416005"/>
      <w:r w:rsidRPr="008808F5">
        <w:rPr>
          <w:rFonts w:eastAsia="Calibri" w:cs="Arial"/>
          <w:color w:val="auto"/>
          <w:sz w:val="22"/>
          <w:szCs w:val="22"/>
        </w:rPr>
        <w:t xml:space="preserve">Most active cases </w:t>
      </w:r>
      <w:r w:rsidR="00B548DD">
        <w:rPr>
          <w:rFonts w:eastAsia="Calibri" w:cs="Arial"/>
          <w:color w:val="auto"/>
          <w:sz w:val="22"/>
          <w:szCs w:val="22"/>
        </w:rPr>
        <w:t xml:space="preserve">are </w:t>
      </w:r>
      <w:r w:rsidRPr="008808F5">
        <w:rPr>
          <w:rFonts w:eastAsia="Calibri" w:cs="Arial"/>
          <w:color w:val="auto"/>
          <w:sz w:val="22"/>
          <w:szCs w:val="22"/>
        </w:rPr>
        <w:t>in</w:t>
      </w:r>
      <w:r w:rsidR="00B548DD">
        <w:rPr>
          <w:rFonts w:eastAsia="Calibri" w:cs="Arial"/>
          <w:color w:val="auto"/>
          <w:sz w:val="22"/>
          <w:szCs w:val="22"/>
        </w:rPr>
        <w:t xml:space="preserve"> the</w:t>
      </w:r>
      <w:r w:rsidRPr="008808F5">
        <w:rPr>
          <w:rFonts w:eastAsia="Calibri" w:cs="Arial"/>
          <w:color w:val="auto"/>
          <w:sz w:val="22"/>
          <w:szCs w:val="22"/>
        </w:rPr>
        <w:t xml:space="preserve"> Auckland region, </w:t>
      </w:r>
      <w:r w:rsidR="00B47AB4">
        <w:rPr>
          <w:rFonts w:eastAsia="Calibri" w:cs="Arial"/>
          <w:color w:val="auto"/>
          <w:sz w:val="22"/>
          <w:szCs w:val="22"/>
        </w:rPr>
        <w:t>with</w:t>
      </w:r>
      <w:r w:rsidRPr="008808F5">
        <w:rPr>
          <w:rFonts w:eastAsia="Calibri" w:cs="Arial"/>
          <w:color w:val="auto"/>
          <w:sz w:val="22"/>
          <w:szCs w:val="22"/>
        </w:rPr>
        <w:t xml:space="preserve"> </w:t>
      </w:r>
      <w:r>
        <w:rPr>
          <w:rFonts w:eastAsia="Calibri" w:cs="Arial"/>
          <w:color w:val="FF0000"/>
          <w:sz w:val="22"/>
          <w:szCs w:val="22"/>
        </w:rPr>
        <w:t>99</w:t>
      </w:r>
      <w:r w:rsidRPr="008808F5">
        <w:rPr>
          <w:rFonts w:eastAsia="Calibri" w:cs="Arial"/>
          <w:color w:val="auto"/>
          <w:sz w:val="22"/>
          <w:szCs w:val="22"/>
        </w:rPr>
        <w:t xml:space="preserve"> </w:t>
      </w:r>
      <w:r>
        <w:rPr>
          <w:rFonts w:eastAsia="Calibri" w:cs="Arial"/>
          <w:color w:val="auto"/>
          <w:sz w:val="22"/>
          <w:szCs w:val="22"/>
        </w:rPr>
        <w:t xml:space="preserve">active </w:t>
      </w:r>
      <w:r w:rsidRPr="008808F5">
        <w:rPr>
          <w:rFonts w:eastAsia="Calibri" w:cs="Arial"/>
          <w:color w:val="auto"/>
          <w:sz w:val="22"/>
          <w:szCs w:val="22"/>
        </w:rPr>
        <w:t>cases</w:t>
      </w:r>
      <w:r>
        <w:rPr>
          <w:rFonts w:eastAsia="Calibri" w:cs="Arial"/>
          <w:color w:val="auto"/>
          <w:sz w:val="22"/>
          <w:szCs w:val="22"/>
        </w:rPr>
        <w:t xml:space="preserve"> </w:t>
      </w:r>
      <w:r w:rsidRPr="008808F5">
        <w:rPr>
          <w:rFonts w:eastAsia="Calibri" w:cs="Arial"/>
          <w:color w:val="auto"/>
          <w:sz w:val="22"/>
          <w:szCs w:val="22"/>
        </w:rPr>
        <w:t>in Waikato</w:t>
      </w:r>
      <w:r>
        <w:rPr>
          <w:rFonts w:eastAsia="Calibri" w:cs="Arial"/>
          <w:color w:val="auto"/>
          <w:sz w:val="22"/>
          <w:szCs w:val="22"/>
        </w:rPr>
        <w:t xml:space="preserve">, </w:t>
      </w:r>
      <w:r w:rsidRPr="000036BC">
        <w:rPr>
          <w:rFonts w:eastAsia="Calibri" w:cs="Arial"/>
          <w:color w:val="FF0000"/>
          <w:sz w:val="22"/>
          <w:szCs w:val="22"/>
        </w:rPr>
        <w:t xml:space="preserve">11 in Northland, one in Nelson/Marlborough and four in Canterbury. </w:t>
      </w:r>
    </w:p>
    <w:p w14:paraId="7239463E" w14:textId="77777777" w:rsidR="00C172E5" w:rsidRPr="00C172E5" w:rsidRDefault="008F63CB" w:rsidP="00C172E5">
      <w:pPr>
        <w:pStyle w:val="BodyText"/>
        <w:numPr>
          <w:ilvl w:val="0"/>
          <w:numId w:val="7"/>
        </w:numPr>
        <w:spacing w:after="0"/>
        <w:ind w:left="357" w:hanging="357"/>
        <w:rPr>
          <w:rFonts w:eastAsia="Calibri"/>
          <w:color w:val="FF0000"/>
          <w:sz w:val="22"/>
          <w:szCs w:val="22"/>
        </w:rPr>
      </w:pPr>
      <w:r w:rsidRPr="00C172E5">
        <w:rPr>
          <w:rFonts w:eastAsia="Calibri"/>
          <w:color w:val="FF0000"/>
          <w:sz w:val="22"/>
          <w:szCs w:val="22"/>
        </w:rPr>
        <w:t xml:space="preserve">No new </w:t>
      </w:r>
      <w:bookmarkEnd w:id="4"/>
      <w:r w:rsidR="00C172E5" w:rsidRPr="00C172E5">
        <w:rPr>
          <w:rFonts w:eastAsia="Calibri"/>
          <w:color w:val="FF0000"/>
          <w:sz w:val="22"/>
          <w:szCs w:val="22"/>
        </w:rPr>
        <w:t>cases have been identified following the cases previously reported from the South Island.</w:t>
      </w:r>
    </w:p>
    <w:p w14:paraId="0898BA5C" w14:textId="1A489E47" w:rsidR="008F63CB" w:rsidRPr="00C172E5" w:rsidRDefault="008F63CB" w:rsidP="00083133">
      <w:pPr>
        <w:pStyle w:val="ListParagraph"/>
        <w:numPr>
          <w:ilvl w:val="0"/>
          <w:numId w:val="7"/>
        </w:numPr>
        <w:spacing w:after="0"/>
        <w:ind w:left="357" w:hanging="357"/>
        <w:rPr>
          <w:rFonts w:eastAsia="Calibri"/>
          <w:color w:val="auto"/>
          <w:sz w:val="22"/>
          <w:szCs w:val="22"/>
        </w:rPr>
      </w:pPr>
      <w:r w:rsidRPr="00C172E5">
        <w:rPr>
          <w:rFonts w:eastAsia="Calibri"/>
          <w:color w:val="auto"/>
          <w:sz w:val="22"/>
          <w:szCs w:val="22"/>
        </w:rPr>
        <w:t xml:space="preserve">As at </w:t>
      </w:r>
      <w:r w:rsidRPr="00C172E5">
        <w:rPr>
          <w:rFonts w:eastAsia="Calibri"/>
          <w:color w:val="FF0000"/>
          <w:sz w:val="22"/>
          <w:szCs w:val="22"/>
        </w:rPr>
        <w:t>10:00am NZT 3 November 2021</w:t>
      </w:r>
      <w:r w:rsidRPr="00C172E5">
        <w:rPr>
          <w:rFonts w:eastAsia="Calibri"/>
          <w:color w:val="auto"/>
          <w:sz w:val="22"/>
          <w:szCs w:val="22"/>
        </w:rPr>
        <w:t xml:space="preserve">, there are </w:t>
      </w:r>
      <w:r w:rsidRPr="00C172E5">
        <w:rPr>
          <w:rFonts w:eastAsia="Calibri"/>
          <w:color w:val="FF0000"/>
          <w:sz w:val="22"/>
          <w:szCs w:val="22"/>
        </w:rPr>
        <w:t>335</w:t>
      </w:r>
      <w:r w:rsidRPr="00C172E5">
        <w:rPr>
          <w:rFonts w:eastAsia="Calibri"/>
          <w:color w:val="auto"/>
          <w:sz w:val="22"/>
          <w:szCs w:val="22"/>
        </w:rPr>
        <w:t xml:space="preserve"> locations of interest events tabled that have been reported across New Zealand, most of which are in the Auckland region. Some locations have been listed outside of Auckland including in Wellington, Napier, Rotorua, and multiple locations in Northland and Waikato (all on the North Island of New Zealand) and Blenheim </w:t>
      </w:r>
      <w:r w:rsidRPr="00C172E5">
        <w:rPr>
          <w:rFonts w:eastAsia="Calibri"/>
          <w:color w:val="FF0000"/>
          <w:sz w:val="22"/>
          <w:szCs w:val="22"/>
        </w:rPr>
        <w:t xml:space="preserve">and Christchurch </w:t>
      </w:r>
      <w:r w:rsidRPr="00C172E5">
        <w:rPr>
          <w:rFonts w:eastAsia="Calibri"/>
          <w:color w:val="auto"/>
          <w:sz w:val="22"/>
          <w:szCs w:val="22"/>
        </w:rPr>
        <w:t xml:space="preserve">on the South Island. </w:t>
      </w:r>
    </w:p>
    <w:p w14:paraId="66321963" w14:textId="77777777" w:rsidR="008F63CB" w:rsidRPr="008808F5" w:rsidRDefault="008F63CB" w:rsidP="008F63CB">
      <w:pPr>
        <w:pStyle w:val="BodyText"/>
        <w:numPr>
          <w:ilvl w:val="0"/>
          <w:numId w:val="7"/>
        </w:numPr>
        <w:spacing w:after="0"/>
        <w:ind w:left="357" w:hanging="357"/>
        <w:rPr>
          <w:rFonts w:eastAsia="Calibri" w:cs="Arial"/>
          <w:color w:val="auto"/>
          <w:sz w:val="22"/>
          <w:szCs w:val="22"/>
        </w:rPr>
      </w:pPr>
      <w:r w:rsidRPr="008808F5">
        <w:rPr>
          <w:rFonts w:eastAsia="Calibri" w:cs="Arial"/>
          <w:color w:val="auto"/>
          <w:sz w:val="22"/>
          <w:szCs w:val="22"/>
        </w:rPr>
        <w:t xml:space="preserve">As at </w:t>
      </w:r>
      <w:r w:rsidRPr="000036BC">
        <w:rPr>
          <w:rFonts w:eastAsia="Calibri" w:cs="Arial"/>
          <w:color w:val="FF0000"/>
          <w:sz w:val="22"/>
          <w:szCs w:val="22"/>
        </w:rPr>
        <w:t>11:00am NZT 3 November 2021</w:t>
      </w:r>
      <w:r w:rsidRPr="008808F5">
        <w:rPr>
          <w:rFonts w:eastAsia="Calibri" w:cs="Arial"/>
          <w:color w:val="auto"/>
          <w:sz w:val="22"/>
          <w:szCs w:val="22"/>
        </w:rPr>
        <w:t xml:space="preserve">, </w:t>
      </w:r>
      <w:r w:rsidRPr="00B22E8E">
        <w:rPr>
          <w:rFonts w:eastAsia="Calibri" w:cs="Arial"/>
          <w:color w:val="FF0000"/>
          <w:sz w:val="22"/>
          <w:szCs w:val="22"/>
        </w:rPr>
        <w:t xml:space="preserve">3,502 </w:t>
      </w:r>
      <w:r w:rsidRPr="008808F5">
        <w:rPr>
          <w:rFonts w:eastAsia="Calibri" w:cs="Arial"/>
          <w:color w:val="auto"/>
          <w:sz w:val="22"/>
          <w:szCs w:val="22"/>
        </w:rPr>
        <w:t xml:space="preserve">active contacts are being managed. </w:t>
      </w:r>
    </w:p>
    <w:p w14:paraId="2B04CD1F" w14:textId="77777777" w:rsidR="008F63CB" w:rsidRPr="008808F5" w:rsidRDefault="008F63CB" w:rsidP="008F63CB">
      <w:pPr>
        <w:pStyle w:val="BodyText"/>
        <w:numPr>
          <w:ilvl w:val="1"/>
          <w:numId w:val="7"/>
        </w:numPr>
        <w:spacing w:after="0"/>
        <w:rPr>
          <w:rFonts w:eastAsia="Calibri" w:cs="Arial"/>
          <w:color w:val="auto"/>
          <w:sz w:val="22"/>
          <w:szCs w:val="22"/>
        </w:rPr>
      </w:pPr>
      <w:r w:rsidRPr="00B22E8E">
        <w:rPr>
          <w:rFonts w:eastAsia="Calibri" w:cs="Arial"/>
          <w:color w:val="FF0000"/>
          <w:sz w:val="22"/>
          <w:szCs w:val="22"/>
        </w:rPr>
        <w:t>76</w:t>
      </w:r>
      <w:r w:rsidRPr="008808F5">
        <w:rPr>
          <w:rFonts w:eastAsia="Calibri" w:cs="Arial"/>
          <w:color w:val="auto"/>
          <w:sz w:val="22"/>
          <w:szCs w:val="22"/>
        </w:rPr>
        <w:t xml:space="preserve"> per cent of these people have been contacted, and </w:t>
      </w:r>
      <w:r w:rsidRPr="00B22E8E">
        <w:rPr>
          <w:rFonts w:eastAsia="Calibri" w:cs="Arial"/>
          <w:color w:val="FF0000"/>
          <w:sz w:val="22"/>
          <w:szCs w:val="22"/>
        </w:rPr>
        <w:t>73</w:t>
      </w:r>
      <w:r w:rsidRPr="008808F5">
        <w:rPr>
          <w:rFonts w:eastAsia="Calibri" w:cs="Arial"/>
          <w:color w:val="auto"/>
          <w:sz w:val="22"/>
          <w:szCs w:val="22"/>
        </w:rPr>
        <w:t xml:space="preserve"> per cent have returned at least one test result. </w:t>
      </w:r>
    </w:p>
    <w:p w14:paraId="723DF626" w14:textId="77777777" w:rsidR="008F63CB" w:rsidRPr="008808F5" w:rsidRDefault="008F63CB" w:rsidP="008F63CB">
      <w:pPr>
        <w:pStyle w:val="BodyText"/>
        <w:numPr>
          <w:ilvl w:val="0"/>
          <w:numId w:val="7"/>
        </w:numPr>
        <w:spacing w:after="0"/>
        <w:rPr>
          <w:rFonts w:eastAsia="Calibri" w:cs="Arial"/>
          <w:color w:val="auto"/>
          <w:sz w:val="22"/>
          <w:szCs w:val="22"/>
        </w:rPr>
      </w:pPr>
      <w:r w:rsidRPr="008808F5">
        <w:rPr>
          <w:rFonts w:eastAsia="Calibri" w:cs="Arial"/>
          <w:color w:val="auto"/>
          <w:sz w:val="22"/>
          <w:szCs w:val="22"/>
        </w:rPr>
        <w:t xml:space="preserve">Wastewater sample collection has been arranged from locations across New Zealand with additional sites added within Auckland, Northland, Waikato and Manawatū-Whanganui regions following the identification of cases in the broader region. In the latest results reported, </w:t>
      </w:r>
      <w:r>
        <w:rPr>
          <w:rFonts w:eastAsia="Calibri" w:cs="Arial"/>
          <w:color w:val="auto"/>
          <w:sz w:val="22"/>
          <w:szCs w:val="22"/>
        </w:rPr>
        <w:t>t</w:t>
      </w:r>
      <w:r w:rsidRPr="008808F5">
        <w:rPr>
          <w:rFonts w:eastAsia="Calibri" w:cs="Arial"/>
          <w:color w:val="auto"/>
          <w:sz w:val="22"/>
          <w:szCs w:val="22"/>
        </w:rPr>
        <w:t>here have been no unexpected detections reported</w:t>
      </w:r>
      <w:r>
        <w:rPr>
          <w:rFonts w:eastAsia="Calibri" w:cs="Arial"/>
          <w:color w:val="auto"/>
          <w:sz w:val="22"/>
          <w:szCs w:val="22"/>
        </w:rPr>
        <w:t xml:space="preserve">. </w:t>
      </w:r>
    </w:p>
    <w:bookmarkEnd w:id="3"/>
    <w:p w14:paraId="6230F7DA" w14:textId="77777777" w:rsidR="00062467" w:rsidRPr="00F037FA" w:rsidRDefault="00062467" w:rsidP="00062467">
      <w:pPr>
        <w:pStyle w:val="BodyText"/>
        <w:spacing w:after="0"/>
        <w:ind w:left="360"/>
        <w:rPr>
          <w:rFonts w:eastAsia="Calibri" w:cs="Arial"/>
          <w:color w:val="auto"/>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F037FA" w:rsidRPr="00F037FA" w14:paraId="1BBADB80" w14:textId="77777777" w:rsidTr="00055312">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bookmarkEnd w:id="1"/>
          <w:p w14:paraId="64DEB40F" w14:textId="26E65B4C" w:rsidR="00046248" w:rsidRPr="00F037FA" w:rsidRDefault="00AA6786" w:rsidP="00055312">
            <w:pPr>
              <w:rPr>
                <w:rFonts w:eastAsia="Times New Roman" w:cs="Arial"/>
                <w:b/>
                <w:color w:val="auto"/>
                <w:lang w:eastAsia="en-AU"/>
              </w:rPr>
            </w:pPr>
            <w:r w:rsidRPr="00F037FA">
              <w:rPr>
                <w:rFonts w:eastAsia="Times New Roman" w:cs="Arial"/>
                <w:b/>
                <w:color w:val="auto"/>
                <w:lang w:eastAsia="en-AU"/>
              </w:rPr>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F037FA" w:rsidRDefault="00046248" w:rsidP="00AA6786">
            <w:pPr>
              <w:jc w:val="right"/>
              <w:rPr>
                <w:rFonts w:eastAsia="Times New Roman" w:cs="Arial"/>
                <w:b/>
                <w:color w:val="auto"/>
                <w:lang w:eastAsia="en-AU"/>
              </w:rPr>
            </w:pPr>
            <w:r w:rsidRPr="00F037FA">
              <w:rPr>
                <w:rFonts w:eastAsia="Times New Roman" w:cs="Arial"/>
                <w:b/>
                <w:color w:val="auto"/>
                <w:lang w:eastAsia="en-AU"/>
              </w:rPr>
              <w:t>Total</w:t>
            </w:r>
          </w:p>
        </w:tc>
      </w:tr>
      <w:tr w:rsidR="00F037FA" w:rsidRPr="00F037FA" w14:paraId="2211065B" w14:textId="77777777" w:rsidTr="00055312">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F037FA" w:rsidRDefault="00AA6786" w:rsidP="00055312">
            <w:pPr>
              <w:spacing w:before="20" w:after="20" w:line="240" w:lineRule="auto"/>
              <w:rPr>
                <w:rFonts w:eastAsia="Times New Roman" w:cs="Arial"/>
                <w:color w:val="auto"/>
                <w:sz w:val="22"/>
                <w:szCs w:val="22"/>
                <w:lang w:eastAsia="en-AU"/>
              </w:rPr>
            </w:pPr>
            <w:r w:rsidRPr="00F037FA">
              <w:rPr>
                <w:rFonts w:eastAsia="Times New Roman" w:cs="Arial"/>
                <w:color w:val="auto"/>
                <w:sz w:val="22"/>
                <w:szCs w:val="22"/>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5AFCA3B1" w:rsidR="00AA6786" w:rsidRPr="00F037FA" w:rsidRDefault="00F037FA" w:rsidP="00055312">
            <w:pPr>
              <w:spacing w:before="20" w:after="20" w:line="240" w:lineRule="auto"/>
              <w:jc w:val="right"/>
              <w:rPr>
                <w:rFonts w:eastAsia="Times New Roman" w:cs="Arial"/>
                <w:color w:val="auto"/>
                <w:sz w:val="22"/>
                <w:szCs w:val="22"/>
                <w:lang w:eastAsia="en-AU"/>
              </w:rPr>
            </w:pPr>
            <w:r w:rsidRPr="00F037FA">
              <w:rPr>
                <w:rFonts w:eastAsia="Times New Roman" w:cs="Arial"/>
                <w:color w:val="FF0000"/>
                <w:sz w:val="22"/>
                <w:szCs w:val="22"/>
                <w:lang w:eastAsia="en-AU"/>
              </w:rPr>
              <w:t>5,539</w:t>
            </w:r>
          </w:p>
        </w:tc>
      </w:tr>
      <w:tr w:rsidR="00F037FA" w:rsidRPr="00F037FA" w14:paraId="3582A456" w14:textId="77777777" w:rsidTr="00055312">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F037FA" w:rsidRDefault="00AA6786" w:rsidP="00055312">
            <w:pPr>
              <w:spacing w:before="20" w:after="20" w:line="240" w:lineRule="auto"/>
              <w:rPr>
                <w:rFonts w:eastAsia="Times New Roman" w:cs="Arial"/>
                <w:color w:val="auto"/>
                <w:sz w:val="22"/>
                <w:szCs w:val="22"/>
                <w:lang w:eastAsia="en-AU"/>
              </w:rPr>
            </w:pPr>
            <w:r w:rsidRPr="00F037FA">
              <w:rPr>
                <w:rFonts w:eastAsia="Times New Roman" w:cs="Arial"/>
                <w:color w:val="auto"/>
                <w:sz w:val="22"/>
                <w:szCs w:val="22"/>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731C565C" w:rsidR="00213FEF" w:rsidRPr="00537CD2" w:rsidRDefault="00537CD2" w:rsidP="00FA3909">
            <w:pPr>
              <w:pStyle w:val="BodyText"/>
              <w:jc w:val="right"/>
              <w:rPr>
                <w:color w:val="FF0000"/>
                <w:sz w:val="22"/>
                <w:szCs w:val="22"/>
                <w:lang w:eastAsia="en-AU"/>
              </w:rPr>
            </w:pPr>
            <w:r w:rsidRPr="00537CD2">
              <w:rPr>
                <w:color w:val="FF0000"/>
                <w:sz w:val="22"/>
                <w:szCs w:val="22"/>
                <w:lang w:eastAsia="en-AU"/>
              </w:rPr>
              <w:t>30</w:t>
            </w:r>
          </w:p>
        </w:tc>
      </w:tr>
      <w:tr w:rsidR="00F037FA" w:rsidRPr="00F037FA" w14:paraId="4D5A3D43" w14:textId="77777777" w:rsidTr="00055312">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F037FA" w:rsidRDefault="00AA6786" w:rsidP="00055312">
            <w:pPr>
              <w:spacing w:before="20" w:after="20" w:line="240" w:lineRule="auto"/>
              <w:rPr>
                <w:rFonts w:eastAsia="Times New Roman" w:cs="Arial"/>
                <w:color w:val="auto"/>
                <w:sz w:val="22"/>
                <w:szCs w:val="22"/>
                <w:lang w:eastAsia="en-AU"/>
              </w:rPr>
            </w:pPr>
            <w:r w:rsidRPr="00F037FA">
              <w:rPr>
                <w:rFonts w:eastAsia="Times New Roman" w:cs="Arial"/>
                <w:color w:val="auto"/>
                <w:sz w:val="22"/>
                <w:szCs w:val="22"/>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445CC796" w:rsidR="00213FEF" w:rsidRPr="00537CD2" w:rsidRDefault="00537CD2" w:rsidP="00055312">
            <w:pPr>
              <w:pStyle w:val="BodyText"/>
              <w:spacing w:before="20" w:after="20" w:line="240" w:lineRule="auto"/>
              <w:jc w:val="right"/>
              <w:rPr>
                <w:color w:val="FF0000"/>
                <w:sz w:val="22"/>
                <w:szCs w:val="22"/>
                <w:lang w:eastAsia="en-AU"/>
              </w:rPr>
            </w:pPr>
            <w:r w:rsidRPr="00537CD2">
              <w:rPr>
                <w:color w:val="FF0000"/>
                <w:sz w:val="22"/>
                <w:szCs w:val="22"/>
                <w:lang w:eastAsia="en-AU"/>
              </w:rPr>
              <w:t>905</w:t>
            </w:r>
          </w:p>
        </w:tc>
      </w:tr>
      <w:tr w:rsidR="00F037FA" w:rsidRPr="00F037FA" w14:paraId="64A49BE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ED21C9" w14:textId="15E3AABA" w:rsidR="00AA6786" w:rsidRPr="00F037FA" w:rsidRDefault="00AA6786" w:rsidP="00055312">
            <w:pPr>
              <w:spacing w:before="20" w:after="20" w:line="240" w:lineRule="auto"/>
              <w:rPr>
                <w:rFonts w:eastAsia="Times New Roman" w:cs="Arial"/>
                <w:color w:val="auto"/>
                <w:sz w:val="22"/>
                <w:szCs w:val="22"/>
                <w:lang w:eastAsia="en-AU"/>
              </w:rPr>
            </w:pPr>
            <w:r w:rsidRPr="00F037FA">
              <w:rPr>
                <w:rFonts w:eastAsia="Times New Roman" w:cs="Arial"/>
                <w:color w:val="auto"/>
                <w:sz w:val="22"/>
                <w:szCs w:val="22"/>
                <w:lang w:eastAsia="en-AU"/>
              </w:rPr>
              <w:t>Cases removed or reclassified</w:t>
            </w:r>
            <w:r w:rsidR="001E03F8" w:rsidRPr="00F037FA">
              <w:rPr>
                <w:rFonts w:eastAsia="Times New Roman" w:cs="Arial"/>
                <w:color w:val="auto"/>
                <w:sz w:val="22"/>
                <w:szCs w:val="22"/>
                <w:lang w:eastAsia="en-AU"/>
              </w:rPr>
              <w:t>*</w:t>
            </w:r>
          </w:p>
        </w:tc>
        <w:tc>
          <w:tcPr>
            <w:tcW w:w="1701" w:type="dxa"/>
            <w:shd w:val="clear" w:color="auto" w:fill="auto"/>
            <w:tcMar>
              <w:top w:w="45" w:type="dxa"/>
              <w:left w:w="75" w:type="dxa"/>
              <w:bottom w:w="45" w:type="dxa"/>
              <w:right w:w="75" w:type="dxa"/>
            </w:tcMar>
            <w:vAlign w:val="center"/>
          </w:tcPr>
          <w:p w14:paraId="3935EBD2" w14:textId="59781991" w:rsidR="00213FEF" w:rsidRPr="00537CD2" w:rsidRDefault="00537CD2" w:rsidP="00FA3909">
            <w:pPr>
              <w:pStyle w:val="BodyText"/>
              <w:spacing w:before="20" w:after="20" w:line="240" w:lineRule="auto"/>
              <w:jc w:val="right"/>
              <w:rPr>
                <w:color w:val="FF0000"/>
                <w:sz w:val="22"/>
                <w:szCs w:val="22"/>
                <w:lang w:eastAsia="en-AU"/>
              </w:rPr>
            </w:pPr>
            <w:r w:rsidRPr="00537CD2">
              <w:rPr>
                <w:color w:val="FF0000"/>
                <w:sz w:val="22"/>
                <w:szCs w:val="22"/>
                <w:lang w:eastAsia="en-AU"/>
              </w:rPr>
              <w:t>-3</w:t>
            </w:r>
          </w:p>
        </w:tc>
      </w:tr>
      <w:tr w:rsidR="00F037FA" w:rsidRPr="00F037FA" w14:paraId="5C9CCFD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F037FA" w:rsidRDefault="00AA6786" w:rsidP="00055312">
            <w:pPr>
              <w:spacing w:before="20" w:after="20" w:line="240" w:lineRule="auto"/>
              <w:rPr>
                <w:rFonts w:eastAsia="Times New Roman" w:cs="Arial"/>
                <w:color w:val="auto"/>
                <w:sz w:val="22"/>
                <w:szCs w:val="22"/>
                <w:lang w:eastAsia="en-AU"/>
              </w:rPr>
            </w:pPr>
            <w:r w:rsidRPr="00F037FA">
              <w:rPr>
                <w:rFonts w:eastAsia="Times New Roman" w:cs="Arial"/>
                <w:color w:val="auto"/>
                <w:sz w:val="22"/>
                <w:szCs w:val="22"/>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5D7FF1C0" w:rsidR="00AA6786" w:rsidRPr="00537CD2" w:rsidRDefault="00537CD2" w:rsidP="00055312">
            <w:pPr>
              <w:spacing w:before="20" w:after="20" w:line="240" w:lineRule="auto"/>
              <w:jc w:val="right"/>
              <w:rPr>
                <w:rFonts w:eastAsia="Times New Roman" w:cs="Arial"/>
                <w:color w:val="FF0000"/>
                <w:sz w:val="22"/>
                <w:szCs w:val="22"/>
                <w:lang w:eastAsia="en-AU"/>
              </w:rPr>
            </w:pPr>
            <w:r w:rsidRPr="00537CD2">
              <w:rPr>
                <w:rFonts w:eastAsia="Times New Roman" w:cs="Arial"/>
                <w:color w:val="FF0000"/>
                <w:sz w:val="22"/>
                <w:szCs w:val="22"/>
                <w:lang w:eastAsia="en-AU"/>
              </w:rPr>
              <w:t>6,471</w:t>
            </w:r>
          </w:p>
        </w:tc>
      </w:tr>
    </w:tbl>
    <w:p w14:paraId="06DF1C38" w14:textId="0C806848" w:rsidR="00046248" w:rsidRPr="00F037FA" w:rsidRDefault="001E03F8" w:rsidP="00062467">
      <w:pPr>
        <w:pStyle w:val="List"/>
        <w:spacing w:after="0" w:line="240" w:lineRule="auto"/>
        <w:ind w:left="284" w:firstLine="0"/>
        <w:contextualSpacing w:val="0"/>
        <w:rPr>
          <w:rFonts w:cs="Arial"/>
          <w:bCs/>
          <w:i/>
          <w:iCs/>
          <w:color w:val="auto"/>
          <w:sz w:val="16"/>
          <w:szCs w:val="16"/>
        </w:rPr>
      </w:pPr>
      <w:r w:rsidRPr="00F037FA">
        <w:rPr>
          <w:rFonts w:cs="Arial"/>
          <w:bCs/>
          <w:i/>
          <w:iCs/>
          <w:color w:val="auto"/>
          <w:sz w:val="16"/>
          <w:szCs w:val="16"/>
        </w:rPr>
        <w:t>*</w:t>
      </w:r>
      <w:r w:rsidR="009C2708" w:rsidRPr="00F037FA">
        <w:rPr>
          <w:rFonts w:cs="Arial"/>
          <w:bCs/>
          <w:i/>
          <w:iCs/>
          <w:color w:val="auto"/>
          <w:sz w:val="16"/>
          <w:szCs w:val="16"/>
        </w:rPr>
        <w:t xml:space="preserve"> </w:t>
      </w:r>
      <w:r w:rsidRPr="00F037FA">
        <w:rPr>
          <w:rFonts w:cs="Arial"/>
          <w:bCs/>
          <w:i/>
          <w:iCs/>
          <w:color w:val="auto"/>
          <w:sz w:val="16"/>
          <w:szCs w:val="16"/>
        </w:rPr>
        <w:t>Reclassified cases are calculated from N</w:t>
      </w:r>
      <w:r w:rsidR="0082732C" w:rsidRPr="00F037FA">
        <w:rPr>
          <w:rFonts w:cs="Arial"/>
          <w:bCs/>
          <w:i/>
          <w:iCs/>
          <w:color w:val="auto"/>
          <w:sz w:val="16"/>
          <w:szCs w:val="16"/>
        </w:rPr>
        <w:t xml:space="preserve">ew </w:t>
      </w:r>
      <w:r w:rsidRPr="00F037FA">
        <w:rPr>
          <w:rFonts w:cs="Arial"/>
          <w:bCs/>
          <w:i/>
          <w:iCs/>
          <w:color w:val="auto"/>
          <w:sz w:val="16"/>
          <w:szCs w:val="16"/>
        </w:rPr>
        <w:t>Z</w:t>
      </w:r>
      <w:r w:rsidR="0082732C" w:rsidRPr="00F037FA">
        <w:rPr>
          <w:rFonts w:cs="Arial"/>
          <w:bCs/>
          <w:i/>
          <w:iCs/>
          <w:color w:val="auto"/>
          <w:sz w:val="16"/>
          <w:szCs w:val="16"/>
        </w:rPr>
        <w:t>ealand</w:t>
      </w:r>
      <w:r w:rsidRPr="00F037FA">
        <w:rPr>
          <w:rFonts w:cs="Arial"/>
          <w:bCs/>
          <w:i/>
          <w:iCs/>
          <w:color w:val="auto"/>
          <w:sz w:val="16"/>
          <w:szCs w:val="16"/>
        </w:rPr>
        <w:t xml:space="preserve"> Ministry of Health official reports, daily press conferences and media releases, as they are not uniformly reported </w:t>
      </w:r>
      <w:r w:rsidR="007A1816" w:rsidRPr="00F037FA">
        <w:rPr>
          <w:rFonts w:cs="Arial"/>
          <w:bCs/>
          <w:i/>
          <w:iCs/>
          <w:color w:val="auto"/>
          <w:sz w:val="16"/>
          <w:szCs w:val="16"/>
        </w:rPr>
        <w:t>via</w:t>
      </w:r>
      <w:r w:rsidRPr="00F037FA">
        <w:rPr>
          <w:rFonts w:cs="Arial"/>
          <w:bCs/>
          <w:i/>
          <w:iCs/>
          <w:color w:val="auto"/>
          <w:sz w:val="16"/>
          <w:szCs w:val="16"/>
        </w:rPr>
        <w:t xml:space="preserve"> one source. </w:t>
      </w:r>
    </w:p>
    <w:p w14:paraId="06CC4301" w14:textId="77777777" w:rsidR="00062467" w:rsidRPr="00F037FA" w:rsidRDefault="00062467" w:rsidP="00062467">
      <w:pPr>
        <w:pStyle w:val="List"/>
        <w:spacing w:after="0" w:line="240" w:lineRule="auto"/>
        <w:ind w:left="284" w:firstLine="0"/>
        <w:contextualSpacing w:val="0"/>
        <w:rPr>
          <w:rFonts w:cs="Arial"/>
          <w:bCs/>
          <w:i/>
          <w:iCs/>
          <w:color w:val="auto"/>
        </w:rPr>
      </w:pP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F037FA" w:rsidRPr="00F037FA"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2216D8E0" w:rsidR="00046248" w:rsidRPr="00F037FA" w:rsidRDefault="00062467" w:rsidP="00441C90">
            <w:pPr>
              <w:spacing w:before="20" w:after="20"/>
              <w:rPr>
                <w:rFonts w:cs="Arial"/>
                <w:b/>
                <w:color w:val="auto"/>
                <w:lang w:val="en"/>
              </w:rPr>
            </w:pPr>
            <w:r w:rsidRPr="00F037FA">
              <w:rPr>
                <w:rFonts w:cs="Arial"/>
                <w:b/>
                <w:color w:val="auto"/>
              </w:rPr>
              <w:t>Hospitalisations and deaths</w:t>
            </w:r>
          </w:p>
        </w:tc>
        <w:tc>
          <w:tcPr>
            <w:tcW w:w="1701" w:type="dxa"/>
            <w:shd w:val="clear" w:color="auto" w:fill="DBE5F1" w:themeFill="accent1" w:themeFillTint="33"/>
            <w:vAlign w:val="center"/>
          </w:tcPr>
          <w:p w14:paraId="1207B8C3" w14:textId="62EEDD70" w:rsidR="00046248" w:rsidRPr="00F037FA" w:rsidRDefault="00062467" w:rsidP="00441C90">
            <w:pPr>
              <w:spacing w:before="20" w:after="20"/>
              <w:jc w:val="center"/>
              <w:rPr>
                <w:rFonts w:cs="Arial"/>
                <w:b/>
                <w:color w:val="auto"/>
                <w:lang w:val="en"/>
              </w:rPr>
            </w:pPr>
            <w:r w:rsidRPr="00F037FA">
              <w:rPr>
                <w:rFonts w:cs="Arial"/>
                <w:b/>
                <w:color w:val="auto"/>
                <w:lang w:val="en"/>
              </w:rPr>
              <w:t>Total</w:t>
            </w:r>
          </w:p>
        </w:tc>
      </w:tr>
      <w:tr w:rsidR="00F037FA" w:rsidRPr="00F037FA" w14:paraId="6526DFA2" w14:textId="77777777" w:rsidTr="0070502C">
        <w:trPr>
          <w:trHeight w:val="340"/>
        </w:trPr>
        <w:tc>
          <w:tcPr>
            <w:tcW w:w="7372" w:type="dxa"/>
            <w:tcBorders>
              <w:top w:val="single" w:sz="4" w:space="0" w:color="auto"/>
            </w:tcBorders>
            <w:vAlign w:val="center"/>
          </w:tcPr>
          <w:p w14:paraId="53D8F964" w14:textId="77777777" w:rsidR="00046248" w:rsidRPr="00F037FA" w:rsidRDefault="00046248" w:rsidP="00441C90">
            <w:pPr>
              <w:spacing w:before="20" w:after="20"/>
              <w:rPr>
                <w:rFonts w:cs="Arial"/>
                <w:color w:val="auto"/>
                <w:sz w:val="22"/>
                <w:szCs w:val="22"/>
                <w:lang w:val="en"/>
              </w:rPr>
            </w:pPr>
            <w:r w:rsidRPr="00F037FA">
              <w:rPr>
                <w:rFonts w:cs="Arial"/>
                <w:color w:val="auto"/>
                <w:sz w:val="22"/>
                <w:szCs w:val="22"/>
                <w:lang w:val="en"/>
              </w:rPr>
              <w:t>Cumulative deaths</w:t>
            </w:r>
          </w:p>
        </w:tc>
        <w:tc>
          <w:tcPr>
            <w:tcW w:w="1701" w:type="dxa"/>
            <w:vAlign w:val="center"/>
          </w:tcPr>
          <w:p w14:paraId="45E45F3F" w14:textId="7586541F" w:rsidR="00046248" w:rsidRPr="00F037FA" w:rsidRDefault="00D25452" w:rsidP="00AA6786">
            <w:pPr>
              <w:spacing w:before="20" w:after="20"/>
              <w:jc w:val="right"/>
              <w:rPr>
                <w:rFonts w:cs="Arial"/>
                <w:color w:val="auto"/>
                <w:sz w:val="22"/>
                <w:szCs w:val="22"/>
                <w:lang w:val="en"/>
              </w:rPr>
            </w:pPr>
            <w:r w:rsidRPr="00F037FA">
              <w:rPr>
                <w:rFonts w:cs="Arial"/>
                <w:color w:val="auto"/>
                <w:sz w:val="22"/>
                <w:szCs w:val="22"/>
                <w:lang w:val="en"/>
              </w:rPr>
              <w:t>28</w:t>
            </w:r>
          </w:p>
        </w:tc>
      </w:tr>
      <w:tr w:rsidR="00F037FA" w:rsidRPr="00F037FA" w14:paraId="7D3570B1" w14:textId="77777777" w:rsidTr="0070502C">
        <w:trPr>
          <w:trHeight w:val="340"/>
        </w:trPr>
        <w:tc>
          <w:tcPr>
            <w:tcW w:w="7372" w:type="dxa"/>
            <w:vAlign w:val="center"/>
          </w:tcPr>
          <w:p w14:paraId="1F5E2B56" w14:textId="77777777" w:rsidR="00046248" w:rsidRPr="00F037FA" w:rsidRDefault="00046248" w:rsidP="00441C90">
            <w:pPr>
              <w:spacing w:before="20" w:after="20"/>
              <w:rPr>
                <w:rFonts w:cs="Arial"/>
                <w:color w:val="auto"/>
                <w:sz w:val="22"/>
                <w:szCs w:val="22"/>
                <w:lang w:val="en"/>
              </w:rPr>
            </w:pPr>
            <w:r w:rsidRPr="00F037FA">
              <w:rPr>
                <w:rFonts w:cs="Arial"/>
                <w:color w:val="auto"/>
                <w:sz w:val="22"/>
                <w:szCs w:val="22"/>
                <w:lang w:val="en"/>
              </w:rPr>
              <w:t>Currently</w:t>
            </w:r>
            <w:r w:rsidRPr="00F037FA">
              <w:rPr>
                <w:rFonts w:cs="Arial"/>
                <w:color w:val="auto"/>
                <w:sz w:val="22"/>
                <w:szCs w:val="22"/>
              </w:rPr>
              <w:t xml:space="preserve"> hospitalised</w:t>
            </w:r>
          </w:p>
        </w:tc>
        <w:tc>
          <w:tcPr>
            <w:tcW w:w="1701" w:type="dxa"/>
            <w:vAlign w:val="center"/>
          </w:tcPr>
          <w:p w14:paraId="7AB141C7" w14:textId="595B9984" w:rsidR="00046248" w:rsidRPr="00F037FA" w:rsidRDefault="00537CD2" w:rsidP="00AA6786">
            <w:pPr>
              <w:spacing w:before="20" w:after="20"/>
              <w:jc w:val="right"/>
              <w:rPr>
                <w:rFonts w:cs="Arial"/>
                <w:color w:val="auto"/>
                <w:sz w:val="22"/>
                <w:szCs w:val="22"/>
                <w:lang w:val="en"/>
              </w:rPr>
            </w:pPr>
            <w:r w:rsidRPr="00537CD2">
              <w:rPr>
                <w:rFonts w:cs="Arial"/>
                <w:color w:val="FF0000"/>
                <w:sz w:val="22"/>
                <w:szCs w:val="22"/>
                <w:lang w:val="en"/>
              </w:rPr>
              <w:t>58</w:t>
            </w:r>
          </w:p>
        </w:tc>
      </w:tr>
    </w:tbl>
    <w:p w14:paraId="4D102721" w14:textId="2CEA3636" w:rsidR="00926CA2" w:rsidRPr="00F037FA" w:rsidRDefault="00926CA2" w:rsidP="009C2708">
      <w:pPr>
        <w:pStyle w:val="Heading1"/>
        <w:spacing w:before="120" w:after="0" w:line="264" w:lineRule="auto"/>
        <w:contextualSpacing w:val="0"/>
        <w:rPr>
          <w:b/>
          <w:color w:val="auto"/>
          <w:sz w:val="24"/>
          <w:szCs w:val="24"/>
        </w:rPr>
      </w:pPr>
      <w:r w:rsidRPr="00F037FA">
        <w:rPr>
          <w:b/>
          <w:color w:val="auto"/>
          <w:sz w:val="24"/>
          <w:szCs w:val="24"/>
        </w:rPr>
        <w:t xml:space="preserve">Travel </w:t>
      </w:r>
      <w:r w:rsidRPr="00F037FA">
        <w:rPr>
          <w:rFonts w:eastAsia="Calibri"/>
          <w:b/>
          <w:bCs/>
          <w:color w:val="auto"/>
          <w:sz w:val="24"/>
          <w:szCs w:val="24"/>
        </w:rPr>
        <w:t>impacts</w:t>
      </w:r>
    </w:p>
    <w:p w14:paraId="2B8C1683" w14:textId="77777777" w:rsidR="00F037FA" w:rsidRPr="003B3E63" w:rsidRDefault="00F037FA" w:rsidP="00F037FA">
      <w:pPr>
        <w:numPr>
          <w:ilvl w:val="0"/>
          <w:numId w:val="12"/>
        </w:numPr>
        <w:ind w:right="424"/>
        <w:contextualSpacing/>
        <w:rPr>
          <w:rFonts w:cs="Arial"/>
          <w:sz w:val="22"/>
          <w:szCs w:val="22"/>
          <w:lang w:eastAsia="en-AU"/>
        </w:rPr>
      </w:pPr>
      <w:r w:rsidRPr="003B3E63">
        <w:rPr>
          <w:rFonts w:cs="Arial"/>
          <w:sz w:val="22"/>
          <w:szCs w:val="22"/>
          <w:lang w:eastAsia="en-AU"/>
        </w:rPr>
        <w:t xml:space="preserve">Quarantine-free travel from Australia </w:t>
      </w:r>
      <w:r>
        <w:rPr>
          <w:rFonts w:cs="Arial"/>
          <w:lang w:eastAsia="en-AU"/>
        </w:rPr>
        <w:t>t</w:t>
      </w:r>
      <w:r w:rsidRPr="003B3E63">
        <w:rPr>
          <w:rFonts w:cs="Arial"/>
          <w:sz w:val="22"/>
          <w:szCs w:val="22"/>
          <w:lang w:eastAsia="en-AU"/>
        </w:rPr>
        <w:t xml:space="preserve">o New Zealand is currently suspended and will be reviewed in November 2021. </w:t>
      </w:r>
    </w:p>
    <w:p w14:paraId="38485816" w14:textId="44AC5DE8" w:rsidR="00F037FA" w:rsidRPr="003B3E63" w:rsidRDefault="00F037FA" w:rsidP="00F037FA">
      <w:pPr>
        <w:keepNext/>
        <w:numPr>
          <w:ilvl w:val="0"/>
          <w:numId w:val="12"/>
        </w:numPr>
        <w:spacing w:before="120"/>
        <w:contextualSpacing/>
        <w:rPr>
          <w:rFonts w:eastAsia="Calibri"/>
          <w:color w:val="FF0000"/>
          <w:sz w:val="22"/>
          <w:szCs w:val="22"/>
          <w:lang w:eastAsia="en-AU"/>
        </w:rPr>
      </w:pPr>
      <w:bookmarkStart w:id="5" w:name="_Hlk86823418"/>
      <w:r w:rsidRPr="003B3E63">
        <w:rPr>
          <w:rFonts w:eastAsia="Calibri"/>
          <w:color w:val="FF0000"/>
          <w:sz w:val="22"/>
          <w:szCs w:val="22"/>
          <w:lang w:eastAsia="en-AU"/>
        </w:rPr>
        <w:t xml:space="preserve">As at 1 November 2021, one-way quarantine-free travel </w:t>
      </w:r>
      <w:r w:rsidRPr="00F037FA">
        <w:rPr>
          <w:rFonts w:eastAsia="Calibri"/>
          <w:color w:val="FF0000"/>
          <w:lang w:eastAsia="en-AU"/>
        </w:rPr>
        <w:t xml:space="preserve">from New Zealand </w:t>
      </w:r>
      <w:r w:rsidRPr="003B3E63">
        <w:rPr>
          <w:rFonts w:eastAsia="Calibri"/>
          <w:color w:val="FF0000"/>
          <w:sz w:val="22"/>
          <w:szCs w:val="22"/>
          <w:lang w:eastAsia="en-AU"/>
        </w:rPr>
        <w:t>to Australia recommenced for jurisdictions that are ready to do so</w:t>
      </w:r>
      <w:r w:rsidR="00047FE5">
        <w:rPr>
          <w:rFonts w:eastAsia="Calibri"/>
          <w:color w:val="FF0000"/>
          <w:sz w:val="22"/>
          <w:szCs w:val="22"/>
          <w:lang w:eastAsia="en-AU"/>
        </w:rPr>
        <w:t xml:space="preserve">. </w:t>
      </w:r>
      <w:r w:rsidRPr="003B3E63">
        <w:rPr>
          <w:rFonts w:eastAsia="Calibri"/>
          <w:color w:val="FF0000"/>
          <w:sz w:val="22"/>
          <w:szCs w:val="22"/>
          <w:lang w:eastAsia="en-AU"/>
        </w:rPr>
        <w:t xml:space="preserve"> All travellers are required to:</w:t>
      </w:r>
    </w:p>
    <w:p w14:paraId="3E1B3CB2" w14:textId="0B2BD335" w:rsidR="00047FE5" w:rsidRDefault="00B548DD" w:rsidP="00F037FA">
      <w:pPr>
        <w:keepNext/>
        <w:numPr>
          <w:ilvl w:val="1"/>
          <w:numId w:val="12"/>
        </w:numPr>
        <w:spacing w:before="120"/>
        <w:contextualSpacing/>
        <w:rPr>
          <w:rFonts w:eastAsia="Calibri"/>
          <w:color w:val="FF0000"/>
          <w:sz w:val="22"/>
          <w:szCs w:val="22"/>
          <w:lang w:eastAsia="en-AU"/>
        </w:rPr>
      </w:pPr>
      <w:r>
        <w:rPr>
          <w:rFonts w:eastAsia="Calibri"/>
          <w:color w:val="FF0000"/>
          <w:sz w:val="22"/>
          <w:szCs w:val="22"/>
          <w:lang w:eastAsia="en-AU"/>
        </w:rPr>
        <w:t>H</w:t>
      </w:r>
      <w:r w:rsidR="00047FE5" w:rsidRPr="003B3E63">
        <w:rPr>
          <w:rFonts w:eastAsia="Calibri"/>
          <w:color w:val="FF0000"/>
          <w:sz w:val="22"/>
          <w:szCs w:val="22"/>
          <w:lang w:eastAsia="en-AU"/>
        </w:rPr>
        <w:t>ave been in either Australia or New Zealand for 14 days prior to departure.</w:t>
      </w:r>
    </w:p>
    <w:p w14:paraId="4A681C2F" w14:textId="5485D65A" w:rsidR="00F037FA" w:rsidRPr="003B3E63" w:rsidRDefault="00047FE5" w:rsidP="00F037FA">
      <w:pPr>
        <w:keepNext/>
        <w:numPr>
          <w:ilvl w:val="1"/>
          <w:numId w:val="12"/>
        </w:numPr>
        <w:spacing w:before="120"/>
        <w:contextualSpacing/>
        <w:rPr>
          <w:rFonts w:eastAsia="Calibri"/>
          <w:color w:val="FF0000"/>
          <w:sz w:val="22"/>
          <w:szCs w:val="22"/>
          <w:lang w:eastAsia="en-AU"/>
        </w:rPr>
      </w:pPr>
      <w:r>
        <w:rPr>
          <w:rFonts w:eastAsia="Calibri"/>
          <w:color w:val="FF0000"/>
          <w:sz w:val="22"/>
          <w:szCs w:val="22"/>
          <w:lang w:eastAsia="en-AU"/>
        </w:rPr>
        <w:t xml:space="preserve">Show </w:t>
      </w:r>
      <w:r w:rsidR="00F037FA" w:rsidRPr="003B3E63">
        <w:rPr>
          <w:rFonts w:eastAsia="Calibri"/>
          <w:color w:val="FF0000"/>
          <w:sz w:val="22"/>
          <w:szCs w:val="22"/>
          <w:lang w:eastAsia="en-AU"/>
        </w:rPr>
        <w:t>proof of a negative pre-departure PCR test within 3 days of the departure flight to Australia, and a completed declaration to this effect; and</w:t>
      </w:r>
    </w:p>
    <w:p w14:paraId="170E08E6" w14:textId="1AC93D9E" w:rsidR="00F037FA" w:rsidRPr="003B3E63" w:rsidRDefault="00047FE5" w:rsidP="00F037FA">
      <w:pPr>
        <w:keepNext/>
        <w:numPr>
          <w:ilvl w:val="1"/>
          <w:numId w:val="12"/>
        </w:numPr>
        <w:spacing w:before="120"/>
        <w:contextualSpacing/>
        <w:rPr>
          <w:rFonts w:eastAsia="Calibri"/>
          <w:color w:val="FF0000"/>
          <w:sz w:val="22"/>
          <w:szCs w:val="22"/>
          <w:lang w:eastAsia="en-AU"/>
        </w:rPr>
      </w:pPr>
      <w:r>
        <w:rPr>
          <w:rFonts w:eastAsia="Calibri"/>
          <w:color w:val="FF0000"/>
          <w:sz w:val="22"/>
          <w:szCs w:val="22"/>
          <w:lang w:eastAsia="en-AU"/>
        </w:rPr>
        <w:t xml:space="preserve">Show </w:t>
      </w:r>
      <w:r w:rsidR="00F037FA" w:rsidRPr="003B3E63">
        <w:rPr>
          <w:rFonts w:eastAsia="Calibri"/>
          <w:color w:val="FF0000"/>
          <w:sz w:val="22"/>
          <w:szCs w:val="22"/>
          <w:lang w:eastAsia="en-AU"/>
        </w:rPr>
        <w:t>evidence of full vaccination against COVID-19 consistent with the ATAGI definition of fully vaccinated with a TGA approved or recognised vaccine.</w:t>
      </w:r>
    </w:p>
    <w:bookmarkEnd w:id="5"/>
    <w:p w14:paraId="106719AE" w14:textId="72838767" w:rsidR="009E6198" w:rsidRPr="00F037FA" w:rsidRDefault="009E6198" w:rsidP="00BC2378">
      <w:pPr>
        <w:spacing w:after="0" w:line="22" w:lineRule="atLeast"/>
        <w:rPr>
          <w:color w:val="auto"/>
          <w:sz w:val="22"/>
          <w:szCs w:val="22"/>
        </w:rPr>
      </w:pPr>
    </w:p>
    <w:p w14:paraId="6D1BE089" w14:textId="22468737" w:rsidR="009C2708" w:rsidRPr="00F037FA" w:rsidRDefault="009C2708" w:rsidP="009C2708">
      <w:pPr>
        <w:pStyle w:val="BodyText"/>
        <w:rPr>
          <w:color w:val="auto"/>
          <w:sz w:val="22"/>
          <w:szCs w:val="22"/>
        </w:rPr>
      </w:pPr>
    </w:p>
    <w:p w14:paraId="06BE05D3" w14:textId="42F23603" w:rsidR="0015040F" w:rsidRPr="00F037FA" w:rsidRDefault="0015040F" w:rsidP="009C2708">
      <w:pPr>
        <w:pStyle w:val="BodyText"/>
        <w:rPr>
          <w:color w:val="auto"/>
          <w:sz w:val="22"/>
          <w:szCs w:val="22"/>
        </w:rPr>
      </w:pPr>
    </w:p>
    <w:p w14:paraId="610EDA11" w14:textId="11D0BB3C" w:rsidR="0015040F" w:rsidRPr="00F037FA" w:rsidRDefault="0015040F" w:rsidP="009C2708">
      <w:pPr>
        <w:pStyle w:val="BodyText"/>
        <w:rPr>
          <w:color w:val="auto"/>
          <w:sz w:val="22"/>
          <w:szCs w:val="22"/>
        </w:rPr>
      </w:pPr>
    </w:p>
    <w:p w14:paraId="0FABA658" w14:textId="471944A0" w:rsidR="0015040F" w:rsidRPr="00F037FA" w:rsidRDefault="0015040F" w:rsidP="009C2708">
      <w:pPr>
        <w:pStyle w:val="BodyText"/>
        <w:rPr>
          <w:color w:val="auto"/>
          <w:sz w:val="22"/>
          <w:szCs w:val="22"/>
        </w:rPr>
      </w:pPr>
    </w:p>
    <w:p w14:paraId="2F6A92FB" w14:textId="462DE2F9" w:rsidR="0015040F" w:rsidRPr="00F037FA" w:rsidRDefault="00F82441" w:rsidP="009C2708">
      <w:pPr>
        <w:pStyle w:val="BodyText"/>
        <w:rPr>
          <w:color w:val="auto"/>
          <w:sz w:val="22"/>
          <w:szCs w:val="22"/>
        </w:rPr>
      </w:pPr>
      <w:r>
        <w:rPr>
          <w:noProof/>
          <w:color w:val="auto"/>
          <w:sz w:val="22"/>
          <w:szCs w:val="22"/>
        </w:rPr>
        <w:drawing>
          <wp:inline distT="0" distB="0" distL="0" distR="0" wp14:anchorId="12D7BA21" wp14:editId="23E3B07D">
            <wp:extent cx="1370642" cy="76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262" cy="771240"/>
                    </a:xfrm>
                    <a:prstGeom prst="rect">
                      <a:avLst/>
                    </a:prstGeom>
                    <a:noFill/>
                    <a:ln>
                      <a:noFill/>
                    </a:ln>
                  </pic:spPr>
                </pic:pic>
              </a:graphicData>
            </a:graphic>
          </wp:inline>
        </w:drawing>
      </w:r>
    </w:p>
    <w:p w14:paraId="4D9276BC" w14:textId="06E1E93C" w:rsidR="0015040F" w:rsidRPr="00F037FA" w:rsidRDefault="0015040F" w:rsidP="009C2708">
      <w:pPr>
        <w:pStyle w:val="BodyText"/>
        <w:rPr>
          <w:color w:val="auto"/>
          <w:sz w:val="22"/>
          <w:szCs w:val="22"/>
        </w:rPr>
      </w:pPr>
    </w:p>
    <w:p w14:paraId="23BD5B98" w14:textId="77777777" w:rsidR="0015040F" w:rsidRPr="00F037FA" w:rsidRDefault="0015040F" w:rsidP="009C2708">
      <w:pPr>
        <w:pStyle w:val="BodyText"/>
        <w:rPr>
          <w:color w:val="auto"/>
          <w:sz w:val="12"/>
          <w:szCs w:val="12"/>
        </w:rPr>
      </w:pPr>
    </w:p>
    <w:p w14:paraId="6D157E2F" w14:textId="7D036D11" w:rsidR="00AA6786" w:rsidRPr="00F037FA" w:rsidRDefault="00AA6786" w:rsidP="00AA6786">
      <w:pPr>
        <w:spacing w:after="0" w:line="22" w:lineRule="atLeast"/>
        <w:ind w:left="284"/>
        <w:rPr>
          <w:color w:val="auto"/>
          <w:sz w:val="22"/>
          <w:szCs w:val="22"/>
        </w:rPr>
      </w:pPr>
      <w:r w:rsidRPr="00F037FA">
        <w:rPr>
          <w:color w:val="auto"/>
          <w:sz w:val="22"/>
          <w:szCs w:val="22"/>
        </w:rPr>
        <w:t>Professor Paul Kelly</w:t>
      </w:r>
      <w:r w:rsidR="009C2708" w:rsidRPr="00F037FA">
        <w:rPr>
          <w:color w:val="auto"/>
          <w:sz w:val="22"/>
          <w:szCs w:val="22"/>
        </w:rPr>
        <w:t xml:space="preserve"> </w:t>
      </w:r>
    </w:p>
    <w:p w14:paraId="7F9D6AD9" w14:textId="325D43D2" w:rsidR="00B211B6" w:rsidRPr="00F037FA" w:rsidRDefault="000A5B04" w:rsidP="00441C90">
      <w:pPr>
        <w:spacing w:after="0" w:line="22" w:lineRule="atLeast"/>
        <w:ind w:left="284"/>
        <w:rPr>
          <w:color w:val="auto"/>
          <w:sz w:val="22"/>
          <w:szCs w:val="22"/>
        </w:rPr>
      </w:pPr>
      <w:r w:rsidRPr="00F037FA">
        <w:rPr>
          <w:color w:val="auto"/>
          <w:sz w:val="22"/>
          <w:szCs w:val="22"/>
        </w:rPr>
        <w:t>C</w:t>
      </w:r>
      <w:r w:rsidR="00B211B6" w:rsidRPr="00F037FA">
        <w:rPr>
          <w:color w:val="auto"/>
          <w:sz w:val="22"/>
          <w:szCs w:val="22"/>
        </w:rPr>
        <w:t>hief Medical Officer</w:t>
      </w:r>
    </w:p>
    <w:p w14:paraId="39DCC7CA" w14:textId="6A75EA5A" w:rsidR="00365261" w:rsidRPr="00F037FA" w:rsidRDefault="0084065A" w:rsidP="00441C90">
      <w:pPr>
        <w:spacing w:after="0" w:line="22" w:lineRule="atLeast"/>
        <w:ind w:left="284"/>
        <w:rPr>
          <w:color w:val="auto"/>
          <w:sz w:val="22"/>
          <w:szCs w:val="22"/>
        </w:rPr>
      </w:pPr>
      <w:r w:rsidRPr="00F037FA">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" filled="f" stroked="f" strokeweight=".5pt">
                <v:textbo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v:textbox>
              </v:shape>
            </w:pict>
          </mc:Fallback>
        </mc:AlternateContent>
      </w:r>
      <w:r w:rsidR="00F037FA" w:rsidRPr="00F037FA">
        <w:rPr>
          <w:noProof/>
          <w:color w:val="FF0000"/>
          <w:sz w:val="22"/>
          <w:szCs w:val="22"/>
          <w:lang w:eastAsia="en-AU"/>
        </w:rPr>
        <w:t>3 Novem</w:t>
      </w:r>
      <w:r w:rsidR="00A27565" w:rsidRPr="00F037FA">
        <w:rPr>
          <w:noProof/>
          <w:color w:val="FF0000"/>
          <w:sz w:val="22"/>
          <w:szCs w:val="22"/>
          <w:lang w:eastAsia="en-AU"/>
        </w:rPr>
        <w:t>ber</w:t>
      </w:r>
      <w:r w:rsidR="00A1790B" w:rsidRPr="00F037FA">
        <w:rPr>
          <w:color w:val="FF0000"/>
          <w:sz w:val="22"/>
          <w:szCs w:val="22"/>
        </w:rPr>
        <w:t xml:space="preserve"> 2021</w:t>
      </w:r>
    </w:p>
    <w:sectPr w:rsidR="00365261" w:rsidRPr="00F037FA" w:rsidSect="00062467">
      <w:headerReference w:type="even" r:id="rId14"/>
      <w:headerReference w:type="default" r:id="rId15"/>
      <w:footerReference w:type="default" r:id="rId16"/>
      <w:headerReference w:type="first" r:id="rId17"/>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F484" w14:textId="77777777" w:rsidR="006A3B3C" w:rsidRDefault="006A3B3C" w:rsidP="003F5DCC">
      <w:pPr>
        <w:spacing w:after="0" w:line="240" w:lineRule="auto"/>
      </w:pPr>
      <w:r>
        <w:separator/>
      </w:r>
    </w:p>
  </w:endnote>
  <w:endnote w:type="continuationSeparator" w:id="0">
    <w:p w14:paraId="626B0A13" w14:textId="77777777" w:rsidR="006A3B3C" w:rsidRDefault="006A3B3C" w:rsidP="003F5DCC">
      <w:pPr>
        <w:spacing w:after="0" w:line="240" w:lineRule="auto"/>
      </w:pPr>
      <w:r>
        <w:continuationSeparator/>
      </w:r>
    </w:p>
  </w:endnote>
  <w:endnote w:type="continuationNotice" w:id="1">
    <w:p w14:paraId="0B53398C" w14:textId="77777777" w:rsidR="006A3B3C" w:rsidRDefault="006A3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NeueLT Std">
    <w:altName w:val="Arial"/>
    <w:panose1 w:val="020B0604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2728" w14:textId="5A5EB07F" w:rsidR="0073604D" w:rsidRPr="006A4BBC" w:rsidRDefault="0073604D"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87711C">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73BE" w14:textId="77777777" w:rsidR="006A3B3C" w:rsidRDefault="006A3B3C" w:rsidP="003F5DCC">
      <w:pPr>
        <w:spacing w:after="0" w:line="240" w:lineRule="auto"/>
      </w:pPr>
      <w:r>
        <w:separator/>
      </w:r>
    </w:p>
  </w:footnote>
  <w:footnote w:type="continuationSeparator" w:id="0">
    <w:p w14:paraId="0775E2E7" w14:textId="77777777" w:rsidR="006A3B3C" w:rsidRDefault="006A3B3C" w:rsidP="003F5DCC">
      <w:pPr>
        <w:spacing w:after="0" w:line="240" w:lineRule="auto"/>
      </w:pPr>
      <w:r>
        <w:continuationSeparator/>
      </w:r>
    </w:p>
  </w:footnote>
  <w:footnote w:type="continuationNotice" w:id="1">
    <w:p w14:paraId="04F119E4" w14:textId="77777777" w:rsidR="006A3B3C" w:rsidRDefault="006A3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E6E1" w14:textId="77777777" w:rsidR="0073604D" w:rsidRDefault="0073604D"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73604D" w:rsidRDefault="0073604D"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7F14" w14:textId="77777777" w:rsidR="0073604D" w:rsidRDefault="0073604D"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26" name="Picture 26"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E3C8" w14:textId="77777777" w:rsidR="0073604D" w:rsidRDefault="006A3B3C"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73604D">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27" name="Picture 27"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04D">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28" name="Picture 28"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0054EC20"/>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D1705"/>
    <w:multiLevelType w:val="hybridMultilevel"/>
    <w:tmpl w:val="C0087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AC3FEE"/>
    <w:multiLevelType w:val="multilevel"/>
    <w:tmpl w:val="A816CFF0"/>
    <w:lvl w:ilvl="0">
      <w:start w:val="1"/>
      <w:numFmt w:val="bullet"/>
      <w:lvlText w:val=""/>
      <w:lvlJc w:val="left"/>
      <w:pPr>
        <w:ind w:left="284" w:hanging="227"/>
      </w:pPr>
      <w:rPr>
        <w:rFonts w:ascii="Symbol" w:hAnsi="Symbol" w:hint="default"/>
        <w:color w:val="auto"/>
        <w:sz w:val="20"/>
        <w:szCs w:val="22"/>
      </w:rPr>
    </w:lvl>
    <w:lvl w:ilvl="1">
      <w:start w:val="1"/>
      <w:numFmt w:val="bullet"/>
      <w:lvlText w:val="o"/>
      <w:lvlJc w:val="left"/>
      <w:pPr>
        <w:ind w:left="567" w:hanging="283"/>
      </w:pPr>
      <w:rPr>
        <w:rFonts w:ascii="Courier New" w:hAnsi="Courier New" w:cs="Courier New" w:hint="default"/>
        <w:color w:val="auto"/>
        <w:sz w:val="20"/>
        <w:szCs w:val="20"/>
      </w:rPr>
    </w:lvl>
    <w:lvl w:ilvl="2">
      <w:start w:val="1"/>
      <w:numFmt w:val="bullet"/>
      <w:lvlText w:val=""/>
      <w:lvlJc w:val="left"/>
      <w:pPr>
        <w:ind w:left="851" w:hanging="284"/>
      </w:pPr>
      <w:rPr>
        <w:rFonts w:ascii="Wingdings" w:hAnsi="Wingdings" w:hint="default"/>
        <w:color w:val="000000" w:themeColor="text1"/>
        <w:sz w:val="16"/>
      </w:rPr>
    </w:lvl>
    <w:lvl w:ilvl="3">
      <w:start w:val="1"/>
      <w:numFmt w:val="bullet"/>
      <w:lvlText w:val=""/>
      <w:lvlJc w:val="left"/>
      <w:pPr>
        <w:ind w:left="2653" w:hanging="360"/>
      </w:pPr>
      <w:rPr>
        <w:rFonts w:ascii="Wingdings" w:hAnsi="Wingdings" w:hint="default"/>
        <w:color w:val="auto"/>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7" w15:restartNumberingAfterBreak="0">
    <w:nsid w:val="63190EC8"/>
    <w:multiLevelType w:val="hybridMultilevel"/>
    <w:tmpl w:val="A23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9C12E1"/>
    <w:multiLevelType w:val="hybridMultilevel"/>
    <w:tmpl w:val="7626EE1A"/>
    <w:lvl w:ilvl="0" w:tplc="0CEAB82E">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1" w15:restartNumberingAfterBreak="0">
    <w:nsid w:val="7F6B037C"/>
    <w:multiLevelType w:val="hybridMultilevel"/>
    <w:tmpl w:val="43C89F68"/>
    <w:lvl w:ilvl="0" w:tplc="ED2417E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8"/>
  </w:num>
  <w:num w:numId="6">
    <w:abstractNumId w:val="4"/>
  </w:num>
  <w:num w:numId="7">
    <w:abstractNumId w:val="11"/>
  </w:num>
  <w:num w:numId="8">
    <w:abstractNumId w:val="9"/>
  </w:num>
  <w:num w:numId="9">
    <w:abstractNumId w:val="3"/>
  </w:num>
  <w:num w:numId="10">
    <w:abstractNumId w:val="7"/>
  </w:num>
  <w:num w:numId="11">
    <w:abstractNumId w:val="10"/>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151E2"/>
    <w:rsid w:val="000159F0"/>
    <w:rsid w:val="000217E2"/>
    <w:rsid w:val="0002211D"/>
    <w:rsid w:val="00022C1C"/>
    <w:rsid w:val="000231F0"/>
    <w:rsid w:val="000246E2"/>
    <w:rsid w:val="00025ED0"/>
    <w:rsid w:val="0002708E"/>
    <w:rsid w:val="000316C4"/>
    <w:rsid w:val="00031F72"/>
    <w:rsid w:val="00032131"/>
    <w:rsid w:val="00033906"/>
    <w:rsid w:val="00040026"/>
    <w:rsid w:val="000436FB"/>
    <w:rsid w:val="00046248"/>
    <w:rsid w:val="00047FE5"/>
    <w:rsid w:val="00055312"/>
    <w:rsid w:val="00057650"/>
    <w:rsid w:val="00060E79"/>
    <w:rsid w:val="00062467"/>
    <w:rsid w:val="00062C7F"/>
    <w:rsid w:val="00062E83"/>
    <w:rsid w:val="00070122"/>
    <w:rsid w:val="00073E50"/>
    <w:rsid w:val="00075BFE"/>
    <w:rsid w:val="00076514"/>
    <w:rsid w:val="00076817"/>
    <w:rsid w:val="0007741B"/>
    <w:rsid w:val="000774DF"/>
    <w:rsid w:val="00081BA5"/>
    <w:rsid w:val="0008464B"/>
    <w:rsid w:val="00085A07"/>
    <w:rsid w:val="000860B8"/>
    <w:rsid w:val="00086473"/>
    <w:rsid w:val="00087EF0"/>
    <w:rsid w:val="000941E5"/>
    <w:rsid w:val="00097D19"/>
    <w:rsid w:val="000A1CE3"/>
    <w:rsid w:val="000A5B04"/>
    <w:rsid w:val="000B6D1B"/>
    <w:rsid w:val="000B7F80"/>
    <w:rsid w:val="000C1DBC"/>
    <w:rsid w:val="000D2D06"/>
    <w:rsid w:val="000D5A79"/>
    <w:rsid w:val="000E3A03"/>
    <w:rsid w:val="000E55E2"/>
    <w:rsid w:val="000E60C1"/>
    <w:rsid w:val="000F073C"/>
    <w:rsid w:val="000F0CC4"/>
    <w:rsid w:val="000F568B"/>
    <w:rsid w:val="000F5BB7"/>
    <w:rsid w:val="000F7501"/>
    <w:rsid w:val="000F7860"/>
    <w:rsid w:val="000F78EE"/>
    <w:rsid w:val="0010335F"/>
    <w:rsid w:val="00110F23"/>
    <w:rsid w:val="00113CF9"/>
    <w:rsid w:val="001142B2"/>
    <w:rsid w:val="00115D98"/>
    <w:rsid w:val="00116001"/>
    <w:rsid w:val="001177D4"/>
    <w:rsid w:val="00123406"/>
    <w:rsid w:val="00140CA2"/>
    <w:rsid w:val="00147564"/>
    <w:rsid w:val="0015040F"/>
    <w:rsid w:val="00150E92"/>
    <w:rsid w:val="00152A33"/>
    <w:rsid w:val="001569AD"/>
    <w:rsid w:val="00157327"/>
    <w:rsid w:val="0016036F"/>
    <w:rsid w:val="00162C88"/>
    <w:rsid w:val="00165889"/>
    <w:rsid w:val="00170292"/>
    <w:rsid w:val="001706F0"/>
    <w:rsid w:val="00172007"/>
    <w:rsid w:val="001744A9"/>
    <w:rsid w:val="001765D3"/>
    <w:rsid w:val="0017769F"/>
    <w:rsid w:val="0018092F"/>
    <w:rsid w:val="00180AC2"/>
    <w:rsid w:val="001814A0"/>
    <w:rsid w:val="001843DC"/>
    <w:rsid w:val="001846B8"/>
    <w:rsid w:val="00185E09"/>
    <w:rsid w:val="00191462"/>
    <w:rsid w:val="00191F81"/>
    <w:rsid w:val="00192EC7"/>
    <w:rsid w:val="0019348A"/>
    <w:rsid w:val="001951A1"/>
    <w:rsid w:val="001964DF"/>
    <w:rsid w:val="001A121D"/>
    <w:rsid w:val="001C2581"/>
    <w:rsid w:val="001C62FF"/>
    <w:rsid w:val="001C7AAE"/>
    <w:rsid w:val="001D0058"/>
    <w:rsid w:val="001D0AF7"/>
    <w:rsid w:val="001D2FEF"/>
    <w:rsid w:val="001D4193"/>
    <w:rsid w:val="001E03F8"/>
    <w:rsid w:val="001E047B"/>
    <w:rsid w:val="001E0E4A"/>
    <w:rsid w:val="001F3133"/>
    <w:rsid w:val="001F546F"/>
    <w:rsid w:val="001F6295"/>
    <w:rsid w:val="00201221"/>
    <w:rsid w:val="002063C3"/>
    <w:rsid w:val="002108C8"/>
    <w:rsid w:val="00213FEF"/>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A5C"/>
    <w:rsid w:val="00263F02"/>
    <w:rsid w:val="002705D3"/>
    <w:rsid w:val="00270AD7"/>
    <w:rsid w:val="00271AE4"/>
    <w:rsid w:val="00274D69"/>
    <w:rsid w:val="00275246"/>
    <w:rsid w:val="00276092"/>
    <w:rsid w:val="002824B3"/>
    <w:rsid w:val="00284A3B"/>
    <w:rsid w:val="0029058F"/>
    <w:rsid w:val="00295D55"/>
    <w:rsid w:val="00297EE7"/>
    <w:rsid w:val="002A519D"/>
    <w:rsid w:val="002B71F7"/>
    <w:rsid w:val="002B794D"/>
    <w:rsid w:val="002C2A43"/>
    <w:rsid w:val="002C3323"/>
    <w:rsid w:val="002C7AB1"/>
    <w:rsid w:val="002D0DAD"/>
    <w:rsid w:val="002D387B"/>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43FF1"/>
    <w:rsid w:val="003555FE"/>
    <w:rsid w:val="00361AB3"/>
    <w:rsid w:val="003636FF"/>
    <w:rsid w:val="003642AD"/>
    <w:rsid w:val="00365065"/>
    <w:rsid w:val="0036526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0E85"/>
    <w:rsid w:val="0040157F"/>
    <w:rsid w:val="00401F86"/>
    <w:rsid w:val="00405E96"/>
    <w:rsid w:val="00416B6A"/>
    <w:rsid w:val="0042089A"/>
    <w:rsid w:val="004229E8"/>
    <w:rsid w:val="0042698A"/>
    <w:rsid w:val="0043061F"/>
    <w:rsid w:val="00430D11"/>
    <w:rsid w:val="00433958"/>
    <w:rsid w:val="00437808"/>
    <w:rsid w:val="00441C90"/>
    <w:rsid w:val="00441D70"/>
    <w:rsid w:val="00444B02"/>
    <w:rsid w:val="0045132C"/>
    <w:rsid w:val="00452299"/>
    <w:rsid w:val="0045307E"/>
    <w:rsid w:val="004535FA"/>
    <w:rsid w:val="004565E9"/>
    <w:rsid w:val="00465B56"/>
    <w:rsid w:val="00470665"/>
    <w:rsid w:val="00472D94"/>
    <w:rsid w:val="00472E2A"/>
    <w:rsid w:val="004867D1"/>
    <w:rsid w:val="00486A4D"/>
    <w:rsid w:val="00487104"/>
    <w:rsid w:val="00491FCE"/>
    <w:rsid w:val="00494230"/>
    <w:rsid w:val="004A056F"/>
    <w:rsid w:val="004A0573"/>
    <w:rsid w:val="004A075B"/>
    <w:rsid w:val="004A0E1F"/>
    <w:rsid w:val="004B3130"/>
    <w:rsid w:val="004B6381"/>
    <w:rsid w:val="004C3474"/>
    <w:rsid w:val="004C3A6B"/>
    <w:rsid w:val="004C3B71"/>
    <w:rsid w:val="004C3F52"/>
    <w:rsid w:val="004C49F6"/>
    <w:rsid w:val="004C5A96"/>
    <w:rsid w:val="004C6F18"/>
    <w:rsid w:val="004C7729"/>
    <w:rsid w:val="004E1B97"/>
    <w:rsid w:val="004E7100"/>
    <w:rsid w:val="004F6B1F"/>
    <w:rsid w:val="0050312A"/>
    <w:rsid w:val="005040A5"/>
    <w:rsid w:val="00504B59"/>
    <w:rsid w:val="00511B99"/>
    <w:rsid w:val="00517361"/>
    <w:rsid w:val="00521CFC"/>
    <w:rsid w:val="00530D98"/>
    <w:rsid w:val="00531A70"/>
    <w:rsid w:val="00537CD2"/>
    <w:rsid w:val="005409FB"/>
    <w:rsid w:val="00542E6B"/>
    <w:rsid w:val="00544CEB"/>
    <w:rsid w:val="00546CBE"/>
    <w:rsid w:val="005475C0"/>
    <w:rsid w:val="0055025C"/>
    <w:rsid w:val="00551EEE"/>
    <w:rsid w:val="0055260C"/>
    <w:rsid w:val="005536FF"/>
    <w:rsid w:val="005572F4"/>
    <w:rsid w:val="00563EB8"/>
    <w:rsid w:val="00564B38"/>
    <w:rsid w:val="005662FC"/>
    <w:rsid w:val="00567805"/>
    <w:rsid w:val="00567A9D"/>
    <w:rsid w:val="0057086A"/>
    <w:rsid w:val="00581AE2"/>
    <w:rsid w:val="00583468"/>
    <w:rsid w:val="0058410E"/>
    <w:rsid w:val="00586656"/>
    <w:rsid w:val="00590CB1"/>
    <w:rsid w:val="00590DF1"/>
    <w:rsid w:val="005954C2"/>
    <w:rsid w:val="00595698"/>
    <w:rsid w:val="00596341"/>
    <w:rsid w:val="005970CB"/>
    <w:rsid w:val="005A107B"/>
    <w:rsid w:val="005A1504"/>
    <w:rsid w:val="005A2316"/>
    <w:rsid w:val="005B1E35"/>
    <w:rsid w:val="005B62AD"/>
    <w:rsid w:val="005C46ED"/>
    <w:rsid w:val="005C74B6"/>
    <w:rsid w:val="005D31CC"/>
    <w:rsid w:val="005E0C6D"/>
    <w:rsid w:val="005E1E18"/>
    <w:rsid w:val="005E5FFE"/>
    <w:rsid w:val="005F0F31"/>
    <w:rsid w:val="005F1BF3"/>
    <w:rsid w:val="005F201D"/>
    <w:rsid w:val="005F602A"/>
    <w:rsid w:val="00601060"/>
    <w:rsid w:val="00601991"/>
    <w:rsid w:val="00604999"/>
    <w:rsid w:val="00605415"/>
    <w:rsid w:val="00605E3B"/>
    <w:rsid w:val="006060C4"/>
    <w:rsid w:val="006114FA"/>
    <w:rsid w:val="00616F76"/>
    <w:rsid w:val="0062366B"/>
    <w:rsid w:val="006236DF"/>
    <w:rsid w:val="006241BE"/>
    <w:rsid w:val="00624F34"/>
    <w:rsid w:val="00625E2E"/>
    <w:rsid w:val="00626224"/>
    <w:rsid w:val="006332AA"/>
    <w:rsid w:val="0064172E"/>
    <w:rsid w:val="00646F6E"/>
    <w:rsid w:val="00651B3C"/>
    <w:rsid w:val="00652C8C"/>
    <w:rsid w:val="00662616"/>
    <w:rsid w:val="00665CE4"/>
    <w:rsid w:val="0066797E"/>
    <w:rsid w:val="00672091"/>
    <w:rsid w:val="0067565E"/>
    <w:rsid w:val="00677725"/>
    <w:rsid w:val="00677AE1"/>
    <w:rsid w:val="006832E1"/>
    <w:rsid w:val="006850C5"/>
    <w:rsid w:val="00685E34"/>
    <w:rsid w:val="0068768F"/>
    <w:rsid w:val="0069211A"/>
    <w:rsid w:val="00694D73"/>
    <w:rsid w:val="0069566E"/>
    <w:rsid w:val="006968FA"/>
    <w:rsid w:val="006A0B05"/>
    <w:rsid w:val="006A21FE"/>
    <w:rsid w:val="006A2F59"/>
    <w:rsid w:val="006A3B3C"/>
    <w:rsid w:val="006A5D07"/>
    <w:rsid w:val="006A6EB9"/>
    <w:rsid w:val="006B123D"/>
    <w:rsid w:val="006B229F"/>
    <w:rsid w:val="006B30A6"/>
    <w:rsid w:val="006B5542"/>
    <w:rsid w:val="006B63B0"/>
    <w:rsid w:val="006C167A"/>
    <w:rsid w:val="006C1A96"/>
    <w:rsid w:val="006C75E4"/>
    <w:rsid w:val="006C79C8"/>
    <w:rsid w:val="006D5BC7"/>
    <w:rsid w:val="006D6647"/>
    <w:rsid w:val="006E5ED3"/>
    <w:rsid w:val="006E6BAC"/>
    <w:rsid w:val="006F1695"/>
    <w:rsid w:val="006F2B4F"/>
    <w:rsid w:val="006F4608"/>
    <w:rsid w:val="007000C4"/>
    <w:rsid w:val="0070502C"/>
    <w:rsid w:val="0070781D"/>
    <w:rsid w:val="007175DD"/>
    <w:rsid w:val="007232DA"/>
    <w:rsid w:val="00724C76"/>
    <w:rsid w:val="00726BE0"/>
    <w:rsid w:val="00727A45"/>
    <w:rsid w:val="00732EAF"/>
    <w:rsid w:val="0073594D"/>
    <w:rsid w:val="0073604D"/>
    <w:rsid w:val="007431DE"/>
    <w:rsid w:val="00744435"/>
    <w:rsid w:val="00745300"/>
    <w:rsid w:val="007454BB"/>
    <w:rsid w:val="00746892"/>
    <w:rsid w:val="0074789B"/>
    <w:rsid w:val="00751BBD"/>
    <w:rsid w:val="0075313A"/>
    <w:rsid w:val="00755C1E"/>
    <w:rsid w:val="007575E7"/>
    <w:rsid w:val="007702C5"/>
    <w:rsid w:val="00771686"/>
    <w:rsid w:val="00772AAC"/>
    <w:rsid w:val="007750C4"/>
    <w:rsid w:val="00777FF1"/>
    <w:rsid w:val="00793D70"/>
    <w:rsid w:val="007A1816"/>
    <w:rsid w:val="007A46D6"/>
    <w:rsid w:val="007A4936"/>
    <w:rsid w:val="007A5D86"/>
    <w:rsid w:val="007A601E"/>
    <w:rsid w:val="007A6C8A"/>
    <w:rsid w:val="007B0669"/>
    <w:rsid w:val="007B06A1"/>
    <w:rsid w:val="007C0E67"/>
    <w:rsid w:val="007E001C"/>
    <w:rsid w:val="007E68CB"/>
    <w:rsid w:val="007F12A5"/>
    <w:rsid w:val="007F3D49"/>
    <w:rsid w:val="00802337"/>
    <w:rsid w:val="0080501F"/>
    <w:rsid w:val="00806B66"/>
    <w:rsid w:val="00807AD1"/>
    <w:rsid w:val="008112D6"/>
    <w:rsid w:val="00811444"/>
    <w:rsid w:val="00813165"/>
    <w:rsid w:val="00813BF4"/>
    <w:rsid w:val="00814E05"/>
    <w:rsid w:val="00815026"/>
    <w:rsid w:val="008222E4"/>
    <w:rsid w:val="00822CFB"/>
    <w:rsid w:val="008248E5"/>
    <w:rsid w:val="0082509F"/>
    <w:rsid w:val="0082732C"/>
    <w:rsid w:val="00827705"/>
    <w:rsid w:val="0083035B"/>
    <w:rsid w:val="00836E47"/>
    <w:rsid w:val="0084030C"/>
    <w:rsid w:val="0084065A"/>
    <w:rsid w:val="00841E0B"/>
    <w:rsid w:val="00843B64"/>
    <w:rsid w:val="00845057"/>
    <w:rsid w:val="008451D7"/>
    <w:rsid w:val="008542AB"/>
    <w:rsid w:val="008542B9"/>
    <w:rsid w:val="00854391"/>
    <w:rsid w:val="0085506B"/>
    <w:rsid w:val="00871AFD"/>
    <w:rsid w:val="00872F1C"/>
    <w:rsid w:val="008769FC"/>
    <w:rsid w:val="00876E06"/>
    <w:rsid w:val="0087711C"/>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092C"/>
    <w:rsid w:val="008C2A74"/>
    <w:rsid w:val="008C683A"/>
    <w:rsid w:val="008C68FD"/>
    <w:rsid w:val="008C6A01"/>
    <w:rsid w:val="008E21CC"/>
    <w:rsid w:val="008E2A90"/>
    <w:rsid w:val="008F5387"/>
    <w:rsid w:val="008F63CB"/>
    <w:rsid w:val="00900561"/>
    <w:rsid w:val="00901E58"/>
    <w:rsid w:val="00904656"/>
    <w:rsid w:val="009051AB"/>
    <w:rsid w:val="00914174"/>
    <w:rsid w:val="009143D3"/>
    <w:rsid w:val="00915E69"/>
    <w:rsid w:val="00926CA2"/>
    <w:rsid w:val="00933F86"/>
    <w:rsid w:val="00935425"/>
    <w:rsid w:val="00935967"/>
    <w:rsid w:val="00936E09"/>
    <w:rsid w:val="00940B15"/>
    <w:rsid w:val="00942848"/>
    <w:rsid w:val="009449DE"/>
    <w:rsid w:val="0095330F"/>
    <w:rsid w:val="00953E9C"/>
    <w:rsid w:val="00955515"/>
    <w:rsid w:val="00957B8A"/>
    <w:rsid w:val="00962377"/>
    <w:rsid w:val="009623A9"/>
    <w:rsid w:val="0096413D"/>
    <w:rsid w:val="00964674"/>
    <w:rsid w:val="00970BF3"/>
    <w:rsid w:val="00970C00"/>
    <w:rsid w:val="00976309"/>
    <w:rsid w:val="00977AB9"/>
    <w:rsid w:val="009831DE"/>
    <w:rsid w:val="00994E50"/>
    <w:rsid w:val="009958A4"/>
    <w:rsid w:val="00995D50"/>
    <w:rsid w:val="00997475"/>
    <w:rsid w:val="009A175F"/>
    <w:rsid w:val="009A248D"/>
    <w:rsid w:val="009A3671"/>
    <w:rsid w:val="009B1C8A"/>
    <w:rsid w:val="009B24D4"/>
    <w:rsid w:val="009B4A52"/>
    <w:rsid w:val="009B5182"/>
    <w:rsid w:val="009C0183"/>
    <w:rsid w:val="009C19C5"/>
    <w:rsid w:val="009C263D"/>
    <w:rsid w:val="009C2708"/>
    <w:rsid w:val="009C4B3A"/>
    <w:rsid w:val="009C7680"/>
    <w:rsid w:val="009C769A"/>
    <w:rsid w:val="009D3C34"/>
    <w:rsid w:val="009D407C"/>
    <w:rsid w:val="009D6DEB"/>
    <w:rsid w:val="009E22D0"/>
    <w:rsid w:val="009E35CB"/>
    <w:rsid w:val="009E5E2A"/>
    <w:rsid w:val="009E6198"/>
    <w:rsid w:val="009E64BC"/>
    <w:rsid w:val="009E7164"/>
    <w:rsid w:val="009F1B69"/>
    <w:rsid w:val="009F5FDD"/>
    <w:rsid w:val="00A01745"/>
    <w:rsid w:val="00A03F95"/>
    <w:rsid w:val="00A05252"/>
    <w:rsid w:val="00A05D52"/>
    <w:rsid w:val="00A166D3"/>
    <w:rsid w:val="00A1790B"/>
    <w:rsid w:val="00A21291"/>
    <w:rsid w:val="00A24237"/>
    <w:rsid w:val="00A27565"/>
    <w:rsid w:val="00A32BE1"/>
    <w:rsid w:val="00A35E13"/>
    <w:rsid w:val="00A516A0"/>
    <w:rsid w:val="00A517B6"/>
    <w:rsid w:val="00A6047A"/>
    <w:rsid w:val="00A611FF"/>
    <w:rsid w:val="00A62AF8"/>
    <w:rsid w:val="00A64036"/>
    <w:rsid w:val="00A65639"/>
    <w:rsid w:val="00A71F93"/>
    <w:rsid w:val="00A77612"/>
    <w:rsid w:val="00A81607"/>
    <w:rsid w:val="00A835AC"/>
    <w:rsid w:val="00A83661"/>
    <w:rsid w:val="00A845B5"/>
    <w:rsid w:val="00A852DF"/>
    <w:rsid w:val="00A87E2E"/>
    <w:rsid w:val="00A87EA6"/>
    <w:rsid w:val="00A95981"/>
    <w:rsid w:val="00AA2159"/>
    <w:rsid w:val="00AA2246"/>
    <w:rsid w:val="00AA3035"/>
    <w:rsid w:val="00AA3E68"/>
    <w:rsid w:val="00AA6786"/>
    <w:rsid w:val="00AC2072"/>
    <w:rsid w:val="00AC359C"/>
    <w:rsid w:val="00AC4170"/>
    <w:rsid w:val="00AC44D4"/>
    <w:rsid w:val="00AC7506"/>
    <w:rsid w:val="00AD0165"/>
    <w:rsid w:val="00AD5CEA"/>
    <w:rsid w:val="00AD601B"/>
    <w:rsid w:val="00AD6044"/>
    <w:rsid w:val="00AD68CF"/>
    <w:rsid w:val="00AE1551"/>
    <w:rsid w:val="00AE6642"/>
    <w:rsid w:val="00AF2F69"/>
    <w:rsid w:val="00AF38A0"/>
    <w:rsid w:val="00B00B16"/>
    <w:rsid w:val="00B021E0"/>
    <w:rsid w:val="00B05B9D"/>
    <w:rsid w:val="00B13F9B"/>
    <w:rsid w:val="00B201F7"/>
    <w:rsid w:val="00B211B6"/>
    <w:rsid w:val="00B2382E"/>
    <w:rsid w:val="00B279CB"/>
    <w:rsid w:val="00B303FF"/>
    <w:rsid w:val="00B30B2D"/>
    <w:rsid w:val="00B33CCC"/>
    <w:rsid w:val="00B365FB"/>
    <w:rsid w:val="00B377B6"/>
    <w:rsid w:val="00B47AB4"/>
    <w:rsid w:val="00B47C40"/>
    <w:rsid w:val="00B509D1"/>
    <w:rsid w:val="00B548DD"/>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475E"/>
    <w:rsid w:val="00BA525E"/>
    <w:rsid w:val="00BB0833"/>
    <w:rsid w:val="00BB2DCA"/>
    <w:rsid w:val="00BB5179"/>
    <w:rsid w:val="00BB56A4"/>
    <w:rsid w:val="00BC1026"/>
    <w:rsid w:val="00BC1ACA"/>
    <w:rsid w:val="00BC2378"/>
    <w:rsid w:val="00BC64DA"/>
    <w:rsid w:val="00BC66AD"/>
    <w:rsid w:val="00BE3690"/>
    <w:rsid w:val="00BF6D6F"/>
    <w:rsid w:val="00C0041A"/>
    <w:rsid w:val="00C056F7"/>
    <w:rsid w:val="00C05D0C"/>
    <w:rsid w:val="00C0605E"/>
    <w:rsid w:val="00C120AE"/>
    <w:rsid w:val="00C137A2"/>
    <w:rsid w:val="00C172E5"/>
    <w:rsid w:val="00C31BB8"/>
    <w:rsid w:val="00C34DE1"/>
    <w:rsid w:val="00C36994"/>
    <w:rsid w:val="00C36A9E"/>
    <w:rsid w:val="00C36C8D"/>
    <w:rsid w:val="00C410FF"/>
    <w:rsid w:val="00C44F9D"/>
    <w:rsid w:val="00C45B64"/>
    <w:rsid w:val="00C57078"/>
    <w:rsid w:val="00C625D3"/>
    <w:rsid w:val="00C6632F"/>
    <w:rsid w:val="00C766A0"/>
    <w:rsid w:val="00C808E5"/>
    <w:rsid w:val="00C81B48"/>
    <w:rsid w:val="00C91BD6"/>
    <w:rsid w:val="00C920B8"/>
    <w:rsid w:val="00CA01DC"/>
    <w:rsid w:val="00CA0AA7"/>
    <w:rsid w:val="00CA1117"/>
    <w:rsid w:val="00CA14DF"/>
    <w:rsid w:val="00CA4CC3"/>
    <w:rsid w:val="00CA5637"/>
    <w:rsid w:val="00CA654D"/>
    <w:rsid w:val="00CB1090"/>
    <w:rsid w:val="00CB1808"/>
    <w:rsid w:val="00CB2891"/>
    <w:rsid w:val="00CB4447"/>
    <w:rsid w:val="00CC03D1"/>
    <w:rsid w:val="00CC0B7C"/>
    <w:rsid w:val="00CC47E8"/>
    <w:rsid w:val="00CC4C1B"/>
    <w:rsid w:val="00CC764C"/>
    <w:rsid w:val="00CD7821"/>
    <w:rsid w:val="00CF14FC"/>
    <w:rsid w:val="00CF5CC0"/>
    <w:rsid w:val="00D0019D"/>
    <w:rsid w:val="00D01F3D"/>
    <w:rsid w:val="00D0327A"/>
    <w:rsid w:val="00D034D9"/>
    <w:rsid w:val="00D0755F"/>
    <w:rsid w:val="00D12306"/>
    <w:rsid w:val="00D23407"/>
    <w:rsid w:val="00D2477B"/>
    <w:rsid w:val="00D24E17"/>
    <w:rsid w:val="00D25452"/>
    <w:rsid w:val="00D2738C"/>
    <w:rsid w:val="00D27A35"/>
    <w:rsid w:val="00D32B1F"/>
    <w:rsid w:val="00D32D6F"/>
    <w:rsid w:val="00D348D9"/>
    <w:rsid w:val="00D353A5"/>
    <w:rsid w:val="00D35673"/>
    <w:rsid w:val="00D36311"/>
    <w:rsid w:val="00D415AA"/>
    <w:rsid w:val="00D43345"/>
    <w:rsid w:val="00D4409E"/>
    <w:rsid w:val="00D449A3"/>
    <w:rsid w:val="00D4754A"/>
    <w:rsid w:val="00D47E29"/>
    <w:rsid w:val="00D504C8"/>
    <w:rsid w:val="00D52A83"/>
    <w:rsid w:val="00D5351A"/>
    <w:rsid w:val="00D61008"/>
    <w:rsid w:val="00D612BB"/>
    <w:rsid w:val="00D72BB6"/>
    <w:rsid w:val="00D75008"/>
    <w:rsid w:val="00D75434"/>
    <w:rsid w:val="00D77411"/>
    <w:rsid w:val="00D80F63"/>
    <w:rsid w:val="00D811E6"/>
    <w:rsid w:val="00D857EA"/>
    <w:rsid w:val="00D86F57"/>
    <w:rsid w:val="00D941F3"/>
    <w:rsid w:val="00DA07DD"/>
    <w:rsid w:val="00DA233A"/>
    <w:rsid w:val="00DA6B4F"/>
    <w:rsid w:val="00DB1DD4"/>
    <w:rsid w:val="00DB634A"/>
    <w:rsid w:val="00DC1661"/>
    <w:rsid w:val="00DC3531"/>
    <w:rsid w:val="00DC3E4D"/>
    <w:rsid w:val="00DC524E"/>
    <w:rsid w:val="00DC55C7"/>
    <w:rsid w:val="00DC7086"/>
    <w:rsid w:val="00DD5D7E"/>
    <w:rsid w:val="00DD5DD6"/>
    <w:rsid w:val="00DE1D7A"/>
    <w:rsid w:val="00DE74D0"/>
    <w:rsid w:val="00DF7207"/>
    <w:rsid w:val="00E024C0"/>
    <w:rsid w:val="00E025DA"/>
    <w:rsid w:val="00E03083"/>
    <w:rsid w:val="00E111B5"/>
    <w:rsid w:val="00E11B80"/>
    <w:rsid w:val="00E13F76"/>
    <w:rsid w:val="00E15F2C"/>
    <w:rsid w:val="00E17FE0"/>
    <w:rsid w:val="00E21E05"/>
    <w:rsid w:val="00E40EED"/>
    <w:rsid w:val="00E41FA2"/>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438D"/>
    <w:rsid w:val="00EA7595"/>
    <w:rsid w:val="00EB15C1"/>
    <w:rsid w:val="00EB3454"/>
    <w:rsid w:val="00EB4ECF"/>
    <w:rsid w:val="00EB6133"/>
    <w:rsid w:val="00EC1E77"/>
    <w:rsid w:val="00EC43AB"/>
    <w:rsid w:val="00EC453B"/>
    <w:rsid w:val="00ED2D53"/>
    <w:rsid w:val="00ED3575"/>
    <w:rsid w:val="00ED67DE"/>
    <w:rsid w:val="00EF09A7"/>
    <w:rsid w:val="00EF1499"/>
    <w:rsid w:val="00EF3FD8"/>
    <w:rsid w:val="00F00FC1"/>
    <w:rsid w:val="00F037FA"/>
    <w:rsid w:val="00F03901"/>
    <w:rsid w:val="00F057DB"/>
    <w:rsid w:val="00F10259"/>
    <w:rsid w:val="00F102EE"/>
    <w:rsid w:val="00F11126"/>
    <w:rsid w:val="00F13CB4"/>
    <w:rsid w:val="00F13DFA"/>
    <w:rsid w:val="00F1474B"/>
    <w:rsid w:val="00F1508F"/>
    <w:rsid w:val="00F20FB9"/>
    <w:rsid w:val="00F22D43"/>
    <w:rsid w:val="00F30384"/>
    <w:rsid w:val="00F32C83"/>
    <w:rsid w:val="00F33B73"/>
    <w:rsid w:val="00F33CD8"/>
    <w:rsid w:val="00F3658D"/>
    <w:rsid w:val="00F4102D"/>
    <w:rsid w:val="00F46075"/>
    <w:rsid w:val="00F503F4"/>
    <w:rsid w:val="00F532B5"/>
    <w:rsid w:val="00F55E42"/>
    <w:rsid w:val="00F6076C"/>
    <w:rsid w:val="00F60D81"/>
    <w:rsid w:val="00F75E48"/>
    <w:rsid w:val="00F8166F"/>
    <w:rsid w:val="00F82441"/>
    <w:rsid w:val="00F82E13"/>
    <w:rsid w:val="00F83283"/>
    <w:rsid w:val="00F84338"/>
    <w:rsid w:val="00F8498B"/>
    <w:rsid w:val="00F85146"/>
    <w:rsid w:val="00F86AE1"/>
    <w:rsid w:val="00F90035"/>
    <w:rsid w:val="00F95768"/>
    <w:rsid w:val="00FA1373"/>
    <w:rsid w:val="00FA20EC"/>
    <w:rsid w:val="00FA3909"/>
    <w:rsid w:val="00FA445D"/>
    <w:rsid w:val="00FA4745"/>
    <w:rsid w:val="00FA677D"/>
    <w:rsid w:val="00FA7E06"/>
    <w:rsid w:val="00FB01D4"/>
    <w:rsid w:val="00FB1594"/>
    <w:rsid w:val="00FB3065"/>
    <w:rsid w:val="00FB7A38"/>
    <w:rsid w:val="00FC06CE"/>
    <w:rsid w:val="00FC198A"/>
    <w:rsid w:val="00FD08A7"/>
    <w:rsid w:val="00FD2735"/>
    <w:rsid w:val="00FD4B34"/>
    <w:rsid w:val="00FD5291"/>
    <w:rsid w:val="00FD57C2"/>
    <w:rsid w:val="00FD68AA"/>
    <w:rsid w:val="00FE294C"/>
    <w:rsid w:val="00FE35FF"/>
    <w:rsid w:val="00FF251E"/>
    <w:rsid w:val="00FF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 w:type="paragraph" w:styleId="Revision">
    <w:name w:val="Revision"/>
    <w:hidden/>
    <w:uiPriority w:val="99"/>
    <w:semiHidden/>
    <w:rsid w:val="00E15F2C"/>
    <w:pPr>
      <w:spacing w:after="0" w:line="240" w:lineRule="auto"/>
    </w:pPr>
    <w:rPr>
      <w:rFonts w:ascii="Arial" w:hAnsi="Arial" w:cs="Times New Roman"/>
      <w:color w:val="000000" w:themeColor="text1"/>
      <w:sz w:val="24"/>
      <w:szCs w:val="24"/>
    </w:rPr>
  </w:style>
  <w:style w:type="character" w:customStyle="1" w:styleId="UnresolvedMention1">
    <w:name w:val="Unresolved Mention1"/>
    <w:basedOn w:val="DefaultParagraphFont"/>
    <w:uiPriority w:val="99"/>
    <w:semiHidden/>
    <w:unhideWhenUsed/>
    <w:rsid w:val="009C2708"/>
    <w:rPr>
      <w:color w:val="605E5C"/>
      <w:shd w:val="clear" w:color="auto" w:fill="E1DFDD"/>
    </w:rPr>
  </w:style>
  <w:style w:type="character" w:customStyle="1" w:styleId="Style1">
    <w:name w:val="Style1"/>
    <w:uiPriority w:val="1"/>
    <w:qFormat/>
    <w:rsid w:val="00F037FA"/>
    <w:rPr>
      <w:rFonts w:ascii="Arial" w:hAnsi="Arial"/>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867207186">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diseases-and-conditions/covid-19-novel-coronavir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diseases-and-conditions/covid-19-novel-coronavir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B7A2CDD0-89BB-43F4-973D-60F7E5C2F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E700BE-02D3-4202-BF5B-AF173D10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3072</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Manager/>
  <Company/>
  <LinksUpToDate>false</LinksUpToDate>
  <CharactersWithSpaces>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3 November 2021</dc:title>
  <dc:subject>Communicable diseases; Emergency health management; Travel health</dc:subject>
  <dc:creator>Australian Government Department of Health</dc:creator>
  <cp:keywords>coronavirus; covid-19; statistics; NZ</cp:keywords>
  <dc:description/>
  <cp:lastModifiedBy>emma kennedy</cp:lastModifiedBy>
  <cp:revision>3</cp:revision>
  <cp:lastPrinted>2021-02-24T03:46:00Z</cp:lastPrinted>
  <dcterms:created xsi:type="dcterms:W3CDTF">2021-11-03T05:53:00Z</dcterms:created>
  <dcterms:modified xsi:type="dcterms:W3CDTF">2021-11-03T06:18:00Z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