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9AAB" w14:textId="77777777" w:rsidR="00112471" w:rsidRDefault="00112471" w:rsidP="00112471">
      <w:pPr>
        <w:pStyle w:val="Title"/>
      </w:pPr>
    </w:p>
    <w:p w14:paraId="2920C276" w14:textId="594402A7" w:rsidR="00A60508" w:rsidRPr="00112471" w:rsidRDefault="003865AE" w:rsidP="00112471">
      <w:pPr>
        <w:pStyle w:val="Title"/>
      </w:pPr>
      <w:r w:rsidRPr="00112471">
        <w:t>Communique:</w:t>
      </w:r>
      <w:r w:rsidRPr="00112471">
        <w:t xml:space="preserve"> </w:t>
      </w:r>
      <w:r w:rsidRPr="00112471">
        <w:t>Workshop on</w:t>
      </w:r>
      <w:r w:rsidRPr="00112471">
        <w:t xml:space="preserve"> rural allied health service and learning consortia</w:t>
      </w:r>
    </w:p>
    <w:p w14:paraId="68D0EBC7" w14:textId="77777777" w:rsidR="00A60508" w:rsidRDefault="00A60508">
      <w:pPr>
        <w:pStyle w:val="BodyText"/>
        <w:rPr>
          <w:b/>
        </w:rPr>
      </w:pPr>
    </w:p>
    <w:p w14:paraId="31F21300" w14:textId="77777777" w:rsidR="00A60508" w:rsidRDefault="003865AE">
      <w:pPr>
        <w:ind w:left="100" w:right="135"/>
      </w:pPr>
      <w:r>
        <w:t>On 1 June 2021, the Commonwealth Chief Allied Health Officer (CAHO), Dr Anne-</w:t>
      </w:r>
      <w:proofErr w:type="spellStart"/>
      <w:r>
        <w:t>marie</w:t>
      </w:r>
      <w:proofErr w:type="spellEnd"/>
      <w:r>
        <w:t xml:space="preserve"> Boxall, the</w:t>
      </w:r>
      <w:r>
        <w:rPr>
          <w:spacing w:val="1"/>
        </w:rPr>
        <w:t xml:space="preserve"> </w:t>
      </w:r>
      <w:r>
        <w:t>National Rural Health Commissioner, Adjunct Professor Ruth Stewart, and the Deputy National Rural</w:t>
      </w:r>
      <w:r>
        <w:rPr>
          <w:spacing w:val="-47"/>
        </w:rPr>
        <w:t xml:space="preserve"> </w:t>
      </w:r>
      <w:r>
        <w:t>Health Commissioner, Associate Professor Faye McMillan convened</w:t>
      </w:r>
      <w:r>
        <w:t xml:space="preserve"> a workshop in Queenstown,</w:t>
      </w:r>
      <w:r>
        <w:rPr>
          <w:spacing w:val="1"/>
        </w:rPr>
        <w:t xml:space="preserve"> </w:t>
      </w:r>
      <w:r>
        <w:t>Tasmania to explore the Service and Learning Consortia (SLC) recommendation from the former</w:t>
      </w:r>
      <w:r>
        <w:rPr>
          <w:spacing w:val="1"/>
        </w:rPr>
        <w:t xml:space="preserve"> </w:t>
      </w:r>
      <w:r>
        <w:t>Commissioner’s 2020 allied health report</w:t>
      </w:r>
      <w:r>
        <w:rPr>
          <w:i/>
        </w:rPr>
        <w:t>: Improving the access, quality and distribution of allied</w:t>
      </w:r>
      <w:r>
        <w:rPr>
          <w:i/>
          <w:spacing w:val="1"/>
        </w:rPr>
        <w:t xml:space="preserve"> </w:t>
      </w:r>
      <w:r>
        <w:rPr>
          <w:i/>
        </w:rPr>
        <w:t>health services in</w:t>
      </w:r>
      <w:r>
        <w:rPr>
          <w:i/>
          <w:spacing w:val="-2"/>
        </w:rPr>
        <w:t xml:space="preserve"> </w:t>
      </w:r>
      <w:r>
        <w:rPr>
          <w:i/>
        </w:rPr>
        <w:t>regional,</w:t>
      </w:r>
      <w:r>
        <w:rPr>
          <w:i/>
          <w:spacing w:val="-2"/>
        </w:rPr>
        <w:t xml:space="preserve"> </w:t>
      </w:r>
      <w:r>
        <w:rPr>
          <w:i/>
        </w:rPr>
        <w:t>rural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remote Australia</w:t>
      </w:r>
      <w:r>
        <w:t>.</w:t>
      </w:r>
    </w:p>
    <w:p w14:paraId="2ECFBB72" w14:textId="77777777" w:rsidR="00A60508" w:rsidRDefault="00A60508">
      <w:pPr>
        <w:pStyle w:val="BodyText"/>
        <w:spacing w:before="9"/>
        <w:rPr>
          <w:sz w:val="20"/>
        </w:rPr>
      </w:pPr>
    </w:p>
    <w:p w14:paraId="7256D316" w14:textId="77777777" w:rsidR="00A60508" w:rsidRDefault="003865AE">
      <w:pPr>
        <w:pStyle w:val="BodyText"/>
        <w:ind w:left="100" w:right="114"/>
      </w:pPr>
      <w:r>
        <w:t xml:space="preserve">The SLC model consists of local private, </w:t>
      </w:r>
      <w:proofErr w:type="gramStart"/>
      <w:r>
        <w:t>public</w:t>
      </w:r>
      <w:proofErr w:type="gramEnd"/>
      <w:r>
        <w:t xml:space="preserve"> and not for profit service providers, training providers,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t>representatives collaborating</w:t>
      </w:r>
      <w:r>
        <w:rPr>
          <w:spacing w:val="3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multi-town</w:t>
      </w:r>
      <w:r>
        <w:rPr>
          <w:spacing w:val="2"/>
        </w:rPr>
        <w:t xml:space="preserve"> </w:t>
      </w:r>
      <w:r>
        <w:t>and multi-sector</w:t>
      </w:r>
      <w:r>
        <w:rPr>
          <w:spacing w:val="2"/>
        </w:rPr>
        <w:t xml:space="preserve"> </w:t>
      </w:r>
      <w:r>
        <w:t>networks,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allied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posit</w:t>
      </w:r>
      <w:r>
        <w:t>ions and increase</w:t>
      </w:r>
      <w:r>
        <w:rPr>
          <w:spacing w:val="-6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services in</w:t>
      </w:r>
      <w:r>
        <w:rPr>
          <w:spacing w:val="-1"/>
        </w:rPr>
        <w:t xml:space="preserve"> </w:t>
      </w:r>
      <w:r>
        <w:t>rural areas.</w:t>
      </w:r>
    </w:p>
    <w:p w14:paraId="07ECE88F" w14:textId="77777777" w:rsidR="00A60508" w:rsidRDefault="00A60508">
      <w:pPr>
        <w:pStyle w:val="BodyText"/>
        <w:spacing w:before="11"/>
        <w:rPr>
          <w:sz w:val="21"/>
        </w:rPr>
      </w:pPr>
    </w:p>
    <w:p w14:paraId="26A26947" w14:textId="77777777" w:rsidR="00A60508" w:rsidRDefault="003865AE">
      <w:pPr>
        <w:pStyle w:val="BodyText"/>
        <w:ind w:left="100" w:right="137"/>
      </w:pPr>
      <w:r>
        <w:t>The workshop brought together more than 90 stakeholders from all over Australia, including but not</w:t>
      </w:r>
      <w:r>
        <w:rPr>
          <w:spacing w:val="-47"/>
        </w:rPr>
        <w:t xml:space="preserve"> </w:t>
      </w:r>
      <w:r>
        <w:t>limited to: representatives from Commonwealth, state and territory Departments of Health,</w:t>
      </w:r>
      <w:r>
        <w:rPr>
          <w:spacing w:val="1"/>
        </w:rPr>
        <w:t xml:space="preserve"> </w:t>
      </w:r>
      <w:r>
        <w:t>Education and Disability; University Departments of Rural Health; allied health peak bodies;</w:t>
      </w:r>
      <w:r>
        <w:rPr>
          <w:spacing w:val="1"/>
        </w:rPr>
        <w:t xml:space="preserve"> </w:t>
      </w:r>
      <w:r>
        <w:t>consumer representatives; and individual health professionals. Participan</w:t>
      </w:r>
      <w:r>
        <w:t>ts attended virtually or in</w:t>
      </w:r>
      <w:r>
        <w:rPr>
          <w:spacing w:val="1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event</w:t>
      </w:r>
      <w:r>
        <w:rPr>
          <w:spacing w:val="-2"/>
        </w:rPr>
        <w:t xml:space="preserve"> </w:t>
      </w:r>
      <w:r>
        <w:t>being hosted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West</w:t>
      </w:r>
      <w:r>
        <w:rPr>
          <w:spacing w:val="-1"/>
        </w:rPr>
        <w:t xml:space="preserve"> </w:t>
      </w:r>
      <w:r>
        <w:t>Coast Council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Tasmania.</w:t>
      </w:r>
    </w:p>
    <w:p w14:paraId="3FAD8C87" w14:textId="77777777" w:rsidR="00A60508" w:rsidRDefault="00A60508">
      <w:pPr>
        <w:pStyle w:val="BodyText"/>
        <w:spacing w:before="1"/>
      </w:pPr>
    </w:p>
    <w:p w14:paraId="7FF4F8AC" w14:textId="77777777" w:rsidR="00A60508" w:rsidRDefault="003865AE">
      <w:pPr>
        <w:pStyle w:val="BodyText"/>
        <w:ind w:left="100" w:right="506"/>
      </w:pPr>
      <w:r>
        <w:t>Four key components of the SLC model were highlighted. These aim to improve recruitment and</w:t>
      </w:r>
      <w:r>
        <w:rPr>
          <w:spacing w:val="-47"/>
        </w:rPr>
        <w:t xml:space="preserve"> </w:t>
      </w:r>
      <w:r>
        <w:t>retention of allied health professionals by making rural and</w:t>
      </w:r>
      <w:r>
        <w:t xml:space="preserve"> remote allied health practice and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more attractive and</w:t>
      </w:r>
      <w:r>
        <w:rPr>
          <w:spacing w:val="-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supported:</w:t>
      </w:r>
    </w:p>
    <w:p w14:paraId="73F4D252" w14:textId="77777777" w:rsidR="00A60508" w:rsidRDefault="00A60508">
      <w:pPr>
        <w:pStyle w:val="BodyText"/>
        <w:spacing w:before="11"/>
        <w:rPr>
          <w:sz w:val="21"/>
        </w:rPr>
      </w:pPr>
    </w:p>
    <w:p w14:paraId="12358D1A" w14:textId="77777777" w:rsidR="00A60508" w:rsidRDefault="003865AE">
      <w:pPr>
        <w:pStyle w:val="ListParagraph"/>
        <w:numPr>
          <w:ilvl w:val="0"/>
          <w:numId w:val="2"/>
        </w:numPr>
        <w:tabs>
          <w:tab w:val="left" w:pos="820"/>
        </w:tabs>
      </w:pPr>
      <w:r>
        <w:t>Local</w:t>
      </w:r>
      <w:r>
        <w:rPr>
          <w:spacing w:val="-5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 xml:space="preserve">driven </w:t>
      </w:r>
      <w:proofErr w:type="gramStart"/>
      <w:r>
        <w:t>governance;</w:t>
      </w:r>
      <w:proofErr w:type="gramEnd"/>
    </w:p>
    <w:p w14:paraId="2B72D4EB" w14:textId="77777777" w:rsidR="00A60508" w:rsidRDefault="003865AE">
      <w:pPr>
        <w:pStyle w:val="ListParagraph"/>
        <w:numPr>
          <w:ilvl w:val="0"/>
          <w:numId w:val="2"/>
        </w:numPr>
        <w:tabs>
          <w:tab w:val="left" w:pos="820"/>
        </w:tabs>
      </w:pPr>
      <w:r>
        <w:t>Service</w:t>
      </w:r>
      <w:r>
        <w:rPr>
          <w:spacing w:val="-4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multiple consortium</w:t>
      </w:r>
      <w:r>
        <w:rPr>
          <w:spacing w:val="-1"/>
        </w:rPr>
        <w:t xml:space="preserve"> </w:t>
      </w:r>
      <w:proofErr w:type="gramStart"/>
      <w:r>
        <w:t>members;</w:t>
      </w:r>
      <w:proofErr w:type="gramEnd"/>
    </w:p>
    <w:p w14:paraId="6F5F173B" w14:textId="77777777" w:rsidR="00A60508" w:rsidRDefault="003865AE">
      <w:pPr>
        <w:pStyle w:val="ListParagraph"/>
        <w:numPr>
          <w:ilvl w:val="0"/>
          <w:numId w:val="2"/>
        </w:numPr>
        <w:tabs>
          <w:tab w:val="left" w:pos="820"/>
        </w:tabs>
        <w:spacing w:before="1"/>
      </w:pPr>
      <w:r>
        <w:t>Learning</w:t>
      </w:r>
      <w:r>
        <w:rPr>
          <w:spacing w:val="-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meaningful and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environments;</w:t>
      </w:r>
      <w:r>
        <w:rPr>
          <w:spacing w:val="-2"/>
        </w:rPr>
        <w:t xml:space="preserve"> </w:t>
      </w:r>
      <w:r>
        <w:t>and</w:t>
      </w:r>
    </w:p>
    <w:p w14:paraId="2E0B26CC" w14:textId="77777777" w:rsidR="00A60508" w:rsidRDefault="003865AE">
      <w:pPr>
        <w:pStyle w:val="ListParagraph"/>
        <w:numPr>
          <w:ilvl w:val="0"/>
          <w:numId w:val="2"/>
        </w:numPr>
        <w:tabs>
          <w:tab w:val="left" w:pos="820"/>
        </w:tabs>
        <w:ind w:right="419"/>
      </w:pPr>
      <w:r>
        <w:t>Business integration and back of house administrative support to access new funding and</w:t>
      </w:r>
      <w:r>
        <w:rPr>
          <w:spacing w:val="-47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support.</w:t>
      </w:r>
    </w:p>
    <w:p w14:paraId="7CDC3D64" w14:textId="77777777" w:rsidR="00A60508" w:rsidRDefault="00A60508">
      <w:pPr>
        <w:pStyle w:val="BodyText"/>
      </w:pPr>
    </w:p>
    <w:p w14:paraId="282C2B01" w14:textId="77777777" w:rsidR="00A60508" w:rsidRDefault="003865AE">
      <w:pPr>
        <w:pStyle w:val="BodyText"/>
        <w:spacing w:before="1"/>
        <w:ind w:left="100" w:right="247"/>
      </w:pPr>
      <w:r>
        <w:t>Three case studies were presented at the workshop, which incorporate elements of the SLC model</w:t>
      </w:r>
      <w:r>
        <w:rPr>
          <w:spacing w:val="1"/>
        </w:rPr>
        <w:t xml:space="preserve"> </w:t>
      </w:r>
      <w:r>
        <w:t>and have successfully increased access to alli</w:t>
      </w:r>
      <w:r>
        <w:t>ed health services in a region. These case studies were</w:t>
      </w:r>
      <w:r>
        <w:rPr>
          <w:spacing w:val="-47"/>
        </w:rPr>
        <w:t xml:space="preserve"> </w:t>
      </w:r>
      <w:proofErr w:type="spellStart"/>
      <w:r>
        <w:t>analysed</w:t>
      </w:r>
      <w:proofErr w:type="spellEnd"/>
      <w:r>
        <w:t xml:space="preserve"> by participants, </w:t>
      </w:r>
      <w:proofErr w:type="gramStart"/>
      <w:r>
        <w:t>in order to</w:t>
      </w:r>
      <w:proofErr w:type="gramEnd"/>
      <w:r>
        <w:t xml:space="preserve"> identify core elements that could be used in other regions as</w:t>
      </w:r>
      <w:r>
        <w:rPr>
          <w:spacing w:val="1"/>
        </w:rPr>
        <w:t xml:space="preserve"> </w:t>
      </w:r>
      <w:r>
        <w:t>part of new</w:t>
      </w:r>
      <w:r>
        <w:rPr>
          <w:spacing w:val="-1"/>
        </w:rPr>
        <w:t xml:space="preserve"> </w:t>
      </w:r>
      <w:r>
        <w:t>initiatives.</w:t>
      </w:r>
    </w:p>
    <w:p w14:paraId="417A7AA3" w14:textId="77777777" w:rsidR="00A60508" w:rsidRDefault="00A60508">
      <w:pPr>
        <w:pStyle w:val="BodyText"/>
        <w:spacing w:before="10"/>
        <w:rPr>
          <w:sz w:val="21"/>
        </w:rPr>
      </w:pPr>
    </w:p>
    <w:p w14:paraId="12BF9EAD" w14:textId="77777777" w:rsidR="00A60508" w:rsidRDefault="003865AE">
      <w:pPr>
        <w:pStyle w:val="BodyText"/>
        <w:spacing w:before="1"/>
        <w:ind w:left="100" w:right="202"/>
      </w:pPr>
      <w:r>
        <w:t>Principles that were identified by participants to be consistent across regions in the development of</w:t>
      </w:r>
      <w:r>
        <w:rPr>
          <w:spacing w:val="-47"/>
        </w:rPr>
        <w:t xml:space="preserve"> </w:t>
      </w:r>
      <w:r>
        <w:t xml:space="preserve">an SLC model, included co-design, </w:t>
      </w:r>
      <w:proofErr w:type="gramStart"/>
      <w:r>
        <w:t>flexibility</w:t>
      </w:r>
      <w:proofErr w:type="gramEnd"/>
      <w:r>
        <w:t xml:space="preserve"> and locally driven approaches. It was noted that to</w:t>
      </w:r>
      <w:r>
        <w:rPr>
          <w:spacing w:val="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solutions,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co-contr</w:t>
      </w:r>
      <w:r>
        <w:t>ibutions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participating</w:t>
      </w:r>
      <w:r>
        <w:rPr>
          <w:spacing w:val="-1"/>
        </w:rPr>
        <w:t xml:space="preserve"> </w:t>
      </w:r>
      <w:proofErr w:type="spellStart"/>
      <w:r>
        <w:t>organisations</w:t>
      </w:r>
      <w:proofErr w:type="spellEnd"/>
      <w:r>
        <w:t>.</w:t>
      </w:r>
    </w:p>
    <w:p w14:paraId="5C37160F" w14:textId="77777777" w:rsidR="00A60508" w:rsidRDefault="00A60508">
      <w:pPr>
        <w:pStyle w:val="BodyText"/>
      </w:pPr>
    </w:p>
    <w:p w14:paraId="485614AA" w14:textId="77777777" w:rsidR="00A60508" w:rsidRDefault="003865AE">
      <w:pPr>
        <w:pStyle w:val="BodyText"/>
        <w:spacing w:before="1"/>
        <w:ind w:left="100" w:right="144"/>
      </w:pPr>
      <w:r>
        <w:t>Elements that need to be regionally tailored included having an awareness of the local profile of</w:t>
      </w:r>
      <w:r>
        <w:rPr>
          <w:spacing w:val="1"/>
        </w:rPr>
        <w:t xml:space="preserve"> </w:t>
      </w:r>
      <w:r>
        <w:t>burden of disease to identify the priority services that are required, and linking in with the local</w:t>
      </w:r>
      <w:r>
        <w:rPr>
          <w:spacing w:val="1"/>
        </w:rPr>
        <w:t xml:space="preserve"> </w:t>
      </w:r>
      <w:r>
        <w:t>governmen</w:t>
      </w:r>
      <w:r>
        <w:t>t and other sectors such as education, aged care and social services to determine what</w:t>
      </w:r>
      <w:r>
        <w:rPr>
          <w:spacing w:val="1"/>
        </w:rPr>
        <w:t xml:space="preserve"> </w:t>
      </w:r>
      <w:r>
        <w:t>support they can provide (for example, accommodation and infrastructure). The importance of</w:t>
      </w:r>
      <w:r>
        <w:rPr>
          <w:spacing w:val="1"/>
        </w:rPr>
        <w:t xml:space="preserve"> </w:t>
      </w:r>
      <w:r>
        <w:t xml:space="preserve">putting the patient at the </w:t>
      </w:r>
      <w:proofErr w:type="spellStart"/>
      <w:r>
        <w:t>centre</w:t>
      </w:r>
      <w:proofErr w:type="spellEnd"/>
      <w:r>
        <w:t xml:space="preserve"> of the model was also discussed, to ensure </w:t>
      </w:r>
      <w:r>
        <w:t>the communities’ needs</w:t>
      </w:r>
      <w:r>
        <w:rPr>
          <w:spacing w:val="-4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 and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appropriately for those</w:t>
      </w:r>
      <w:r>
        <w:rPr>
          <w:spacing w:val="-2"/>
        </w:rPr>
        <w:t xml:space="preserve"> </w:t>
      </w:r>
      <w:r>
        <w:t>communities.</w:t>
      </w:r>
    </w:p>
    <w:p w14:paraId="2963A815" w14:textId="77777777" w:rsidR="00A60508" w:rsidRDefault="00A60508">
      <w:pPr>
        <w:pStyle w:val="BodyText"/>
        <w:spacing w:before="11"/>
        <w:rPr>
          <w:sz w:val="21"/>
        </w:rPr>
      </w:pPr>
    </w:p>
    <w:p w14:paraId="314B9201" w14:textId="25CE8210" w:rsidR="00A60508" w:rsidRDefault="003865AE" w:rsidP="00112471">
      <w:pPr>
        <w:pStyle w:val="BodyText"/>
        <w:ind w:left="100" w:right="112"/>
      </w:pPr>
      <w:r>
        <w:t>To</w:t>
      </w:r>
      <w:r>
        <w:rPr>
          <w:spacing w:val="6"/>
        </w:rPr>
        <w:t xml:space="preserve"> </w:t>
      </w:r>
      <w:r>
        <w:t>pilot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SLC</w:t>
      </w:r>
      <w:r>
        <w:rPr>
          <w:spacing w:val="1"/>
        </w:rPr>
        <w:t xml:space="preserve"> </w:t>
      </w:r>
      <w:r>
        <w:t>model,</w:t>
      </w:r>
      <w:r>
        <w:rPr>
          <w:spacing w:val="4"/>
        </w:rPr>
        <w:t xml:space="preserve"> </w:t>
      </w:r>
      <w:r>
        <w:t>participants</w:t>
      </w:r>
      <w:r>
        <w:rPr>
          <w:spacing w:val="3"/>
        </w:rPr>
        <w:t xml:space="preserve"> </w:t>
      </w:r>
      <w:r>
        <w:t>explored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available,</w:t>
      </w:r>
      <w:r>
        <w:rPr>
          <w:spacing w:val="3"/>
        </w:rPr>
        <w:t xml:space="preserve"> </w:t>
      </w:r>
      <w:r>
        <w:t>and options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leveraging existing training and employment opportunities. Participants also discussed new graduate</w:t>
      </w:r>
      <w:r>
        <w:rPr>
          <w:spacing w:val="-47"/>
        </w:rPr>
        <w:t xml:space="preserve"> </w:t>
      </w:r>
      <w:r>
        <w:t>positions and whether more emphasis needs to be placed on funding these positions for longer than</w:t>
      </w:r>
      <w:r>
        <w:rPr>
          <w:spacing w:val="-47"/>
        </w:rPr>
        <w:t xml:space="preserve"> </w:t>
      </w:r>
      <w:r>
        <w:t>one year. The Allied Health Rural Generalist Pathway was r</w:t>
      </w:r>
      <w:r>
        <w:t>aised as a positive way of overcoming</w:t>
      </w:r>
      <w:r>
        <w:rPr>
          <w:spacing w:val="1"/>
        </w:rPr>
        <w:t xml:space="preserve"> </w:t>
      </w:r>
      <w:r>
        <w:lastRenderedPageBreak/>
        <w:t>limited supported graduate and early career opportunities and providing structured career</w:t>
      </w:r>
      <w:r>
        <w:rPr>
          <w:spacing w:val="1"/>
        </w:rPr>
        <w:t xml:space="preserve"> </w:t>
      </w:r>
      <w:r>
        <w:t>progression</w:t>
      </w:r>
      <w:r>
        <w:rPr>
          <w:spacing w:val="-2"/>
        </w:rPr>
        <w:t xml:space="preserve"> </w:t>
      </w:r>
      <w:r>
        <w:t>opportunities in</w:t>
      </w:r>
      <w:r>
        <w:rPr>
          <w:spacing w:val="-1"/>
        </w:rPr>
        <w:t xml:space="preserve"> </w:t>
      </w:r>
      <w:r>
        <w:t>rural and</w:t>
      </w:r>
      <w:r>
        <w:rPr>
          <w:spacing w:val="-1"/>
        </w:rPr>
        <w:t xml:space="preserve"> </w:t>
      </w:r>
      <w:r>
        <w:t>remote areas.</w:t>
      </w:r>
    </w:p>
    <w:p w14:paraId="457811E8" w14:textId="77777777" w:rsidR="00112471" w:rsidRDefault="00112471"/>
    <w:p w14:paraId="683EA645" w14:textId="77777777" w:rsidR="00A60508" w:rsidRDefault="003865AE">
      <w:pPr>
        <w:pStyle w:val="BodyText"/>
        <w:spacing w:before="109"/>
        <w:ind w:left="100" w:right="100"/>
      </w:pPr>
      <w:r>
        <w:t>The role of allied health students in the SLC model was dis</w:t>
      </w:r>
      <w:r>
        <w:t>cussed, noting the benefits they can</w:t>
      </w:r>
      <w:r>
        <w:rPr>
          <w:spacing w:val="1"/>
        </w:rPr>
        <w:t xml:space="preserve"> </w:t>
      </w:r>
      <w:r>
        <w:t>provide in addressing workforce gaps whilst being immersed in high quality rural training</w:t>
      </w:r>
      <w:r>
        <w:rPr>
          <w:spacing w:val="1"/>
        </w:rPr>
        <w:t xml:space="preserve"> </w:t>
      </w:r>
      <w:r>
        <w:t>placements. Some challenges were highlighted including the transient nature of student placements,</w:t>
      </w:r>
      <w:r>
        <w:rPr>
          <w:spacing w:val="-47"/>
        </w:rPr>
        <w:t xml:space="preserve"> </w:t>
      </w:r>
      <w:r>
        <w:t>and the need to ensure supervi</w:t>
      </w:r>
      <w:r>
        <w:t>sors were provided with funding and support to establish community</w:t>
      </w:r>
      <w:r>
        <w:rPr>
          <w:spacing w:val="1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placements.</w:t>
      </w:r>
    </w:p>
    <w:p w14:paraId="467D96A8" w14:textId="77777777" w:rsidR="00A60508" w:rsidRDefault="00A60508">
      <w:pPr>
        <w:pStyle w:val="BodyText"/>
        <w:spacing w:before="12"/>
        <w:rPr>
          <w:sz w:val="21"/>
        </w:rPr>
      </w:pPr>
    </w:p>
    <w:p w14:paraId="5B0992F5" w14:textId="77777777" w:rsidR="00A60508" w:rsidRDefault="003865AE">
      <w:pPr>
        <w:pStyle w:val="BodyText"/>
        <w:ind w:left="100" w:right="207"/>
      </w:pPr>
      <w:r>
        <w:t>Workshop participants also identified potential barriers to adopting innovative funding approaches,</w:t>
      </w:r>
      <w:r>
        <w:rPr>
          <w:spacing w:val="-47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14:paraId="1957985F" w14:textId="77777777" w:rsidR="00A60508" w:rsidRDefault="003865AE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the</w:t>
      </w:r>
      <w:r>
        <w:rPr>
          <w:spacing w:val="-1"/>
        </w:rPr>
        <w:t xml:space="preserve"> </w:t>
      </w:r>
      <w:r>
        <w:t>short-term nature</w:t>
      </w:r>
      <w:r>
        <w:rPr>
          <w:spacing w:val="-3"/>
        </w:rPr>
        <w:t xml:space="preserve"> </w:t>
      </w:r>
      <w:r>
        <w:t>of some funding</w:t>
      </w:r>
      <w:r>
        <w:rPr>
          <w:spacing w:val="-1"/>
        </w:rPr>
        <w:t xml:space="preserve"> </w:t>
      </w:r>
      <w:r>
        <w:t>streams (for</w:t>
      </w:r>
      <w:r>
        <w:rPr>
          <w:spacing w:val="-5"/>
        </w:rPr>
        <w:t xml:space="preserve"> </w:t>
      </w:r>
      <w:r>
        <w:t>exa</w:t>
      </w:r>
      <w:r>
        <w:t>mple, pilot</w:t>
      </w:r>
      <w:r>
        <w:rPr>
          <w:spacing w:val="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grants)</w:t>
      </w:r>
    </w:p>
    <w:p w14:paraId="507D4668" w14:textId="77777777" w:rsidR="00A60508" w:rsidRDefault="003865AE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/>
        <w:ind w:right="252"/>
      </w:pPr>
      <w:r>
        <w:t>the administrative burden associated with accessing multiple allied health funding streams</w:t>
      </w:r>
      <w:r>
        <w:rPr>
          <w:spacing w:val="-47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example NDIS, aged</w:t>
      </w:r>
      <w:r>
        <w:rPr>
          <w:spacing w:val="-1"/>
        </w:rPr>
        <w:t xml:space="preserve"> </w:t>
      </w:r>
      <w:r>
        <w:t>care, education, and</w:t>
      </w:r>
      <w:r>
        <w:rPr>
          <w:spacing w:val="-1"/>
        </w:rPr>
        <w:t xml:space="preserve"> </w:t>
      </w:r>
      <w:r>
        <w:t>health),</w:t>
      </w:r>
      <w:r>
        <w:rPr>
          <w:spacing w:val="-4"/>
        </w:rPr>
        <w:t xml:space="preserve"> </w:t>
      </w:r>
      <w:r>
        <w:t>and</w:t>
      </w:r>
    </w:p>
    <w:p w14:paraId="7102F213" w14:textId="77777777" w:rsidR="00A60508" w:rsidRDefault="003865AE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79" w:lineRule="exact"/>
        <w:ind w:hanging="361"/>
      </w:pP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fee for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MBS</w:t>
      </w:r>
      <w:r>
        <w:rPr>
          <w:spacing w:val="-4"/>
        </w:rPr>
        <w:t xml:space="preserve"> </w:t>
      </w:r>
      <w:r>
        <w:t>model,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accessible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supervising students.</w:t>
      </w:r>
    </w:p>
    <w:p w14:paraId="190DAB21" w14:textId="77777777" w:rsidR="00A60508" w:rsidRDefault="00A60508">
      <w:pPr>
        <w:pStyle w:val="BodyText"/>
      </w:pPr>
    </w:p>
    <w:p w14:paraId="3C6ADDF1" w14:textId="77777777" w:rsidR="00A60508" w:rsidRDefault="003865AE">
      <w:pPr>
        <w:pStyle w:val="BodyText"/>
        <w:spacing w:before="1"/>
        <w:ind w:left="100" w:right="135"/>
      </w:pPr>
      <w:r>
        <w:t xml:space="preserve">The CAHO will raise outcomes of the workshop with her jurisdictional </w:t>
      </w:r>
      <w:proofErr w:type="gramStart"/>
      <w:r>
        <w:t>counterparts, and</w:t>
      </w:r>
      <w:proofErr w:type="gramEnd"/>
      <w:r>
        <w:t xml:space="preserve"> continue</w:t>
      </w:r>
      <w:r>
        <w:rPr>
          <w:spacing w:val="1"/>
        </w:rPr>
        <w:t xml:space="preserve"> </w:t>
      </w:r>
      <w:r>
        <w:t>working with the Office of the National Rural Health Commissioner to progress funding options for</w:t>
      </w:r>
      <w:r>
        <w:rPr>
          <w:spacing w:val="1"/>
        </w:rPr>
        <w:t xml:space="preserve"> </w:t>
      </w:r>
      <w:r>
        <w:t>progressing this re</w:t>
      </w:r>
      <w:r>
        <w:t>commendation. Deputy National Rural Health Commissioner, A/Professor Faye</w:t>
      </w:r>
      <w:r>
        <w:rPr>
          <w:spacing w:val="1"/>
        </w:rPr>
        <w:t xml:space="preserve"> </w:t>
      </w:r>
      <w:r>
        <w:t>McMillan will continue to meet with rural health representative groups such as the National Rural</w:t>
      </w:r>
      <w:r>
        <w:rPr>
          <w:spacing w:val="1"/>
        </w:rPr>
        <w:t xml:space="preserve"> </w:t>
      </w:r>
      <w:r>
        <w:t>Health Alliance, professional allied health associations</w:t>
      </w:r>
      <w:r>
        <w:rPr>
          <w:spacing w:val="1"/>
        </w:rPr>
        <w:t xml:space="preserve"> </w:t>
      </w:r>
      <w:r>
        <w:t xml:space="preserve">and member </w:t>
      </w:r>
      <w:proofErr w:type="spellStart"/>
      <w:r>
        <w:t>organisations</w:t>
      </w:r>
      <w:proofErr w:type="spellEnd"/>
      <w:r>
        <w:t xml:space="preserve"> of</w:t>
      </w:r>
      <w:r>
        <w:t xml:space="preserve"> the Australian</w:t>
      </w:r>
      <w:r>
        <w:rPr>
          <w:spacing w:val="-47"/>
        </w:rPr>
        <w:t xml:space="preserve"> </w:t>
      </w:r>
      <w:r>
        <w:t>Allied Health Leadership Forum, including Services for Australian Rural and Remote Allied Health,</w:t>
      </w:r>
      <w:r>
        <w:rPr>
          <w:spacing w:val="1"/>
        </w:rPr>
        <w:t xml:space="preserve"> </w:t>
      </w:r>
      <w:r>
        <w:t>Indigenous Allied Health Australia, and the National Allied Health Advisors and Chief Officers to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opportunities to improve</w:t>
      </w:r>
      <w:r>
        <w:rPr>
          <w:spacing w:val="-3"/>
        </w:rPr>
        <w:t xml:space="preserve"> </w:t>
      </w:r>
      <w:r>
        <w:t>acc</w:t>
      </w:r>
      <w:r>
        <w:t>ess to</w:t>
      </w:r>
      <w:r>
        <w:rPr>
          <w:spacing w:val="-3"/>
        </w:rPr>
        <w:t xml:space="preserve"> </w:t>
      </w:r>
      <w:r>
        <w:t>allied health</w:t>
      </w:r>
      <w:r>
        <w:rPr>
          <w:spacing w:val="-1"/>
        </w:rPr>
        <w:t xml:space="preserve"> </w:t>
      </w:r>
      <w:r>
        <w:t>services in</w:t>
      </w:r>
      <w:r>
        <w:rPr>
          <w:spacing w:val="-1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Australia.</w:t>
      </w:r>
    </w:p>
    <w:sectPr w:rsidR="00A60508" w:rsidSect="00112471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580" w:right="134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81A03" w14:textId="77777777" w:rsidR="00112471" w:rsidRDefault="00112471" w:rsidP="00112471">
      <w:r>
        <w:separator/>
      </w:r>
    </w:p>
  </w:endnote>
  <w:endnote w:type="continuationSeparator" w:id="0">
    <w:p w14:paraId="27A05BA7" w14:textId="77777777" w:rsidR="00112471" w:rsidRDefault="00112471" w:rsidP="001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7080416"/>
      <w:docPartObj>
        <w:docPartGallery w:val="Page Numbers (Bottom of Page)"/>
        <w:docPartUnique/>
      </w:docPartObj>
    </w:sdtPr>
    <w:sdtContent>
      <w:sdt>
        <w:sdtPr>
          <w:id w:val="2111469242"/>
          <w:docPartObj>
            <w:docPartGallery w:val="Page Numbers (Top of Page)"/>
            <w:docPartUnique/>
          </w:docPartObj>
        </w:sdtPr>
        <w:sdtContent>
          <w:p w14:paraId="11F00B0F" w14:textId="2D18C0A1" w:rsidR="00112471" w:rsidRDefault="001124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BAFFA1" w14:textId="77777777" w:rsidR="00112471" w:rsidRDefault="00112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91473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A51427" w14:textId="67B100F0" w:rsidR="00112471" w:rsidRDefault="001124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DA58F" w14:textId="77777777" w:rsidR="00112471" w:rsidRDefault="00112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E9E5C" w14:textId="77777777" w:rsidR="00112471" w:rsidRDefault="00112471" w:rsidP="00112471">
      <w:r>
        <w:separator/>
      </w:r>
    </w:p>
  </w:footnote>
  <w:footnote w:type="continuationSeparator" w:id="0">
    <w:p w14:paraId="79735B1D" w14:textId="77777777" w:rsidR="00112471" w:rsidRDefault="00112471" w:rsidP="0011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B1754" w14:textId="2E4B9CE3" w:rsidR="00112471" w:rsidRDefault="00112471" w:rsidP="001124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BCD74" w14:textId="639B40F3" w:rsidR="00112471" w:rsidRDefault="00112471" w:rsidP="00112471">
    <w:pPr>
      <w:pStyle w:val="Header"/>
      <w:jc w:val="center"/>
    </w:pPr>
    <w:r>
      <w:rPr>
        <w:noProof/>
      </w:rPr>
      <w:drawing>
        <wp:inline distT="0" distB="0" distL="0" distR="0" wp14:anchorId="561792F3" wp14:editId="616D6AF6">
          <wp:extent cx="2828925" cy="800100"/>
          <wp:effectExtent l="0" t="0" r="0" b="0"/>
          <wp:docPr id="1" name="Picture 1" descr="Australian Government crest. &#10;Office of the National Rural Health Commissione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001278" name="Picture 1186001278" descr="Australian Government crest. &#10;Office of the National Rural Health Commissioner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942C6"/>
    <w:multiLevelType w:val="hybridMultilevel"/>
    <w:tmpl w:val="ADEA9E8E"/>
    <w:lvl w:ilvl="0" w:tplc="5C08FEE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48289954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BF0A8C14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7FECDF90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54941E3C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270445C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EE4ECFBC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08E237C2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98C0AB7C"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1" w15:restartNumberingAfterBreak="0">
    <w:nsid w:val="772111F1"/>
    <w:multiLevelType w:val="hybridMultilevel"/>
    <w:tmpl w:val="1D84D620"/>
    <w:lvl w:ilvl="0" w:tplc="1F6CE4A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0D22121E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4CEC9EE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FA4B6F8"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F9DE4A4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E4C02E60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79D2D99A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6E727C9A">
      <w:numFmt w:val="bullet"/>
      <w:lvlText w:val="•"/>
      <w:lvlJc w:val="left"/>
      <w:pPr>
        <w:ind w:left="6716" w:hanging="360"/>
      </w:pPr>
      <w:rPr>
        <w:rFonts w:hint="default"/>
      </w:rPr>
    </w:lvl>
    <w:lvl w:ilvl="8" w:tplc="8F16B860">
      <w:numFmt w:val="bullet"/>
      <w:lvlText w:val="•"/>
      <w:lvlJc w:val="left"/>
      <w:pPr>
        <w:ind w:left="755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508"/>
    <w:rsid w:val="00112471"/>
    <w:rsid w:val="003865AE"/>
    <w:rsid w:val="00A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24C21"/>
  <w15:docId w15:val="{6C91BD3F-8EB0-47DA-BEC6-FBF992B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1"/>
      <w:ind w:left="69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2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4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12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47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D21-1031083  Communique - Workshop on Rural Allied Health Service and Learning Consortia - 1 June 2021</vt:lpstr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Communique: Workshop on rural allied health service and learning consortia</dc:title>
  <dc:creator>Office of the National Rural Health Commissioner</dc:creator>
  <cp:keywords>Allied health, Rural health workforce</cp:keywords>
  <cp:lastModifiedBy>ROBERTSON, Jen</cp:lastModifiedBy>
  <cp:revision>3</cp:revision>
  <dcterms:created xsi:type="dcterms:W3CDTF">2021-07-19T00:38:00Z</dcterms:created>
  <dcterms:modified xsi:type="dcterms:W3CDTF">2021-11-23T10:49:00Z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2021-07-19T00:00:00Z</vt:filetime>
  </property>
</Properties>
</file>