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C7D36" w14:textId="1374E4EF" w:rsidR="00775FE4" w:rsidRPr="003A7BC6" w:rsidRDefault="00D8450A" w:rsidP="0084333B">
      <w:pPr>
        <w:rPr>
          <w:rFonts w:ascii="Times New Roman" w:hAnsi="Times New Roman"/>
          <w:noProof/>
          <w:sz w:val="32"/>
          <w:szCs w:val="32"/>
        </w:rPr>
      </w:pPr>
      <w:bookmarkStart w:id="0" w:name="imageHolder"/>
      <w:bookmarkEnd w:id="0"/>
      <w:r w:rsidRPr="00D912D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FECD16" wp14:editId="79A966E8">
            <wp:simplePos x="904875" y="361950"/>
            <wp:positionH relativeFrom="margin">
              <wp:align>center</wp:align>
            </wp:positionH>
            <wp:positionV relativeFrom="margin">
              <wp:align>top</wp:align>
            </wp:positionV>
            <wp:extent cx="1687830" cy="1119505"/>
            <wp:effectExtent l="0" t="0" r="7620" b="4445"/>
            <wp:wrapSquare wrapText="bothSides"/>
            <wp:docPr id="2" name="Picture 2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112">
        <w:rPr>
          <w:noProof/>
          <w:sz w:val="28"/>
          <w:szCs w:val="28"/>
        </w:rPr>
        <w:br w:type="textWrapping" w:clear="all"/>
      </w:r>
      <w:bookmarkStart w:id="1" w:name="Title"/>
      <w:bookmarkEnd w:id="1"/>
    </w:p>
    <w:p w14:paraId="126C8578" w14:textId="7EC64949" w:rsidR="00775FE4" w:rsidRPr="003A7BC6" w:rsidRDefault="00395112" w:rsidP="0084333B">
      <w:pPr>
        <w:jc w:val="center"/>
        <w:rPr>
          <w:b/>
          <w:bCs/>
          <w:i/>
          <w:iCs/>
          <w:sz w:val="28"/>
          <w:szCs w:val="28"/>
        </w:rPr>
      </w:pPr>
      <w:r w:rsidRPr="003A7BC6">
        <w:rPr>
          <w:b/>
          <w:bCs/>
          <w:i/>
          <w:iCs/>
          <w:sz w:val="28"/>
          <w:szCs w:val="28"/>
        </w:rPr>
        <w:t>Tobacco Advertising Prohibition Act 1992</w:t>
      </w:r>
    </w:p>
    <w:p w14:paraId="17F67127" w14:textId="6EE7505C" w:rsidR="00395112" w:rsidRPr="003A7BC6" w:rsidRDefault="00596ECF" w:rsidP="0084333B">
      <w:pPr>
        <w:jc w:val="center"/>
        <w:rPr>
          <w:b/>
          <w:bCs/>
          <w:sz w:val="28"/>
          <w:szCs w:val="28"/>
        </w:rPr>
      </w:pPr>
      <w:r w:rsidRPr="003A7BC6">
        <w:rPr>
          <w:b/>
          <w:bCs/>
          <w:sz w:val="28"/>
          <w:szCs w:val="28"/>
        </w:rPr>
        <w:t>Historic Motor</w:t>
      </w:r>
      <w:r w:rsidR="00C8505B" w:rsidRPr="003A7BC6">
        <w:rPr>
          <w:b/>
          <w:bCs/>
          <w:sz w:val="28"/>
          <w:szCs w:val="28"/>
        </w:rPr>
        <w:t>sport</w:t>
      </w:r>
      <w:r w:rsidRPr="003A7BC6">
        <w:rPr>
          <w:b/>
          <w:bCs/>
          <w:sz w:val="28"/>
          <w:szCs w:val="28"/>
        </w:rPr>
        <w:t xml:space="preserve"> Vehicle Liver</w:t>
      </w:r>
      <w:r w:rsidR="008923FE" w:rsidRPr="003A7BC6">
        <w:rPr>
          <w:b/>
          <w:bCs/>
          <w:sz w:val="28"/>
          <w:szCs w:val="28"/>
        </w:rPr>
        <w:t>ies</w:t>
      </w:r>
      <w:r w:rsidRPr="003A7BC6">
        <w:rPr>
          <w:b/>
          <w:bCs/>
          <w:sz w:val="28"/>
          <w:szCs w:val="28"/>
        </w:rPr>
        <w:t xml:space="preserve"> </w:t>
      </w:r>
      <w:r w:rsidR="008923FE" w:rsidRPr="003A7BC6">
        <w:rPr>
          <w:b/>
          <w:bCs/>
          <w:sz w:val="28"/>
          <w:szCs w:val="28"/>
        </w:rPr>
        <w:t>- Circular</w:t>
      </w:r>
    </w:p>
    <w:p w14:paraId="1D0CEA89" w14:textId="39546AB8" w:rsidR="00596ECF" w:rsidRPr="003A7BC6" w:rsidRDefault="00267618" w:rsidP="0084333B">
      <w:pPr>
        <w:jc w:val="center"/>
      </w:pPr>
      <w:r>
        <w:t>November</w:t>
      </w:r>
      <w:r w:rsidR="00596ECF" w:rsidRPr="003A7BC6">
        <w:t xml:space="preserve"> 2021</w:t>
      </w:r>
    </w:p>
    <w:p w14:paraId="380C3FC5" w14:textId="1DD49540" w:rsidR="00596ECF" w:rsidRDefault="00596ECF" w:rsidP="0084333B">
      <w:pPr>
        <w:jc w:val="center"/>
      </w:pPr>
    </w:p>
    <w:p w14:paraId="7F6E7D1B" w14:textId="77777777" w:rsidR="00C16FC2" w:rsidRPr="003A7BC6" w:rsidRDefault="00C16FC2" w:rsidP="0084333B">
      <w:pPr>
        <w:jc w:val="center"/>
      </w:pPr>
    </w:p>
    <w:p w14:paraId="523110A4" w14:textId="45A9D98E" w:rsidR="00596ECF" w:rsidRPr="003A7BC6" w:rsidRDefault="00596ECF" w:rsidP="0084333B">
      <w:r w:rsidRPr="003A7BC6">
        <w:t xml:space="preserve">The Department of Health (the Department) </w:t>
      </w:r>
      <w:r w:rsidR="00290985" w:rsidRPr="003A7BC6">
        <w:t xml:space="preserve">is aware of potential non-compliance </w:t>
      </w:r>
      <w:r w:rsidR="00300FD3" w:rsidRPr="003A7BC6">
        <w:t xml:space="preserve">of </w:t>
      </w:r>
      <w:r w:rsidR="0084333B" w:rsidRPr="003A7BC6">
        <w:t xml:space="preserve">the </w:t>
      </w:r>
      <w:hyperlink r:id="rId9" w:history="1">
        <w:r w:rsidR="0084333B" w:rsidRPr="003A7BC6">
          <w:rPr>
            <w:rStyle w:val="Hyperlink"/>
            <w:i/>
            <w:iCs/>
          </w:rPr>
          <w:t>Tobacco Advertising Prohibition Act 1992</w:t>
        </w:r>
      </w:hyperlink>
      <w:r w:rsidR="0084333B" w:rsidRPr="003A7BC6">
        <w:t xml:space="preserve"> (the Act) </w:t>
      </w:r>
      <w:r w:rsidR="00E17A34" w:rsidRPr="003A7BC6">
        <w:t xml:space="preserve">in relation </w:t>
      </w:r>
      <w:r w:rsidR="0084333B" w:rsidRPr="003A7BC6">
        <w:t xml:space="preserve">to </w:t>
      </w:r>
      <w:r w:rsidR="0053080E" w:rsidRPr="003A7BC6">
        <w:t xml:space="preserve">the display, publication or promotion of </w:t>
      </w:r>
      <w:r w:rsidR="0084333B" w:rsidRPr="003A7BC6">
        <w:t xml:space="preserve">historic motorsport vehicle liveries. </w:t>
      </w:r>
    </w:p>
    <w:p w14:paraId="7B440EDB" w14:textId="4143E8B7" w:rsidR="003C7BDC" w:rsidRPr="003A7BC6" w:rsidRDefault="003C7BDC" w:rsidP="0084333B">
      <w:pPr>
        <w:pStyle w:val="Header"/>
        <w:tabs>
          <w:tab w:val="left" w:pos="720"/>
        </w:tabs>
      </w:pPr>
    </w:p>
    <w:p w14:paraId="4FB569A9" w14:textId="70121DBE" w:rsidR="00337300" w:rsidRPr="003A7BC6" w:rsidRDefault="00337300" w:rsidP="00337300">
      <w:pPr>
        <w:pStyle w:val="Header"/>
        <w:tabs>
          <w:tab w:val="left" w:pos="720"/>
        </w:tabs>
      </w:pPr>
      <w:r w:rsidRPr="003A7BC6">
        <w:t xml:space="preserve">Tobacco sponsorship liveries </w:t>
      </w:r>
      <w:r w:rsidR="00C02CF7" w:rsidRPr="003A7BC6">
        <w:t xml:space="preserve">on </w:t>
      </w:r>
      <w:r w:rsidR="000D7696" w:rsidRPr="003A7BC6">
        <w:t xml:space="preserve">historic </w:t>
      </w:r>
      <w:r w:rsidR="00143749" w:rsidRPr="003A7BC6">
        <w:t>motorsport</w:t>
      </w:r>
      <w:r w:rsidR="00C02CF7" w:rsidRPr="003A7BC6">
        <w:t xml:space="preserve"> vehicles </w:t>
      </w:r>
      <w:r w:rsidRPr="003A7BC6">
        <w:t xml:space="preserve">are likely to meet the basic meaning of a tobacco advertisement under </w:t>
      </w:r>
      <w:r w:rsidR="00C02CF7" w:rsidRPr="003A7BC6">
        <w:t xml:space="preserve">Section </w:t>
      </w:r>
      <w:r w:rsidRPr="003A7BC6">
        <w:t xml:space="preserve">9(1) of the Act because they </w:t>
      </w:r>
      <w:r w:rsidR="00935448" w:rsidRPr="003A7BC6">
        <w:t>give publicity to</w:t>
      </w:r>
      <w:r w:rsidR="000D7696" w:rsidRPr="003A7BC6">
        <w:t xml:space="preserve">, </w:t>
      </w:r>
      <w:r w:rsidR="004C56C8" w:rsidRPr="003A7BC6">
        <w:t>or</w:t>
      </w:r>
      <w:r w:rsidR="00935448" w:rsidRPr="003A7BC6">
        <w:t xml:space="preserve"> </w:t>
      </w:r>
      <w:r w:rsidRPr="003A7BC6">
        <w:t>promote the purchase of</w:t>
      </w:r>
      <w:r w:rsidR="004C56C8" w:rsidRPr="003A7BC6">
        <w:t>,</w:t>
      </w:r>
      <w:r w:rsidRPr="003A7BC6">
        <w:t xml:space="preserve"> tobacco product</w:t>
      </w:r>
      <w:r w:rsidR="00935448" w:rsidRPr="003A7BC6">
        <w:t>s</w:t>
      </w:r>
      <w:r w:rsidRPr="003A7BC6">
        <w:t xml:space="preserve"> and smok</w:t>
      </w:r>
      <w:r w:rsidR="00DB3FA8" w:rsidRPr="003A7BC6">
        <w:t>ing</w:t>
      </w:r>
      <w:r w:rsidRPr="003A7BC6">
        <w:t xml:space="preserve">. As such, </w:t>
      </w:r>
      <w:r w:rsidR="000D7696" w:rsidRPr="003A7BC6">
        <w:t xml:space="preserve">their </w:t>
      </w:r>
      <w:r w:rsidRPr="003A7BC6">
        <w:t xml:space="preserve">publication may breach </w:t>
      </w:r>
      <w:r w:rsidR="000D7696" w:rsidRPr="003A7BC6">
        <w:t xml:space="preserve">Section </w:t>
      </w:r>
      <w:r w:rsidRPr="003A7BC6">
        <w:t xml:space="preserve">15 </w:t>
      </w:r>
      <w:r w:rsidR="000D7696" w:rsidRPr="003A7BC6">
        <w:t xml:space="preserve">(Tobacco advertisements not to be published) </w:t>
      </w:r>
      <w:r w:rsidRPr="003A7BC6">
        <w:t xml:space="preserve">and/or </w:t>
      </w:r>
      <w:r w:rsidR="000D7696" w:rsidRPr="003A7BC6">
        <w:t xml:space="preserve">Section </w:t>
      </w:r>
      <w:r w:rsidRPr="003A7BC6">
        <w:t xml:space="preserve">15A </w:t>
      </w:r>
      <w:r w:rsidR="000D7696" w:rsidRPr="003A7BC6">
        <w:t>(Tobacco advertisements not</w:t>
      </w:r>
      <w:r w:rsidR="00314B12">
        <w:t xml:space="preserve"> to</w:t>
      </w:r>
      <w:r w:rsidR="000D7696" w:rsidRPr="003A7BC6">
        <w:t xml:space="preserve"> be published electronically) </w:t>
      </w:r>
      <w:r w:rsidRPr="003A7BC6">
        <w:t>of the Act</w:t>
      </w:r>
      <w:r w:rsidR="000D7696" w:rsidRPr="003A7BC6">
        <w:t>.</w:t>
      </w:r>
    </w:p>
    <w:p w14:paraId="26FA9207" w14:textId="77777777" w:rsidR="004C65B7" w:rsidRPr="003A7BC6" w:rsidRDefault="004C65B7" w:rsidP="004C65B7">
      <w:pPr>
        <w:pStyle w:val="Header"/>
        <w:tabs>
          <w:tab w:val="left" w:pos="720"/>
        </w:tabs>
      </w:pPr>
    </w:p>
    <w:p w14:paraId="6D8A6100" w14:textId="5FAB5C2E" w:rsidR="00CA5297" w:rsidRDefault="00CA5297" w:rsidP="0084333B">
      <w:pPr>
        <w:pStyle w:val="Header"/>
        <w:tabs>
          <w:tab w:val="left" w:pos="720"/>
        </w:tabs>
      </w:pPr>
      <w:r w:rsidRPr="003A7BC6">
        <w:t xml:space="preserve">The Department believes that there are distinguishable differences between historic race vehicles, replica vehicles and tribute vehicles, and how they may relate to compliance with the Act. </w:t>
      </w:r>
      <w:r w:rsidR="003E2B24" w:rsidRPr="003A7BC6">
        <w:t xml:space="preserve">The Department’s </w:t>
      </w:r>
      <w:r w:rsidR="00DB3FA8" w:rsidRPr="003A7BC6">
        <w:t>determination</w:t>
      </w:r>
      <w:r w:rsidR="003E2B24" w:rsidRPr="003A7BC6">
        <w:t xml:space="preserve"> on what constitutes each of these is as </w:t>
      </w:r>
      <w:r w:rsidR="00C16FC2" w:rsidRPr="003A7BC6">
        <w:t>follows</w:t>
      </w:r>
      <w:r w:rsidR="003E2B24" w:rsidRPr="003A7BC6">
        <w:t>:</w:t>
      </w:r>
    </w:p>
    <w:p w14:paraId="4BFC32A4" w14:textId="77777777" w:rsidR="00553402" w:rsidRDefault="00553402" w:rsidP="0084333B">
      <w:pPr>
        <w:pStyle w:val="Header"/>
        <w:tabs>
          <w:tab w:val="left" w:pos="7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3402" w14:paraId="6FB808B0" w14:textId="77777777" w:rsidTr="00553402">
        <w:tc>
          <w:tcPr>
            <w:tcW w:w="9060" w:type="dxa"/>
          </w:tcPr>
          <w:p w14:paraId="71CED1F4" w14:textId="77777777" w:rsidR="00553402" w:rsidRPr="003A7BC6" w:rsidRDefault="00553402" w:rsidP="00553402">
            <w:pPr>
              <w:pStyle w:val="Heading2"/>
            </w:pPr>
            <w:r w:rsidRPr="003A7BC6">
              <w:t>Original historic vehicles</w:t>
            </w:r>
          </w:p>
          <w:p w14:paraId="265974A1" w14:textId="77777777" w:rsidR="00553402" w:rsidRPr="003A7BC6" w:rsidRDefault="00553402" w:rsidP="00553402">
            <w:pPr>
              <w:pStyle w:val="Header"/>
              <w:rPr>
                <w:color w:val="000000" w:themeColor="text1"/>
              </w:rPr>
            </w:pPr>
            <w:r w:rsidRPr="003A7BC6">
              <w:rPr>
                <w:color w:val="000000" w:themeColor="text1"/>
              </w:rPr>
              <w:t>An original historic race vehicle is a vehicle that actively competed in motorsports with tobacco sponsorship livery in races that pre-dated the Act. Generally, such vehicles are deemed to be an exception under the Act.</w:t>
            </w:r>
          </w:p>
          <w:p w14:paraId="714B458C" w14:textId="77777777" w:rsidR="00553402" w:rsidRDefault="00553402" w:rsidP="0084333B">
            <w:pPr>
              <w:pStyle w:val="Header"/>
              <w:tabs>
                <w:tab w:val="left" w:pos="720"/>
              </w:tabs>
            </w:pPr>
          </w:p>
        </w:tc>
      </w:tr>
      <w:tr w:rsidR="00553402" w14:paraId="5BD2F82C" w14:textId="77777777" w:rsidTr="00553402">
        <w:tc>
          <w:tcPr>
            <w:tcW w:w="9060" w:type="dxa"/>
          </w:tcPr>
          <w:p w14:paraId="3C5F254F" w14:textId="77777777" w:rsidR="00553402" w:rsidRPr="003A7BC6" w:rsidRDefault="00553402" w:rsidP="00553402">
            <w:pPr>
              <w:pStyle w:val="Heading2"/>
            </w:pPr>
            <w:r w:rsidRPr="006D6C97">
              <w:t>Replica historic vehicles</w:t>
            </w:r>
          </w:p>
          <w:p w14:paraId="29271075" w14:textId="77777777" w:rsidR="00553402" w:rsidRPr="003A7BC6" w:rsidRDefault="00553402" w:rsidP="00553402">
            <w:pPr>
              <w:pStyle w:val="Header"/>
              <w:rPr>
                <w:color w:val="000000" w:themeColor="text1"/>
              </w:rPr>
            </w:pPr>
            <w:r w:rsidRPr="003A7BC6">
              <w:rPr>
                <w:color w:val="000000" w:themeColor="text1"/>
              </w:rPr>
              <w:t>A replica historic race vehicle is a vehicle of the same make and model to an original historic race vehicle</w:t>
            </w:r>
            <w:r>
              <w:rPr>
                <w:color w:val="000000" w:themeColor="text1"/>
              </w:rPr>
              <w:t>,</w:t>
            </w:r>
            <w:r w:rsidRPr="003A7B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designed to replicate an original historic vehicle</w:t>
            </w:r>
            <w:r w:rsidRPr="003A7BC6">
              <w:rPr>
                <w:color w:val="000000" w:themeColor="text1"/>
              </w:rPr>
              <w:t>, including tobacco sponsorship livery</w:t>
            </w:r>
            <w:r>
              <w:rPr>
                <w:color w:val="000000" w:themeColor="text1"/>
              </w:rPr>
              <w:t>.</w:t>
            </w:r>
          </w:p>
          <w:p w14:paraId="02323975" w14:textId="77777777" w:rsidR="00553402" w:rsidRDefault="00553402" w:rsidP="0084333B">
            <w:pPr>
              <w:pStyle w:val="Header"/>
              <w:tabs>
                <w:tab w:val="left" w:pos="720"/>
              </w:tabs>
            </w:pPr>
          </w:p>
        </w:tc>
      </w:tr>
      <w:tr w:rsidR="00553402" w14:paraId="3709DD75" w14:textId="77777777" w:rsidTr="00553402">
        <w:tc>
          <w:tcPr>
            <w:tcW w:w="9060" w:type="dxa"/>
          </w:tcPr>
          <w:p w14:paraId="5372AADF" w14:textId="77777777" w:rsidR="00553402" w:rsidRPr="003A7BC6" w:rsidRDefault="00553402" w:rsidP="00553402">
            <w:pPr>
              <w:pStyle w:val="Heading2"/>
            </w:pPr>
            <w:r w:rsidRPr="006D6C97">
              <w:t>Tribute vehicles</w:t>
            </w:r>
          </w:p>
          <w:p w14:paraId="711221E6" w14:textId="77777777" w:rsidR="00553402" w:rsidRPr="003A7BC6" w:rsidRDefault="00553402" w:rsidP="00553402">
            <w:pPr>
              <w:pStyle w:val="Header"/>
            </w:pPr>
            <w:r w:rsidRPr="003A7BC6">
              <w:t>A tribute vehicle is a vehicle of a different model or series to an original historic race vehicle</w:t>
            </w:r>
            <w:r>
              <w:t xml:space="preserve">, designed </w:t>
            </w:r>
            <w:r w:rsidRPr="003A7BC6">
              <w:t xml:space="preserve">to honour </w:t>
            </w:r>
            <w:r>
              <w:t xml:space="preserve">or evoke memories of </w:t>
            </w:r>
            <w:r w:rsidRPr="003A7BC6">
              <w:t xml:space="preserve">the </w:t>
            </w:r>
            <w:r>
              <w:t>original historic vehicle</w:t>
            </w:r>
            <w:r w:rsidRPr="003A7BC6">
              <w:t>, including the application of the original vehicle’s tobacco sponsorship livery</w:t>
            </w:r>
            <w:r>
              <w:t>.</w:t>
            </w:r>
            <w:r w:rsidRPr="003A7BC6">
              <w:t xml:space="preserve"> </w:t>
            </w:r>
          </w:p>
          <w:p w14:paraId="47879271" w14:textId="77777777" w:rsidR="00553402" w:rsidRDefault="00553402" w:rsidP="0084333B">
            <w:pPr>
              <w:pStyle w:val="Header"/>
              <w:tabs>
                <w:tab w:val="left" w:pos="720"/>
              </w:tabs>
            </w:pPr>
          </w:p>
        </w:tc>
      </w:tr>
    </w:tbl>
    <w:p w14:paraId="37146B0C" w14:textId="77777777" w:rsidR="004C56C8" w:rsidRPr="003A7BC6" w:rsidRDefault="004C56C8" w:rsidP="003A7BC6">
      <w:pPr>
        <w:pStyle w:val="Header"/>
        <w:ind w:left="426"/>
      </w:pPr>
    </w:p>
    <w:p w14:paraId="232F49F6" w14:textId="2000E21F" w:rsidR="00C16FC2" w:rsidRDefault="00C16FC2" w:rsidP="00C16FC2">
      <w:pPr>
        <w:pStyle w:val="Header"/>
        <w:tabs>
          <w:tab w:val="left" w:pos="720"/>
        </w:tabs>
      </w:pPr>
      <w:r w:rsidRPr="008C4B03">
        <w:t xml:space="preserve">Generally, </w:t>
      </w:r>
      <w:r>
        <w:t xml:space="preserve">where </w:t>
      </w:r>
      <w:r w:rsidRPr="008C4B03">
        <w:t>tobacco advertising liveries</w:t>
      </w:r>
      <w:r>
        <w:t xml:space="preserve"> are</w:t>
      </w:r>
      <w:r w:rsidRPr="008C4B03">
        <w:t xml:space="preserve"> applied to </w:t>
      </w:r>
      <w:r w:rsidR="006D6C97">
        <w:t xml:space="preserve">replica or tribute </w:t>
      </w:r>
      <w:r w:rsidRPr="008C4B03">
        <w:t>vehicle</w:t>
      </w:r>
      <w:r w:rsidR="006D6C97">
        <w:t>s</w:t>
      </w:r>
      <w:r w:rsidRPr="008C4B03">
        <w:t xml:space="preserve"> </w:t>
      </w:r>
      <w:r w:rsidR="006D6C97" w:rsidRPr="003A7BC6">
        <w:rPr>
          <w:u w:val="single"/>
        </w:rPr>
        <w:t>prior to</w:t>
      </w:r>
      <w:r w:rsidRPr="003A7BC6">
        <w:rPr>
          <w:u w:val="single"/>
        </w:rPr>
        <w:t xml:space="preserve"> the commencement </w:t>
      </w:r>
      <w:r w:rsidRPr="008C4B03">
        <w:t>of the Act</w:t>
      </w:r>
      <w:r w:rsidR="008A1C93">
        <w:t xml:space="preserve"> </w:t>
      </w:r>
      <w:r w:rsidR="008A1C93" w:rsidRPr="00267618">
        <w:t xml:space="preserve">on </w:t>
      </w:r>
      <w:r w:rsidR="0038078E" w:rsidRPr="00267618">
        <w:t>24</w:t>
      </w:r>
      <w:r w:rsidR="00E050A9" w:rsidRPr="00267618">
        <w:t xml:space="preserve"> </w:t>
      </w:r>
      <w:r w:rsidR="0038078E" w:rsidRPr="00267618">
        <w:t>December</w:t>
      </w:r>
      <w:r w:rsidR="00E050A9" w:rsidRPr="00267618">
        <w:t xml:space="preserve"> 199</w:t>
      </w:r>
      <w:r w:rsidR="0038078E" w:rsidRPr="00267618">
        <w:t>2</w:t>
      </w:r>
      <w:r w:rsidRPr="008C4B03">
        <w:t>, or applied pursuant to a contract which was entered into before the commencement of the Act, are likely to qualify as an exemption under the Act.</w:t>
      </w:r>
    </w:p>
    <w:p w14:paraId="0C8A9D50" w14:textId="3CC1B558" w:rsidR="006D6C97" w:rsidRDefault="006D6C97" w:rsidP="00C16FC2">
      <w:pPr>
        <w:pStyle w:val="Header"/>
        <w:tabs>
          <w:tab w:val="left" w:pos="720"/>
        </w:tabs>
      </w:pPr>
    </w:p>
    <w:p w14:paraId="6E56BC0B" w14:textId="4A7BBB77" w:rsidR="006D6C97" w:rsidRPr="006D6C97" w:rsidRDefault="006D6C97" w:rsidP="00C16FC2">
      <w:pPr>
        <w:pStyle w:val="Header"/>
        <w:tabs>
          <w:tab w:val="left" w:pos="720"/>
        </w:tabs>
      </w:pPr>
      <w:r>
        <w:t xml:space="preserve">Where tobacco advertising liveries are applied to replica or tribute vehicles </w:t>
      </w:r>
      <w:r>
        <w:rPr>
          <w:u w:val="single"/>
        </w:rPr>
        <w:t>after the commencement</w:t>
      </w:r>
      <w:r>
        <w:t xml:space="preserve"> of the Act, generally, it is not likely that an exemption would apply.</w:t>
      </w:r>
    </w:p>
    <w:p w14:paraId="5AA56AB2" w14:textId="14907581" w:rsidR="00C16FC2" w:rsidRDefault="006D6C97" w:rsidP="0084333B">
      <w:pPr>
        <w:pStyle w:val="Header"/>
        <w:tabs>
          <w:tab w:val="left" w:pos="720"/>
        </w:tabs>
      </w:pPr>
      <w:r>
        <w:t>These circumstances are likely to constitute a breach of the Act.</w:t>
      </w:r>
      <w:r w:rsidR="00025119" w:rsidRPr="003A7BC6">
        <w:t xml:space="preserve"> </w:t>
      </w:r>
    </w:p>
    <w:p w14:paraId="396218F0" w14:textId="77777777" w:rsidR="00C16FC2" w:rsidRDefault="00C16FC2" w:rsidP="0084333B">
      <w:pPr>
        <w:pStyle w:val="Header"/>
        <w:tabs>
          <w:tab w:val="left" w:pos="720"/>
        </w:tabs>
      </w:pPr>
    </w:p>
    <w:p w14:paraId="05F55916" w14:textId="316F294C" w:rsidR="006D6C97" w:rsidRDefault="00025119" w:rsidP="0084333B">
      <w:pPr>
        <w:pStyle w:val="Header"/>
        <w:tabs>
          <w:tab w:val="left" w:pos="720"/>
        </w:tabs>
      </w:pPr>
      <w:r w:rsidRPr="003A7BC6">
        <w:t xml:space="preserve">In </w:t>
      </w:r>
      <w:r w:rsidR="00831482" w:rsidRPr="003A7BC6">
        <w:t xml:space="preserve">respect to the maintenance of existing tobacco sponsorship liveries on original </w:t>
      </w:r>
      <w:r w:rsidRPr="003A7BC6">
        <w:t xml:space="preserve">historic race </w:t>
      </w:r>
      <w:r w:rsidR="00831482" w:rsidRPr="003A7BC6">
        <w:t xml:space="preserve">vehicles, the Department </w:t>
      </w:r>
      <w:r w:rsidRPr="003A7BC6">
        <w:t>considers refurbishing or reappl</w:t>
      </w:r>
      <w:r w:rsidR="00225C2C" w:rsidRPr="003A7BC6">
        <w:t>ying</w:t>
      </w:r>
      <w:r w:rsidRPr="003A7BC6">
        <w:t xml:space="preserve"> </w:t>
      </w:r>
      <w:r w:rsidR="00831482" w:rsidRPr="003A7BC6">
        <w:t xml:space="preserve">livery </w:t>
      </w:r>
      <w:r w:rsidR="00225C2C" w:rsidRPr="003A7BC6">
        <w:t xml:space="preserve">for restoration purpose </w:t>
      </w:r>
      <w:r w:rsidRPr="003A7BC6">
        <w:t xml:space="preserve">is likely to qualify as an exception under </w:t>
      </w:r>
      <w:r w:rsidR="004F1D0A" w:rsidRPr="003A7BC6">
        <w:t>the</w:t>
      </w:r>
      <w:r w:rsidR="00831482" w:rsidRPr="003A7BC6">
        <w:t xml:space="preserve"> Act. </w:t>
      </w:r>
    </w:p>
    <w:p w14:paraId="07261103" w14:textId="77777777" w:rsidR="006D6C97" w:rsidRDefault="006D6C97" w:rsidP="0084333B">
      <w:pPr>
        <w:pStyle w:val="Header"/>
        <w:tabs>
          <w:tab w:val="left" w:pos="720"/>
        </w:tabs>
      </w:pPr>
    </w:p>
    <w:p w14:paraId="0A843F62" w14:textId="3BD3CBEC" w:rsidR="00831482" w:rsidRPr="003A7BC6" w:rsidRDefault="00831482" w:rsidP="0084333B">
      <w:pPr>
        <w:pStyle w:val="Header"/>
        <w:tabs>
          <w:tab w:val="left" w:pos="720"/>
        </w:tabs>
      </w:pPr>
      <w:r w:rsidRPr="003A7BC6">
        <w:t xml:space="preserve">However, this is highly dependent on the context and nature </w:t>
      </w:r>
      <w:r w:rsidR="004F1D0A" w:rsidRPr="003A7BC6">
        <w:t xml:space="preserve">of any maintenance or restoration </w:t>
      </w:r>
      <w:r w:rsidR="00225C2C" w:rsidRPr="003A7BC6">
        <w:t>undertaken</w:t>
      </w:r>
      <w:r w:rsidR="004F1D0A" w:rsidRPr="003A7BC6">
        <w:t xml:space="preserve">. It would be necessary to have regard to all the relevant factors, including whether the </w:t>
      </w:r>
      <w:r w:rsidR="00225C2C" w:rsidRPr="003A7BC6">
        <w:t xml:space="preserve">restoration </w:t>
      </w:r>
      <w:r w:rsidR="004F1D0A" w:rsidRPr="003A7BC6">
        <w:t xml:space="preserve">resulted in an altered design, or </w:t>
      </w:r>
      <w:r w:rsidR="00225C2C" w:rsidRPr="003A7BC6">
        <w:t>if any additional benefit was received by the vehicle owner under the Act.</w:t>
      </w:r>
    </w:p>
    <w:p w14:paraId="6C99C194" w14:textId="77777777" w:rsidR="00831482" w:rsidRPr="003A7BC6" w:rsidRDefault="00831482" w:rsidP="0084333B">
      <w:pPr>
        <w:pStyle w:val="Header"/>
        <w:tabs>
          <w:tab w:val="left" w:pos="720"/>
        </w:tabs>
      </w:pPr>
    </w:p>
    <w:p w14:paraId="5CD411F4" w14:textId="78ECA2B9" w:rsidR="0084333B" w:rsidRPr="003A7BC6" w:rsidRDefault="0084333B" w:rsidP="0084333B">
      <w:pPr>
        <w:tabs>
          <w:tab w:val="right" w:pos="9072"/>
        </w:tabs>
      </w:pPr>
      <w:r w:rsidRPr="003A7BC6">
        <w:t xml:space="preserve">For further information, please email </w:t>
      </w:r>
      <w:hyperlink r:id="rId10" w:history="1">
        <w:r w:rsidRPr="003A7BC6">
          <w:rPr>
            <w:rStyle w:val="Hyperlink"/>
          </w:rPr>
          <w:t>tobaccoadvertising@health.gov.au</w:t>
        </w:r>
      </w:hyperlink>
      <w:r w:rsidRPr="003A7BC6">
        <w:t>.</w:t>
      </w:r>
    </w:p>
    <w:p w14:paraId="2D79DCA3" w14:textId="77777777" w:rsidR="0084333B" w:rsidRPr="003A7BC6" w:rsidRDefault="0084333B" w:rsidP="0084333B">
      <w:pPr>
        <w:tabs>
          <w:tab w:val="right" w:pos="9072"/>
        </w:tabs>
      </w:pPr>
    </w:p>
    <w:p w14:paraId="4F91E60F" w14:textId="6D288C06" w:rsidR="00C16FC2" w:rsidRDefault="0084333B" w:rsidP="0084333B">
      <w:pPr>
        <w:tabs>
          <w:tab w:val="right" w:pos="9072"/>
        </w:tabs>
        <w:rPr>
          <w:b/>
          <w:bCs/>
        </w:rPr>
      </w:pPr>
      <w:r w:rsidRPr="003A7BC6">
        <w:rPr>
          <w:b/>
          <w:bCs/>
        </w:rPr>
        <w:t>Disclaimer: This information is provided for general informational purposes only</w:t>
      </w:r>
      <w:r w:rsidR="00DC1057" w:rsidRPr="003A7BC6">
        <w:rPr>
          <w:b/>
          <w:bCs/>
        </w:rPr>
        <w:t xml:space="preserve"> as it is not </w:t>
      </w:r>
      <w:r w:rsidR="00143749" w:rsidRPr="003A7BC6">
        <w:rPr>
          <w:b/>
          <w:bCs/>
        </w:rPr>
        <w:t>exhaustive</w:t>
      </w:r>
      <w:r w:rsidR="00DC1057" w:rsidRPr="003A7BC6">
        <w:rPr>
          <w:b/>
          <w:bCs/>
        </w:rPr>
        <w:t>, nor does</w:t>
      </w:r>
      <w:r w:rsidRPr="003A7BC6">
        <w:rPr>
          <w:b/>
          <w:bCs/>
        </w:rPr>
        <w:t xml:space="preserve"> it does not constitute legal advice. Please seek </w:t>
      </w:r>
      <w:r w:rsidR="00DC1057" w:rsidRPr="003A7BC6">
        <w:rPr>
          <w:b/>
          <w:bCs/>
        </w:rPr>
        <w:t xml:space="preserve">your own </w:t>
      </w:r>
      <w:r w:rsidRPr="003A7BC6">
        <w:rPr>
          <w:b/>
          <w:bCs/>
        </w:rPr>
        <w:t xml:space="preserve">independent </w:t>
      </w:r>
      <w:r w:rsidR="00210414" w:rsidRPr="003A7BC6">
        <w:rPr>
          <w:b/>
          <w:bCs/>
        </w:rPr>
        <w:t xml:space="preserve">and private </w:t>
      </w:r>
      <w:r w:rsidRPr="003A7BC6">
        <w:rPr>
          <w:b/>
          <w:bCs/>
        </w:rPr>
        <w:t xml:space="preserve">legal advice before relying on </w:t>
      </w:r>
      <w:r w:rsidR="00210414" w:rsidRPr="003A7BC6">
        <w:rPr>
          <w:b/>
          <w:bCs/>
        </w:rPr>
        <w:t xml:space="preserve">any </w:t>
      </w:r>
      <w:r w:rsidRPr="003A7BC6">
        <w:rPr>
          <w:b/>
          <w:bCs/>
        </w:rPr>
        <w:t>information provided</w:t>
      </w:r>
      <w:r w:rsidR="00210414" w:rsidRPr="003A7BC6">
        <w:rPr>
          <w:b/>
          <w:bCs/>
        </w:rPr>
        <w:t xml:space="preserve"> by the Department</w:t>
      </w:r>
      <w:r w:rsidRPr="003A7BC6">
        <w:rPr>
          <w:b/>
          <w:bCs/>
        </w:rPr>
        <w:t xml:space="preserve">. </w:t>
      </w:r>
    </w:p>
    <w:p w14:paraId="78188E61" w14:textId="77777777" w:rsidR="00C16FC2" w:rsidRDefault="00C16FC2" w:rsidP="0084333B">
      <w:pPr>
        <w:tabs>
          <w:tab w:val="right" w:pos="9072"/>
        </w:tabs>
        <w:rPr>
          <w:b/>
          <w:bCs/>
        </w:rPr>
      </w:pPr>
    </w:p>
    <w:p w14:paraId="4062390A" w14:textId="714F57CD" w:rsidR="00DC1057" w:rsidRPr="003A7BC6" w:rsidRDefault="0084333B" w:rsidP="0084333B">
      <w:pPr>
        <w:tabs>
          <w:tab w:val="right" w:pos="9072"/>
        </w:tabs>
        <w:rPr>
          <w:b/>
          <w:bCs/>
        </w:rPr>
      </w:pPr>
      <w:r w:rsidRPr="003A7BC6">
        <w:rPr>
          <w:b/>
          <w:bCs/>
        </w:rPr>
        <w:t xml:space="preserve">The Department does not certify compliance with the </w:t>
      </w:r>
      <w:r w:rsidRPr="003A7BC6">
        <w:rPr>
          <w:b/>
          <w:bCs/>
          <w:i/>
          <w:iCs/>
        </w:rPr>
        <w:t>Tobacco Advertising Prohibition Act 1992</w:t>
      </w:r>
      <w:r w:rsidR="00C16FC2">
        <w:rPr>
          <w:b/>
          <w:bCs/>
        </w:rPr>
        <w:t xml:space="preserve"> or any other tobacco control legislation that it administers</w:t>
      </w:r>
      <w:r w:rsidRPr="003A7BC6">
        <w:rPr>
          <w:b/>
          <w:bCs/>
        </w:rPr>
        <w:t>.</w:t>
      </w:r>
    </w:p>
    <w:p w14:paraId="257D6F23" w14:textId="7F9CCA4C" w:rsidR="00DC1057" w:rsidRPr="003A7BC6" w:rsidRDefault="00DC1057" w:rsidP="00210414">
      <w:pPr>
        <w:tabs>
          <w:tab w:val="right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C1057" w:rsidRPr="003A7BC6" w:rsidSect="009662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780CB" w14:textId="77777777" w:rsidR="00395112" w:rsidRDefault="00395112">
      <w:r>
        <w:separator/>
      </w:r>
    </w:p>
  </w:endnote>
  <w:endnote w:type="continuationSeparator" w:id="0">
    <w:p w14:paraId="78BF3200" w14:textId="77777777" w:rsidR="00395112" w:rsidRDefault="0039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2875F" w14:textId="77777777" w:rsidR="00596ECF" w:rsidRDefault="00596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FFEA3" w14:textId="77777777" w:rsidR="00596ECF" w:rsidRDefault="00596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00023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6FE21EC5" w14:textId="5223CF15" w:rsidR="00D912DB" w:rsidRPr="00CF3477" w:rsidRDefault="00112C73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DB0AD2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br/>
    </w:r>
    <w:r w:rsidR="00395112">
      <w:rPr>
        <w:rFonts w:ascii="Arial" w:hAnsi="Arial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C13F1" w14:textId="77777777" w:rsidR="00395112" w:rsidRDefault="00395112">
      <w:r>
        <w:separator/>
      </w:r>
    </w:p>
  </w:footnote>
  <w:footnote w:type="continuationSeparator" w:id="0">
    <w:p w14:paraId="4B9C15AE" w14:textId="77777777" w:rsidR="00395112" w:rsidRDefault="00395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CACC" w14:textId="77777777" w:rsidR="00596ECF" w:rsidRDefault="00596E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6C298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5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6404" w14:textId="195B52E0" w:rsidR="00596ECF" w:rsidRDefault="00596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43BD"/>
    <w:multiLevelType w:val="hybridMultilevel"/>
    <w:tmpl w:val="EF6A3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4074"/>
    <w:multiLevelType w:val="hybridMultilevel"/>
    <w:tmpl w:val="847C154C"/>
    <w:lvl w:ilvl="0" w:tplc="0EC047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B144C"/>
    <w:multiLevelType w:val="hybridMultilevel"/>
    <w:tmpl w:val="C4AA2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4081B"/>
    <w:multiLevelType w:val="hybridMultilevel"/>
    <w:tmpl w:val="649886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4C20"/>
    <w:multiLevelType w:val="hybridMultilevel"/>
    <w:tmpl w:val="D88022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12"/>
    <w:rsid w:val="0000021D"/>
    <w:rsid w:val="00025119"/>
    <w:rsid w:val="00036724"/>
    <w:rsid w:val="00041E2E"/>
    <w:rsid w:val="000460C4"/>
    <w:rsid w:val="00047105"/>
    <w:rsid w:val="00063FB6"/>
    <w:rsid w:val="00072F0C"/>
    <w:rsid w:val="00072FD8"/>
    <w:rsid w:val="0008618D"/>
    <w:rsid w:val="000906BD"/>
    <w:rsid w:val="000B478D"/>
    <w:rsid w:val="000D7696"/>
    <w:rsid w:val="000E4D22"/>
    <w:rsid w:val="000F2591"/>
    <w:rsid w:val="001014B8"/>
    <w:rsid w:val="00112C73"/>
    <w:rsid w:val="001162DE"/>
    <w:rsid w:val="001305E2"/>
    <w:rsid w:val="001360C1"/>
    <w:rsid w:val="00143749"/>
    <w:rsid w:val="001572D2"/>
    <w:rsid w:val="00160564"/>
    <w:rsid w:val="0017608F"/>
    <w:rsid w:val="00182511"/>
    <w:rsid w:val="00182C46"/>
    <w:rsid w:val="00190EE6"/>
    <w:rsid w:val="0019136C"/>
    <w:rsid w:val="001D75A2"/>
    <w:rsid w:val="001E4026"/>
    <w:rsid w:val="001F0840"/>
    <w:rsid w:val="001F0D48"/>
    <w:rsid w:val="00210414"/>
    <w:rsid w:val="00225C2C"/>
    <w:rsid w:val="00235958"/>
    <w:rsid w:val="002426B3"/>
    <w:rsid w:val="0024276B"/>
    <w:rsid w:val="00250594"/>
    <w:rsid w:val="00251E49"/>
    <w:rsid w:val="0026397D"/>
    <w:rsid w:val="00267618"/>
    <w:rsid w:val="00273053"/>
    <w:rsid w:val="00290985"/>
    <w:rsid w:val="002D17D2"/>
    <w:rsid w:val="002D1A4C"/>
    <w:rsid w:val="002E45FF"/>
    <w:rsid w:val="002F3611"/>
    <w:rsid w:val="00300F73"/>
    <w:rsid w:val="00300FD3"/>
    <w:rsid w:val="003060D2"/>
    <w:rsid w:val="0030702A"/>
    <w:rsid w:val="00310CDA"/>
    <w:rsid w:val="00314B12"/>
    <w:rsid w:val="00337300"/>
    <w:rsid w:val="00363CF2"/>
    <w:rsid w:val="00372506"/>
    <w:rsid w:val="0038078E"/>
    <w:rsid w:val="00395112"/>
    <w:rsid w:val="003A7BC6"/>
    <w:rsid w:val="003C1944"/>
    <w:rsid w:val="003C464D"/>
    <w:rsid w:val="003C7BDC"/>
    <w:rsid w:val="003E2B24"/>
    <w:rsid w:val="003E2B98"/>
    <w:rsid w:val="004124E0"/>
    <w:rsid w:val="00413130"/>
    <w:rsid w:val="00420B2C"/>
    <w:rsid w:val="004227ED"/>
    <w:rsid w:val="004352FF"/>
    <w:rsid w:val="0044416F"/>
    <w:rsid w:val="0044779A"/>
    <w:rsid w:val="004557B9"/>
    <w:rsid w:val="00461016"/>
    <w:rsid w:val="00465451"/>
    <w:rsid w:val="004701C4"/>
    <w:rsid w:val="004735A2"/>
    <w:rsid w:val="004776E8"/>
    <w:rsid w:val="0048137D"/>
    <w:rsid w:val="004864D9"/>
    <w:rsid w:val="004972B9"/>
    <w:rsid w:val="004C0B1F"/>
    <w:rsid w:val="004C56C8"/>
    <w:rsid w:val="004C65B7"/>
    <w:rsid w:val="004C7B6B"/>
    <w:rsid w:val="004E33D9"/>
    <w:rsid w:val="004F1D0A"/>
    <w:rsid w:val="004F3200"/>
    <w:rsid w:val="005025B0"/>
    <w:rsid w:val="005041DA"/>
    <w:rsid w:val="00516621"/>
    <w:rsid w:val="0053080E"/>
    <w:rsid w:val="00531B2D"/>
    <w:rsid w:val="00536627"/>
    <w:rsid w:val="0054002A"/>
    <w:rsid w:val="005527BE"/>
    <w:rsid w:val="00552FCD"/>
    <w:rsid w:val="00553402"/>
    <w:rsid w:val="00556242"/>
    <w:rsid w:val="00562816"/>
    <w:rsid w:val="0057330E"/>
    <w:rsid w:val="0057521F"/>
    <w:rsid w:val="00596ECF"/>
    <w:rsid w:val="005D2DB1"/>
    <w:rsid w:val="005E3018"/>
    <w:rsid w:val="005E57FD"/>
    <w:rsid w:val="005F028C"/>
    <w:rsid w:val="00631ADC"/>
    <w:rsid w:val="006344A2"/>
    <w:rsid w:val="0063526B"/>
    <w:rsid w:val="006353C6"/>
    <w:rsid w:val="00635412"/>
    <w:rsid w:val="00641F00"/>
    <w:rsid w:val="00650E1D"/>
    <w:rsid w:val="00654CE5"/>
    <w:rsid w:val="00676983"/>
    <w:rsid w:val="00691B7D"/>
    <w:rsid w:val="006A3B8F"/>
    <w:rsid w:val="006B4D31"/>
    <w:rsid w:val="006B6A7A"/>
    <w:rsid w:val="006D6C97"/>
    <w:rsid w:val="006E7D7A"/>
    <w:rsid w:val="006F025E"/>
    <w:rsid w:val="006F3DF8"/>
    <w:rsid w:val="007004A3"/>
    <w:rsid w:val="00706A24"/>
    <w:rsid w:val="007211BC"/>
    <w:rsid w:val="0072510E"/>
    <w:rsid w:val="00730354"/>
    <w:rsid w:val="00731FCD"/>
    <w:rsid w:val="007744F2"/>
    <w:rsid w:val="00775FE4"/>
    <w:rsid w:val="00782FCB"/>
    <w:rsid w:val="007A3D38"/>
    <w:rsid w:val="007A6745"/>
    <w:rsid w:val="007B097B"/>
    <w:rsid w:val="007C7AFD"/>
    <w:rsid w:val="007F3885"/>
    <w:rsid w:val="0081296E"/>
    <w:rsid w:val="00820DF9"/>
    <w:rsid w:val="00822C1A"/>
    <w:rsid w:val="00831482"/>
    <w:rsid w:val="00834CB4"/>
    <w:rsid w:val="0084333B"/>
    <w:rsid w:val="00855778"/>
    <w:rsid w:val="008621C3"/>
    <w:rsid w:val="008908CC"/>
    <w:rsid w:val="008923FE"/>
    <w:rsid w:val="0089317D"/>
    <w:rsid w:val="00893978"/>
    <w:rsid w:val="0089439E"/>
    <w:rsid w:val="00894F47"/>
    <w:rsid w:val="008A1C93"/>
    <w:rsid w:val="008A2960"/>
    <w:rsid w:val="008A4ACD"/>
    <w:rsid w:val="008A79A4"/>
    <w:rsid w:val="008B0D7D"/>
    <w:rsid w:val="00910FFC"/>
    <w:rsid w:val="00911F6E"/>
    <w:rsid w:val="00912F75"/>
    <w:rsid w:val="00915116"/>
    <w:rsid w:val="00925D73"/>
    <w:rsid w:val="0093202A"/>
    <w:rsid w:val="0093466D"/>
    <w:rsid w:val="00935448"/>
    <w:rsid w:val="00935E4C"/>
    <w:rsid w:val="00937489"/>
    <w:rsid w:val="009537B3"/>
    <w:rsid w:val="009539F4"/>
    <w:rsid w:val="00960916"/>
    <w:rsid w:val="0096146C"/>
    <w:rsid w:val="0096629A"/>
    <w:rsid w:val="00973568"/>
    <w:rsid w:val="009800E4"/>
    <w:rsid w:val="009A1EB8"/>
    <w:rsid w:val="009A2CD9"/>
    <w:rsid w:val="009A7761"/>
    <w:rsid w:val="009C3F3F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53488"/>
    <w:rsid w:val="00A832DF"/>
    <w:rsid w:val="00A84ACC"/>
    <w:rsid w:val="00A932D3"/>
    <w:rsid w:val="00AB2279"/>
    <w:rsid w:val="00AC4C53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72F0"/>
    <w:rsid w:val="00B53800"/>
    <w:rsid w:val="00B54BFA"/>
    <w:rsid w:val="00B5725E"/>
    <w:rsid w:val="00B60BFA"/>
    <w:rsid w:val="00B61C58"/>
    <w:rsid w:val="00B7391A"/>
    <w:rsid w:val="00B8737D"/>
    <w:rsid w:val="00B9620B"/>
    <w:rsid w:val="00BE3060"/>
    <w:rsid w:val="00BE388C"/>
    <w:rsid w:val="00BF7CB2"/>
    <w:rsid w:val="00C02CF7"/>
    <w:rsid w:val="00C12EEB"/>
    <w:rsid w:val="00C16FC2"/>
    <w:rsid w:val="00C21FDA"/>
    <w:rsid w:val="00C23A31"/>
    <w:rsid w:val="00C45D29"/>
    <w:rsid w:val="00C67E28"/>
    <w:rsid w:val="00C77E14"/>
    <w:rsid w:val="00C8019D"/>
    <w:rsid w:val="00C8505B"/>
    <w:rsid w:val="00C853DD"/>
    <w:rsid w:val="00C91ACF"/>
    <w:rsid w:val="00C9771B"/>
    <w:rsid w:val="00CA5297"/>
    <w:rsid w:val="00CA627A"/>
    <w:rsid w:val="00CB6189"/>
    <w:rsid w:val="00CC0246"/>
    <w:rsid w:val="00CD5206"/>
    <w:rsid w:val="00CE4691"/>
    <w:rsid w:val="00CE4823"/>
    <w:rsid w:val="00CF3477"/>
    <w:rsid w:val="00D239CA"/>
    <w:rsid w:val="00D23FF4"/>
    <w:rsid w:val="00D451B8"/>
    <w:rsid w:val="00D67CDE"/>
    <w:rsid w:val="00D73387"/>
    <w:rsid w:val="00D8450A"/>
    <w:rsid w:val="00D86D14"/>
    <w:rsid w:val="00D912DB"/>
    <w:rsid w:val="00D91587"/>
    <w:rsid w:val="00DA0569"/>
    <w:rsid w:val="00DB0AD2"/>
    <w:rsid w:val="00DB3FA8"/>
    <w:rsid w:val="00DC1057"/>
    <w:rsid w:val="00DD5414"/>
    <w:rsid w:val="00DF116F"/>
    <w:rsid w:val="00E050A9"/>
    <w:rsid w:val="00E17A34"/>
    <w:rsid w:val="00E25AED"/>
    <w:rsid w:val="00E50657"/>
    <w:rsid w:val="00E5582E"/>
    <w:rsid w:val="00E579D8"/>
    <w:rsid w:val="00E645C6"/>
    <w:rsid w:val="00E6675A"/>
    <w:rsid w:val="00E83925"/>
    <w:rsid w:val="00E873F1"/>
    <w:rsid w:val="00E90961"/>
    <w:rsid w:val="00EB0ED3"/>
    <w:rsid w:val="00EC415E"/>
    <w:rsid w:val="00EC4A7B"/>
    <w:rsid w:val="00ED7514"/>
    <w:rsid w:val="00EF14F5"/>
    <w:rsid w:val="00F00237"/>
    <w:rsid w:val="00F016A4"/>
    <w:rsid w:val="00F054E3"/>
    <w:rsid w:val="00F141C6"/>
    <w:rsid w:val="00F21E8A"/>
    <w:rsid w:val="00F35708"/>
    <w:rsid w:val="00F41061"/>
    <w:rsid w:val="00F54B4A"/>
    <w:rsid w:val="00F72B1B"/>
    <w:rsid w:val="00FC3B9C"/>
    <w:rsid w:val="00FC639D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2CF7BA25"/>
  <w15:docId w15:val="{495EA77D-534D-4989-B14E-3AF2F0BA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6F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6FC2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u w:val="single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3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6D1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5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obaccoadvertising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Details/C2017C003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E853-A365-41C2-85D5-DB7D013B1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505</Words>
  <Characters>3007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2007-10-31T23:22:00Z</cp:lastPrinted>
  <dcterms:created xsi:type="dcterms:W3CDTF">2021-09-30T07:31:00Z</dcterms:created>
  <dcterms:modified xsi:type="dcterms:W3CDTF">2021-11-17T00:28:00Z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