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16881D" w14:textId="77777777" w:rsidR="00DB45F7" w:rsidRDefault="00DB45F7" w:rsidP="00AE57C3">
      <w:pPr>
        <w:pStyle w:val="Heading1"/>
        <w:sectPr w:rsidR="00DB45F7" w:rsidSect="005C15FF">
          <w:headerReference w:type="even" r:id="rId11"/>
          <w:headerReference w:type="default" r:id="rId12"/>
          <w:footerReference w:type="even" r:id="rId13"/>
          <w:footerReference w:type="default" r:id="rId14"/>
          <w:headerReference w:type="first" r:id="rId15"/>
          <w:footerReference w:type="first" r:id="rId16"/>
          <w:pgSz w:w="11900" w:h="16840"/>
          <w:pgMar w:top="1701" w:right="1418" w:bottom="1418" w:left="1418" w:header="709" w:footer="709" w:gutter="0"/>
          <w:cols w:space="708"/>
          <w:titlePg/>
          <w:docGrid w:linePitch="360"/>
        </w:sectPr>
      </w:pPr>
      <w:bookmarkStart w:id="0" w:name="_Toc74754384"/>
      <w:bookmarkStart w:id="1" w:name="_Toc518909303"/>
    </w:p>
    <w:p w14:paraId="1D7F7F38" w14:textId="570D5BEE" w:rsidR="00122ACA" w:rsidRDefault="00D230DB" w:rsidP="00BD719D">
      <w:bookmarkStart w:id="2" w:name="_Toc75334779"/>
      <w:bookmarkStart w:id="3" w:name="_Toc75334826"/>
      <w:bookmarkStart w:id="4" w:name="_Toc75518405"/>
      <w:bookmarkStart w:id="5" w:name="_Toc75520143"/>
      <w:bookmarkStart w:id="6" w:name="_Toc75772367"/>
      <w:bookmarkStart w:id="7" w:name="_Toc78207916"/>
      <w:bookmarkStart w:id="8" w:name="_Toc78207978"/>
      <w:r>
        <w:lastRenderedPageBreak/>
        <w:t xml:space="preserve">The </w:t>
      </w:r>
      <w:r w:rsidR="00122ACA">
        <w:t>National Health Reform Agreement Long Term Reforms Roadmap was endorsed by all Australian Health Ministers at the Health Ministers’ Meeting on 17 September 2021.</w:t>
      </w:r>
    </w:p>
    <w:p w14:paraId="1E25FB93" w14:textId="1525D631" w:rsidR="00122ACA" w:rsidRDefault="00D230DB" w:rsidP="00BD719D">
      <w:r>
        <w:t xml:space="preserve">The Strategy may be downloaded from </w:t>
      </w:r>
      <w:r w:rsidR="00122ACA">
        <w:t>Federal Financial Relations</w:t>
      </w:r>
      <w:r>
        <w:t xml:space="preserve"> website or the </w:t>
      </w:r>
      <w:r w:rsidR="00122ACA">
        <w:t xml:space="preserve">Australian </w:t>
      </w:r>
      <w:r>
        <w:t>Department of Health website.</w:t>
      </w:r>
    </w:p>
    <w:p w14:paraId="047CA759" w14:textId="324CEE92" w:rsidR="00D230DB" w:rsidRDefault="00D230DB" w:rsidP="00BD719D">
      <w:r>
        <w:t xml:space="preserve">Inquiries about the content of the Strategy should be directed to </w:t>
      </w:r>
      <w:r w:rsidR="00122ACA" w:rsidRPr="00122ACA">
        <w:t>LTR.Inbox@health.gov.au</w:t>
      </w:r>
      <w:r>
        <w:t xml:space="preserve">. </w:t>
      </w:r>
    </w:p>
    <w:p w14:paraId="4D0E51F2" w14:textId="2E8F55DC" w:rsidR="005F587F" w:rsidRPr="00BD719D" w:rsidRDefault="005F587F" w:rsidP="00BE5951">
      <w:pPr>
        <w:autoSpaceDE w:val="0"/>
        <w:autoSpaceDN w:val="0"/>
        <w:adjustRightInd w:val="0"/>
        <w:spacing w:before="600" w:after="240"/>
        <w:rPr>
          <w:rStyle w:val="Strong"/>
        </w:rPr>
      </w:pPr>
      <w:r w:rsidRPr="00BD719D">
        <w:rPr>
          <w:rStyle w:val="Strong"/>
        </w:rPr>
        <w:t>Copyright</w:t>
      </w:r>
    </w:p>
    <w:p w14:paraId="396A9ED6" w14:textId="2725BADA" w:rsidR="005F587F" w:rsidRPr="008D549B" w:rsidRDefault="005F587F" w:rsidP="00BD719D">
      <w:r w:rsidRPr="008D549B">
        <w:t xml:space="preserve">© 2021 </w:t>
      </w:r>
      <w:r w:rsidR="003C33B2" w:rsidRPr="008D549B">
        <w:t>Australian Health Ministers</w:t>
      </w:r>
    </w:p>
    <w:p w14:paraId="4A5C3D20" w14:textId="77777777" w:rsidR="005F587F" w:rsidRPr="008D549B" w:rsidRDefault="005F587F" w:rsidP="00BD719D">
      <w:pPr>
        <w:rPr>
          <w:lang w:eastAsia="en-AU"/>
        </w:rPr>
      </w:pPr>
      <w:r w:rsidRPr="008D549B">
        <w:rPr>
          <w:lang w:eastAsia="en-AU"/>
        </w:rP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4FA1D61B" w14:textId="77777777" w:rsidR="005F587F" w:rsidRPr="008D549B" w:rsidRDefault="005F587F" w:rsidP="00792522">
      <w:pPr>
        <w:pStyle w:val="ListContinue"/>
        <w:rPr>
          <w:lang w:eastAsia="en-AU"/>
        </w:rPr>
      </w:pPr>
      <w:r w:rsidRPr="008D549B">
        <w:rPr>
          <w:lang w:eastAsia="en-AU"/>
        </w:rPr>
        <w:t>do not use the copy or reproduction for any commercial purpose; and</w:t>
      </w:r>
    </w:p>
    <w:p w14:paraId="0E9FAFB7" w14:textId="77777777" w:rsidR="005F587F" w:rsidRPr="008D549B" w:rsidRDefault="005F587F" w:rsidP="00792522">
      <w:pPr>
        <w:pStyle w:val="ListContinue"/>
        <w:rPr>
          <w:lang w:eastAsia="en-AU"/>
        </w:rPr>
      </w:pPr>
      <w:r w:rsidRPr="008D549B">
        <w:rPr>
          <w:lang w:eastAsia="en-AU"/>
        </w:rPr>
        <w:t>retain this copyright notice and all disclaimer notices as part of that copy or reproduction.</w:t>
      </w:r>
    </w:p>
    <w:p w14:paraId="411F4322" w14:textId="56953A53" w:rsidR="00122ACA" w:rsidRPr="00BE5951" w:rsidRDefault="005F587F" w:rsidP="00BD719D">
      <w:pPr>
        <w:rPr>
          <w:sz w:val="20"/>
          <w:szCs w:val="20"/>
          <w:lang w:eastAsia="en-AU"/>
        </w:rPr>
      </w:pPr>
      <w:r w:rsidRPr="008D549B">
        <w:rPr>
          <w:lang w:eastAsia="en-AU"/>
        </w:rPr>
        <w:t xml:space="preserve">Apart from rights as permitted by the </w:t>
      </w:r>
      <w:r w:rsidRPr="00792522">
        <w:rPr>
          <w:rStyle w:val="Emphasis"/>
        </w:rPr>
        <w:t>Copyright Act 1968</w:t>
      </w:r>
      <w:r w:rsidRPr="008D549B">
        <w:rPr>
          <w:i/>
          <w:iCs/>
          <w:lang w:eastAsia="en-AU"/>
        </w:rPr>
        <w:t xml:space="preserve"> </w:t>
      </w:r>
      <w:r w:rsidRPr="008D549B">
        <w:rPr>
          <w:iCs/>
          <w:lang w:eastAsia="en-AU"/>
        </w:rPr>
        <w:t>(</w:t>
      </w:r>
      <w:proofErr w:type="spellStart"/>
      <w:r w:rsidRPr="008D549B">
        <w:rPr>
          <w:iCs/>
          <w:lang w:eastAsia="en-AU"/>
        </w:rPr>
        <w:t>Cth</w:t>
      </w:r>
      <w:proofErr w:type="spellEnd"/>
      <w:r w:rsidRPr="008D549B">
        <w:rPr>
          <w:iCs/>
          <w:lang w:eastAsia="en-AU"/>
        </w:rPr>
        <w:t>)</w:t>
      </w:r>
      <w:r w:rsidRPr="008D549B">
        <w:rPr>
          <w:i/>
          <w:iCs/>
          <w:lang w:eastAsia="en-AU"/>
        </w:rPr>
        <w:t xml:space="preserve"> </w:t>
      </w:r>
      <w:r w:rsidRPr="008D549B">
        <w:rPr>
          <w:lang w:eastAsia="en-AU"/>
        </w:rPr>
        <w:t>or allowed by this copyright notice</w:t>
      </w:r>
      <w:r w:rsidRPr="008D549B">
        <w:rPr>
          <w:i/>
          <w:iCs/>
          <w:lang w:eastAsia="en-AU"/>
        </w:rPr>
        <w:t xml:space="preserve">, </w:t>
      </w:r>
      <w:r w:rsidRPr="008D549B">
        <w:rPr>
          <w:lang w:eastAsia="en-AU"/>
        </w:rPr>
        <w:t>all other rights are reserved, including (but not limited to) all commercial rights.</w:t>
      </w:r>
      <w:r w:rsidR="00122ACA">
        <w:br w:type="page"/>
      </w:r>
    </w:p>
    <w:p w14:paraId="0281E4B7" w14:textId="7254FA9D" w:rsidR="00AE57C3" w:rsidRDefault="00AE57C3" w:rsidP="00BE4356">
      <w:pPr>
        <w:pStyle w:val="Heading1"/>
      </w:pPr>
      <w:bookmarkStart w:id="9" w:name="_Toc86055091"/>
      <w:r w:rsidRPr="00BE4356">
        <w:lastRenderedPageBreak/>
        <w:t>Contents</w:t>
      </w:r>
      <w:bookmarkEnd w:id="0"/>
      <w:bookmarkEnd w:id="2"/>
      <w:bookmarkEnd w:id="3"/>
      <w:bookmarkEnd w:id="4"/>
      <w:bookmarkEnd w:id="5"/>
      <w:bookmarkEnd w:id="6"/>
      <w:bookmarkEnd w:id="7"/>
      <w:bookmarkEnd w:id="8"/>
      <w:bookmarkEnd w:id="9"/>
    </w:p>
    <w:p w14:paraId="7E0C8F94" w14:textId="52C12B80" w:rsidR="00831DE0" w:rsidRDefault="004B6B96">
      <w:pPr>
        <w:pStyle w:val="TOC1"/>
        <w:tabs>
          <w:tab w:val="right" w:leader="dot" w:pos="10188"/>
        </w:tabs>
        <w:rPr>
          <w:rFonts w:asciiTheme="minorHAnsi" w:eastAsiaTheme="minorEastAsia" w:hAnsiTheme="minorHAnsi" w:cstheme="minorBidi"/>
          <w:noProof/>
          <w:sz w:val="22"/>
          <w:szCs w:val="22"/>
          <w:lang w:eastAsia="en-AU"/>
        </w:rPr>
      </w:pPr>
      <w:r>
        <w:fldChar w:fldCharType="begin"/>
      </w:r>
      <w:r>
        <w:instrText xml:space="preserve"> TOC \o "1-3" \t "Heading 4,4" </w:instrText>
      </w:r>
      <w:r>
        <w:fldChar w:fldCharType="separate"/>
      </w:r>
      <w:r w:rsidR="00831DE0">
        <w:rPr>
          <w:noProof/>
        </w:rPr>
        <w:t>Contents</w:t>
      </w:r>
      <w:r w:rsidR="00831DE0">
        <w:rPr>
          <w:noProof/>
        </w:rPr>
        <w:tab/>
      </w:r>
      <w:r w:rsidR="00831DE0">
        <w:rPr>
          <w:noProof/>
        </w:rPr>
        <w:fldChar w:fldCharType="begin"/>
      </w:r>
      <w:r w:rsidR="00831DE0">
        <w:rPr>
          <w:noProof/>
        </w:rPr>
        <w:instrText xml:space="preserve"> PAGEREF _Toc86055091 \h </w:instrText>
      </w:r>
      <w:r w:rsidR="00831DE0">
        <w:rPr>
          <w:noProof/>
        </w:rPr>
      </w:r>
      <w:r w:rsidR="00831DE0">
        <w:rPr>
          <w:noProof/>
        </w:rPr>
        <w:fldChar w:fldCharType="separate"/>
      </w:r>
      <w:r w:rsidR="00831DE0">
        <w:rPr>
          <w:noProof/>
        </w:rPr>
        <w:t>3</w:t>
      </w:r>
      <w:r w:rsidR="00831DE0">
        <w:rPr>
          <w:noProof/>
        </w:rPr>
        <w:fldChar w:fldCharType="end"/>
      </w:r>
    </w:p>
    <w:p w14:paraId="42ED1C06" w14:textId="68F4438D" w:rsidR="00831DE0" w:rsidRDefault="00831DE0">
      <w:pPr>
        <w:pStyle w:val="TOC1"/>
        <w:tabs>
          <w:tab w:val="right" w:leader="dot" w:pos="10188"/>
        </w:tabs>
        <w:rPr>
          <w:rFonts w:asciiTheme="minorHAnsi" w:eastAsiaTheme="minorEastAsia" w:hAnsiTheme="minorHAnsi" w:cstheme="minorBidi"/>
          <w:noProof/>
          <w:sz w:val="22"/>
          <w:szCs w:val="22"/>
          <w:lang w:eastAsia="en-AU"/>
        </w:rPr>
      </w:pPr>
      <w:r>
        <w:rPr>
          <w:noProof/>
        </w:rPr>
        <w:t>National Health Reform Agreement (NHRA) – Long-term Health Reforms – Roadmap</w:t>
      </w:r>
      <w:r>
        <w:rPr>
          <w:noProof/>
        </w:rPr>
        <w:tab/>
      </w:r>
      <w:r>
        <w:rPr>
          <w:noProof/>
        </w:rPr>
        <w:fldChar w:fldCharType="begin"/>
      </w:r>
      <w:r>
        <w:rPr>
          <w:noProof/>
        </w:rPr>
        <w:instrText xml:space="preserve"> PAGEREF _Toc86055092 \h </w:instrText>
      </w:r>
      <w:r>
        <w:rPr>
          <w:noProof/>
        </w:rPr>
      </w:r>
      <w:r>
        <w:rPr>
          <w:noProof/>
        </w:rPr>
        <w:fldChar w:fldCharType="separate"/>
      </w:r>
      <w:r>
        <w:rPr>
          <w:noProof/>
        </w:rPr>
        <w:t>4</w:t>
      </w:r>
      <w:r>
        <w:rPr>
          <w:noProof/>
        </w:rPr>
        <w:fldChar w:fldCharType="end"/>
      </w:r>
    </w:p>
    <w:p w14:paraId="1D58E461" w14:textId="45539858" w:rsidR="00831DE0" w:rsidRDefault="00831DE0">
      <w:pPr>
        <w:pStyle w:val="TOC2"/>
        <w:tabs>
          <w:tab w:val="right" w:leader="dot" w:pos="10188"/>
        </w:tabs>
        <w:rPr>
          <w:rFonts w:asciiTheme="minorHAnsi" w:eastAsiaTheme="minorEastAsia" w:hAnsiTheme="minorHAnsi" w:cstheme="minorBidi"/>
          <w:noProof/>
          <w:sz w:val="22"/>
          <w:szCs w:val="22"/>
          <w:lang w:eastAsia="en-AU"/>
        </w:rPr>
      </w:pPr>
      <w:r>
        <w:rPr>
          <w:noProof/>
        </w:rPr>
        <w:t>The National Health Reform Agreement</w:t>
      </w:r>
      <w:r>
        <w:rPr>
          <w:noProof/>
        </w:rPr>
        <w:tab/>
      </w:r>
      <w:r>
        <w:rPr>
          <w:noProof/>
        </w:rPr>
        <w:fldChar w:fldCharType="begin"/>
      </w:r>
      <w:r>
        <w:rPr>
          <w:noProof/>
        </w:rPr>
        <w:instrText xml:space="preserve"> PAGEREF _Toc86055093 \h </w:instrText>
      </w:r>
      <w:r>
        <w:rPr>
          <w:noProof/>
        </w:rPr>
      </w:r>
      <w:r>
        <w:rPr>
          <w:noProof/>
        </w:rPr>
        <w:fldChar w:fldCharType="separate"/>
      </w:r>
      <w:r>
        <w:rPr>
          <w:noProof/>
        </w:rPr>
        <w:t>4</w:t>
      </w:r>
      <w:r>
        <w:rPr>
          <w:noProof/>
        </w:rPr>
        <w:fldChar w:fldCharType="end"/>
      </w:r>
    </w:p>
    <w:p w14:paraId="763E1AAD" w14:textId="77424DC1" w:rsidR="00831DE0" w:rsidRDefault="00831DE0">
      <w:pPr>
        <w:pStyle w:val="TOC2"/>
        <w:tabs>
          <w:tab w:val="right" w:leader="dot" w:pos="10188"/>
        </w:tabs>
        <w:rPr>
          <w:rFonts w:asciiTheme="minorHAnsi" w:eastAsiaTheme="minorEastAsia" w:hAnsiTheme="minorHAnsi" w:cstheme="minorBidi"/>
          <w:noProof/>
          <w:sz w:val="22"/>
          <w:szCs w:val="22"/>
          <w:lang w:eastAsia="en-AU"/>
        </w:rPr>
      </w:pPr>
      <w:r>
        <w:rPr>
          <w:noProof/>
        </w:rPr>
        <w:t>Purpose of the reform roadmap</w:t>
      </w:r>
      <w:r>
        <w:rPr>
          <w:noProof/>
        </w:rPr>
        <w:tab/>
      </w:r>
      <w:r>
        <w:rPr>
          <w:noProof/>
        </w:rPr>
        <w:fldChar w:fldCharType="begin"/>
      </w:r>
      <w:r>
        <w:rPr>
          <w:noProof/>
        </w:rPr>
        <w:instrText xml:space="preserve"> PAGEREF _Toc86055094 \h </w:instrText>
      </w:r>
      <w:r>
        <w:rPr>
          <w:noProof/>
        </w:rPr>
      </w:r>
      <w:r>
        <w:rPr>
          <w:noProof/>
        </w:rPr>
        <w:fldChar w:fldCharType="separate"/>
      </w:r>
      <w:r>
        <w:rPr>
          <w:noProof/>
        </w:rPr>
        <w:t>4</w:t>
      </w:r>
      <w:r>
        <w:rPr>
          <w:noProof/>
        </w:rPr>
        <w:fldChar w:fldCharType="end"/>
      </w:r>
    </w:p>
    <w:p w14:paraId="47925CF4" w14:textId="00E63D17" w:rsidR="00831DE0" w:rsidRDefault="00831DE0">
      <w:pPr>
        <w:pStyle w:val="TOC2"/>
        <w:tabs>
          <w:tab w:val="right" w:leader="dot" w:pos="10188"/>
        </w:tabs>
        <w:rPr>
          <w:rFonts w:asciiTheme="minorHAnsi" w:eastAsiaTheme="minorEastAsia" w:hAnsiTheme="minorHAnsi" w:cstheme="minorBidi"/>
          <w:noProof/>
          <w:sz w:val="22"/>
          <w:szCs w:val="22"/>
          <w:lang w:eastAsia="en-AU"/>
        </w:rPr>
      </w:pPr>
      <w:r>
        <w:rPr>
          <w:noProof/>
        </w:rPr>
        <w:t>Key areas of reform</w:t>
      </w:r>
      <w:r>
        <w:rPr>
          <w:noProof/>
        </w:rPr>
        <w:tab/>
      </w:r>
      <w:r>
        <w:rPr>
          <w:noProof/>
        </w:rPr>
        <w:fldChar w:fldCharType="begin"/>
      </w:r>
      <w:r>
        <w:rPr>
          <w:noProof/>
        </w:rPr>
        <w:instrText xml:space="preserve"> PAGEREF _Toc86055095 \h </w:instrText>
      </w:r>
      <w:r>
        <w:rPr>
          <w:noProof/>
        </w:rPr>
      </w:r>
      <w:r>
        <w:rPr>
          <w:noProof/>
        </w:rPr>
        <w:fldChar w:fldCharType="separate"/>
      </w:r>
      <w:r>
        <w:rPr>
          <w:noProof/>
        </w:rPr>
        <w:t>4</w:t>
      </w:r>
      <w:r>
        <w:rPr>
          <w:noProof/>
        </w:rPr>
        <w:fldChar w:fldCharType="end"/>
      </w:r>
    </w:p>
    <w:p w14:paraId="5504CB17" w14:textId="35594353" w:rsidR="00831DE0" w:rsidRDefault="00831DE0">
      <w:pPr>
        <w:pStyle w:val="TOC2"/>
        <w:tabs>
          <w:tab w:val="right" w:leader="dot" w:pos="10188"/>
        </w:tabs>
        <w:rPr>
          <w:rFonts w:asciiTheme="minorHAnsi" w:eastAsiaTheme="minorEastAsia" w:hAnsiTheme="minorHAnsi" w:cstheme="minorBidi"/>
          <w:noProof/>
          <w:sz w:val="22"/>
          <w:szCs w:val="22"/>
          <w:lang w:eastAsia="en-AU"/>
        </w:rPr>
      </w:pPr>
      <w:r>
        <w:rPr>
          <w:noProof/>
        </w:rPr>
        <w:t>COVID-19 impact</w:t>
      </w:r>
      <w:r>
        <w:rPr>
          <w:noProof/>
        </w:rPr>
        <w:tab/>
      </w:r>
      <w:r>
        <w:rPr>
          <w:noProof/>
        </w:rPr>
        <w:fldChar w:fldCharType="begin"/>
      </w:r>
      <w:r>
        <w:rPr>
          <w:noProof/>
        </w:rPr>
        <w:instrText xml:space="preserve"> PAGEREF _Toc86055096 \h </w:instrText>
      </w:r>
      <w:r>
        <w:rPr>
          <w:noProof/>
        </w:rPr>
      </w:r>
      <w:r>
        <w:rPr>
          <w:noProof/>
        </w:rPr>
        <w:fldChar w:fldCharType="separate"/>
      </w:r>
      <w:r>
        <w:rPr>
          <w:noProof/>
        </w:rPr>
        <w:t>5</w:t>
      </w:r>
      <w:r>
        <w:rPr>
          <w:noProof/>
        </w:rPr>
        <w:fldChar w:fldCharType="end"/>
      </w:r>
    </w:p>
    <w:p w14:paraId="33F01204" w14:textId="3BE46281" w:rsidR="00831DE0" w:rsidRDefault="00831DE0">
      <w:pPr>
        <w:pStyle w:val="TOC2"/>
        <w:tabs>
          <w:tab w:val="right" w:leader="dot" w:pos="10188"/>
        </w:tabs>
        <w:rPr>
          <w:rFonts w:asciiTheme="minorHAnsi" w:eastAsiaTheme="minorEastAsia" w:hAnsiTheme="minorHAnsi" w:cstheme="minorBidi"/>
          <w:noProof/>
          <w:sz w:val="22"/>
          <w:szCs w:val="22"/>
          <w:lang w:eastAsia="en-AU"/>
        </w:rPr>
      </w:pPr>
      <w:r>
        <w:rPr>
          <w:noProof/>
        </w:rPr>
        <w:t>Governance</w:t>
      </w:r>
      <w:r>
        <w:rPr>
          <w:noProof/>
        </w:rPr>
        <w:tab/>
      </w:r>
      <w:r>
        <w:rPr>
          <w:noProof/>
        </w:rPr>
        <w:fldChar w:fldCharType="begin"/>
      </w:r>
      <w:r>
        <w:rPr>
          <w:noProof/>
        </w:rPr>
        <w:instrText xml:space="preserve"> PAGEREF _Toc86055097 \h </w:instrText>
      </w:r>
      <w:r>
        <w:rPr>
          <w:noProof/>
        </w:rPr>
      </w:r>
      <w:r>
        <w:rPr>
          <w:noProof/>
        </w:rPr>
        <w:fldChar w:fldCharType="separate"/>
      </w:r>
      <w:r>
        <w:rPr>
          <w:noProof/>
        </w:rPr>
        <w:t>5</w:t>
      </w:r>
      <w:r>
        <w:rPr>
          <w:noProof/>
        </w:rPr>
        <w:fldChar w:fldCharType="end"/>
      </w:r>
    </w:p>
    <w:p w14:paraId="1BEFE312" w14:textId="156391E3" w:rsidR="00831DE0" w:rsidRDefault="00831DE0">
      <w:pPr>
        <w:pStyle w:val="TOC2"/>
        <w:tabs>
          <w:tab w:val="right" w:leader="dot" w:pos="10188"/>
        </w:tabs>
        <w:rPr>
          <w:rFonts w:asciiTheme="minorHAnsi" w:eastAsiaTheme="minorEastAsia" w:hAnsiTheme="minorHAnsi" w:cstheme="minorBidi"/>
          <w:noProof/>
          <w:sz w:val="22"/>
          <w:szCs w:val="22"/>
          <w:lang w:eastAsia="en-AU"/>
        </w:rPr>
      </w:pPr>
      <w:r>
        <w:rPr>
          <w:noProof/>
        </w:rPr>
        <w:t>Key partners</w:t>
      </w:r>
      <w:r>
        <w:rPr>
          <w:noProof/>
        </w:rPr>
        <w:tab/>
      </w:r>
      <w:r>
        <w:rPr>
          <w:noProof/>
        </w:rPr>
        <w:fldChar w:fldCharType="begin"/>
      </w:r>
      <w:r>
        <w:rPr>
          <w:noProof/>
        </w:rPr>
        <w:instrText xml:space="preserve"> PAGEREF _Toc86055098 \h </w:instrText>
      </w:r>
      <w:r>
        <w:rPr>
          <w:noProof/>
        </w:rPr>
      </w:r>
      <w:r>
        <w:rPr>
          <w:noProof/>
        </w:rPr>
        <w:fldChar w:fldCharType="separate"/>
      </w:r>
      <w:r>
        <w:rPr>
          <w:noProof/>
        </w:rPr>
        <w:t>5</w:t>
      </w:r>
      <w:r>
        <w:rPr>
          <w:noProof/>
        </w:rPr>
        <w:fldChar w:fldCharType="end"/>
      </w:r>
    </w:p>
    <w:p w14:paraId="5CE6E52E" w14:textId="68185260" w:rsidR="00831DE0" w:rsidRDefault="00831DE0">
      <w:pPr>
        <w:pStyle w:val="TOC2"/>
        <w:tabs>
          <w:tab w:val="right" w:leader="dot" w:pos="10188"/>
        </w:tabs>
        <w:rPr>
          <w:rFonts w:asciiTheme="minorHAnsi" w:eastAsiaTheme="minorEastAsia" w:hAnsiTheme="minorHAnsi" w:cstheme="minorBidi"/>
          <w:noProof/>
          <w:sz w:val="22"/>
          <w:szCs w:val="22"/>
          <w:lang w:eastAsia="en-AU"/>
        </w:rPr>
      </w:pPr>
      <w:r>
        <w:rPr>
          <w:noProof/>
        </w:rPr>
        <w:t>Interdependencies</w:t>
      </w:r>
      <w:r>
        <w:rPr>
          <w:noProof/>
        </w:rPr>
        <w:tab/>
      </w:r>
      <w:r>
        <w:rPr>
          <w:noProof/>
        </w:rPr>
        <w:fldChar w:fldCharType="begin"/>
      </w:r>
      <w:r>
        <w:rPr>
          <w:noProof/>
        </w:rPr>
        <w:instrText xml:space="preserve"> PAGEREF _Toc86055099 \h </w:instrText>
      </w:r>
      <w:r>
        <w:rPr>
          <w:noProof/>
        </w:rPr>
      </w:r>
      <w:r>
        <w:rPr>
          <w:noProof/>
        </w:rPr>
        <w:fldChar w:fldCharType="separate"/>
      </w:r>
      <w:r>
        <w:rPr>
          <w:noProof/>
        </w:rPr>
        <w:t>5</w:t>
      </w:r>
      <w:r>
        <w:rPr>
          <w:noProof/>
        </w:rPr>
        <w:fldChar w:fldCharType="end"/>
      </w:r>
    </w:p>
    <w:p w14:paraId="20F30608" w14:textId="630C8CEC" w:rsidR="00831DE0" w:rsidRDefault="00831DE0">
      <w:pPr>
        <w:pStyle w:val="TOC2"/>
        <w:tabs>
          <w:tab w:val="right" w:leader="dot" w:pos="10188"/>
        </w:tabs>
        <w:rPr>
          <w:rFonts w:asciiTheme="minorHAnsi" w:eastAsiaTheme="minorEastAsia" w:hAnsiTheme="minorHAnsi" w:cstheme="minorBidi"/>
          <w:noProof/>
          <w:sz w:val="22"/>
          <w:szCs w:val="22"/>
          <w:lang w:eastAsia="en-AU"/>
        </w:rPr>
      </w:pPr>
      <w:r>
        <w:rPr>
          <w:noProof/>
        </w:rPr>
        <w:t>Review and evaluation</w:t>
      </w:r>
      <w:r>
        <w:rPr>
          <w:noProof/>
        </w:rPr>
        <w:tab/>
      </w:r>
      <w:r>
        <w:rPr>
          <w:noProof/>
        </w:rPr>
        <w:fldChar w:fldCharType="begin"/>
      </w:r>
      <w:r>
        <w:rPr>
          <w:noProof/>
        </w:rPr>
        <w:instrText xml:space="preserve"> PAGEREF _Toc86055100 \h </w:instrText>
      </w:r>
      <w:r>
        <w:rPr>
          <w:noProof/>
        </w:rPr>
      </w:r>
      <w:r>
        <w:rPr>
          <w:noProof/>
        </w:rPr>
        <w:fldChar w:fldCharType="separate"/>
      </w:r>
      <w:r>
        <w:rPr>
          <w:noProof/>
        </w:rPr>
        <w:t>5</w:t>
      </w:r>
      <w:r>
        <w:rPr>
          <w:noProof/>
        </w:rPr>
        <w:fldChar w:fldCharType="end"/>
      </w:r>
    </w:p>
    <w:p w14:paraId="263B1F19" w14:textId="433BAA35" w:rsidR="00831DE0" w:rsidRDefault="00831DE0">
      <w:pPr>
        <w:pStyle w:val="TOC1"/>
        <w:tabs>
          <w:tab w:val="right" w:leader="dot" w:pos="10188"/>
        </w:tabs>
        <w:rPr>
          <w:rFonts w:asciiTheme="minorHAnsi" w:eastAsiaTheme="minorEastAsia" w:hAnsiTheme="minorHAnsi" w:cstheme="minorBidi"/>
          <w:noProof/>
          <w:sz w:val="22"/>
          <w:szCs w:val="22"/>
          <w:lang w:eastAsia="en-AU"/>
        </w:rPr>
      </w:pPr>
      <w:r w:rsidRPr="000070F9">
        <w:rPr>
          <w:noProof/>
          <w:shd w:val="clear" w:color="auto" w:fill="FFFFFF"/>
        </w:rPr>
        <w:t>Long term reforms</w:t>
      </w:r>
      <w:r>
        <w:rPr>
          <w:noProof/>
        </w:rPr>
        <w:tab/>
      </w:r>
      <w:r>
        <w:rPr>
          <w:noProof/>
        </w:rPr>
        <w:fldChar w:fldCharType="begin"/>
      </w:r>
      <w:r>
        <w:rPr>
          <w:noProof/>
        </w:rPr>
        <w:instrText xml:space="preserve"> PAGEREF _Toc86055101 \h </w:instrText>
      </w:r>
      <w:r>
        <w:rPr>
          <w:noProof/>
        </w:rPr>
      </w:r>
      <w:r>
        <w:rPr>
          <w:noProof/>
        </w:rPr>
        <w:fldChar w:fldCharType="separate"/>
      </w:r>
      <w:r>
        <w:rPr>
          <w:noProof/>
        </w:rPr>
        <w:t>6</w:t>
      </w:r>
      <w:r>
        <w:rPr>
          <w:noProof/>
        </w:rPr>
        <w:fldChar w:fldCharType="end"/>
      </w:r>
    </w:p>
    <w:p w14:paraId="4524D2C8" w14:textId="3E4BD612" w:rsidR="00831DE0" w:rsidRDefault="00831DE0">
      <w:pPr>
        <w:pStyle w:val="TOC1"/>
        <w:tabs>
          <w:tab w:val="right" w:leader="dot" w:pos="10188"/>
        </w:tabs>
        <w:rPr>
          <w:rFonts w:asciiTheme="minorHAnsi" w:eastAsiaTheme="minorEastAsia" w:hAnsiTheme="minorHAnsi" w:cstheme="minorBidi"/>
          <w:noProof/>
          <w:sz w:val="22"/>
          <w:szCs w:val="22"/>
          <w:lang w:eastAsia="en-AU"/>
        </w:rPr>
      </w:pPr>
      <w:r w:rsidRPr="000070F9">
        <w:rPr>
          <w:noProof/>
          <w:shd w:val="clear" w:color="auto" w:fill="FFFFFF"/>
        </w:rPr>
        <w:t>Appendix A - Governance</w:t>
      </w:r>
      <w:r>
        <w:rPr>
          <w:noProof/>
        </w:rPr>
        <w:tab/>
      </w:r>
      <w:r>
        <w:rPr>
          <w:noProof/>
        </w:rPr>
        <w:fldChar w:fldCharType="begin"/>
      </w:r>
      <w:r>
        <w:rPr>
          <w:noProof/>
        </w:rPr>
        <w:instrText xml:space="preserve"> PAGEREF _Toc86055102 \h </w:instrText>
      </w:r>
      <w:r>
        <w:rPr>
          <w:noProof/>
        </w:rPr>
      </w:r>
      <w:r>
        <w:rPr>
          <w:noProof/>
        </w:rPr>
        <w:fldChar w:fldCharType="separate"/>
      </w:r>
      <w:r>
        <w:rPr>
          <w:noProof/>
        </w:rPr>
        <w:t>26</w:t>
      </w:r>
      <w:r>
        <w:rPr>
          <w:noProof/>
        </w:rPr>
        <w:fldChar w:fldCharType="end"/>
      </w:r>
    </w:p>
    <w:p w14:paraId="74EBB30D" w14:textId="30B70E2F" w:rsidR="00AE57C3" w:rsidRPr="00F90DD6" w:rsidRDefault="004B6B96" w:rsidP="00F90DD6">
      <w:pPr>
        <w:rPr>
          <w:rFonts w:eastAsia="MS Gothic"/>
        </w:rPr>
      </w:pPr>
      <w:r>
        <w:fldChar w:fldCharType="end"/>
      </w:r>
      <w:r w:rsidR="00AE57C3">
        <w:br w:type="page"/>
      </w:r>
    </w:p>
    <w:p w14:paraId="1BC8C127" w14:textId="7B22F04B" w:rsidR="00FF381B" w:rsidRPr="00B70530" w:rsidRDefault="00760CFE" w:rsidP="006D1A93">
      <w:pPr>
        <w:pStyle w:val="Heading1"/>
      </w:pPr>
      <w:bookmarkStart w:id="10" w:name="_Toc86055092"/>
      <w:bookmarkEnd w:id="1"/>
      <w:r w:rsidRPr="00760CFE">
        <w:lastRenderedPageBreak/>
        <w:t>National Health Reform Agreement (NHRA) – Long-term Health Reforms – Roadmap</w:t>
      </w:r>
      <w:bookmarkEnd w:id="10"/>
    </w:p>
    <w:p w14:paraId="490C4212" w14:textId="23A3CDF8" w:rsidR="00760CFE" w:rsidRDefault="00B138F7" w:rsidP="002C1A45">
      <w:pPr>
        <w:pStyle w:val="Heading2"/>
      </w:pPr>
      <w:bookmarkStart w:id="11" w:name="_Toc75425916"/>
      <w:bookmarkStart w:id="12" w:name="_Toc86055093"/>
      <w:r w:rsidRPr="00B138F7">
        <w:t>The National Health Reform Agreement</w:t>
      </w:r>
      <w:bookmarkEnd w:id="11"/>
      <w:bookmarkEnd w:id="12"/>
    </w:p>
    <w:p w14:paraId="202F0180" w14:textId="77777777" w:rsidR="00B138F7" w:rsidRPr="00AA4A74" w:rsidRDefault="00B138F7" w:rsidP="00B138F7">
      <w:r w:rsidRPr="00AA4A74">
        <w:t xml:space="preserve">The 2020–25 </w:t>
      </w:r>
      <w:r w:rsidRPr="006E1C57">
        <w:t>Addendum to National Health Reform Agreement (NHRA)</w:t>
      </w:r>
      <w:r w:rsidRPr="00AA4A74">
        <w:t xml:space="preserve"> aims to improve health outcomes for all Australians and ensure our health system is sustainable. Commonwealth, </w:t>
      </w:r>
      <w:proofErr w:type="gramStart"/>
      <w:r>
        <w:t>s</w:t>
      </w:r>
      <w:r w:rsidRPr="00AA4A74">
        <w:t>tate</w:t>
      </w:r>
      <w:proofErr w:type="gramEnd"/>
      <w:r w:rsidRPr="00AA4A74">
        <w:t xml:space="preserve"> and </w:t>
      </w:r>
      <w:r>
        <w:t>t</w:t>
      </w:r>
      <w:r w:rsidRPr="00AA4A74">
        <w:t xml:space="preserve">erritory </w:t>
      </w:r>
      <w:r>
        <w:t>g</w:t>
      </w:r>
      <w:r w:rsidRPr="00AA4A74">
        <w:t xml:space="preserve">overnments, as parties to the NHRA, are committed to a shared long-term vision for health reform. They will work together to achieve the agreed critical priorities of: </w:t>
      </w:r>
    </w:p>
    <w:p w14:paraId="2AF387F7" w14:textId="77777777" w:rsidR="00B138F7" w:rsidRPr="00AA4A74" w:rsidRDefault="00B138F7" w:rsidP="00B138F7">
      <w:pPr>
        <w:pStyle w:val="BulletPoint1"/>
        <w:spacing w:after="0" w:line="260" w:lineRule="auto"/>
      </w:pPr>
      <w:r>
        <w:t>i</w:t>
      </w:r>
      <w:r w:rsidRPr="00AA4A74">
        <w:t xml:space="preserve">mproving efficiency and ensuring financial sustainability </w:t>
      </w:r>
    </w:p>
    <w:p w14:paraId="5BB3DF0D" w14:textId="77777777" w:rsidR="00B138F7" w:rsidRPr="00AA4A74" w:rsidRDefault="00B138F7" w:rsidP="00B138F7">
      <w:pPr>
        <w:pStyle w:val="BulletPoint1"/>
        <w:spacing w:after="0" w:line="260" w:lineRule="auto"/>
      </w:pPr>
      <w:r>
        <w:t>d</w:t>
      </w:r>
      <w:r w:rsidRPr="00AA4A74">
        <w:t>elivering safe, high-quality care in th</w:t>
      </w:r>
      <w:r>
        <w:t>e right place at the right time</w:t>
      </w:r>
      <w:r w:rsidRPr="00AA4A74">
        <w:t xml:space="preserve"> </w:t>
      </w:r>
    </w:p>
    <w:p w14:paraId="1E80EB23" w14:textId="77777777" w:rsidR="00B138F7" w:rsidRPr="00AA4A74" w:rsidRDefault="00B138F7" w:rsidP="00B138F7">
      <w:pPr>
        <w:pStyle w:val="BulletPoint1"/>
        <w:spacing w:after="0" w:line="260" w:lineRule="auto"/>
      </w:pPr>
      <w:proofErr w:type="spellStart"/>
      <w:r>
        <w:t>p</w:t>
      </w:r>
      <w:r w:rsidRPr="00AA4A74">
        <w:t>rioritising</w:t>
      </w:r>
      <w:proofErr w:type="spellEnd"/>
      <w:r w:rsidRPr="00AA4A74">
        <w:t xml:space="preserve"> prevention and helping people manage thei</w:t>
      </w:r>
      <w:r>
        <w:t>r health throughout their lifetime</w:t>
      </w:r>
    </w:p>
    <w:p w14:paraId="52C96964" w14:textId="77777777" w:rsidR="00B138F7" w:rsidRPr="00AA4A74" w:rsidRDefault="00B138F7" w:rsidP="00B138F7">
      <w:pPr>
        <w:pStyle w:val="BulletPoint1"/>
        <w:spacing w:after="0" w:line="260" w:lineRule="auto"/>
      </w:pPr>
      <w:r>
        <w:t>d</w:t>
      </w:r>
      <w:r w:rsidRPr="00AA4A74">
        <w:t>riving best practice and performance using data and research.</w:t>
      </w:r>
    </w:p>
    <w:p w14:paraId="69EA0AE3" w14:textId="77777777" w:rsidR="00B138F7" w:rsidRPr="00B138F7" w:rsidRDefault="00B138F7" w:rsidP="00B138F7">
      <w:pPr>
        <w:pStyle w:val="Heading2"/>
      </w:pPr>
      <w:bookmarkStart w:id="13" w:name="_Toc75425917"/>
      <w:bookmarkStart w:id="14" w:name="_Toc86055094"/>
      <w:r w:rsidRPr="00B138F7">
        <w:t>Purpose of the reform roadmap</w:t>
      </w:r>
      <w:bookmarkEnd w:id="13"/>
      <w:bookmarkEnd w:id="14"/>
    </w:p>
    <w:p w14:paraId="2BCE0F50" w14:textId="05BC92EC" w:rsidR="00B138F7" w:rsidRDefault="00B138F7" w:rsidP="00B138F7">
      <w:r>
        <w:t xml:space="preserve">This reform roadmap is attached to the </w:t>
      </w:r>
      <w:r w:rsidRPr="00AA4A74">
        <w:rPr>
          <w:i/>
        </w:rPr>
        <w:t>Addendum to the National Health Reform Agreement 2020-2025 (NHRA)</w:t>
      </w:r>
      <w:r>
        <w:t xml:space="preserve">. Commonwealth, </w:t>
      </w:r>
      <w:proofErr w:type="gramStart"/>
      <w:r>
        <w:t>state</w:t>
      </w:r>
      <w:proofErr w:type="gramEnd"/>
      <w:r>
        <w:t xml:space="preserve"> and territory governments are committed to this reform roadmap and its implementation.</w:t>
      </w:r>
    </w:p>
    <w:p w14:paraId="1B2E27A9" w14:textId="3A683CF0" w:rsidR="00B138F7" w:rsidRDefault="00B138F7" w:rsidP="00B138F7">
      <w:r>
        <w:t>This roadmap provides a flexible approach to achieving the</w:t>
      </w:r>
      <w:r w:rsidR="007A071A">
        <w:t xml:space="preserve"> priorities </w:t>
      </w:r>
      <w:r w:rsidR="00F70DA1">
        <w:t xml:space="preserve">outlined </w:t>
      </w:r>
      <w:r w:rsidR="007A071A">
        <w:t>above</w:t>
      </w:r>
      <w:r>
        <w:t xml:space="preserve">. It allows programs to evolve and shift direction to incorporate learnings or changes in the health landscape. Implementation of the long-term reform activities set out here </w:t>
      </w:r>
      <w:r w:rsidR="007A071A">
        <w:t xml:space="preserve">will </w:t>
      </w:r>
      <w:proofErr w:type="gramStart"/>
      <w:r>
        <w:t>take into account</w:t>
      </w:r>
      <w:proofErr w:type="gramEnd"/>
      <w:r>
        <w:t xml:space="preserve"> each jurisdiction’s circumstances. States and territories will have the flexibility to identify priority reforms and determine the scope and timing of activities to best suit local needs and support local health system diversity, readiness and funder and provider capabilities.</w:t>
      </w:r>
    </w:p>
    <w:p w14:paraId="3F6759BF" w14:textId="77777777" w:rsidR="00B138F7" w:rsidRPr="00B138F7" w:rsidRDefault="00B138F7" w:rsidP="00B138F7">
      <w:pPr>
        <w:pStyle w:val="Heading2"/>
      </w:pPr>
      <w:bookmarkStart w:id="15" w:name="_Toc75425918"/>
      <w:bookmarkStart w:id="16" w:name="_Toc86055095"/>
      <w:r w:rsidRPr="00B138F7">
        <w:t>Key areas of reform</w:t>
      </w:r>
      <w:bookmarkEnd w:id="15"/>
      <w:bookmarkEnd w:id="16"/>
    </w:p>
    <w:p w14:paraId="7AEAC42F" w14:textId="7D7AA6B3" w:rsidR="00B138F7" w:rsidRPr="00F51A94" w:rsidRDefault="00B138F7" w:rsidP="00B138F7">
      <w:r>
        <w:t>The</w:t>
      </w:r>
      <w:r w:rsidRPr="00F51A94">
        <w:t xml:space="preserve"> roadmap includes a vision statement, aim, case for change, </w:t>
      </w:r>
      <w:r w:rsidR="00015F19">
        <w:t>links to other reforms</w:t>
      </w:r>
      <w:r w:rsidRPr="00F51A94">
        <w:t xml:space="preserve">, </w:t>
      </w:r>
      <w:r w:rsidR="00D75445">
        <w:t>intended outcomes</w:t>
      </w:r>
      <w:r w:rsidRPr="00F51A94">
        <w:t>, key concepts and COVID related developments for each reform area. The roadmap identifies actions</w:t>
      </w:r>
      <w:r w:rsidR="00015F19">
        <w:t xml:space="preserve">, </w:t>
      </w:r>
      <w:proofErr w:type="gramStart"/>
      <w:r w:rsidR="00015F19">
        <w:t>deliverables</w:t>
      </w:r>
      <w:proofErr w:type="gramEnd"/>
      <w:r w:rsidR="00177330">
        <w:t xml:space="preserve"> and</w:t>
      </w:r>
      <w:r w:rsidRPr="00F51A94">
        <w:t xml:space="preserve"> timeframes for the</w:t>
      </w:r>
      <w:r>
        <w:t>se</w:t>
      </w:r>
      <w:r w:rsidRPr="00F51A94">
        <w:t xml:space="preserve"> key areas of reform:</w:t>
      </w:r>
    </w:p>
    <w:p w14:paraId="1B752A13" w14:textId="5888C594" w:rsidR="00B138F7" w:rsidRPr="00B138F7" w:rsidRDefault="00B138F7" w:rsidP="00B138F7">
      <w:pPr>
        <w:pStyle w:val="BulletPoint1"/>
      </w:pPr>
      <w:r w:rsidRPr="00B138F7">
        <w:t xml:space="preserve">nationally cohesive </w:t>
      </w:r>
      <w:r w:rsidR="002113FC">
        <w:t>H</w:t>
      </w:r>
      <w:r w:rsidRPr="00B138F7">
        <w:t xml:space="preserve">ealth </w:t>
      </w:r>
      <w:r w:rsidR="002113FC">
        <w:t>T</w:t>
      </w:r>
      <w:r w:rsidRPr="00B138F7">
        <w:t xml:space="preserve">echnology </w:t>
      </w:r>
      <w:r w:rsidR="002113FC">
        <w:t>A</w:t>
      </w:r>
      <w:r w:rsidRPr="00B138F7">
        <w:t>ssessment</w:t>
      </w:r>
    </w:p>
    <w:p w14:paraId="78DBDD10" w14:textId="77777777" w:rsidR="00B138F7" w:rsidRPr="00B138F7" w:rsidRDefault="00B138F7" w:rsidP="00B138F7">
      <w:pPr>
        <w:pStyle w:val="BulletPoint1"/>
      </w:pPr>
      <w:r w:rsidRPr="00B138F7">
        <w:t>paying for value and outcomes</w:t>
      </w:r>
    </w:p>
    <w:p w14:paraId="25BC9790" w14:textId="77777777" w:rsidR="00B138F7" w:rsidRPr="00B138F7" w:rsidRDefault="00B138F7" w:rsidP="00B138F7">
      <w:pPr>
        <w:pStyle w:val="BulletPoint1"/>
      </w:pPr>
      <w:r w:rsidRPr="00B138F7">
        <w:t>joint planning and funding at a local level</w:t>
      </w:r>
    </w:p>
    <w:p w14:paraId="4F0F46C1" w14:textId="77777777" w:rsidR="00B138F7" w:rsidRPr="00B138F7" w:rsidRDefault="00B138F7" w:rsidP="00B138F7">
      <w:pPr>
        <w:pStyle w:val="BulletPoint1"/>
      </w:pPr>
      <w:r w:rsidRPr="00B138F7">
        <w:t>empowering people through health literacy</w:t>
      </w:r>
    </w:p>
    <w:p w14:paraId="181A32FB" w14:textId="77777777" w:rsidR="00B138F7" w:rsidRPr="00B138F7" w:rsidRDefault="00B138F7" w:rsidP="00B138F7">
      <w:pPr>
        <w:pStyle w:val="BulletPoint1"/>
      </w:pPr>
      <w:r w:rsidRPr="00B138F7">
        <w:t>prevention and wellbeing</w:t>
      </w:r>
    </w:p>
    <w:p w14:paraId="40228AFE" w14:textId="77777777" w:rsidR="00B138F7" w:rsidRPr="00B138F7" w:rsidRDefault="00B138F7" w:rsidP="00B138F7">
      <w:pPr>
        <w:pStyle w:val="BulletPoint1"/>
      </w:pPr>
      <w:r w:rsidRPr="00B138F7">
        <w:t>enhanced health data</w:t>
      </w:r>
    </w:p>
    <w:p w14:paraId="083B1AE1" w14:textId="643FAF9A" w:rsidR="00B138F7" w:rsidRPr="00B138F7" w:rsidRDefault="00B138F7" w:rsidP="00B138F7">
      <w:pPr>
        <w:pStyle w:val="BulletPoint1"/>
      </w:pPr>
      <w:r w:rsidRPr="00B138F7">
        <w:t xml:space="preserve">interfaces between health, </w:t>
      </w:r>
      <w:proofErr w:type="gramStart"/>
      <w:r w:rsidRPr="00B138F7">
        <w:t>disability</w:t>
      </w:r>
      <w:proofErr w:type="gramEnd"/>
      <w:r w:rsidRPr="00B138F7">
        <w:t xml:space="preserve"> and aged care systems</w:t>
      </w:r>
    </w:p>
    <w:p w14:paraId="5E82CCBA" w14:textId="388037C6" w:rsidR="00B138F7" w:rsidRPr="00B138F7" w:rsidRDefault="003443EF" w:rsidP="00B138F7">
      <w:pPr>
        <w:pStyle w:val="Heading2"/>
      </w:pPr>
      <w:bookmarkStart w:id="17" w:name="_Toc75425919"/>
      <w:r>
        <w:br w:type="column"/>
      </w:r>
      <w:bookmarkStart w:id="18" w:name="_Toc86055096"/>
      <w:r w:rsidR="00B138F7" w:rsidRPr="00B138F7">
        <w:lastRenderedPageBreak/>
        <w:t>COVID-19 impact</w:t>
      </w:r>
      <w:bookmarkEnd w:id="17"/>
      <w:bookmarkEnd w:id="18"/>
    </w:p>
    <w:p w14:paraId="5AF4F51A" w14:textId="3493099A" w:rsidR="00B138F7" w:rsidRDefault="00B138F7" w:rsidP="00B138F7">
      <w:r>
        <w:t xml:space="preserve">This program of reform has commenced at a time of unprecedented change due to the impacts of the COVID-19 pandemic. The response to COVID-19 included many novel approaches to providing health services and support </w:t>
      </w:r>
      <w:r w:rsidRPr="00B138F7">
        <w:t xml:space="preserve">and will inform the implementation of these reforms. The reforms will support the COVID-19 recovery by enabling flexible, </w:t>
      </w:r>
      <w:proofErr w:type="gramStart"/>
      <w:r w:rsidRPr="00B138F7">
        <w:t>innovative</w:t>
      </w:r>
      <w:proofErr w:type="gramEnd"/>
      <w:r w:rsidRPr="00B138F7">
        <w:t xml:space="preserve"> and data-informed approaches to delivering health care.</w:t>
      </w:r>
    </w:p>
    <w:p w14:paraId="026BD81E" w14:textId="17F1BA7E" w:rsidR="00B138F7" w:rsidRPr="00B138F7" w:rsidRDefault="00B138F7" w:rsidP="00B138F7">
      <w:pPr>
        <w:pStyle w:val="Heading2"/>
      </w:pPr>
      <w:bookmarkStart w:id="19" w:name="_Toc75425920"/>
      <w:bookmarkStart w:id="20" w:name="_Toc86055097"/>
      <w:r w:rsidRPr="00B138F7">
        <w:t>Governance</w:t>
      </w:r>
      <w:bookmarkEnd w:id="19"/>
      <w:bookmarkEnd w:id="20"/>
    </w:p>
    <w:p w14:paraId="7E4E9910" w14:textId="07E41C4F" w:rsidR="00B138F7" w:rsidRDefault="00B138F7" w:rsidP="00B138F7">
      <w:r>
        <w:t xml:space="preserve">Health Ministers and Chief Executive Officers of Commonwealth, state and territory health departments are responsible for implementing these reforms. A governance diagram is at </w:t>
      </w:r>
      <w:hyperlink w:anchor="_Appendix_A_-" w:history="1">
        <w:r w:rsidRPr="006E1C57">
          <w:rPr>
            <w:rStyle w:val="Hyperlink"/>
          </w:rPr>
          <w:t>Appendix A</w:t>
        </w:r>
      </w:hyperlink>
      <w:r>
        <w:t>.</w:t>
      </w:r>
    </w:p>
    <w:p w14:paraId="75A59822" w14:textId="551EC17D" w:rsidR="00892291" w:rsidRPr="00B138F7" w:rsidRDefault="00892291" w:rsidP="00892291">
      <w:pPr>
        <w:pStyle w:val="Heading2"/>
      </w:pPr>
      <w:bookmarkStart w:id="21" w:name="_Toc86055098"/>
      <w:r>
        <w:t>Key partners</w:t>
      </w:r>
      <w:bookmarkEnd w:id="21"/>
    </w:p>
    <w:p w14:paraId="1F6C6AD2" w14:textId="059F1458" w:rsidR="00892291" w:rsidRPr="00892291" w:rsidRDefault="00892291" w:rsidP="00CB7B49">
      <w:bookmarkStart w:id="22" w:name="_Toc75425921"/>
      <w:r w:rsidRPr="00892291">
        <w:t>Key partners in implementing these reforms will include, but not be limited to</w:t>
      </w:r>
      <w:r w:rsidR="00001CAD">
        <w:t>,</w:t>
      </w:r>
      <w:r w:rsidRPr="00892291">
        <w:t xml:space="preserve"> Local Hospital Networks, Primary Health Networks, Aboriginal Community Controlled Health Organisations and national bodies such as the Independent Hospital Pricing Authority, </w:t>
      </w:r>
      <w:r w:rsidR="00001CAD">
        <w:t xml:space="preserve">the </w:t>
      </w:r>
      <w:r w:rsidRPr="00892291">
        <w:t xml:space="preserve">Administrator of the National Health Funding Pool, </w:t>
      </w:r>
      <w:r w:rsidR="00001CAD">
        <w:t xml:space="preserve">the </w:t>
      </w:r>
      <w:r w:rsidRPr="00892291">
        <w:t xml:space="preserve">Australian Institute of Health and Welfare, and </w:t>
      </w:r>
      <w:r w:rsidR="00001CAD">
        <w:t xml:space="preserve">the </w:t>
      </w:r>
      <w:r w:rsidRPr="00892291">
        <w:t>Australian Commission on Safety and Quality in Health Care. Other partners will be engaged in specific implementation activities.</w:t>
      </w:r>
    </w:p>
    <w:p w14:paraId="7995A798" w14:textId="227EBB30" w:rsidR="00892291" w:rsidRDefault="00892291" w:rsidP="00CB7B49">
      <w:pPr>
        <w:rPr>
          <w:bCs/>
        </w:rPr>
      </w:pPr>
      <w:r w:rsidRPr="00892291">
        <w:t xml:space="preserve">To implement this program of reform, the Commonwealth and </w:t>
      </w:r>
      <w:r w:rsidR="00001CAD">
        <w:t>s</w:t>
      </w:r>
      <w:r w:rsidRPr="00892291">
        <w:t>tates will work in partnership with Aboriginal and Torres Strait Islander communities to co-design approaches tailored to their needs. This commitment recognises and will enable Aboriginal and Torres Strait Islander leadership, local decision</w:t>
      </w:r>
      <w:r>
        <w:rPr>
          <w:bCs/>
        </w:rPr>
        <w:t>-</w:t>
      </w:r>
      <w:r w:rsidRPr="00892291">
        <w:t>making processes, co-delivery of culturally safe and secure health services, and Aboriginal and Torres Strait Islander-led evaluation.</w:t>
      </w:r>
    </w:p>
    <w:p w14:paraId="2852F46D" w14:textId="2F8C44B3" w:rsidR="00B138F7" w:rsidRPr="00B138F7" w:rsidRDefault="00B138F7" w:rsidP="00892291">
      <w:pPr>
        <w:pStyle w:val="Heading2"/>
      </w:pPr>
      <w:bookmarkStart w:id="23" w:name="_Toc86055099"/>
      <w:r w:rsidRPr="00B138F7">
        <w:t>Interdependencies</w:t>
      </w:r>
      <w:bookmarkEnd w:id="22"/>
      <w:bookmarkEnd w:id="23"/>
    </w:p>
    <w:p w14:paraId="1177BC83" w14:textId="77777777" w:rsidR="00B138F7" w:rsidRDefault="00B138F7" w:rsidP="00B138F7">
      <w:r>
        <w:t xml:space="preserve">The long-term reforms build on many initiatives aimed at improving patient outcomes and experiences within the health system. These include initiatives delivered by all jurisdictions at national, state, regional and local levels. This set of health reforms takes a system-wide approach and there are critical interdependencies between the streams of reform. </w:t>
      </w:r>
    </w:p>
    <w:p w14:paraId="3987A8EF" w14:textId="2AC16854" w:rsidR="00B138F7" w:rsidRDefault="00B138F7" w:rsidP="00B138F7">
      <w:r>
        <w:t xml:space="preserve">The </w:t>
      </w:r>
      <w:r w:rsidRPr="00511D12">
        <w:rPr>
          <w:rStyle w:val="Emphasis"/>
        </w:rPr>
        <w:t xml:space="preserve">Enhanced </w:t>
      </w:r>
      <w:r w:rsidR="00AB5CE6" w:rsidRPr="00511D12">
        <w:rPr>
          <w:rStyle w:val="Emphasis"/>
        </w:rPr>
        <w:t>h</w:t>
      </w:r>
      <w:r w:rsidRPr="00511D12">
        <w:rPr>
          <w:rStyle w:val="Emphasis"/>
        </w:rPr>
        <w:t xml:space="preserve">ealth </w:t>
      </w:r>
      <w:r w:rsidR="00AB5CE6" w:rsidRPr="00511D12">
        <w:rPr>
          <w:rStyle w:val="Emphasis"/>
        </w:rPr>
        <w:t>d</w:t>
      </w:r>
      <w:r w:rsidRPr="00511D12">
        <w:rPr>
          <w:rStyle w:val="Emphasis"/>
        </w:rPr>
        <w:t>ata</w:t>
      </w:r>
      <w:r w:rsidRPr="00BF1D00">
        <w:rPr>
          <w:i/>
          <w:iCs/>
        </w:rPr>
        <w:t xml:space="preserve"> </w:t>
      </w:r>
      <w:r w:rsidRPr="00001CAD">
        <w:t>reform</w:t>
      </w:r>
      <w:r>
        <w:t xml:space="preserve"> is an enabler for all the long-term system wide reforms and is the </w:t>
      </w:r>
      <w:proofErr w:type="gramStart"/>
      <w:r>
        <w:t>first priority</w:t>
      </w:r>
      <w:proofErr w:type="gramEnd"/>
      <w:r>
        <w:t>. Access to joined-up data that provides an end-to-end view of patient pathways will enable policymakers and governments to develop a more accurate model of the health system, to inform system design, funding and improved patient access and experiences.</w:t>
      </w:r>
    </w:p>
    <w:p w14:paraId="5C557B73" w14:textId="52DE4E91" w:rsidR="00D75445" w:rsidRPr="003874C4" w:rsidRDefault="00D75445" w:rsidP="00D75445">
      <w:bookmarkStart w:id="24" w:name="_Toc75425922"/>
      <w:r>
        <w:t xml:space="preserve">The </w:t>
      </w:r>
      <w:r w:rsidRPr="006E1C57">
        <w:t xml:space="preserve">Paying for </w:t>
      </w:r>
      <w:r w:rsidR="00AB5CE6" w:rsidRPr="006E1C57">
        <w:t>v</w:t>
      </w:r>
      <w:r w:rsidRPr="006E1C57">
        <w:t xml:space="preserve">alue and </w:t>
      </w:r>
      <w:r w:rsidR="00AB5CE6" w:rsidRPr="006E1C57">
        <w:t>o</w:t>
      </w:r>
      <w:r w:rsidRPr="006E1C57">
        <w:t xml:space="preserve">utcomes and Joint </w:t>
      </w:r>
      <w:r w:rsidR="00AB5CE6" w:rsidRPr="006E1C57">
        <w:t>p</w:t>
      </w:r>
      <w:r w:rsidRPr="006E1C57">
        <w:t xml:space="preserve">lanning and </w:t>
      </w:r>
      <w:r w:rsidR="00AB5CE6" w:rsidRPr="006E1C57">
        <w:t>f</w:t>
      </w:r>
      <w:r w:rsidRPr="006E1C57">
        <w:t>unding at a local level</w:t>
      </w:r>
      <w:r w:rsidRPr="00BF1D00">
        <w:rPr>
          <w:i/>
          <w:iCs/>
        </w:rPr>
        <w:t xml:space="preserve"> </w:t>
      </w:r>
      <w:r>
        <w:t xml:space="preserve">reforms are intrinsically linked and complementary. The first aims to deliver system-level payment reform and </w:t>
      </w:r>
      <w:r w:rsidRPr="003874C4">
        <w:t xml:space="preserve">will create an enabling environment for trials of flexible models of care. The </w:t>
      </w:r>
      <w:r w:rsidRPr="00BF1D00">
        <w:rPr>
          <w:i/>
          <w:iCs/>
        </w:rPr>
        <w:t xml:space="preserve">Joint </w:t>
      </w:r>
      <w:r w:rsidR="00AB5CE6" w:rsidRPr="00BF1D00">
        <w:rPr>
          <w:i/>
          <w:iCs/>
        </w:rPr>
        <w:t>p</w:t>
      </w:r>
      <w:r w:rsidRPr="00BF1D00">
        <w:rPr>
          <w:i/>
          <w:iCs/>
        </w:rPr>
        <w:t xml:space="preserve">lanning </w:t>
      </w:r>
      <w:r w:rsidR="00AA662B" w:rsidRPr="00BF1D00">
        <w:rPr>
          <w:i/>
          <w:iCs/>
        </w:rPr>
        <w:t xml:space="preserve">and </w:t>
      </w:r>
      <w:r w:rsidR="00AB5CE6" w:rsidRPr="00BF1D00">
        <w:rPr>
          <w:i/>
          <w:iCs/>
        </w:rPr>
        <w:t>f</w:t>
      </w:r>
      <w:r w:rsidR="00AA662B" w:rsidRPr="00BF1D00">
        <w:rPr>
          <w:i/>
          <w:iCs/>
        </w:rPr>
        <w:t xml:space="preserve">unding </w:t>
      </w:r>
      <w:r w:rsidRPr="003874C4">
        <w:t>reform will strengthen governance</w:t>
      </w:r>
      <w:r w:rsidR="005C6116" w:rsidRPr="003874C4">
        <w:t xml:space="preserve">, </w:t>
      </w:r>
      <w:proofErr w:type="gramStart"/>
      <w:r w:rsidR="005C6116" w:rsidRPr="003874C4">
        <w:t>funding</w:t>
      </w:r>
      <w:proofErr w:type="gramEnd"/>
      <w:r w:rsidRPr="003874C4">
        <w:t xml:space="preserve"> and accountability arrangements to support better collaboration at the local level. The </w:t>
      </w:r>
      <w:r w:rsidRPr="00792522">
        <w:rPr>
          <w:rStyle w:val="Emphasis"/>
        </w:rPr>
        <w:t xml:space="preserve">Enhanced </w:t>
      </w:r>
      <w:r w:rsidR="00AB5CE6" w:rsidRPr="00792522">
        <w:rPr>
          <w:rStyle w:val="Emphasis"/>
        </w:rPr>
        <w:t>h</w:t>
      </w:r>
      <w:r w:rsidRPr="00792522">
        <w:rPr>
          <w:rStyle w:val="Emphasis"/>
        </w:rPr>
        <w:t xml:space="preserve">ealth </w:t>
      </w:r>
      <w:r w:rsidR="00AB5CE6" w:rsidRPr="00792522">
        <w:rPr>
          <w:rStyle w:val="Emphasis"/>
        </w:rPr>
        <w:t>d</w:t>
      </w:r>
      <w:r w:rsidRPr="00792522">
        <w:rPr>
          <w:rStyle w:val="Emphasis"/>
        </w:rPr>
        <w:t>ata</w:t>
      </w:r>
      <w:r w:rsidRPr="003874C4">
        <w:t xml:space="preserve"> reform will develop supporting data collections, overarching governance arrangements and enhance linkage capabilities to support these reforms.</w:t>
      </w:r>
    </w:p>
    <w:p w14:paraId="566DE0DD" w14:textId="240BFB74" w:rsidR="00D75445" w:rsidRPr="003874C4" w:rsidRDefault="00D75445" w:rsidP="00D75445">
      <w:r w:rsidRPr="003874C4">
        <w:t xml:space="preserve">The </w:t>
      </w:r>
      <w:r w:rsidRPr="006E1C57">
        <w:t xml:space="preserve">Prevention and </w:t>
      </w:r>
      <w:r w:rsidR="00AB5CE6" w:rsidRPr="006E1C57">
        <w:t>w</w:t>
      </w:r>
      <w:r w:rsidRPr="006E1C57">
        <w:t xml:space="preserve">ellbeing and Empowering people through </w:t>
      </w:r>
      <w:r w:rsidR="00AB5CE6" w:rsidRPr="006E1C57">
        <w:t>h</w:t>
      </w:r>
      <w:r w:rsidRPr="006E1C57">
        <w:t xml:space="preserve">ealth </w:t>
      </w:r>
      <w:r w:rsidR="00AB5CE6" w:rsidRPr="006E1C57">
        <w:t>l</w:t>
      </w:r>
      <w:r w:rsidRPr="006E1C57">
        <w:t xml:space="preserve">iteracy </w:t>
      </w:r>
      <w:r w:rsidRPr="003874C4">
        <w:t>reforms will help reorient the health system around individuals and communities and reduce the prevalence of disease, supported by the structural reforms above.</w:t>
      </w:r>
    </w:p>
    <w:p w14:paraId="50586250" w14:textId="2D8B44E2" w:rsidR="00D75445" w:rsidRPr="006E1C57" w:rsidRDefault="00D75445" w:rsidP="006E1C57">
      <w:r w:rsidRPr="006E1C57">
        <w:t xml:space="preserve">The goal of the Nationally </w:t>
      </w:r>
      <w:r w:rsidR="00AB5CE6" w:rsidRPr="006E1C57">
        <w:t>c</w:t>
      </w:r>
      <w:r w:rsidRPr="006E1C57">
        <w:t xml:space="preserve">ohesive Health Technology Assessment (HTA) reform is to increase the </w:t>
      </w:r>
      <w:r w:rsidR="00F73B84" w:rsidRPr="006E1C57">
        <w:t xml:space="preserve">consistency, timeliness, </w:t>
      </w:r>
      <w:proofErr w:type="gramStart"/>
      <w:r w:rsidR="00F73B84" w:rsidRPr="006E1C57">
        <w:t>efficiency</w:t>
      </w:r>
      <w:proofErr w:type="gramEnd"/>
      <w:r w:rsidR="00F73B84" w:rsidRPr="006E1C57">
        <w:t xml:space="preserve"> and value </w:t>
      </w:r>
      <w:r w:rsidRPr="006E1C57">
        <w:t>of HTA</w:t>
      </w:r>
      <w:r w:rsidR="00F73B84" w:rsidRPr="006E1C57">
        <w:t xml:space="preserve"> processes nationally</w:t>
      </w:r>
      <w:r w:rsidRPr="006E1C57">
        <w:t xml:space="preserve">. This will contribute to the Paying for </w:t>
      </w:r>
      <w:r w:rsidR="00AB5CE6" w:rsidRPr="006E1C57">
        <w:t>v</w:t>
      </w:r>
      <w:r w:rsidRPr="006E1C57">
        <w:t xml:space="preserve">alue and </w:t>
      </w:r>
      <w:r w:rsidR="00AB5CE6" w:rsidRPr="006E1C57">
        <w:t>o</w:t>
      </w:r>
      <w:r w:rsidRPr="006E1C57">
        <w:t>utcomes reform.</w:t>
      </w:r>
    </w:p>
    <w:p w14:paraId="69C083B5" w14:textId="357900EB" w:rsidR="00D75445" w:rsidRDefault="00D75445" w:rsidP="00D75445">
      <w:r w:rsidRPr="006E1C57">
        <w:t>The Interfaces between health, disability and aged care systems reform will</w:t>
      </w:r>
      <w:r>
        <w:t xml:space="preserve"> develop performance interface indicators to monitor and report on new and existing interface issues and improve governance mechanisms to resolve issues. This reform is linked to the </w:t>
      </w:r>
      <w:r w:rsidRPr="00BF1D00">
        <w:rPr>
          <w:i/>
          <w:iCs/>
        </w:rPr>
        <w:t xml:space="preserve">Enhanced </w:t>
      </w:r>
      <w:r w:rsidR="00AB5CE6" w:rsidRPr="00BF1D00">
        <w:rPr>
          <w:i/>
          <w:iCs/>
        </w:rPr>
        <w:t>h</w:t>
      </w:r>
      <w:r w:rsidRPr="00BF1D00">
        <w:rPr>
          <w:i/>
          <w:iCs/>
        </w:rPr>
        <w:t xml:space="preserve">ealth </w:t>
      </w:r>
      <w:r w:rsidR="00AB5CE6" w:rsidRPr="00BF1D00">
        <w:rPr>
          <w:i/>
          <w:iCs/>
        </w:rPr>
        <w:t>d</w:t>
      </w:r>
      <w:r w:rsidRPr="00BF1D00">
        <w:rPr>
          <w:i/>
          <w:iCs/>
        </w:rPr>
        <w:t>ata</w:t>
      </w:r>
      <w:r>
        <w:t xml:space="preserve"> reform given the need to link data across systems.</w:t>
      </w:r>
    </w:p>
    <w:p w14:paraId="36B3FEEC" w14:textId="77777777" w:rsidR="00B138F7" w:rsidRPr="00B138F7" w:rsidRDefault="00B138F7" w:rsidP="00B138F7">
      <w:pPr>
        <w:pStyle w:val="Heading2"/>
      </w:pPr>
      <w:bookmarkStart w:id="25" w:name="_Toc86055100"/>
      <w:r w:rsidRPr="00B138F7">
        <w:t>Review and evaluation</w:t>
      </w:r>
      <w:bookmarkEnd w:id="24"/>
      <w:bookmarkEnd w:id="25"/>
    </w:p>
    <w:p w14:paraId="32476320" w14:textId="77F244B7" w:rsidR="00B138F7" w:rsidRDefault="00B138F7" w:rsidP="00B138F7">
      <w:r>
        <w:t xml:space="preserve">Evaluation and knowledge sharing are key commitments within each reform stream. A common evaluation framework will be developed to outline </w:t>
      </w:r>
      <w:r w:rsidRPr="003874C4">
        <w:t xml:space="preserve">expectations and methods </w:t>
      </w:r>
      <w:r w:rsidR="00AA662B" w:rsidRPr="003874C4">
        <w:t xml:space="preserve">to </w:t>
      </w:r>
      <w:r w:rsidRPr="003874C4">
        <w:t xml:space="preserve">review reform implementation. More specific evaluation questions or scope may be required for individual activities </w:t>
      </w:r>
      <w:r w:rsidR="00AA662B" w:rsidRPr="003874C4">
        <w:t xml:space="preserve">within each individual reform </w:t>
      </w:r>
      <w:r w:rsidRPr="003874C4">
        <w:t>as needed.</w:t>
      </w:r>
    </w:p>
    <w:p w14:paraId="6B4F50BB" w14:textId="6ED5E6A9" w:rsidR="00495D10" w:rsidRDefault="00495D10" w:rsidP="002C1A45">
      <w:r>
        <w:br w:type="page"/>
      </w:r>
    </w:p>
    <w:p w14:paraId="5C477AD7" w14:textId="77777777" w:rsidR="00901C8D" w:rsidRPr="00901C8D" w:rsidRDefault="00901C8D" w:rsidP="00792522">
      <w:pPr>
        <w:pStyle w:val="Heading1"/>
        <w:rPr>
          <w:rFonts w:ascii="Times New Roman" w:hAnsi="Times New Roman"/>
          <w:sz w:val="24"/>
        </w:rPr>
      </w:pPr>
      <w:bookmarkStart w:id="26" w:name="_Toc86055101"/>
      <w:r w:rsidRPr="00901C8D">
        <w:rPr>
          <w:shd w:val="clear" w:color="auto" w:fill="FFFFFF"/>
        </w:rPr>
        <w:lastRenderedPageBreak/>
        <w:t>Long term reforms</w:t>
      </w:r>
      <w:bookmarkEnd w:id="26"/>
    </w:p>
    <w:tbl>
      <w:tblPr>
        <w:tblStyle w:val="DepartmentalTealstyle"/>
        <w:tblW w:w="5000" w:type="pct"/>
        <w:tblLook w:val="04A0" w:firstRow="1" w:lastRow="0" w:firstColumn="1" w:lastColumn="0" w:noHBand="0" w:noVBand="1"/>
        <w:tblDescription w:val="This table list the long term reforms for the Nationally cohesive Health Technology Assessment process. "/>
      </w:tblPr>
      <w:tblGrid>
        <w:gridCol w:w="1629"/>
        <w:gridCol w:w="8569"/>
      </w:tblGrid>
      <w:tr w:rsidR="009E65CF" w:rsidRPr="00236C2C" w14:paraId="2E2048E7" w14:textId="77777777" w:rsidTr="007925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1" w:type="pct"/>
          </w:tcPr>
          <w:p w14:paraId="1C66BFE7" w14:textId="7069C08E" w:rsidR="00760CFE" w:rsidRPr="00792522" w:rsidRDefault="00760CFE" w:rsidP="00792522">
            <w:r w:rsidRPr="00792522">
              <w:br w:type="page"/>
            </w:r>
            <w:bookmarkStart w:id="27" w:name="_Toc75334494"/>
            <w:r w:rsidR="00236C2C" w:rsidRPr="00792522">
              <w:t>Reform stream</w:t>
            </w:r>
            <w:bookmarkEnd w:id="27"/>
          </w:p>
        </w:tc>
        <w:tc>
          <w:tcPr>
            <w:tcW w:w="4209" w:type="pct"/>
          </w:tcPr>
          <w:p w14:paraId="2CDCCFE5" w14:textId="77777777" w:rsidR="00760CFE" w:rsidRPr="00792522" w:rsidRDefault="00760CFE" w:rsidP="00792522">
            <w:pPr>
              <w:cnfStyle w:val="100000000000" w:firstRow="1" w:lastRow="0" w:firstColumn="0" w:lastColumn="0" w:oddVBand="0" w:evenVBand="0" w:oddHBand="0" w:evenHBand="0" w:firstRowFirstColumn="0" w:firstRowLastColumn="0" w:lastRowFirstColumn="0" w:lastRowLastColumn="0"/>
            </w:pPr>
            <w:r w:rsidRPr="00792522">
              <w:t>Nationally cohesive Health Technology Assessment</w:t>
            </w:r>
          </w:p>
        </w:tc>
      </w:tr>
      <w:tr w:rsidR="004930B0" w:rsidRPr="00236C2C" w14:paraId="44CCF894" w14:textId="77777777" w:rsidTr="00792522">
        <w:trPr>
          <w:trHeight w:val="664"/>
        </w:trPr>
        <w:tc>
          <w:tcPr>
            <w:cnfStyle w:val="001000000000" w:firstRow="0" w:lastRow="0" w:firstColumn="1" w:lastColumn="0" w:oddVBand="0" w:evenVBand="0" w:oddHBand="0" w:evenHBand="0" w:firstRowFirstColumn="0" w:firstRowLastColumn="0" w:lastRowFirstColumn="0" w:lastRowLastColumn="0"/>
            <w:tcW w:w="791" w:type="pct"/>
          </w:tcPr>
          <w:p w14:paraId="27998F0D" w14:textId="7BAAA814" w:rsidR="004930B0" w:rsidRPr="00D55D40" w:rsidRDefault="004930B0" w:rsidP="00D55D40">
            <w:pPr>
              <w:pStyle w:val="TableHeadings"/>
              <w:rPr>
                <w:b/>
              </w:rPr>
            </w:pPr>
            <w:r w:rsidRPr="00D55D40">
              <w:rPr>
                <w:b/>
              </w:rPr>
              <w:t>Vision</w:t>
            </w:r>
          </w:p>
        </w:tc>
        <w:tc>
          <w:tcPr>
            <w:tcW w:w="4209" w:type="pct"/>
          </w:tcPr>
          <w:p w14:paraId="4911A3FD" w14:textId="77FD05CD" w:rsidR="004930B0" w:rsidRPr="00154BE0" w:rsidRDefault="004930B0" w:rsidP="00154BE0">
            <w:pPr>
              <w:pStyle w:val="TableContent"/>
              <w:cnfStyle w:val="000000000000" w:firstRow="0" w:lastRow="0" w:firstColumn="0" w:lastColumn="0" w:oddVBand="0" w:evenVBand="0" w:oddHBand="0" w:evenHBand="0" w:firstRowFirstColumn="0" w:firstRowLastColumn="0" w:lastRowFirstColumn="0" w:lastRowLastColumn="0"/>
            </w:pPr>
            <w:r w:rsidRPr="00154BE0">
              <w:t>Improved health technology decision-making will deliver safe, effective, efficient care that is financially viable and improves population health.</w:t>
            </w:r>
          </w:p>
        </w:tc>
      </w:tr>
      <w:tr w:rsidR="004930B0" w:rsidRPr="00236C2C" w14:paraId="1EAF0B79" w14:textId="77777777" w:rsidTr="00792522">
        <w:tc>
          <w:tcPr>
            <w:cnfStyle w:val="001000000000" w:firstRow="0" w:lastRow="0" w:firstColumn="1" w:lastColumn="0" w:oddVBand="0" w:evenVBand="0" w:oddHBand="0" w:evenHBand="0" w:firstRowFirstColumn="0" w:firstRowLastColumn="0" w:lastRowFirstColumn="0" w:lastRowLastColumn="0"/>
            <w:tcW w:w="791" w:type="pct"/>
          </w:tcPr>
          <w:p w14:paraId="06690D2D" w14:textId="3BF17052" w:rsidR="004930B0" w:rsidRPr="00D55D40" w:rsidRDefault="004930B0" w:rsidP="00D55D40">
            <w:pPr>
              <w:pStyle w:val="TableHeadings"/>
              <w:rPr>
                <w:b/>
              </w:rPr>
            </w:pPr>
            <w:r w:rsidRPr="00D55D40">
              <w:rPr>
                <w:b/>
              </w:rPr>
              <w:t>Aim</w:t>
            </w:r>
          </w:p>
        </w:tc>
        <w:tc>
          <w:tcPr>
            <w:tcW w:w="4209" w:type="pct"/>
          </w:tcPr>
          <w:p w14:paraId="072B2ECC" w14:textId="3470667F" w:rsidR="004930B0" w:rsidRPr="00154BE0" w:rsidRDefault="004930B0" w:rsidP="00154BE0">
            <w:pPr>
              <w:pStyle w:val="TableContent"/>
              <w:cnfStyle w:val="000000000000" w:firstRow="0" w:lastRow="0" w:firstColumn="0" w:lastColumn="0" w:oddVBand="0" w:evenVBand="0" w:oddHBand="0" w:evenHBand="0" w:firstRowFirstColumn="0" w:firstRowLastColumn="0" w:lastRowFirstColumn="0" w:lastRowLastColumn="0"/>
            </w:pPr>
            <w:r w:rsidRPr="00154BE0">
              <w:t xml:space="preserve">Health technology assessment (HTA) is guided by a systematic, cohesive, </w:t>
            </w:r>
            <w:proofErr w:type="gramStart"/>
            <w:r w:rsidRPr="00154BE0">
              <w:t>efficient</w:t>
            </w:r>
            <w:proofErr w:type="gramEnd"/>
            <w:r w:rsidRPr="00154BE0">
              <w:t xml:space="preserve"> and responsive national framework for decision making across all levels of the health system.</w:t>
            </w:r>
          </w:p>
        </w:tc>
      </w:tr>
      <w:tr w:rsidR="004930B0" w:rsidRPr="00236C2C" w14:paraId="50C06F09" w14:textId="77777777" w:rsidTr="00792522">
        <w:tc>
          <w:tcPr>
            <w:cnfStyle w:val="001000000000" w:firstRow="0" w:lastRow="0" w:firstColumn="1" w:lastColumn="0" w:oddVBand="0" w:evenVBand="0" w:oddHBand="0" w:evenHBand="0" w:firstRowFirstColumn="0" w:firstRowLastColumn="0" w:lastRowFirstColumn="0" w:lastRowLastColumn="0"/>
            <w:tcW w:w="791" w:type="pct"/>
          </w:tcPr>
          <w:p w14:paraId="3C57DFBF" w14:textId="1099A391" w:rsidR="004930B0" w:rsidRPr="00D55D40" w:rsidRDefault="004930B0" w:rsidP="00D55D40">
            <w:pPr>
              <w:pStyle w:val="TableHeadings"/>
              <w:rPr>
                <w:b/>
              </w:rPr>
            </w:pPr>
            <w:r w:rsidRPr="00D55D40">
              <w:rPr>
                <w:b/>
              </w:rPr>
              <w:t>Case for change</w:t>
            </w:r>
          </w:p>
        </w:tc>
        <w:tc>
          <w:tcPr>
            <w:tcW w:w="4209" w:type="pct"/>
          </w:tcPr>
          <w:p w14:paraId="6F9EDF50" w14:textId="0078A188" w:rsidR="004930B0" w:rsidRPr="00154BE0" w:rsidRDefault="004930B0" w:rsidP="00154BE0">
            <w:pPr>
              <w:pStyle w:val="TableContent"/>
              <w:cnfStyle w:val="000000000000" w:firstRow="0" w:lastRow="0" w:firstColumn="0" w:lastColumn="0" w:oddVBand="0" w:evenVBand="0" w:oddHBand="0" w:evenHBand="0" w:firstRowFirstColumn="0" w:firstRowLastColumn="0" w:lastRowFirstColumn="0" w:lastRowLastColumn="0"/>
            </w:pPr>
            <w:r w:rsidRPr="00154BE0">
              <w:t>The Commonwealth, states and territories acknowledge that, within the constraints of limited budgets, robust and transparent prioritisation of spending on health technologies is critical for coordinated, equitable and efficient service delivery.</w:t>
            </w:r>
          </w:p>
          <w:p w14:paraId="74193F50" w14:textId="77777777" w:rsidR="005C15FF" w:rsidRPr="00154BE0" w:rsidRDefault="004930B0" w:rsidP="005C15FF">
            <w:pPr>
              <w:pStyle w:val="TableContent"/>
              <w:cnfStyle w:val="000000000000" w:firstRow="0" w:lastRow="0" w:firstColumn="0" w:lastColumn="0" w:oddVBand="0" w:evenVBand="0" w:oddHBand="0" w:evenHBand="0" w:firstRowFirstColumn="0" w:firstRowLastColumn="0" w:lastRowFirstColumn="0" w:lastRowLastColumn="0"/>
            </w:pPr>
            <w:r w:rsidRPr="00154BE0">
              <w:t xml:space="preserve">The current approach to HTA to inform policy investment and disinvestment decisions in Australia is fragmented. It does not support coordinated and timely responses to rapidly changing, emerging, and disruptive technologies, including high-cost and highly specialised therapies and services. Separate HTA processes exist across all levels of the health system, and across levels of government. This duplicates effort, creates inefficiencies and inconsistent advice, and delays access to innovative and emerging technologies. </w:t>
            </w:r>
            <w:r w:rsidR="005C15FF" w:rsidRPr="00154BE0">
              <w:t xml:space="preserve">Current HTA processes often focus on new or emerging technologies before they are put into practice. </w:t>
            </w:r>
            <w:r w:rsidR="005C15FF">
              <w:t>Processes to c</w:t>
            </w:r>
            <w:r w:rsidR="005C15FF" w:rsidRPr="00154BE0">
              <w:t>ompar</w:t>
            </w:r>
            <w:r w:rsidR="005C15FF">
              <w:t>e</w:t>
            </w:r>
            <w:r w:rsidR="005C15FF" w:rsidRPr="00154BE0">
              <w:t xml:space="preserve"> benefits and cost-effectiveness </w:t>
            </w:r>
            <w:r w:rsidR="005C15FF">
              <w:t>with</w:t>
            </w:r>
            <w:r w:rsidR="005C15FF" w:rsidRPr="00154BE0">
              <w:t xml:space="preserve"> existing technologies</w:t>
            </w:r>
            <w:r w:rsidR="005C15FF">
              <w:t>,</w:t>
            </w:r>
            <w:r w:rsidR="005C15FF" w:rsidRPr="00154BE0">
              <w:t xml:space="preserve"> and process</w:t>
            </w:r>
            <w:r w:rsidR="005C15FF">
              <w:t>es</w:t>
            </w:r>
            <w:r w:rsidR="005C15FF" w:rsidRPr="00154BE0">
              <w:t xml:space="preserve"> for disinvesting in low value care</w:t>
            </w:r>
            <w:r w:rsidR="005C15FF">
              <w:t>,</w:t>
            </w:r>
            <w:r w:rsidR="005C15FF" w:rsidRPr="00154BE0">
              <w:t xml:space="preserve"> </w:t>
            </w:r>
            <w:r w:rsidR="005C15FF">
              <w:t>are</w:t>
            </w:r>
            <w:r w:rsidR="005C15FF" w:rsidRPr="00154BE0">
              <w:t xml:space="preserve"> under-developed.</w:t>
            </w:r>
          </w:p>
          <w:p w14:paraId="5F5B6862" w14:textId="079EC4B2" w:rsidR="004930B0" w:rsidRPr="00154BE0" w:rsidRDefault="005C15FF" w:rsidP="005C15FF">
            <w:pPr>
              <w:pStyle w:val="TableContent"/>
              <w:cnfStyle w:val="000000000000" w:firstRow="0" w:lastRow="0" w:firstColumn="0" w:lastColumn="0" w:oddVBand="0" w:evenVBand="0" w:oddHBand="0" w:evenHBand="0" w:firstRowFirstColumn="0" w:firstRowLastColumn="0" w:lastRowFirstColumn="0" w:lastRowLastColumn="0"/>
            </w:pPr>
            <w:r w:rsidRPr="00154BE0">
              <w:t>This reform will support ongoing policy and process development for HTA, implementation, monitoring and evaluation of new technologies, including a process for decisions about disinvesting where appropriate.</w:t>
            </w:r>
          </w:p>
        </w:tc>
      </w:tr>
      <w:tr w:rsidR="005C15FF" w:rsidRPr="00236C2C" w14:paraId="2C71DAE7" w14:textId="77777777" w:rsidTr="00792522">
        <w:tc>
          <w:tcPr>
            <w:cnfStyle w:val="001000000000" w:firstRow="0" w:lastRow="0" w:firstColumn="1" w:lastColumn="0" w:oddVBand="0" w:evenVBand="0" w:oddHBand="0" w:evenHBand="0" w:firstRowFirstColumn="0" w:firstRowLastColumn="0" w:lastRowFirstColumn="0" w:lastRowLastColumn="0"/>
            <w:tcW w:w="791" w:type="pct"/>
          </w:tcPr>
          <w:p w14:paraId="01709AA5" w14:textId="03D3FB53" w:rsidR="005C15FF" w:rsidRPr="00D55D40" w:rsidRDefault="005C15FF" w:rsidP="005C15FF">
            <w:pPr>
              <w:pStyle w:val="TableHeadings"/>
              <w:rPr>
                <w:b/>
              </w:rPr>
            </w:pPr>
            <w:r w:rsidRPr="00D55D40">
              <w:rPr>
                <w:b/>
              </w:rPr>
              <w:t>Links to other reforms</w:t>
            </w:r>
          </w:p>
        </w:tc>
        <w:tc>
          <w:tcPr>
            <w:tcW w:w="4209" w:type="pct"/>
          </w:tcPr>
          <w:p w14:paraId="57E94E68" w14:textId="70696D9A" w:rsidR="005C15FF" w:rsidRPr="00154BE0" w:rsidRDefault="005C15FF" w:rsidP="005C15FF">
            <w:pPr>
              <w:pStyle w:val="TableContent"/>
              <w:cnfStyle w:val="000000000000" w:firstRow="0" w:lastRow="0" w:firstColumn="0" w:lastColumn="0" w:oddVBand="0" w:evenVBand="0" w:oddHBand="0" w:evenHBand="0" w:firstRowFirstColumn="0" w:firstRowLastColumn="0" w:lastRowFirstColumn="0" w:lastRowLastColumn="0"/>
            </w:pPr>
            <w:r>
              <w:t xml:space="preserve">Increased </w:t>
            </w:r>
            <w:r w:rsidRPr="004F2CC2">
              <w:t>impact of HTA on funding (investment and disinvestment) and consideration of value in decision-making</w:t>
            </w:r>
            <w:r>
              <w:t xml:space="preserve"> </w:t>
            </w:r>
            <w:r w:rsidRPr="004F2CC2">
              <w:t xml:space="preserve">will contribute to the </w:t>
            </w:r>
            <w:r w:rsidRPr="00BF1D00">
              <w:rPr>
                <w:i/>
                <w:iCs/>
              </w:rPr>
              <w:t xml:space="preserve">Paying for </w:t>
            </w:r>
            <w:r w:rsidR="00AB5CE6" w:rsidRPr="00BF1D00">
              <w:rPr>
                <w:i/>
                <w:iCs/>
              </w:rPr>
              <w:t>v</w:t>
            </w:r>
            <w:r w:rsidRPr="00BF1D00">
              <w:rPr>
                <w:i/>
                <w:iCs/>
              </w:rPr>
              <w:t xml:space="preserve">alue and </w:t>
            </w:r>
            <w:r w:rsidR="00AB5CE6" w:rsidRPr="00BF1D00">
              <w:rPr>
                <w:i/>
                <w:iCs/>
              </w:rPr>
              <w:t>o</w:t>
            </w:r>
            <w:r w:rsidRPr="00BF1D00">
              <w:rPr>
                <w:i/>
                <w:iCs/>
              </w:rPr>
              <w:t>utcomes</w:t>
            </w:r>
            <w:r w:rsidRPr="004F2CC2">
              <w:t xml:space="preserve"> reform.</w:t>
            </w:r>
          </w:p>
        </w:tc>
      </w:tr>
      <w:tr w:rsidR="005C15FF" w:rsidRPr="00236C2C" w14:paraId="7D95928F" w14:textId="77777777" w:rsidTr="00792522">
        <w:tc>
          <w:tcPr>
            <w:cnfStyle w:val="001000000000" w:firstRow="0" w:lastRow="0" w:firstColumn="1" w:lastColumn="0" w:oddVBand="0" w:evenVBand="0" w:oddHBand="0" w:evenHBand="0" w:firstRowFirstColumn="0" w:firstRowLastColumn="0" w:lastRowFirstColumn="0" w:lastRowLastColumn="0"/>
            <w:tcW w:w="791" w:type="pct"/>
          </w:tcPr>
          <w:p w14:paraId="26E79D2C" w14:textId="55B7BEE1" w:rsidR="005C15FF" w:rsidRPr="00D55D40" w:rsidRDefault="005C15FF" w:rsidP="005C15FF">
            <w:pPr>
              <w:pStyle w:val="TableHeadings"/>
              <w:rPr>
                <w:b/>
              </w:rPr>
            </w:pPr>
            <w:r w:rsidRPr="00D55D40">
              <w:rPr>
                <w:b/>
              </w:rPr>
              <w:t>Intended outcomes</w:t>
            </w:r>
          </w:p>
        </w:tc>
        <w:tc>
          <w:tcPr>
            <w:tcW w:w="4209" w:type="pct"/>
          </w:tcPr>
          <w:p w14:paraId="1D6F6FB2" w14:textId="77777777" w:rsidR="005C15FF" w:rsidRPr="004830A5" w:rsidRDefault="005C15FF" w:rsidP="005C15FF">
            <w:pPr>
              <w:pStyle w:val="TableContent"/>
              <w:cnfStyle w:val="000000000000" w:firstRow="0" w:lastRow="0" w:firstColumn="0" w:lastColumn="0" w:oddVBand="0" w:evenVBand="0" w:oddHBand="0" w:evenHBand="0" w:firstRowFirstColumn="0" w:firstRowLastColumn="0" w:lastRowFirstColumn="0" w:lastRowLastColumn="0"/>
            </w:pPr>
            <w:r w:rsidRPr="004830A5">
              <w:t>During the term of this Addendum, all parties will strive to achieve:</w:t>
            </w:r>
          </w:p>
          <w:p w14:paraId="571CCE90" w14:textId="77777777" w:rsidR="005C15FF" w:rsidRDefault="005C15FF" w:rsidP="005C15FF">
            <w:pPr>
              <w:pStyle w:val="Table-Bulletpoint"/>
              <w:cnfStyle w:val="000000000000" w:firstRow="0" w:lastRow="0" w:firstColumn="0" w:lastColumn="0" w:oddVBand="0" w:evenVBand="0" w:oddHBand="0" w:evenHBand="0" w:firstRowFirstColumn="0" w:firstRowLastColumn="0" w:lastRowFirstColumn="0" w:lastRowLastColumn="0"/>
            </w:pPr>
            <w:r>
              <w:t xml:space="preserve">nationally consistent, </w:t>
            </w:r>
            <w:proofErr w:type="gramStart"/>
            <w:r>
              <w:t>appropriate</w:t>
            </w:r>
            <w:proofErr w:type="gramEnd"/>
            <w:r>
              <w:t xml:space="preserve"> and evidence-based investment and disinvestment decisions</w:t>
            </w:r>
          </w:p>
          <w:p w14:paraId="072D4E6C" w14:textId="77777777" w:rsidR="005C15FF" w:rsidRDefault="005C15FF" w:rsidP="005C15FF">
            <w:pPr>
              <w:pStyle w:val="Table-Bulletpoint"/>
              <w:cnfStyle w:val="000000000000" w:firstRow="0" w:lastRow="0" w:firstColumn="0" w:lastColumn="0" w:oddVBand="0" w:evenVBand="0" w:oddHBand="0" w:evenHBand="0" w:firstRowFirstColumn="0" w:firstRowLastColumn="0" w:lastRowFirstColumn="0" w:lastRowLastColumn="0"/>
            </w:pPr>
            <w:r>
              <w:t>improved patient access to cost effective health technologies</w:t>
            </w:r>
          </w:p>
          <w:p w14:paraId="70262C1F" w14:textId="77777777" w:rsidR="005C15FF" w:rsidRPr="00154BE0" w:rsidRDefault="005C15FF" w:rsidP="005C15FF">
            <w:pPr>
              <w:pStyle w:val="Table-Bulletpoint"/>
              <w:cnfStyle w:val="000000000000" w:firstRow="0" w:lastRow="0" w:firstColumn="0" w:lastColumn="0" w:oddVBand="0" w:evenVBand="0" w:oddHBand="0" w:evenHBand="0" w:firstRowFirstColumn="0" w:firstRowLastColumn="0" w:lastRowFirstColumn="0" w:lastRowLastColumn="0"/>
            </w:pPr>
            <w:r w:rsidRPr="00154BE0">
              <w:t>improved transparency and reduced duplication of effort between HTA bodies</w:t>
            </w:r>
          </w:p>
          <w:p w14:paraId="03778585" w14:textId="77777777" w:rsidR="005C15FF" w:rsidRPr="00EA0E07" w:rsidRDefault="005C15FF" w:rsidP="005C15FF">
            <w:pPr>
              <w:pStyle w:val="Table-Bulletpoint"/>
              <w:cnfStyle w:val="000000000000" w:firstRow="0" w:lastRow="0" w:firstColumn="0" w:lastColumn="0" w:oddVBand="0" w:evenVBand="0" w:oddHBand="0" w:evenHBand="0" w:firstRowFirstColumn="0" w:firstRowLastColumn="0" w:lastRowFirstColumn="0" w:lastRowLastColumn="0"/>
            </w:pPr>
            <w:r w:rsidRPr="00154BE0">
              <w:t xml:space="preserve">coordinated and timely responses </w:t>
            </w:r>
            <w:r w:rsidRPr="00EA0E07">
              <w:t>to rapidly changing technologies</w:t>
            </w:r>
          </w:p>
          <w:p w14:paraId="1B49F44B" w14:textId="63DC8025" w:rsidR="005C15FF" w:rsidRPr="00154BE0" w:rsidRDefault="005C15FF" w:rsidP="005C15FF">
            <w:pPr>
              <w:pStyle w:val="Table-Bulletpoint"/>
              <w:cnfStyle w:val="000000000000" w:firstRow="0" w:lastRow="0" w:firstColumn="0" w:lastColumn="0" w:oddVBand="0" w:evenVBand="0" w:oddHBand="0" w:evenHBand="0" w:firstRowFirstColumn="0" w:firstRowLastColumn="0" w:lastRowFirstColumn="0" w:lastRowLastColumn="0"/>
            </w:pPr>
            <w:r w:rsidRPr="00154BE0">
              <w:t>effective sharing of information and recommendations between jurisdictions and the Commonwealth, including consistent outputs and standardi</w:t>
            </w:r>
            <w:r w:rsidR="00D86B69">
              <w:t>s</w:t>
            </w:r>
            <w:r w:rsidRPr="00154BE0">
              <w:t>ed advice</w:t>
            </w:r>
          </w:p>
          <w:p w14:paraId="1E855EE1" w14:textId="7F2DA4D4" w:rsidR="005C15FF" w:rsidRPr="0014684C" w:rsidRDefault="005C15FF" w:rsidP="005C15FF">
            <w:pPr>
              <w:pStyle w:val="Table-Bulletpoint"/>
              <w:cnfStyle w:val="000000000000" w:firstRow="0" w:lastRow="0" w:firstColumn="0" w:lastColumn="0" w:oddVBand="0" w:evenVBand="0" w:oddHBand="0" w:evenHBand="0" w:firstRowFirstColumn="0" w:firstRowLastColumn="0" w:lastRowFirstColumn="0" w:lastRowLastColumn="0"/>
            </w:pPr>
            <w:r w:rsidRPr="00154BE0">
              <w:t>improved stakeholder engagement, understanding and public trust in the HTA process</w:t>
            </w:r>
          </w:p>
        </w:tc>
      </w:tr>
      <w:tr w:rsidR="005C15FF" w:rsidRPr="00236C2C" w14:paraId="368F021D" w14:textId="77777777" w:rsidTr="00792522">
        <w:tc>
          <w:tcPr>
            <w:cnfStyle w:val="001000000000" w:firstRow="0" w:lastRow="0" w:firstColumn="1" w:lastColumn="0" w:oddVBand="0" w:evenVBand="0" w:oddHBand="0" w:evenHBand="0" w:firstRowFirstColumn="0" w:firstRowLastColumn="0" w:lastRowFirstColumn="0" w:lastRowLastColumn="0"/>
            <w:tcW w:w="791" w:type="pct"/>
          </w:tcPr>
          <w:p w14:paraId="6E247A52" w14:textId="165C72F6" w:rsidR="005C15FF" w:rsidRPr="00D55D40" w:rsidRDefault="005C15FF" w:rsidP="005C15FF">
            <w:pPr>
              <w:pStyle w:val="TableHeadings"/>
              <w:rPr>
                <w:b/>
              </w:rPr>
            </w:pPr>
            <w:r w:rsidRPr="00D55D40">
              <w:rPr>
                <w:b/>
              </w:rPr>
              <w:t>Key concepts</w:t>
            </w:r>
          </w:p>
        </w:tc>
        <w:tc>
          <w:tcPr>
            <w:tcW w:w="4209" w:type="pct"/>
          </w:tcPr>
          <w:p w14:paraId="233EAD67" w14:textId="354AF6C3" w:rsidR="005C15FF" w:rsidRPr="00792522" w:rsidRDefault="005C15FF" w:rsidP="00792522">
            <w:pPr>
              <w:pStyle w:val="TableContent"/>
              <w:cnfStyle w:val="000000000000" w:firstRow="0" w:lastRow="0" w:firstColumn="0" w:lastColumn="0" w:oddVBand="0" w:evenVBand="0" w:oddHBand="0" w:evenHBand="0" w:firstRowFirstColumn="0" w:firstRowLastColumn="0" w:lastRowFirstColumn="0" w:lastRowLastColumn="0"/>
            </w:pPr>
            <w:r w:rsidRPr="00154BE0">
              <w:t xml:space="preserve">HTA is the systemic evaluation of the properties and effects of a health technology. HTA addresses direct and intended effects, as well as indirect and unintended consequences. It is used primarily to inform decision making. Health technologies include tests, devices, medicines, vaccines, procedures, </w:t>
            </w:r>
            <w:proofErr w:type="gramStart"/>
            <w:r w:rsidRPr="00154BE0">
              <w:t>programs</w:t>
            </w:r>
            <w:proofErr w:type="gramEnd"/>
            <w:r w:rsidRPr="00154BE0">
              <w:t xml:space="preserve"> and systems.</w:t>
            </w:r>
          </w:p>
        </w:tc>
      </w:tr>
      <w:tr w:rsidR="005C15FF" w:rsidRPr="00236C2C" w14:paraId="07400FE8" w14:textId="77777777" w:rsidTr="00792522">
        <w:tc>
          <w:tcPr>
            <w:cnfStyle w:val="001000000000" w:firstRow="0" w:lastRow="0" w:firstColumn="1" w:lastColumn="0" w:oddVBand="0" w:evenVBand="0" w:oddHBand="0" w:evenHBand="0" w:firstRowFirstColumn="0" w:firstRowLastColumn="0" w:lastRowFirstColumn="0" w:lastRowLastColumn="0"/>
            <w:tcW w:w="791" w:type="pct"/>
          </w:tcPr>
          <w:p w14:paraId="2750E722" w14:textId="6330F519" w:rsidR="005C15FF" w:rsidRPr="00D55D40" w:rsidRDefault="005C15FF" w:rsidP="005C15FF">
            <w:pPr>
              <w:pStyle w:val="TableHeadings"/>
              <w:rPr>
                <w:b/>
              </w:rPr>
            </w:pPr>
            <w:r w:rsidRPr="00D55D40">
              <w:rPr>
                <w:b/>
              </w:rPr>
              <w:t>COVID-19 related</w:t>
            </w:r>
            <w:r w:rsidR="00792522">
              <w:rPr>
                <w:b/>
              </w:rPr>
              <w:t xml:space="preserve"> </w:t>
            </w:r>
            <w:r w:rsidRPr="00D55D40">
              <w:rPr>
                <w:b/>
              </w:rPr>
              <w:t>developments</w:t>
            </w:r>
          </w:p>
        </w:tc>
        <w:tc>
          <w:tcPr>
            <w:tcW w:w="4209" w:type="pct"/>
          </w:tcPr>
          <w:p w14:paraId="65BFB999" w14:textId="2AD46F39" w:rsidR="005C15FF" w:rsidRPr="00154BE0" w:rsidRDefault="005C15FF" w:rsidP="005C15FF">
            <w:pPr>
              <w:pStyle w:val="TableContent"/>
              <w:cnfStyle w:val="000000000000" w:firstRow="0" w:lastRow="0" w:firstColumn="0" w:lastColumn="0" w:oddVBand="0" w:evenVBand="0" w:oddHBand="0" w:evenHBand="0" w:firstRowFirstColumn="0" w:firstRowLastColumn="0" w:lastRowFirstColumn="0" w:lastRowLastColumn="0"/>
            </w:pPr>
            <w:r w:rsidRPr="00154BE0">
              <w:t>The COVID response resulted in expedited assessments and approvals. This reform will explore what changes to processes supported this and what lessons may be learned to inform nationally consistent HTA practice.</w:t>
            </w:r>
          </w:p>
        </w:tc>
      </w:tr>
    </w:tbl>
    <w:p w14:paraId="0FBAA763" w14:textId="77777777" w:rsidR="008E6E4F" w:rsidRDefault="008E6E4F" w:rsidP="002C1A45">
      <w:r>
        <w:br w:type="page"/>
      </w:r>
    </w:p>
    <w:tbl>
      <w:tblPr>
        <w:tblStyle w:val="DepartmentalTealstyle"/>
        <w:tblW w:w="5000" w:type="pct"/>
        <w:tblCellMar>
          <w:left w:w="57" w:type="dxa"/>
          <w:right w:w="57" w:type="dxa"/>
        </w:tblCellMar>
        <w:tblLook w:val="04A0" w:firstRow="1" w:lastRow="0" w:firstColumn="1" w:lastColumn="0" w:noHBand="0" w:noVBand="1"/>
        <w:tblDescription w:val="This table is a list of the key components for the Nationally cohesive Health Technology Assessment"/>
      </w:tblPr>
      <w:tblGrid>
        <w:gridCol w:w="5553"/>
        <w:gridCol w:w="1239"/>
        <w:gridCol w:w="1734"/>
        <w:gridCol w:w="418"/>
        <w:gridCol w:w="418"/>
        <w:gridCol w:w="418"/>
        <w:gridCol w:w="418"/>
      </w:tblGrid>
      <w:tr w:rsidR="00E16E90" w:rsidRPr="00D050A9" w14:paraId="18006ED0" w14:textId="77777777" w:rsidTr="00D050A9">
        <w:trPr>
          <w:cnfStyle w:val="100000000000" w:firstRow="1" w:lastRow="0" w:firstColumn="0" w:lastColumn="0" w:oddVBand="0" w:evenVBand="0" w:oddHBand="0" w:evenHBand="0" w:firstRowFirstColumn="0" w:firstRowLastColumn="0" w:lastRowFirstColumn="0" w:lastRowLastColumn="0"/>
          <w:trHeight w:val="564"/>
          <w:tblHeader/>
        </w:trPr>
        <w:tc>
          <w:tcPr>
            <w:cnfStyle w:val="001000000000" w:firstRow="0" w:lastRow="0" w:firstColumn="1" w:lastColumn="0" w:oddVBand="0" w:evenVBand="0" w:oddHBand="0" w:evenHBand="0" w:firstRowFirstColumn="0" w:firstRowLastColumn="0" w:lastRowFirstColumn="0" w:lastRowLastColumn="0"/>
            <w:tcW w:w="2726" w:type="pct"/>
            <w:tcBorders>
              <w:top w:val="nil"/>
              <w:bottom w:val="single" w:sz="4" w:space="0" w:color="AB177E"/>
            </w:tcBorders>
            <w:vAlign w:val="center"/>
          </w:tcPr>
          <w:p w14:paraId="718839D1" w14:textId="76B22D27" w:rsidR="00E16E90" w:rsidRPr="00D050A9" w:rsidRDefault="00E16E90" w:rsidP="00D050A9">
            <w:r w:rsidRPr="00D050A9">
              <w:lastRenderedPageBreak/>
              <w:t>Key components</w:t>
            </w:r>
          </w:p>
        </w:tc>
        <w:tc>
          <w:tcPr>
            <w:tcW w:w="611" w:type="pct"/>
            <w:tcBorders>
              <w:top w:val="nil"/>
              <w:bottom w:val="single" w:sz="4" w:space="0" w:color="AB177E"/>
            </w:tcBorders>
            <w:vAlign w:val="center"/>
          </w:tcPr>
          <w:p w14:paraId="121EE81C" w14:textId="77777777" w:rsidR="00E16E90" w:rsidRPr="00D050A9" w:rsidRDefault="00E16E90" w:rsidP="00D050A9">
            <w:pPr>
              <w:cnfStyle w:val="100000000000" w:firstRow="1" w:lastRow="0" w:firstColumn="0" w:lastColumn="0" w:oddVBand="0" w:evenVBand="0" w:oddHBand="0" w:evenHBand="0" w:firstRowFirstColumn="0" w:firstRowLastColumn="0" w:lastRowFirstColumn="0" w:lastRowLastColumn="0"/>
            </w:pPr>
          </w:p>
        </w:tc>
        <w:tc>
          <w:tcPr>
            <w:tcW w:w="853" w:type="pct"/>
            <w:tcBorders>
              <w:top w:val="nil"/>
              <w:bottom w:val="single" w:sz="4" w:space="0" w:color="AB177E"/>
              <w:right w:val="nil"/>
            </w:tcBorders>
            <w:vAlign w:val="center"/>
          </w:tcPr>
          <w:p w14:paraId="46BB4447" w14:textId="77777777" w:rsidR="00E16E90" w:rsidRPr="00D050A9" w:rsidRDefault="00E16E90" w:rsidP="00D050A9">
            <w:pPr>
              <w:cnfStyle w:val="100000000000" w:firstRow="1" w:lastRow="0" w:firstColumn="0" w:lastColumn="0" w:oddVBand="0" w:evenVBand="0" w:oddHBand="0" w:evenHBand="0" w:firstRowFirstColumn="0" w:firstRowLastColumn="0" w:lastRowFirstColumn="0" w:lastRowLastColumn="0"/>
            </w:pPr>
          </w:p>
        </w:tc>
        <w:tc>
          <w:tcPr>
            <w:tcW w:w="811" w:type="pct"/>
            <w:gridSpan w:val="4"/>
            <w:tcBorders>
              <w:top w:val="nil"/>
              <w:left w:val="nil"/>
              <w:bottom w:val="single" w:sz="4" w:space="0" w:color="AB177E"/>
            </w:tcBorders>
            <w:vAlign w:val="center"/>
          </w:tcPr>
          <w:p w14:paraId="193723EC" w14:textId="77777777" w:rsidR="00E16E90" w:rsidRPr="00D050A9" w:rsidRDefault="00E16E90" w:rsidP="00D050A9">
            <w:pPr>
              <w:cnfStyle w:val="100000000000" w:firstRow="1" w:lastRow="0" w:firstColumn="0" w:lastColumn="0" w:oddVBand="0" w:evenVBand="0" w:oddHBand="0" w:evenHBand="0" w:firstRowFirstColumn="0" w:firstRowLastColumn="0" w:lastRowFirstColumn="0" w:lastRowLastColumn="0"/>
            </w:pPr>
          </w:p>
        </w:tc>
      </w:tr>
      <w:tr w:rsidR="00E16E90" w:rsidRPr="00236C2C" w14:paraId="5DBD3862" w14:textId="77777777" w:rsidTr="00D050A9">
        <w:trPr>
          <w:trHeight w:val="564"/>
        </w:trPr>
        <w:tc>
          <w:tcPr>
            <w:cnfStyle w:val="001000000000" w:firstRow="0" w:lastRow="0" w:firstColumn="1" w:lastColumn="0" w:oddVBand="0" w:evenVBand="0" w:oddHBand="0" w:evenHBand="0" w:firstRowFirstColumn="0" w:firstRowLastColumn="0" w:lastRowFirstColumn="0" w:lastRowLastColumn="0"/>
            <w:tcW w:w="2726" w:type="pct"/>
            <w:vMerge w:val="restart"/>
            <w:tcBorders>
              <w:top w:val="single" w:sz="4" w:space="0" w:color="AB177E"/>
              <w:bottom w:val="nil"/>
            </w:tcBorders>
            <w:shd w:val="clear" w:color="auto" w:fill="F2F2F2" w:themeFill="background1" w:themeFillShade="F2"/>
            <w:vAlign w:val="center"/>
          </w:tcPr>
          <w:p w14:paraId="6E26FE6D" w14:textId="2941B378" w:rsidR="00E16E90" w:rsidRPr="00D55D40" w:rsidRDefault="00E16E90" w:rsidP="00D55D40">
            <w:pPr>
              <w:pStyle w:val="TableHeadings"/>
              <w:rPr>
                <w:b/>
              </w:rPr>
            </w:pPr>
            <w:r w:rsidRPr="00D55D40">
              <w:rPr>
                <w:b/>
              </w:rPr>
              <w:t>National health reform agreement commitments</w:t>
            </w:r>
          </w:p>
        </w:tc>
        <w:tc>
          <w:tcPr>
            <w:tcW w:w="611" w:type="pct"/>
            <w:vMerge w:val="restart"/>
            <w:tcBorders>
              <w:top w:val="single" w:sz="4" w:space="0" w:color="AB177E"/>
              <w:bottom w:val="nil"/>
            </w:tcBorders>
            <w:shd w:val="clear" w:color="auto" w:fill="F2F2F2" w:themeFill="background1" w:themeFillShade="F2"/>
            <w:vAlign w:val="center"/>
          </w:tcPr>
          <w:p w14:paraId="68FB92CE" w14:textId="740DA3C9" w:rsidR="00E16E90" w:rsidRPr="00D55D40" w:rsidRDefault="00E16E90" w:rsidP="00D55D40">
            <w:pPr>
              <w:pStyle w:val="TableHeadings"/>
              <w:cnfStyle w:val="000000000000" w:firstRow="0" w:lastRow="0" w:firstColumn="0" w:lastColumn="0" w:oddVBand="0" w:evenVBand="0" w:oddHBand="0" w:evenHBand="0" w:firstRowFirstColumn="0" w:firstRowLastColumn="0" w:lastRowFirstColumn="0" w:lastRowLastColumn="0"/>
            </w:pPr>
            <w:r w:rsidRPr="00D55D40">
              <w:t>NHRA clause</w:t>
            </w:r>
          </w:p>
        </w:tc>
        <w:tc>
          <w:tcPr>
            <w:tcW w:w="853" w:type="pct"/>
            <w:vMerge w:val="restart"/>
            <w:tcBorders>
              <w:top w:val="single" w:sz="4" w:space="0" w:color="AB177E"/>
              <w:bottom w:val="nil"/>
              <w:right w:val="nil"/>
            </w:tcBorders>
            <w:shd w:val="clear" w:color="auto" w:fill="F2F2F2" w:themeFill="background1" w:themeFillShade="F2"/>
            <w:vAlign w:val="center"/>
          </w:tcPr>
          <w:p w14:paraId="163BE8BE" w14:textId="5C618DB9" w:rsidR="00E16E90" w:rsidRPr="00D55D40" w:rsidRDefault="00E16E90" w:rsidP="00D55D40">
            <w:pPr>
              <w:pStyle w:val="TableHeadings"/>
              <w:cnfStyle w:val="000000000000" w:firstRow="0" w:lastRow="0" w:firstColumn="0" w:lastColumn="0" w:oddVBand="0" w:evenVBand="0" w:oddHBand="0" w:evenHBand="0" w:firstRowFirstColumn="0" w:firstRowLastColumn="0" w:lastRowFirstColumn="0" w:lastRowLastColumn="0"/>
            </w:pPr>
            <w:r w:rsidRPr="00D55D40">
              <w:t>Deliverable</w:t>
            </w:r>
          </w:p>
        </w:tc>
        <w:tc>
          <w:tcPr>
            <w:tcW w:w="811" w:type="pct"/>
            <w:gridSpan w:val="4"/>
            <w:tcBorders>
              <w:top w:val="single" w:sz="4" w:space="0" w:color="AB177E"/>
              <w:left w:val="nil"/>
              <w:bottom w:val="single" w:sz="4" w:space="0" w:color="AB177E"/>
            </w:tcBorders>
            <w:shd w:val="clear" w:color="auto" w:fill="F2F2F2" w:themeFill="background1" w:themeFillShade="F2"/>
            <w:vAlign w:val="center"/>
          </w:tcPr>
          <w:p w14:paraId="135C76D3" w14:textId="4270B5F3" w:rsidR="00E16E90" w:rsidRPr="00D55D40" w:rsidRDefault="00E16E90" w:rsidP="00D55D40">
            <w:pPr>
              <w:pStyle w:val="TableHeadings"/>
              <w:cnfStyle w:val="000000000000" w:firstRow="0" w:lastRow="0" w:firstColumn="0" w:lastColumn="0" w:oddVBand="0" w:evenVBand="0" w:oddHBand="0" w:evenHBand="0" w:firstRowFirstColumn="0" w:firstRowLastColumn="0" w:lastRowFirstColumn="0" w:lastRowLastColumn="0"/>
            </w:pPr>
            <w:r w:rsidRPr="00D55D40">
              <w:t>Timeframes</w:t>
            </w:r>
          </w:p>
        </w:tc>
      </w:tr>
      <w:tr w:rsidR="00E16E90" w:rsidRPr="00236C2C" w14:paraId="2B904450" w14:textId="77777777" w:rsidTr="00D050A9">
        <w:trPr>
          <w:trHeight w:val="564"/>
        </w:trPr>
        <w:tc>
          <w:tcPr>
            <w:cnfStyle w:val="001000000000" w:firstRow="0" w:lastRow="0" w:firstColumn="1" w:lastColumn="0" w:oddVBand="0" w:evenVBand="0" w:oddHBand="0" w:evenHBand="0" w:firstRowFirstColumn="0" w:firstRowLastColumn="0" w:lastRowFirstColumn="0" w:lastRowLastColumn="0"/>
            <w:tcW w:w="2726" w:type="pct"/>
            <w:vMerge/>
            <w:tcBorders>
              <w:top w:val="nil"/>
            </w:tcBorders>
            <w:vAlign w:val="center"/>
          </w:tcPr>
          <w:p w14:paraId="3F28FFA3" w14:textId="77777777" w:rsidR="00E16E90" w:rsidRPr="00D55D40" w:rsidRDefault="00E16E90" w:rsidP="00D55D40">
            <w:pPr>
              <w:pStyle w:val="TableHeadings"/>
              <w:rPr>
                <w:b/>
              </w:rPr>
            </w:pPr>
          </w:p>
        </w:tc>
        <w:tc>
          <w:tcPr>
            <w:tcW w:w="611" w:type="pct"/>
            <w:vMerge/>
            <w:tcBorders>
              <w:top w:val="nil"/>
            </w:tcBorders>
            <w:vAlign w:val="center"/>
          </w:tcPr>
          <w:p w14:paraId="22E3E99B"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853" w:type="pct"/>
            <w:vMerge/>
            <w:tcBorders>
              <w:top w:val="nil"/>
              <w:right w:val="single" w:sz="4" w:space="0" w:color="AB177E"/>
            </w:tcBorders>
            <w:vAlign w:val="center"/>
          </w:tcPr>
          <w:p w14:paraId="1C85AD89"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204" w:type="pct"/>
            <w:tcBorders>
              <w:top w:val="single" w:sz="4" w:space="0" w:color="AB177E"/>
              <w:left w:val="single" w:sz="4" w:space="0" w:color="AB177E"/>
              <w:bottom w:val="single" w:sz="4" w:space="0" w:color="AB177E"/>
              <w:right w:val="single" w:sz="4" w:space="0" w:color="AB177E"/>
            </w:tcBorders>
            <w:shd w:val="clear" w:color="auto" w:fill="F2F2F2" w:themeFill="background1" w:themeFillShade="F2"/>
            <w:vAlign w:val="center"/>
          </w:tcPr>
          <w:p w14:paraId="4F5F2C85"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21-22</w:t>
            </w:r>
          </w:p>
        </w:tc>
        <w:tc>
          <w:tcPr>
            <w:tcW w:w="204" w:type="pct"/>
            <w:tcBorders>
              <w:top w:val="single" w:sz="4" w:space="0" w:color="AB177E"/>
              <w:left w:val="single" w:sz="4" w:space="0" w:color="AB177E"/>
              <w:bottom w:val="single" w:sz="4" w:space="0" w:color="AB177E"/>
              <w:right w:val="single" w:sz="4" w:space="0" w:color="AB177E"/>
            </w:tcBorders>
            <w:shd w:val="clear" w:color="auto" w:fill="F2F2F2" w:themeFill="background1" w:themeFillShade="F2"/>
            <w:vAlign w:val="center"/>
          </w:tcPr>
          <w:p w14:paraId="113BDCA9"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22-23</w:t>
            </w:r>
          </w:p>
        </w:tc>
        <w:tc>
          <w:tcPr>
            <w:tcW w:w="202" w:type="pct"/>
            <w:tcBorders>
              <w:top w:val="single" w:sz="4" w:space="0" w:color="AB177E"/>
              <w:left w:val="single" w:sz="4" w:space="0" w:color="AB177E"/>
              <w:bottom w:val="single" w:sz="4" w:space="0" w:color="AB177E"/>
              <w:right w:val="single" w:sz="4" w:space="0" w:color="AB177E"/>
            </w:tcBorders>
            <w:shd w:val="clear" w:color="auto" w:fill="F2F2F2" w:themeFill="background1" w:themeFillShade="F2"/>
            <w:vAlign w:val="center"/>
          </w:tcPr>
          <w:p w14:paraId="408CF9EA"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23-24</w:t>
            </w:r>
          </w:p>
        </w:tc>
        <w:tc>
          <w:tcPr>
            <w:tcW w:w="202" w:type="pct"/>
            <w:tcBorders>
              <w:top w:val="single" w:sz="4" w:space="0" w:color="AB177E"/>
              <w:left w:val="single" w:sz="4" w:space="0" w:color="AB177E"/>
              <w:bottom w:val="single" w:sz="4" w:space="0" w:color="AB177E"/>
              <w:right w:val="single" w:sz="4" w:space="0" w:color="AB177E"/>
            </w:tcBorders>
            <w:shd w:val="clear" w:color="auto" w:fill="F2F2F2" w:themeFill="background1" w:themeFillShade="F2"/>
            <w:vAlign w:val="center"/>
          </w:tcPr>
          <w:p w14:paraId="7B5C5A86"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24-25</w:t>
            </w:r>
          </w:p>
        </w:tc>
      </w:tr>
      <w:tr w:rsidR="00E16E90" w:rsidRPr="00236C2C" w14:paraId="32E74BD2" w14:textId="77777777" w:rsidTr="00D050A9">
        <w:trPr>
          <w:trHeight w:val="556"/>
        </w:trPr>
        <w:tc>
          <w:tcPr>
            <w:cnfStyle w:val="001000000000" w:firstRow="0" w:lastRow="0" w:firstColumn="1" w:lastColumn="0" w:oddVBand="0" w:evenVBand="0" w:oddHBand="0" w:evenHBand="0" w:firstRowFirstColumn="0" w:firstRowLastColumn="0" w:lastRowFirstColumn="0" w:lastRowLastColumn="0"/>
            <w:tcW w:w="2726" w:type="pct"/>
            <w:vAlign w:val="center"/>
          </w:tcPr>
          <w:p w14:paraId="58998C8C" w14:textId="77777777" w:rsidR="00E16E90" w:rsidRPr="00D55D40" w:rsidRDefault="00E16E90" w:rsidP="00D55D40">
            <w:pPr>
              <w:pStyle w:val="TableHeadings"/>
              <w:rPr>
                <w:b/>
              </w:rPr>
            </w:pPr>
            <w:r w:rsidRPr="00D55D40">
              <w:rPr>
                <w:b/>
              </w:rPr>
              <w:t>Agree consistent process for assessing and funding highly specialised therapies under the NHRA</w:t>
            </w:r>
          </w:p>
        </w:tc>
        <w:tc>
          <w:tcPr>
            <w:tcW w:w="611" w:type="pct"/>
            <w:vAlign w:val="center"/>
          </w:tcPr>
          <w:p w14:paraId="15B1CEBF"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 xml:space="preserve">C.11, C.12, </w:t>
            </w:r>
            <w:proofErr w:type="spellStart"/>
            <w:r w:rsidRPr="000D694A">
              <w:rPr>
                <w:szCs w:val="21"/>
              </w:rPr>
              <w:t>Apx</w:t>
            </w:r>
            <w:proofErr w:type="spellEnd"/>
            <w:r w:rsidRPr="000D694A">
              <w:rPr>
                <w:szCs w:val="21"/>
              </w:rPr>
              <w:t>. B</w:t>
            </w:r>
          </w:p>
        </w:tc>
        <w:tc>
          <w:tcPr>
            <w:tcW w:w="853" w:type="pct"/>
            <w:tcBorders>
              <w:right w:val="single" w:sz="4" w:space="0" w:color="AB177E"/>
            </w:tcBorders>
            <w:vAlign w:val="center"/>
          </w:tcPr>
          <w:p w14:paraId="615540D6"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Endorsed process</w:t>
            </w:r>
          </w:p>
        </w:tc>
        <w:tc>
          <w:tcPr>
            <w:tcW w:w="204" w:type="pct"/>
            <w:tcBorders>
              <w:top w:val="single" w:sz="4" w:space="0" w:color="AB177E"/>
              <w:left w:val="single" w:sz="4" w:space="0" w:color="AB177E"/>
              <w:bottom w:val="single" w:sz="4" w:space="0" w:color="FFFFFF" w:themeColor="background1"/>
              <w:right w:val="single" w:sz="4" w:space="0" w:color="AB177E"/>
            </w:tcBorders>
            <w:shd w:val="clear" w:color="auto" w:fill="AB177E"/>
            <w:vAlign w:val="center"/>
          </w:tcPr>
          <w:p w14:paraId="1EA54E93" w14:textId="2BDD677F"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204" w:type="pct"/>
            <w:tcBorders>
              <w:top w:val="single" w:sz="4" w:space="0" w:color="AB177E"/>
              <w:left w:val="single" w:sz="4" w:space="0" w:color="AB177E"/>
              <w:right w:val="single" w:sz="4" w:space="0" w:color="AB177E"/>
            </w:tcBorders>
            <w:vAlign w:val="center"/>
          </w:tcPr>
          <w:p w14:paraId="46C42868"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202" w:type="pct"/>
            <w:tcBorders>
              <w:top w:val="single" w:sz="4" w:space="0" w:color="AB177E"/>
              <w:left w:val="single" w:sz="4" w:space="0" w:color="AB177E"/>
              <w:right w:val="single" w:sz="4" w:space="0" w:color="AB177E"/>
            </w:tcBorders>
            <w:vAlign w:val="center"/>
          </w:tcPr>
          <w:p w14:paraId="6E4EF0CD"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202" w:type="pct"/>
            <w:tcBorders>
              <w:top w:val="single" w:sz="4" w:space="0" w:color="AB177E"/>
              <w:left w:val="single" w:sz="4" w:space="0" w:color="AB177E"/>
              <w:right w:val="single" w:sz="4" w:space="0" w:color="AB177E"/>
            </w:tcBorders>
            <w:vAlign w:val="center"/>
          </w:tcPr>
          <w:p w14:paraId="6578CC33"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r>
      <w:tr w:rsidR="00E16E90" w:rsidRPr="00236C2C" w14:paraId="6172C914" w14:textId="77777777" w:rsidTr="00D050A9">
        <w:trPr>
          <w:trHeight w:val="556"/>
        </w:trPr>
        <w:tc>
          <w:tcPr>
            <w:cnfStyle w:val="001000000000" w:firstRow="0" w:lastRow="0" w:firstColumn="1" w:lastColumn="0" w:oddVBand="0" w:evenVBand="0" w:oddHBand="0" w:evenHBand="0" w:firstRowFirstColumn="0" w:firstRowLastColumn="0" w:lastRowFirstColumn="0" w:lastRowLastColumn="0"/>
            <w:tcW w:w="2726" w:type="pct"/>
            <w:vAlign w:val="center"/>
          </w:tcPr>
          <w:p w14:paraId="6E547EEB" w14:textId="77777777" w:rsidR="00E16E90" w:rsidRPr="00D55D40" w:rsidRDefault="00E16E90" w:rsidP="00D55D40">
            <w:pPr>
              <w:pStyle w:val="TableHeadings"/>
              <w:rPr>
                <w:b/>
              </w:rPr>
            </w:pPr>
            <w:r w:rsidRPr="00D55D40">
              <w:rPr>
                <w:b/>
              </w:rPr>
              <w:t>Establish process to facilitate a cohesive approach to HTA nationally</w:t>
            </w:r>
          </w:p>
        </w:tc>
        <w:tc>
          <w:tcPr>
            <w:tcW w:w="611" w:type="pct"/>
            <w:vAlign w:val="center"/>
          </w:tcPr>
          <w:p w14:paraId="3A95F016"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C.13.a</w:t>
            </w:r>
          </w:p>
        </w:tc>
        <w:tc>
          <w:tcPr>
            <w:tcW w:w="853" w:type="pct"/>
            <w:tcBorders>
              <w:right w:val="single" w:sz="4" w:space="0" w:color="AB177E"/>
            </w:tcBorders>
            <w:vAlign w:val="center"/>
          </w:tcPr>
          <w:p w14:paraId="2528596E" w14:textId="5D2313E7" w:rsidR="00E16E90" w:rsidRPr="000D694A" w:rsidRDefault="005C15FF" w:rsidP="002C1A45">
            <w:pPr>
              <w:cnfStyle w:val="000000000000" w:firstRow="0" w:lastRow="0" w:firstColumn="0" w:lastColumn="0" w:oddVBand="0" w:evenVBand="0" w:oddHBand="0" w:evenHBand="0" w:firstRowFirstColumn="0" w:firstRowLastColumn="0" w:lastRowFirstColumn="0" w:lastRowLastColumn="0"/>
              <w:rPr>
                <w:szCs w:val="21"/>
              </w:rPr>
            </w:pPr>
            <w:r>
              <w:rPr>
                <w:szCs w:val="21"/>
              </w:rPr>
              <w:t>National Committee</w:t>
            </w:r>
          </w:p>
        </w:tc>
        <w:tc>
          <w:tcPr>
            <w:tcW w:w="204" w:type="pct"/>
            <w:tcBorders>
              <w:top w:val="single" w:sz="4" w:space="0" w:color="FFFFFF" w:themeColor="background1"/>
              <w:left w:val="single" w:sz="4" w:space="0" w:color="AB177E"/>
              <w:bottom w:val="single" w:sz="4" w:space="0" w:color="FFFFFF" w:themeColor="background1"/>
              <w:right w:val="single" w:sz="4" w:space="0" w:color="AB177E"/>
            </w:tcBorders>
            <w:shd w:val="clear" w:color="auto" w:fill="AB177E"/>
            <w:vAlign w:val="center"/>
          </w:tcPr>
          <w:p w14:paraId="17FB97D9" w14:textId="09FF8D53"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204" w:type="pct"/>
            <w:tcBorders>
              <w:left w:val="single" w:sz="4" w:space="0" w:color="AB177E"/>
              <w:bottom w:val="single" w:sz="4" w:space="0" w:color="AB177E"/>
              <w:right w:val="single" w:sz="4" w:space="0" w:color="AB177E"/>
            </w:tcBorders>
            <w:vAlign w:val="center"/>
          </w:tcPr>
          <w:p w14:paraId="29FD0CDE"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202" w:type="pct"/>
            <w:tcBorders>
              <w:left w:val="single" w:sz="4" w:space="0" w:color="AB177E"/>
              <w:bottom w:val="single" w:sz="4" w:space="0" w:color="AB177E"/>
              <w:right w:val="single" w:sz="4" w:space="0" w:color="AB177E"/>
            </w:tcBorders>
            <w:vAlign w:val="center"/>
          </w:tcPr>
          <w:p w14:paraId="6BE35A7E"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202" w:type="pct"/>
            <w:tcBorders>
              <w:left w:val="single" w:sz="4" w:space="0" w:color="AB177E"/>
              <w:bottom w:val="single" w:sz="4" w:space="0" w:color="AB177E"/>
              <w:right w:val="single" w:sz="4" w:space="0" w:color="AB177E"/>
            </w:tcBorders>
            <w:vAlign w:val="center"/>
          </w:tcPr>
          <w:p w14:paraId="0C13764F"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r>
      <w:tr w:rsidR="00E16E90" w:rsidRPr="00236C2C" w14:paraId="48F67330" w14:textId="77777777" w:rsidTr="00D050A9">
        <w:tc>
          <w:tcPr>
            <w:cnfStyle w:val="001000000000" w:firstRow="0" w:lastRow="0" w:firstColumn="1" w:lastColumn="0" w:oddVBand="0" w:evenVBand="0" w:oddHBand="0" w:evenHBand="0" w:firstRowFirstColumn="0" w:firstRowLastColumn="0" w:lastRowFirstColumn="0" w:lastRowLastColumn="0"/>
            <w:tcW w:w="2726" w:type="pct"/>
            <w:vAlign w:val="center"/>
          </w:tcPr>
          <w:p w14:paraId="0B98DDF5" w14:textId="77777777" w:rsidR="00E16E90" w:rsidRPr="00D55D40" w:rsidRDefault="00E16E90" w:rsidP="00D55D40">
            <w:pPr>
              <w:pStyle w:val="TableHeadings"/>
              <w:rPr>
                <w:b/>
              </w:rPr>
            </w:pPr>
            <w:r w:rsidRPr="00D55D40">
              <w:rPr>
                <w:b/>
              </w:rPr>
              <w:t>Develop a national HTA framework, including processes to inform implementation, investment and disinvestment opportunities at Commonwealth and state levels</w:t>
            </w:r>
          </w:p>
        </w:tc>
        <w:tc>
          <w:tcPr>
            <w:tcW w:w="611" w:type="pct"/>
            <w:vAlign w:val="center"/>
          </w:tcPr>
          <w:p w14:paraId="0287C3BE"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C.13.b</w:t>
            </w:r>
          </w:p>
        </w:tc>
        <w:tc>
          <w:tcPr>
            <w:tcW w:w="853" w:type="pct"/>
            <w:tcBorders>
              <w:top w:val="single" w:sz="4" w:space="0" w:color="FFFFFF"/>
              <w:bottom w:val="single" w:sz="4" w:space="0" w:color="AB177E"/>
              <w:right w:val="single" w:sz="4" w:space="0" w:color="AB177E"/>
            </w:tcBorders>
            <w:vAlign w:val="center"/>
          </w:tcPr>
          <w:p w14:paraId="2D6D0B4B"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National framework</w:t>
            </w:r>
          </w:p>
        </w:tc>
        <w:tc>
          <w:tcPr>
            <w:tcW w:w="204" w:type="pct"/>
            <w:tcBorders>
              <w:top w:val="single" w:sz="4" w:space="0" w:color="FFFFFF" w:themeColor="background1"/>
              <w:left w:val="single" w:sz="4" w:space="0" w:color="AB177E"/>
              <w:bottom w:val="single" w:sz="4" w:space="0" w:color="FFFFFF" w:themeColor="background1"/>
              <w:right w:val="single" w:sz="4" w:space="0" w:color="FFFFFF" w:themeColor="background1"/>
            </w:tcBorders>
            <w:shd w:val="clear" w:color="auto" w:fill="AB177E"/>
            <w:vAlign w:val="center"/>
          </w:tcPr>
          <w:p w14:paraId="4B5709B9" w14:textId="36EF00D4"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204" w:type="pct"/>
            <w:tcBorders>
              <w:top w:val="single" w:sz="4" w:space="0" w:color="AB177E"/>
              <w:left w:val="single" w:sz="4" w:space="0" w:color="FFFFFF" w:themeColor="background1"/>
              <w:bottom w:val="single" w:sz="4" w:space="0" w:color="FFFFFF" w:themeColor="background1"/>
              <w:right w:val="single" w:sz="4" w:space="0" w:color="AB177E"/>
            </w:tcBorders>
            <w:shd w:val="clear" w:color="auto" w:fill="AB177E"/>
            <w:vAlign w:val="center"/>
          </w:tcPr>
          <w:p w14:paraId="651CE801"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202" w:type="pct"/>
            <w:tcBorders>
              <w:top w:val="single" w:sz="4" w:space="0" w:color="AB177E"/>
              <w:left w:val="single" w:sz="4" w:space="0" w:color="AB177E"/>
              <w:bottom w:val="single" w:sz="4" w:space="0" w:color="FFFFFF" w:themeColor="background1"/>
              <w:right w:val="single" w:sz="4" w:space="0" w:color="AB177E"/>
            </w:tcBorders>
            <w:vAlign w:val="center"/>
          </w:tcPr>
          <w:p w14:paraId="20FD5A7D"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202" w:type="pct"/>
            <w:tcBorders>
              <w:top w:val="single" w:sz="4" w:space="0" w:color="AB177E"/>
              <w:left w:val="single" w:sz="4" w:space="0" w:color="AB177E"/>
              <w:bottom w:val="single" w:sz="4" w:space="0" w:color="FFFFFF"/>
              <w:right w:val="single" w:sz="4" w:space="0" w:color="AB177E"/>
            </w:tcBorders>
            <w:vAlign w:val="center"/>
          </w:tcPr>
          <w:p w14:paraId="32852502"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r>
      <w:tr w:rsidR="005C15FF" w:rsidRPr="000F7F34" w14:paraId="57C168A4" w14:textId="77777777" w:rsidTr="00D050A9">
        <w:tc>
          <w:tcPr>
            <w:cnfStyle w:val="001000000000" w:firstRow="0" w:lastRow="0" w:firstColumn="1" w:lastColumn="0" w:oddVBand="0" w:evenVBand="0" w:oddHBand="0" w:evenHBand="0" w:firstRowFirstColumn="0" w:firstRowLastColumn="0" w:lastRowFirstColumn="0" w:lastRowLastColumn="0"/>
            <w:tcW w:w="2726" w:type="pct"/>
            <w:vAlign w:val="center"/>
          </w:tcPr>
          <w:p w14:paraId="31ADC265" w14:textId="77777777" w:rsidR="005C15FF" w:rsidRPr="00D55D40" w:rsidRDefault="005C15FF" w:rsidP="005C15FF">
            <w:pPr>
              <w:pStyle w:val="TableHeadings"/>
              <w:rPr>
                <w:b/>
              </w:rPr>
            </w:pPr>
            <w:r w:rsidRPr="00D55D40">
              <w:rPr>
                <w:b/>
              </w:rPr>
              <w:t>Establish an information sharing platform</w:t>
            </w:r>
          </w:p>
        </w:tc>
        <w:tc>
          <w:tcPr>
            <w:tcW w:w="611" w:type="pct"/>
            <w:vAlign w:val="center"/>
          </w:tcPr>
          <w:p w14:paraId="72075AE1" w14:textId="77777777" w:rsidR="005C15FF" w:rsidRPr="000D694A" w:rsidRDefault="005C15FF" w:rsidP="005C15FF">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C.13.c</w:t>
            </w:r>
          </w:p>
        </w:tc>
        <w:tc>
          <w:tcPr>
            <w:tcW w:w="853" w:type="pct"/>
            <w:tcBorders>
              <w:right w:val="single" w:sz="4" w:space="0" w:color="AB177E"/>
            </w:tcBorders>
            <w:vAlign w:val="center"/>
          </w:tcPr>
          <w:p w14:paraId="1F3660CD" w14:textId="77777777" w:rsidR="005C15FF" w:rsidRPr="000D694A" w:rsidRDefault="005C15FF" w:rsidP="005C15FF">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Information sharing platform</w:t>
            </w:r>
          </w:p>
        </w:tc>
        <w:tc>
          <w:tcPr>
            <w:tcW w:w="204" w:type="pct"/>
            <w:tcBorders>
              <w:top w:val="single" w:sz="4" w:space="0" w:color="FFFFFF" w:themeColor="background1"/>
              <w:left w:val="single" w:sz="4" w:space="0" w:color="AB177E"/>
              <w:right w:val="single" w:sz="4" w:space="0" w:color="AB177E"/>
            </w:tcBorders>
            <w:vAlign w:val="center"/>
          </w:tcPr>
          <w:p w14:paraId="042C6414" w14:textId="77777777" w:rsidR="005C15FF" w:rsidRPr="000D694A" w:rsidRDefault="005C15FF" w:rsidP="005C15FF">
            <w:pPr>
              <w:cnfStyle w:val="000000000000" w:firstRow="0" w:lastRow="0" w:firstColumn="0" w:lastColumn="0" w:oddVBand="0" w:evenVBand="0" w:oddHBand="0" w:evenHBand="0" w:firstRowFirstColumn="0" w:firstRowLastColumn="0" w:lastRowFirstColumn="0" w:lastRowLastColumn="0"/>
              <w:rPr>
                <w:szCs w:val="21"/>
              </w:rPr>
            </w:pPr>
          </w:p>
        </w:tc>
        <w:tc>
          <w:tcPr>
            <w:tcW w:w="204" w:type="pct"/>
            <w:tcBorders>
              <w:top w:val="single" w:sz="4" w:space="0" w:color="FFFFFF" w:themeColor="background1"/>
              <w:left w:val="single" w:sz="4" w:space="0" w:color="AB177E"/>
              <w:bottom w:val="single" w:sz="4" w:space="0" w:color="FFFFFF" w:themeColor="background1"/>
              <w:right w:val="single" w:sz="4" w:space="0" w:color="FFFFFF" w:themeColor="background1"/>
            </w:tcBorders>
            <w:shd w:val="clear" w:color="auto" w:fill="AB177E"/>
            <w:vAlign w:val="center"/>
          </w:tcPr>
          <w:p w14:paraId="3608114F" w14:textId="77777777" w:rsidR="005C15FF" w:rsidRPr="000D694A" w:rsidRDefault="005C15FF" w:rsidP="005C15FF">
            <w:pPr>
              <w:cnfStyle w:val="000000000000" w:firstRow="0" w:lastRow="0" w:firstColumn="0" w:lastColumn="0" w:oddVBand="0" w:evenVBand="0" w:oddHBand="0" w:evenHBand="0" w:firstRowFirstColumn="0" w:firstRowLastColumn="0" w:lastRowFirstColumn="0" w:lastRowLastColumn="0"/>
              <w:rPr>
                <w:szCs w:val="21"/>
              </w:rPr>
            </w:pPr>
          </w:p>
        </w:tc>
        <w:tc>
          <w:tcPr>
            <w:tcW w:w="2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177E"/>
            <w:vAlign w:val="center"/>
          </w:tcPr>
          <w:p w14:paraId="6E8CC675" w14:textId="77777777" w:rsidR="005C15FF" w:rsidRPr="000D694A" w:rsidRDefault="005C15FF" w:rsidP="005C15FF">
            <w:pPr>
              <w:cnfStyle w:val="000000000000" w:firstRow="0" w:lastRow="0" w:firstColumn="0" w:lastColumn="0" w:oddVBand="0" w:evenVBand="0" w:oddHBand="0" w:evenHBand="0" w:firstRowFirstColumn="0" w:firstRowLastColumn="0" w:lastRowFirstColumn="0" w:lastRowLastColumn="0"/>
              <w:rPr>
                <w:szCs w:val="21"/>
              </w:rPr>
            </w:pPr>
          </w:p>
        </w:tc>
        <w:tc>
          <w:tcPr>
            <w:tcW w:w="202" w:type="pct"/>
            <w:tcBorders>
              <w:top w:val="single" w:sz="4" w:space="0" w:color="FFFFFF"/>
              <w:left w:val="single" w:sz="4" w:space="0" w:color="FFFFFF" w:themeColor="background1"/>
              <w:bottom w:val="single" w:sz="4" w:space="0" w:color="FFFFFF"/>
              <w:right w:val="single" w:sz="4" w:space="0" w:color="AB177E"/>
            </w:tcBorders>
            <w:shd w:val="clear" w:color="auto" w:fill="AB177E"/>
            <w:vAlign w:val="center"/>
          </w:tcPr>
          <w:p w14:paraId="29A670A4" w14:textId="77777777" w:rsidR="005C15FF" w:rsidRPr="000D694A" w:rsidRDefault="005C15FF" w:rsidP="005C15FF">
            <w:pPr>
              <w:cnfStyle w:val="000000000000" w:firstRow="0" w:lastRow="0" w:firstColumn="0" w:lastColumn="0" w:oddVBand="0" w:evenVBand="0" w:oddHBand="0" w:evenHBand="0" w:firstRowFirstColumn="0" w:firstRowLastColumn="0" w:lastRowFirstColumn="0" w:lastRowLastColumn="0"/>
              <w:rPr>
                <w:szCs w:val="21"/>
              </w:rPr>
            </w:pPr>
          </w:p>
        </w:tc>
      </w:tr>
      <w:tr w:rsidR="005C15FF" w:rsidRPr="00236C2C" w14:paraId="6E9673BD" w14:textId="77777777" w:rsidTr="00D050A9">
        <w:tc>
          <w:tcPr>
            <w:cnfStyle w:val="001000000000" w:firstRow="0" w:lastRow="0" w:firstColumn="1" w:lastColumn="0" w:oddVBand="0" w:evenVBand="0" w:oddHBand="0" w:evenHBand="0" w:firstRowFirstColumn="0" w:firstRowLastColumn="0" w:lastRowFirstColumn="0" w:lastRowLastColumn="0"/>
            <w:tcW w:w="2726" w:type="pct"/>
            <w:vAlign w:val="center"/>
          </w:tcPr>
          <w:p w14:paraId="31D846BA" w14:textId="77777777" w:rsidR="005C15FF" w:rsidRPr="00D55D40" w:rsidRDefault="005C15FF" w:rsidP="005C15FF">
            <w:pPr>
              <w:pStyle w:val="TableHeadings"/>
              <w:rPr>
                <w:b/>
              </w:rPr>
            </w:pPr>
            <w:r w:rsidRPr="00D55D40">
              <w:rPr>
                <w:b/>
              </w:rPr>
              <w:t>Produce public and stakeholder guidance</w:t>
            </w:r>
          </w:p>
        </w:tc>
        <w:tc>
          <w:tcPr>
            <w:tcW w:w="611" w:type="pct"/>
            <w:vAlign w:val="center"/>
          </w:tcPr>
          <w:p w14:paraId="511E1DAB" w14:textId="77777777" w:rsidR="005C15FF" w:rsidRPr="000D694A" w:rsidRDefault="005C15FF" w:rsidP="005C15FF">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C.13.d</w:t>
            </w:r>
          </w:p>
        </w:tc>
        <w:tc>
          <w:tcPr>
            <w:tcW w:w="853" w:type="pct"/>
            <w:tcBorders>
              <w:right w:val="single" w:sz="4" w:space="0" w:color="AB177E"/>
            </w:tcBorders>
            <w:vAlign w:val="center"/>
          </w:tcPr>
          <w:p w14:paraId="0B6509A2" w14:textId="77777777" w:rsidR="005C15FF" w:rsidRPr="000D694A" w:rsidRDefault="005C15FF" w:rsidP="005C15FF">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Guidance materials</w:t>
            </w:r>
          </w:p>
        </w:tc>
        <w:tc>
          <w:tcPr>
            <w:tcW w:w="204" w:type="pct"/>
            <w:tcBorders>
              <w:left w:val="single" w:sz="4" w:space="0" w:color="AB177E"/>
              <w:right w:val="single" w:sz="4" w:space="0" w:color="AB177E"/>
            </w:tcBorders>
            <w:vAlign w:val="center"/>
          </w:tcPr>
          <w:p w14:paraId="3E2F3D88" w14:textId="77777777" w:rsidR="005C15FF" w:rsidRPr="000D694A" w:rsidRDefault="005C15FF" w:rsidP="005C15FF">
            <w:pPr>
              <w:cnfStyle w:val="000000000000" w:firstRow="0" w:lastRow="0" w:firstColumn="0" w:lastColumn="0" w:oddVBand="0" w:evenVBand="0" w:oddHBand="0" w:evenHBand="0" w:firstRowFirstColumn="0" w:firstRowLastColumn="0" w:lastRowFirstColumn="0" w:lastRowLastColumn="0"/>
              <w:rPr>
                <w:szCs w:val="21"/>
              </w:rPr>
            </w:pPr>
          </w:p>
        </w:tc>
        <w:tc>
          <w:tcPr>
            <w:tcW w:w="204" w:type="pct"/>
            <w:tcBorders>
              <w:top w:val="single" w:sz="4" w:space="0" w:color="FFFFFF" w:themeColor="background1"/>
              <w:left w:val="single" w:sz="4" w:space="0" w:color="AB177E"/>
              <w:bottom w:val="single" w:sz="4" w:space="0" w:color="FFFFFF" w:themeColor="background1"/>
              <w:right w:val="single" w:sz="4" w:space="0" w:color="FFFFFF" w:themeColor="background1"/>
            </w:tcBorders>
            <w:shd w:val="clear" w:color="auto" w:fill="AB177E"/>
            <w:vAlign w:val="center"/>
          </w:tcPr>
          <w:p w14:paraId="35584E4B" w14:textId="77777777" w:rsidR="005C15FF" w:rsidRPr="000D694A" w:rsidRDefault="005C15FF" w:rsidP="005C15FF">
            <w:pPr>
              <w:cnfStyle w:val="000000000000" w:firstRow="0" w:lastRow="0" w:firstColumn="0" w:lastColumn="0" w:oddVBand="0" w:evenVBand="0" w:oddHBand="0" w:evenHBand="0" w:firstRowFirstColumn="0" w:firstRowLastColumn="0" w:lastRowFirstColumn="0" w:lastRowLastColumn="0"/>
              <w:rPr>
                <w:szCs w:val="21"/>
              </w:rPr>
            </w:pPr>
          </w:p>
        </w:tc>
        <w:tc>
          <w:tcPr>
            <w:tcW w:w="2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177E"/>
            <w:vAlign w:val="center"/>
          </w:tcPr>
          <w:p w14:paraId="17C05C74" w14:textId="77777777" w:rsidR="005C15FF" w:rsidRPr="000D694A" w:rsidRDefault="005C15FF" w:rsidP="005C15FF">
            <w:pPr>
              <w:cnfStyle w:val="000000000000" w:firstRow="0" w:lastRow="0" w:firstColumn="0" w:lastColumn="0" w:oddVBand="0" w:evenVBand="0" w:oddHBand="0" w:evenHBand="0" w:firstRowFirstColumn="0" w:firstRowLastColumn="0" w:lastRowFirstColumn="0" w:lastRowLastColumn="0"/>
              <w:rPr>
                <w:szCs w:val="21"/>
              </w:rPr>
            </w:pPr>
          </w:p>
        </w:tc>
        <w:tc>
          <w:tcPr>
            <w:tcW w:w="202" w:type="pct"/>
            <w:tcBorders>
              <w:top w:val="single" w:sz="4" w:space="0" w:color="FFFFFF"/>
              <w:left w:val="single" w:sz="4" w:space="0" w:color="FFFFFF" w:themeColor="background1"/>
              <w:bottom w:val="single" w:sz="4" w:space="0" w:color="FFFFFF" w:themeColor="background1"/>
              <w:right w:val="single" w:sz="4" w:space="0" w:color="AB177E"/>
            </w:tcBorders>
            <w:shd w:val="clear" w:color="auto" w:fill="AB177E"/>
            <w:vAlign w:val="center"/>
          </w:tcPr>
          <w:p w14:paraId="49A79360" w14:textId="77777777" w:rsidR="005C15FF" w:rsidRPr="000D694A" w:rsidRDefault="005C15FF" w:rsidP="005C15FF">
            <w:pPr>
              <w:cnfStyle w:val="000000000000" w:firstRow="0" w:lastRow="0" w:firstColumn="0" w:lastColumn="0" w:oddVBand="0" w:evenVBand="0" w:oddHBand="0" w:evenHBand="0" w:firstRowFirstColumn="0" w:firstRowLastColumn="0" w:lastRowFirstColumn="0" w:lastRowLastColumn="0"/>
              <w:rPr>
                <w:szCs w:val="21"/>
              </w:rPr>
            </w:pPr>
          </w:p>
        </w:tc>
      </w:tr>
      <w:tr w:rsidR="00E16E90" w:rsidRPr="00236C2C" w14:paraId="0484DBA4" w14:textId="77777777" w:rsidTr="00D050A9">
        <w:tc>
          <w:tcPr>
            <w:cnfStyle w:val="001000000000" w:firstRow="0" w:lastRow="0" w:firstColumn="1" w:lastColumn="0" w:oddVBand="0" w:evenVBand="0" w:oddHBand="0" w:evenHBand="0" w:firstRowFirstColumn="0" w:firstRowLastColumn="0" w:lastRowFirstColumn="0" w:lastRowLastColumn="0"/>
            <w:tcW w:w="2726" w:type="pct"/>
            <w:vAlign w:val="center"/>
          </w:tcPr>
          <w:p w14:paraId="1CE31525" w14:textId="04BAFD5C" w:rsidR="00E16E90" w:rsidRPr="00D55D40" w:rsidRDefault="005C15FF" w:rsidP="00D55D40">
            <w:pPr>
              <w:pStyle w:val="TableHeadings"/>
              <w:rPr>
                <w:b/>
              </w:rPr>
            </w:pPr>
            <w:r w:rsidRPr="005C15FF">
              <w:rPr>
                <w:b/>
              </w:rPr>
              <w:t>Identify HTA workforce requirements and develop workforce framework</w:t>
            </w:r>
          </w:p>
        </w:tc>
        <w:tc>
          <w:tcPr>
            <w:tcW w:w="611" w:type="pct"/>
            <w:vAlign w:val="center"/>
          </w:tcPr>
          <w:p w14:paraId="4EAEED1B"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C.13.e</w:t>
            </w:r>
          </w:p>
        </w:tc>
        <w:tc>
          <w:tcPr>
            <w:tcW w:w="853" w:type="pct"/>
            <w:tcBorders>
              <w:right w:val="single" w:sz="4" w:space="0" w:color="AB177E"/>
            </w:tcBorders>
            <w:vAlign w:val="center"/>
          </w:tcPr>
          <w:p w14:paraId="27CAF549"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Workforce action plan</w:t>
            </w:r>
          </w:p>
        </w:tc>
        <w:tc>
          <w:tcPr>
            <w:tcW w:w="204" w:type="pct"/>
            <w:tcBorders>
              <w:left w:val="single" w:sz="4" w:space="0" w:color="AB177E"/>
              <w:bottom w:val="single" w:sz="4" w:space="0" w:color="FFFFFF" w:themeColor="background1"/>
              <w:right w:val="single" w:sz="4" w:space="0" w:color="FFFFFF" w:themeColor="background1"/>
            </w:tcBorders>
            <w:vAlign w:val="center"/>
          </w:tcPr>
          <w:p w14:paraId="3030A825"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2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177E"/>
            <w:vAlign w:val="center"/>
          </w:tcPr>
          <w:p w14:paraId="55AF56E0"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2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177E"/>
            <w:vAlign w:val="center"/>
          </w:tcPr>
          <w:p w14:paraId="42A4BB7F"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202" w:type="pct"/>
            <w:tcBorders>
              <w:top w:val="single" w:sz="4" w:space="0" w:color="FFFFFF" w:themeColor="background1"/>
              <w:left w:val="single" w:sz="4" w:space="0" w:color="FFFFFF" w:themeColor="background1"/>
              <w:bottom w:val="single" w:sz="4" w:space="0" w:color="FFFFFF" w:themeColor="background1"/>
              <w:right w:val="single" w:sz="4" w:space="0" w:color="AB177E"/>
            </w:tcBorders>
            <w:shd w:val="clear" w:color="auto" w:fill="AB177E"/>
            <w:vAlign w:val="center"/>
          </w:tcPr>
          <w:p w14:paraId="44B9D519"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r>
      <w:tr w:rsidR="00E16E90" w:rsidRPr="00236C2C" w14:paraId="6248C008" w14:textId="77777777" w:rsidTr="00D050A9">
        <w:tc>
          <w:tcPr>
            <w:cnfStyle w:val="001000000000" w:firstRow="0" w:lastRow="0" w:firstColumn="1" w:lastColumn="0" w:oddVBand="0" w:evenVBand="0" w:oddHBand="0" w:evenHBand="0" w:firstRowFirstColumn="0" w:firstRowLastColumn="0" w:lastRowFirstColumn="0" w:lastRowLastColumn="0"/>
            <w:tcW w:w="2726" w:type="pct"/>
            <w:vAlign w:val="center"/>
          </w:tcPr>
          <w:p w14:paraId="77EAC62A" w14:textId="0DB96CD8" w:rsidR="00E16E90" w:rsidRPr="00D55D40" w:rsidRDefault="00E16E90" w:rsidP="00D55D40">
            <w:pPr>
              <w:pStyle w:val="TableHeadings"/>
              <w:rPr>
                <w:b/>
              </w:rPr>
            </w:pPr>
            <w:r w:rsidRPr="00D55D40">
              <w:rPr>
                <w:b/>
              </w:rPr>
              <w:t>Identify and prioritise technologies that will benefit from national level HTA</w:t>
            </w:r>
          </w:p>
        </w:tc>
        <w:tc>
          <w:tcPr>
            <w:tcW w:w="611" w:type="pct"/>
            <w:vAlign w:val="center"/>
          </w:tcPr>
          <w:p w14:paraId="04C1442E"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C.13.a</w:t>
            </w:r>
          </w:p>
        </w:tc>
        <w:tc>
          <w:tcPr>
            <w:tcW w:w="853" w:type="pct"/>
            <w:tcBorders>
              <w:right w:val="single" w:sz="4" w:space="0" w:color="AB177E"/>
            </w:tcBorders>
            <w:vAlign w:val="center"/>
          </w:tcPr>
          <w:p w14:paraId="05614333"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Agreed priority list</w:t>
            </w:r>
          </w:p>
        </w:tc>
        <w:tc>
          <w:tcPr>
            <w:tcW w:w="204" w:type="pct"/>
            <w:tcBorders>
              <w:top w:val="single" w:sz="4" w:space="0" w:color="FFFFFF" w:themeColor="background1"/>
              <w:left w:val="single" w:sz="4" w:space="0" w:color="AB177E"/>
              <w:bottom w:val="single" w:sz="4" w:space="0" w:color="AB177E"/>
              <w:right w:val="single" w:sz="4" w:space="0" w:color="FFFFFF" w:themeColor="background1"/>
            </w:tcBorders>
            <w:shd w:val="clear" w:color="auto" w:fill="AB177E"/>
            <w:vAlign w:val="center"/>
          </w:tcPr>
          <w:p w14:paraId="7F5BAEA0"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204" w:type="pct"/>
            <w:tcBorders>
              <w:top w:val="single" w:sz="4" w:space="0" w:color="FFFFFF" w:themeColor="background1"/>
              <w:left w:val="single" w:sz="4" w:space="0" w:color="FFFFFF" w:themeColor="background1"/>
              <w:bottom w:val="single" w:sz="4" w:space="0" w:color="AB177E"/>
              <w:right w:val="single" w:sz="4" w:space="0" w:color="FFFFFF" w:themeColor="background1"/>
            </w:tcBorders>
            <w:shd w:val="clear" w:color="auto" w:fill="AB177E"/>
            <w:vAlign w:val="center"/>
          </w:tcPr>
          <w:p w14:paraId="7B472BAE"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202" w:type="pct"/>
            <w:tcBorders>
              <w:top w:val="single" w:sz="4" w:space="0" w:color="FFFFFF" w:themeColor="background1"/>
              <w:left w:val="single" w:sz="4" w:space="0" w:color="FFFFFF" w:themeColor="background1"/>
              <w:bottom w:val="single" w:sz="4" w:space="0" w:color="AB177E"/>
              <w:right w:val="single" w:sz="4" w:space="0" w:color="FFFFFF" w:themeColor="background1"/>
            </w:tcBorders>
            <w:shd w:val="clear" w:color="auto" w:fill="AB177E"/>
            <w:vAlign w:val="center"/>
          </w:tcPr>
          <w:p w14:paraId="7463A047"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202" w:type="pct"/>
            <w:tcBorders>
              <w:top w:val="single" w:sz="4" w:space="0" w:color="FFFFFF" w:themeColor="background1"/>
              <w:left w:val="single" w:sz="4" w:space="0" w:color="FFFFFF" w:themeColor="background1"/>
              <w:bottom w:val="single" w:sz="4" w:space="0" w:color="AB177E"/>
              <w:right w:val="single" w:sz="4" w:space="0" w:color="AB177E"/>
            </w:tcBorders>
            <w:shd w:val="clear" w:color="auto" w:fill="AB177E"/>
            <w:vAlign w:val="center"/>
          </w:tcPr>
          <w:p w14:paraId="2D08BD8E"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r>
    </w:tbl>
    <w:p w14:paraId="272FB608" w14:textId="5C1DAE6D" w:rsidR="000E2030" w:rsidRDefault="00767B07" w:rsidP="009E4463">
      <w:pPr>
        <w:ind w:left="-284"/>
      </w:pPr>
      <w:r>
        <w:rPr>
          <w:noProof/>
          <w:lang w:eastAsia="en-AU"/>
        </w:rPr>
        <w:lastRenderedPageBreak/>
        <w:drawing>
          <wp:inline distT="0" distB="0" distL="0" distR="0" wp14:anchorId="78EEA7E8" wp14:editId="37B13D4F">
            <wp:extent cx="6276279" cy="8629650"/>
            <wp:effectExtent l="0" t="0" r="0" b="0"/>
            <wp:docPr id="5" name="Picture 5" descr="This image is shows the Nationally cohesive Health Technology Assessment - Outcomes Map.  All the information in this image can be read in the tables prior to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mage is shows the Nationally cohesive Health Technology Assessment - Outcomes Map.  All the information in this image can be read in the tables prior to this image. "/>
                    <pic:cNvPicPr>
                      <a:picLocks noChangeAspect="1" noChangeArrowheads="1"/>
                    </pic:cNvPicPr>
                  </pic:nvPicPr>
                  <pic:blipFill rotWithShape="1">
                    <a:blip r:embed="rId17">
                      <a:extLst>
                        <a:ext uri="{28A0092B-C50C-407E-A947-70E740481C1C}">
                          <a14:useLocalDpi xmlns:a14="http://schemas.microsoft.com/office/drawing/2010/main" val="0"/>
                        </a:ext>
                      </a:extLst>
                    </a:blip>
                    <a:srcRect l="3165"/>
                    <a:stretch/>
                  </pic:blipFill>
                  <pic:spPr bwMode="auto">
                    <a:xfrm>
                      <a:off x="0" y="0"/>
                      <a:ext cx="6281005" cy="863614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DepartmentalTealstyle"/>
        <w:tblW w:w="5000" w:type="pct"/>
        <w:tblCellMar>
          <w:left w:w="57" w:type="dxa"/>
          <w:right w:w="57" w:type="dxa"/>
        </w:tblCellMar>
        <w:tblLook w:val="04A0" w:firstRow="1" w:lastRow="0" w:firstColumn="1" w:lastColumn="0" w:noHBand="0" w:noVBand="1"/>
        <w:tblDescription w:val="This table is a list of the reform stream/s for paying the value and outcomes.&#10;"/>
      </w:tblPr>
      <w:tblGrid>
        <w:gridCol w:w="1923"/>
        <w:gridCol w:w="8275"/>
      </w:tblGrid>
      <w:tr w:rsidR="00D10069" w:rsidRPr="00236C2C" w14:paraId="4EF7552D" w14:textId="77777777" w:rsidTr="00D050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4E8347"/>
              <w:bottom w:val="single" w:sz="4" w:space="0" w:color="4E8347"/>
            </w:tcBorders>
            <w:shd w:val="clear" w:color="auto" w:fill="4E8347"/>
          </w:tcPr>
          <w:p w14:paraId="5639284D" w14:textId="4C42EECB" w:rsidR="00D10069" w:rsidRPr="000D694A" w:rsidRDefault="00E2077D" w:rsidP="00D050A9">
            <w:pPr>
              <w:rPr>
                <w:b w:val="0"/>
              </w:rPr>
            </w:pPr>
            <w:r>
              <w:lastRenderedPageBreak/>
              <w:br w:type="page"/>
            </w:r>
            <w:r w:rsidR="00D10069" w:rsidRPr="00495D10">
              <w:br w:type="page"/>
            </w:r>
            <w:r w:rsidR="00D10069" w:rsidRPr="000D694A">
              <w:t xml:space="preserve">Reform </w:t>
            </w:r>
            <w:r w:rsidR="00D10069" w:rsidRPr="00D050A9">
              <w:t>stream</w:t>
            </w:r>
          </w:p>
        </w:tc>
        <w:tc>
          <w:tcPr>
            <w:tcW w:w="4057" w:type="pct"/>
            <w:tcBorders>
              <w:top w:val="single" w:sz="4" w:space="0" w:color="4E8347"/>
              <w:bottom w:val="single" w:sz="4" w:space="0" w:color="4E8347"/>
            </w:tcBorders>
            <w:shd w:val="clear" w:color="auto" w:fill="4E8347"/>
          </w:tcPr>
          <w:p w14:paraId="69CBEAB0" w14:textId="64283956" w:rsidR="00D10069" w:rsidRPr="000D694A" w:rsidRDefault="00D10069" w:rsidP="00D050A9">
            <w:pPr>
              <w:cnfStyle w:val="100000000000" w:firstRow="1" w:lastRow="0" w:firstColumn="0" w:lastColumn="0" w:oddVBand="0" w:evenVBand="0" w:oddHBand="0" w:evenHBand="0" w:firstRowFirstColumn="0" w:firstRowLastColumn="0" w:lastRowFirstColumn="0" w:lastRowLastColumn="0"/>
            </w:pPr>
            <w:r w:rsidRPr="000D694A">
              <w:t xml:space="preserve">Paying for value and </w:t>
            </w:r>
            <w:r w:rsidRPr="00D050A9">
              <w:t>outcomes</w:t>
            </w:r>
          </w:p>
        </w:tc>
      </w:tr>
      <w:tr w:rsidR="00D10069" w:rsidRPr="00236C2C" w14:paraId="7EC81339" w14:textId="77777777" w:rsidTr="00D050A9">
        <w:trPr>
          <w:trHeight w:val="664"/>
        </w:trPr>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4E8347"/>
              <w:bottom w:val="single" w:sz="4" w:space="0" w:color="4E8347"/>
            </w:tcBorders>
            <w:vAlign w:val="center"/>
          </w:tcPr>
          <w:p w14:paraId="018B8721" w14:textId="77777777" w:rsidR="00D10069" w:rsidRPr="00D55D40" w:rsidRDefault="00D10069" w:rsidP="00D55D40">
            <w:pPr>
              <w:pStyle w:val="TableHeadings"/>
              <w:rPr>
                <w:b/>
              </w:rPr>
            </w:pPr>
            <w:r w:rsidRPr="00D55D40">
              <w:rPr>
                <w:b/>
              </w:rPr>
              <w:t>Vision</w:t>
            </w:r>
          </w:p>
        </w:tc>
        <w:tc>
          <w:tcPr>
            <w:tcW w:w="4057" w:type="pct"/>
            <w:tcBorders>
              <w:top w:val="single" w:sz="4" w:space="0" w:color="4E8347"/>
              <w:bottom w:val="single" w:sz="4" w:space="0" w:color="4E8347"/>
            </w:tcBorders>
            <w:vAlign w:val="center"/>
          </w:tcPr>
          <w:p w14:paraId="60CBA00E" w14:textId="122334D7" w:rsidR="00D10069" w:rsidRPr="00154BE0" w:rsidRDefault="002C1A45" w:rsidP="00154BE0">
            <w:pPr>
              <w:pStyle w:val="TableContent"/>
              <w:cnfStyle w:val="000000000000" w:firstRow="0" w:lastRow="0" w:firstColumn="0" w:lastColumn="0" w:oddVBand="0" w:evenVBand="0" w:oddHBand="0" w:evenHBand="0" w:firstRowFirstColumn="0" w:firstRowLastColumn="0" w:lastRowFirstColumn="0" w:lastRowLastColumn="0"/>
            </w:pPr>
            <w:r w:rsidRPr="00154BE0">
              <w:t>The health financing system is proactive, responsive, supportive of contemporary models of care, value-based and focused on individual and community needs. Future funding models will give providers the flexibility to provide care in the right place, at the right time, by the right workforce</w:t>
            </w:r>
            <w:r w:rsidR="00375734">
              <w:t>.</w:t>
            </w:r>
          </w:p>
        </w:tc>
      </w:tr>
      <w:tr w:rsidR="00D10069" w:rsidRPr="00236C2C" w14:paraId="497F2C2F" w14:textId="77777777" w:rsidTr="00D050A9">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4E8347"/>
              <w:bottom w:val="single" w:sz="4" w:space="0" w:color="4E8347"/>
            </w:tcBorders>
            <w:vAlign w:val="center"/>
          </w:tcPr>
          <w:p w14:paraId="5C966AB7" w14:textId="77777777" w:rsidR="00D10069" w:rsidRPr="00D55D40" w:rsidRDefault="00D10069" w:rsidP="00D55D40">
            <w:pPr>
              <w:pStyle w:val="TableHeadings"/>
              <w:rPr>
                <w:b/>
              </w:rPr>
            </w:pPr>
            <w:r w:rsidRPr="00D55D40">
              <w:rPr>
                <w:b/>
              </w:rPr>
              <w:t>Aim</w:t>
            </w:r>
          </w:p>
        </w:tc>
        <w:tc>
          <w:tcPr>
            <w:tcW w:w="4057" w:type="pct"/>
            <w:tcBorders>
              <w:top w:val="single" w:sz="4" w:space="0" w:color="4E8347"/>
              <w:bottom w:val="single" w:sz="4" w:space="0" w:color="4E8347"/>
            </w:tcBorders>
            <w:vAlign w:val="center"/>
          </w:tcPr>
          <w:p w14:paraId="1188D5CF" w14:textId="7F49C162" w:rsidR="00D10069" w:rsidRPr="00154BE0" w:rsidRDefault="002C1A45" w:rsidP="00154BE0">
            <w:pPr>
              <w:pStyle w:val="TableContent"/>
              <w:cnfStyle w:val="000000000000" w:firstRow="0" w:lastRow="0" w:firstColumn="0" w:lastColumn="0" w:oddVBand="0" w:evenVBand="0" w:oddHBand="0" w:evenHBand="0" w:firstRowFirstColumn="0" w:firstRowLastColumn="0" w:lastRowFirstColumn="0" w:lastRowLastColumn="0"/>
            </w:pPr>
            <w:r w:rsidRPr="00154BE0">
              <w:t xml:space="preserve">State, </w:t>
            </w:r>
            <w:proofErr w:type="gramStart"/>
            <w:r w:rsidRPr="00154BE0">
              <w:t>territory</w:t>
            </w:r>
            <w:proofErr w:type="gramEnd"/>
            <w:r w:rsidRPr="00154BE0">
              <w:t xml:space="preserve"> and Commonwealth funding will support value and reduce duplication and fragmentation of health services, which is caused in part by multiple funding sources and programs. Providers will be rewarded for coordinating and delivering care pathways that have the best outcomes for patients in the most efficient way. A stronger focus on preventive health, early intervention, and care that is integrated across a treatment journey will lead to improved quality of care and the health outcomes that matter most to patients.</w:t>
            </w:r>
          </w:p>
        </w:tc>
      </w:tr>
      <w:tr w:rsidR="00D10069" w:rsidRPr="00236C2C" w14:paraId="7A22540D" w14:textId="77777777" w:rsidTr="00D050A9">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4E8347"/>
              <w:bottom w:val="single" w:sz="4" w:space="0" w:color="4E8347"/>
            </w:tcBorders>
            <w:vAlign w:val="center"/>
          </w:tcPr>
          <w:p w14:paraId="2ECED394" w14:textId="77777777" w:rsidR="00D10069" w:rsidRPr="00D55D40" w:rsidRDefault="00D10069" w:rsidP="00D55D40">
            <w:pPr>
              <w:pStyle w:val="TableHeadings"/>
              <w:rPr>
                <w:b/>
              </w:rPr>
            </w:pPr>
            <w:r w:rsidRPr="00D55D40">
              <w:rPr>
                <w:b/>
              </w:rPr>
              <w:t>Case for change</w:t>
            </w:r>
          </w:p>
        </w:tc>
        <w:tc>
          <w:tcPr>
            <w:tcW w:w="4057" w:type="pct"/>
            <w:tcBorders>
              <w:top w:val="single" w:sz="4" w:space="0" w:color="4E8347"/>
              <w:bottom w:val="single" w:sz="4" w:space="0" w:color="4E8347"/>
            </w:tcBorders>
            <w:vAlign w:val="center"/>
          </w:tcPr>
          <w:p w14:paraId="6DBCAC13" w14:textId="5CFE0093" w:rsidR="00D10069" w:rsidRPr="00154BE0" w:rsidRDefault="002C1A45" w:rsidP="00154BE0">
            <w:pPr>
              <w:pStyle w:val="TableContent"/>
              <w:cnfStyle w:val="000000000000" w:firstRow="0" w:lastRow="0" w:firstColumn="0" w:lastColumn="0" w:oddVBand="0" w:evenVBand="0" w:oddHBand="0" w:evenHBand="0" w:firstRowFirstColumn="0" w:firstRowLastColumn="0" w:lastRowFirstColumn="0" w:lastRowLastColumn="0"/>
            </w:pPr>
            <w:r w:rsidRPr="00154BE0">
              <w:t>The Commonwealth, states and territories recognise current health funding models do not adequately support and incentivise improvements in clinical care to address current and future population health challenges. The system does not provide the necessary funding flexibility and governance arrangements to address these challenges – such as managing chronic disease and an ageing population – or the responsiveness to support changing models of care. Under this reform, trials of funding and payment reform options will test how innovative funding models can best support contemporary care that leads to better patient outcomes and support.</w:t>
            </w:r>
          </w:p>
        </w:tc>
      </w:tr>
      <w:tr w:rsidR="00D10069" w:rsidRPr="00236C2C" w14:paraId="34B3E40D" w14:textId="77777777" w:rsidTr="00D050A9">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4E8347"/>
              <w:bottom w:val="single" w:sz="4" w:space="0" w:color="4E8347"/>
            </w:tcBorders>
            <w:vAlign w:val="center"/>
          </w:tcPr>
          <w:p w14:paraId="11FF805E" w14:textId="6765ECCF" w:rsidR="00D10069" w:rsidRPr="00D55D40" w:rsidRDefault="002C1A45" w:rsidP="00D55D40">
            <w:pPr>
              <w:pStyle w:val="TableHeadings"/>
              <w:rPr>
                <w:b/>
              </w:rPr>
            </w:pPr>
            <w:r w:rsidRPr="00D55D40">
              <w:rPr>
                <w:b/>
              </w:rPr>
              <w:t>Links to other reforms</w:t>
            </w:r>
          </w:p>
        </w:tc>
        <w:tc>
          <w:tcPr>
            <w:tcW w:w="4057" w:type="pct"/>
            <w:tcBorders>
              <w:top w:val="single" w:sz="4" w:space="0" w:color="4E8347"/>
              <w:bottom w:val="single" w:sz="4" w:space="0" w:color="4E8347"/>
            </w:tcBorders>
            <w:vAlign w:val="center"/>
          </w:tcPr>
          <w:p w14:paraId="65332480" w14:textId="77777777" w:rsidR="002C1A45" w:rsidRPr="00154BE0" w:rsidRDefault="002C1A45" w:rsidP="00154BE0">
            <w:pPr>
              <w:pStyle w:val="TableContent"/>
              <w:cnfStyle w:val="000000000000" w:firstRow="0" w:lastRow="0" w:firstColumn="0" w:lastColumn="0" w:oddVBand="0" w:evenVBand="0" w:oddHBand="0" w:evenHBand="0" w:firstRowFirstColumn="0" w:firstRowLastColumn="0" w:lastRowFirstColumn="0" w:lastRowLastColumn="0"/>
            </w:pPr>
            <w:r w:rsidRPr="00154BE0">
              <w:t xml:space="preserve">To fully realise its benefits, this reform is critically interdependent with other long-term health reforms, in particular the </w:t>
            </w:r>
            <w:r w:rsidRPr="00BF1D00">
              <w:rPr>
                <w:i/>
                <w:iCs/>
              </w:rPr>
              <w:t>Joint planning and funding at a local level</w:t>
            </w:r>
            <w:r w:rsidRPr="00154BE0">
              <w:t xml:space="preserve"> reform.</w:t>
            </w:r>
          </w:p>
          <w:p w14:paraId="760C2600" w14:textId="77777777" w:rsidR="002C1A45" w:rsidRPr="00154BE0" w:rsidRDefault="002C1A45" w:rsidP="00154BE0">
            <w:pPr>
              <w:pStyle w:val="TableContent"/>
              <w:cnfStyle w:val="000000000000" w:firstRow="0" w:lastRow="0" w:firstColumn="0" w:lastColumn="0" w:oddVBand="0" w:evenVBand="0" w:oddHBand="0" w:evenHBand="0" w:firstRowFirstColumn="0" w:firstRowLastColumn="0" w:lastRowFirstColumn="0" w:lastRowLastColumn="0"/>
            </w:pPr>
            <w:r w:rsidRPr="00154BE0">
              <w:t xml:space="preserve">The </w:t>
            </w:r>
            <w:r w:rsidRPr="00BF1D00">
              <w:rPr>
                <w:i/>
                <w:iCs/>
              </w:rPr>
              <w:t>Enhanced health data</w:t>
            </w:r>
            <w:r w:rsidRPr="00154BE0">
              <w:t xml:space="preserve"> reform will develop supporting data collections and overarching governance arrangements, including a primary and community care national minimum data set and patient reported outcome and experience measures. This will leverage evidence from the Atlas of Healthcare Variation, the National Clinical Quality Registry and Virtual Registry Strategy 2020-2030 and state-based programs.</w:t>
            </w:r>
          </w:p>
          <w:p w14:paraId="11EC638D" w14:textId="02A390F3" w:rsidR="00D10069" w:rsidRPr="00154BE0" w:rsidRDefault="002C1A45" w:rsidP="00154BE0">
            <w:pPr>
              <w:pStyle w:val="TableContent"/>
              <w:cnfStyle w:val="000000000000" w:firstRow="0" w:lastRow="0" w:firstColumn="0" w:lastColumn="0" w:oddVBand="0" w:evenVBand="0" w:oddHBand="0" w:evenHBand="0" w:firstRowFirstColumn="0" w:firstRowLastColumn="0" w:lastRowFirstColumn="0" w:lastRowLastColumn="0"/>
            </w:pPr>
            <w:r w:rsidRPr="00154BE0">
              <w:t>This reform will build on earlier work by the Independent Hospital Pricing Authority (IHPA) on bundled payments for specific conditions and cohorts. It will consider trials currently underway which relate to integrated care in out-of-hospital settings, pooled Commonwealth and state/territory funds, and bundled payments across a pathway of care.</w:t>
            </w:r>
          </w:p>
        </w:tc>
      </w:tr>
      <w:tr w:rsidR="00D10069" w:rsidRPr="00236C2C" w14:paraId="4D3EE025" w14:textId="77777777" w:rsidTr="00D050A9">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4E8347"/>
              <w:bottom w:val="single" w:sz="4" w:space="0" w:color="4E8347"/>
            </w:tcBorders>
            <w:vAlign w:val="center"/>
          </w:tcPr>
          <w:p w14:paraId="744099AA" w14:textId="57245BCC" w:rsidR="00D10069" w:rsidRPr="00D55D40" w:rsidRDefault="002C1A45" w:rsidP="00D55D40">
            <w:pPr>
              <w:pStyle w:val="TableHeadings"/>
              <w:rPr>
                <w:b/>
              </w:rPr>
            </w:pPr>
            <w:r w:rsidRPr="00D55D40">
              <w:rPr>
                <w:b/>
              </w:rPr>
              <w:t>Intended outcomes</w:t>
            </w:r>
          </w:p>
        </w:tc>
        <w:tc>
          <w:tcPr>
            <w:tcW w:w="4057" w:type="pct"/>
            <w:tcBorders>
              <w:top w:val="single" w:sz="4" w:space="0" w:color="4E8347"/>
              <w:bottom w:val="single" w:sz="4" w:space="0" w:color="4E8347"/>
            </w:tcBorders>
            <w:vAlign w:val="center"/>
          </w:tcPr>
          <w:p w14:paraId="5E7E135F" w14:textId="77777777" w:rsidR="002C1A45" w:rsidRDefault="002C1A45" w:rsidP="00154BE0">
            <w:pPr>
              <w:pStyle w:val="TableContent"/>
              <w:cnfStyle w:val="000000000000" w:firstRow="0" w:lastRow="0" w:firstColumn="0" w:lastColumn="0" w:oddVBand="0" w:evenVBand="0" w:oddHBand="0" w:evenHBand="0" w:firstRowFirstColumn="0" w:firstRowLastColumn="0" w:lastRowFirstColumn="0" w:lastRowLastColumn="0"/>
            </w:pPr>
            <w:r w:rsidRPr="00997FCD">
              <w:t>During the term of this Addendum, all parties will strive to achieve:</w:t>
            </w:r>
          </w:p>
          <w:p w14:paraId="25BA01EC" w14:textId="77777777" w:rsidR="002C1A45" w:rsidRPr="00997FCD" w:rsidRDefault="002C1A45" w:rsidP="00DB7FAF">
            <w:pPr>
              <w:pStyle w:val="Table-BulletPointGreen"/>
              <w:cnfStyle w:val="000000000000" w:firstRow="0" w:lastRow="0" w:firstColumn="0" w:lastColumn="0" w:oddVBand="0" w:evenVBand="0" w:oddHBand="0" w:evenHBand="0" w:firstRowFirstColumn="0" w:firstRowLastColumn="0" w:lastRowFirstColumn="0" w:lastRowLastColumn="0"/>
            </w:pPr>
            <w:r w:rsidRPr="00997FCD">
              <w:t xml:space="preserve">core principles for consistent outcome-focused, value-based health care measures across the health system </w:t>
            </w:r>
          </w:p>
          <w:p w14:paraId="6BE88F7A" w14:textId="59EDF9BC" w:rsidR="002C1A45" w:rsidRPr="00997FCD" w:rsidRDefault="002C1A45" w:rsidP="00DB7FAF">
            <w:pPr>
              <w:pStyle w:val="Table-BulletPointGreen"/>
              <w:cnfStyle w:val="000000000000" w:firstRow="0" w:lastRow="0" w:firstColumn="0" w:lastColumn="0" w:oddVBand="0" w:evenVBand="0" w:oddHBand="0" w:evenHBand="0" w:firstRowFirstColumn="0" w:firstRowLastColumn="0" w:lastRowFirstColumn="0" w:lastRowLastColumn="0"/>
            </w:pPr>
            <w:r w:rsidRPr="00997FCD">
              <w:t>increased flexibility in national funding arrangements which supports more effective and efficient resource allocation and focuses on the outcomes that matter to patients</w:t>
            </w:r>
          </w:p>
          <w:p w14:paraId="53D525DE" w14:textId="77777777" w:rsidR="002C1A45" w:rsidRPr="00997FCD" w:rsidRDefault="002C1A45" w:rsidP="00DB7FAF">
            <w:pPr>
              <w:pStyle w:val="Table-BulletPointGreen"/>
              <w:cnfStyle w:val="000000000000" w:firstRow="0" w:lastRow="0" w:firstColumn="0" w:lastColumn="0" w:oddVBand="0" w:evenVBand="0" w:oddHBand="0" w:evenHBand="0" w:firstRowFirstColumn="0" w:firstRowLastColumn="0" w:lastRowFirstColumn="0" w:lastRowLastColumn="0"/>
            </w:pPr>
            <w:r w:rsidRPr="00997FCD">
              <w:t>increased number of trials of innovative, flexible funding models across Australia (at state and federal level)</w:t>
            </w:r>
          </w:p>
          <w:p w14:paraId="331A9AE1" w14:textId="77777777" w:rsidR="002C1A45" w:rsidRPr="00997FCD" w:rsidRDefault="002C1A45" w:rsidP="00DB7FAF">
            <w:pPr>
              <w:pStyle w:val="Table-BulletPointGreen"/>
              <w:cnfStyle w:val="000000000000" w:firstRow="0" w:lastRow="0" w:firstColumn="0" w:lastColumn="0" w:oddVBand="0" w:evenVBand="0" w:oddHBand="0" w:evenHBand="0" w:firstRowFirstColumn="0" w:firstRowLastColumn="0" w:lastRowFirstColumn="0" w:lastRowLastColumn="0"/>
            </w:pPr>
            <w:r w:rsidRPr="00997FCD">
              <w:t>robust evaluations of trials and systematic sharing of the evidence</w:t>
            </w:r>
          </w:p>
          <w:p w14:paraId="1EB46C6D" w14:textId="77777777" w:rsidR="002C1A45" w:rsidRPr="00B138F7" w:rsidRDefault="002C1A45" w:rsidP="00DB7FAF">
            <w:pPr>
              <w:pStyle w:val="Table-BulletPointGreen"/>
              <w:cnfStyle w:val="000000000000" w:firstRow="0" w:lastRow="0" w:firstColumn="0" w:lastColumn="0" w:oddVBand="0" w:evenVBand="0" w:oddHBand="0" w:evenHBand="0" w:firstRowFirstColumn="0" w:firstRowLastColumn="0" w:lastRowFirstColumn="0" w:lastRowLastColumn="0"/>
            </w:pPr>
            <w:r w:rsidRPr="00997FCD">
              <w:t xml:space="preserve">increased number of successful contemporary care models scaled up, </w:t>
            </w:r>
            <w:proofErr w:type="spellStart"/>
            <w:r w:rsidRPr="00997FCD">
              <w:t>systematised</w:t>
            </w:r>
            <w:proofErr w:type="spellEnd"/>
            <w:r w:rsidRPr="00997FCD">
              <w:t xml:space="preserve"> and funded </w:t>
            </w:r>
            <w:r w:rsidRPr="00B138F7">
              <w:t xml:space="preserve">recurrently to ensure benefits are </w:t>
            </w:r>
            <w:proofErr w:type="spellStart"/>
            <w:r w:rsidRPr="00B138F7">
              <w:t>realised</w:t>
            </w:r>
            <w:proofErr w:type="spellEnd"/>
            <w:r w:rsidRPr="00B138F7">
              <w:t xml:space="preserve"> and ongoing </w:t>
            </w:r>
          </w:p>
          <w:p w14:paraId="0AB05E67" w14:textId="77777777" w:rsidR="002C1A45" w:rsidRPr="00B138F7" w:rsidRDefault="002C1A45" w:rsidP="00DB7FAF">
            <w:pPr>
              <w:pStyle w:val="Table-BulletPointGreen"/>
              <w:cnfStyle w:val="000000000000" w:firstRow="0" w:lastRow="0" w:firstColumn="0" w:lastColumn="0" w:oddVBand="0" w:evenVBand="0" w:oddHBand="0" w:evenHBand="0" w:firstRowFirstColumn="0" w:firstRowLastColumn="0" w:lastRowFirstColumn="0" w:lastRowLastColumn="0"/>
            </w:pPr>
            <w:r w:rsidRPr="00B138F7">
              <w:t>improved patient-reported health outcomes and care experiences, and health care provider experiences</w:t>
            </w:r>
          </w:p>
          <w:p w14:paraId="6D5411E1" w14:textId="2B224FDD" w:rsidR="00D10069" w:rsidRPr="0014684C" w:rsidRDefault="002C1A45" w:rsidP="00DB7FAF">
            <w:pPr>
              <w:pStyle w:val="Table-BulletPointGreen"/>
              <w:cnfStyle w:val="000000000000" w:firstRow="0" w:lastRow="0" w:firstColumn="0" w:lastColumn="0" w:oddVBand="0" w:evenVBand="0" w:oddHBand="0" w:evenHBand="0" w:firstRowFirstColumn="0" w:firstRowLastColumn="0" w:lastRowFirstColumn="0" w:lastRowLastColumn="0"/>
              <w:rPr>
                <w:szCs w:val="20"/>
              </w:rPr>
            </w:pPr>
            <w:r w:rsidRPr="00B138F7">
              <w:t xml:space="preserve">a reduction in inefficient health care practices (e.g. avoidable </w:t>
            </w:r>
            <w:proofErr w:type="spellStart"/>
            <w:r w:rsidRPr="00B138F7">
              <w:t>hospitalisations</w:t>
            </w:r>
            <w:proofErr w:type="spellEnd"/>
            <w:r w:rsidRPr="00B138F7">
              <w:t>) and improved sustainability of health care funding</w:t>
            </w:r>
          </w:p>
        </w:tc>
      </w:tr>
      <w:tr w:rsidR="00D10069" w:rsidRPr="00236C2C" w14:paraId="0880B56E" w14:textId="77777777" w:rsidTr="00D050A9">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4E8347"/>
              <w:bottom w:val="single" w:sz="4" w:space="0" w:color="4E8347"/>
            </w:tcBorders>
            <w:vAlign w:val="center"/>
          </w:tcPr>
          <w:p w14:paraId="0029CB94" w14:textId="77777777" w:rsidR="00D10069" w:rsidRPr="00D55D40" w:rsidRDefault="00D10069" w:rsidP="00D55D40">
            <w:pPr>
              <w:pStyle w:val="TableHeadings"/>
              <w:rPr>
                <w:b/>
              </w:rPr>
            </w:pPr>
            <w:r w:rsidRPr="00D55D40">
              <w:rPr>
                <w:b/>
              </w:rPr>
              <w:t>Key concepts</w:t>
            </w:r>
          </w:p>
        </w:tc>
        <w:tc>
          <w:tcPr>
            <w:tcW w:w="4057" w:type="pct"/>
            <w:tcBorders>
              <w:top w:val="single" w:sz="4" w:space="0" w:color="4E8347"/>
              <w:bottom w:val="single" w:sz="4" w:space="0" w:color="4E8347"/>
            </w:tcBorders>
            <w:vAlign w:val="center"/>
          </w:tcPr>
          <w:p w14:paraId="512D3035" w14:textId="77777777" w:rsidR="002C1A45" w:rsidRPr="00997FCD" w:rsidRDefault="002C1A45" w:rsidP="00154BE0">
            <w:pPr>
              <w:pStyle w:val="TableContent"/>
              <w:cnfStyle w:val="000000000000" w:firstRow="0" w:lastRow="0" w:firstColumn="0" w:lastColumn="0" w:oddVBand="0" w:evenVBand="0" w:oddHBand="0" w:evenHBand="0" w:firstRowFirstColumn="0" w:firstRowLastColumn="0" w:lastRowFirstColumn="0" w:lastRowLastColumn="0"/>
            </w:pPr>
            <w:r w:rsidRPr="00997FCD">
              <w:t>‘Value’ is achieving the health outcomes that matter most to patients, relative to the cost of delivering those outcomes. Value encompasses and integrates many goals already sought in the delivery of health care, such as health outcomes, quality, safety, patient-centred care, efficiency in terms of cost and eliminating low value practices, and clinical process improvements. Cost is considered in terms of the full cost incurred across the course of care for a patient’s condition.</w:t>
            </w:r>
          </w:p>
          <w:p w14:paraId="4D9F3C5E" w14:textId="77777777" w:rsidR="002C1A45" w:rsidRPr="00997FCD" w:rsidRDefault="002C1A45" w:rsidP="00154BE0">
            <w:pPr>
              <w:pStyle w:val="TableContent"/>
              <w:cnfStyle w:val="000000000000" w:firstRow="0" w:lastRow="0" w:firstColumn="0" w:lastColumn="0" w:oddVBand="0" w:evenVBand="0" w:oddHBand="0" w:evenHBand="0" w:firstRowFirstColumn="0" w:firstRowLastColumn="0" w:lastRowFirstColumn="0" w:lastRowLastColumn="0"/>
            </w:pPr>
            <w:r w:rsidRPr="00997FCD">
              <w:t>‘Outcomes’ are the results people care about most when seeking treatment, including functional improvement and the ability to live fulfilling and productive lives. This should cover all services or activities required to successfully meet a patient’s health care needs. The outcomes that matter to patients are broad, multi-faceted and cannot be measured by a single, all-encompassing clinical or personal indicator (e.g. self-assessed quality of life, trust, comfort). Comprehensive health outcome and cost data is required to support measurement, including Patient Reported Measures (PRMs).</w:t>
            </w:r>
          </w:p>
          <w:p w14:paraId="1519593A" w14:textId="0F27ED58" w:rsidR="00D10069" w:rsidRPr="0014684C" w:rsidRDefault="002C1A45" w:rsidP="00154BE0">
            <w:pPr>
              <w:pStyle w:val="TableContent"/>
              <w:cnfStyle w:val="000000000000" w:firstRow="0" w:lastRow="0" w:firstColumn="0" w:lastColumn="0" w:oddVBand="0" w:evenVBand="0" w:oddHBand="0" w:evenHBand="0" w:firstRowFirstColumn="0" w:firstRowLastColumn="0" w:lastRowFirstColumn="0" w:lastRowLastColumn="0"/>
            </w:pPr>
            <w:r w:rsidRPr="00997FCD">
              <w:t xml:space="preserve">The ‘Quadruple Aim’ in health care has four goals: </w:t>
            </w:r>
            <w:r w:rsidR="00375734">
              <w:t>improved health outcomes, improved patient experiences, improved provider experience</w:t>
            </w:r>
            <w:r w:rsidR="00616F1B">
              <w:t>s</w:t>
            </w:r>
            <w:r w:rsidR="00375734">
              <w:t>, and improved effectiveness and efficiency</w:t>
            </w:r>
            <w:r w:rsidRPr="00997FCD">
              <w:t>.</w:t>
            </w:r>
          </w:p>
        </w:tc>
      </w:tr>
      <w:tr w:rsidR="00D10069" w:rsidRPr="00236C2C" w14:paraId="5AA5002E" w14:textId="77777777" w:rsidTr="00D050A9">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4E8347"/>
              <w:bottom w:val="single" w:sz="4" w:space="0" w:color="4E8347"/>
            </w:tcBorders>
            <w:vAlign w:val="center"/>
          </w:tcPr>
          <w:p w14:paraId="4CBCE8A5" w14:textId="739A0AA2" w:rsidR="00D10069" w:rsidRPr="00D55D40" w:rsidRDefault="00163F91" w:rsidP="00D55D40">
            <w:pPr>
              <w:pStyle w:val="TableHeadings"/>
              <w:rPr>
                <w:b/>
              </w:rPr>
            </w:pPr>
            <w:r w:rsidRPr="00D55D40">
              <w:rPr>
                <w:b/>
              </w:rPr>
              <w:lastRenderedPageBreak/>
              <w:t xml:space="preserve">COVID-19 </w:t>
            </w:r>
            <w:r w:rsidR="00D10069" w:rsidRPr="00D55D40">
              <w:rPr>
                <w:b/>
              </w:rPr>
              <w:t>related</w:t>
            </w:r>
            <w:r w:rsidR="009E4463">
              <w:rPr>
                <w:b/>
              </w:rPr>
              <w:t xml:space="preserve"> </w:t>
            </w:r>
            <w:r w:rsidR="00D10069" w:rsidRPr="00D55D40">
              <w:rPr>
                <w:b/>
              </w:rPr>
              <w:t>developments</w:t>
            </w:r>
          </w:p>
        </w:tc>
        <w:tc>
          <w:tcPr>
            <w:tcW w:w="4057" w:type="pct"/>
            <w:tcBorders>
              <w:top w:val="single" w:sz="4" w:space="0" w:color="4E8347"/>
              <w:bottom w:val="single" w:sz="4" w:space="0" w:color="4E8347"/>
            </w:tcBorders>
            <w:vAlign w:val="center"/>
          </w:tcPr>
          <w:p w14:paraId="3B5AF6E5" w14:textId="57FB868F" w:rsidR="002C1A45" w:rsidRPr="00997FCD" w:rsidRDefault="002C1A45" w:rsidP="00154BE0">
            <w:pPr>
              <w:pStyle w:val="TableContent"/>
              <w:cnfStyle w:val="000000000000" w:firstRow="0" w:lastRow="0" w:firstColumn="0" w:lastColumn="0" w:oddVBand="0" w:evenVBand="0" w:oddHBand="0" w:evenHBand="0" w:firstRowFirstColumn="0" w:firstRowLastColumn="0" w:lastRowFirstColumn="0" w:lastRowLastColumn="0"/>
            </w:pPr>
            <w:r w:rsidRPr="00997FCD">
              <w:t xml:space="preserve">In response to the COVID-19 pandemic, many jurisdictions expanded their use of flexibly funded models of care, such as Hospital in the Home, and innovative models of care, such as virtual care and secondary triage for residential aged care facilities, </w:t>
            </w:r>
            <w:r w:rsidR="005A6F4E">
              <w:t xml:space="preserve">which were </w:t>
            </w:r>
            <w:r w:rsidRPr="00997FCD">
              <w:t>supported by the expanded application of MBS telehealth items. This reform will also consider the potential benefits and risks of embedding such initiatives in standard care.</w:t>
            </w:r>
          </w:p>
          <w:p w14:paraId="0635D7D0" w14:textId="2BBE83C9" w:rsidR="00D10069" w:rsidRPr="0014684C" w:rsidRDefault="002C1A45" w:rsidP="00154BE0">
            <w:pPr>
              <w:pStyle w:val="TableContent"/>
              <w:cnfStyle w:val="000000000000" w:firstRow="0" w:lastRow="0" w:firstColumn="0" w:lastColumn="0" w:oddVBand="0" w:evenVBand="0" w:oddHBand="0" w:evenHBand="0" w:firstRowFirstColumn="0" w:firstRowLastColumn="0" w:lastRowFirstColumn="0" w:lastRowLastColumn="0"/>
            </w:pPr>
            <w:r w:rsidRPr="00997FCD">
              <w:t>The COVID-19 National Partnership Agreement is supporting a collaborative, cross-sectoral approach to implementing responses to COVID-19 within jurisdictions.</w:t>
            </w:r>
          </w:p>
        </w:tc>
      </w:tr>
    </w:tbl>
    <w:p w14:paraId="6CBE4A6F" w14:textId="18887ACA" w:rsidR="008E6E4F" w:rsidRDefault="008E6E4F" w:rsidP="002C1A45"/>
    <w:tbl>
      <w:tblPr>
        <w:tblStyle w:val="DepartmentalTealstyle"/>
        <w:tblW w:w="5000" w:type="pct"/>
        <w:tblCellMar>
          <w:left w:w="57" w:type="dxa"/>
          <w:right w:w="57" w:type="dxa"/>
        </w:tblCellMar>
        <w:tblLook w:val="04A0" w:firstRow="1" w:lastRow="0" w:firstColumn="1" w:lastColumn="0" w:noHBand="0" w:noVBand="1"/>
        <w:tblDescription w:val="This table is a list of the key components for the paying the value and outcomes."/>
      </w:tblPr>
      <w:tblGrid>
        <w:gridCol w:w="5574"/>
        <w:gridCol w:w="1225"/>
        <w:gridCol w:w="1727"/>
        <w:gridCol w:w="418"/>
        <w:gridCol w:w="418"/>
        <w:gridCol w:w="418"/>
        <w:gridCol w:w="418"/>
      </w:tblGrid>
      <w:tr w:rsidR="00E16E90" w:rsidRPr="00051695" w14:paraId="70DCA604" w14:textId="77777777" w:rsidTr="00831DE0">
        <w:trPr>
          <w:cnfStyle w:val="100000000000" w:firstRow="1" w:lastRow="0" w:firstColumn="0" w:lastColumn="0" w:oddVBand="0" w:evenVBand="0" w:oddHBand="0" w:evenHBand="0" w:firstRowFirstColumn="0" w:firstRowLastColumn="0" w:lastRowFirstColumn="0" w:lastRowLastColumn="0"/>
          <w:trHeight w:val="564"/>
          <w:tblHeader/>
        </w:trPr>
        <w:tc>
          <w:tcPr>
            <w:cnfStyle w:val="001000000000" w:firstRow="0" w:lastRow="0" w:firstColumn="1" w:lastColumn="0" w:oddVBand="0" w:evenVBand="0" w:oddHBand="0" w:evenHBand="0" w:firstRowFirstColumn="0" w:firstRowLastColumn="0" w:lastRowFirstColumn="0" w:lastRowLastColumn="0"/>
            <w:tcW w:w="2738" w:type="pct"/>
            <w:tcBorders>
              <w:top w:val="nil"/>
              <w:bottom w:val="nil"/>
            </w:tcBorders>
            <w:shd w:val="clear" w:color="auto" w:fill="4E8347"/>
            <w:vAlign w:val="center"/>
          </w:tcPr>
          <w:p w14:paraId="343C2678" w14:textId="78B9503B" w:rsidR="00E16E90" w:rsidRPr="00D050A9" w:rsidRDefault="00E16E90" w:rsidP="00D050A9">
            <w:r w:rsidRPr="00D050A9">
              <w:t>Key components</w:t>
            </w:r>
          </w:p>
        </w:tc>
        <w:tc>
          <w:tcPr>
            <w:tcW w:w="2262" w:type="pct"/>
            <w:gridSpan w:val="6"/>
            <w:tcBorders>
              <w:top w:val="nil"/>
              <w:bottom w:val="nil"/>
            </w:tcBorders>
            <w:shd w:val="clear" w:color="auto" w:fill="4E8347"/>
            <w:vAlign w:val="center"/>
          </w:tcPr>
          <w:p w14:paraId="47A4E250" w14:textId="77777777" w:rsidR="00E16E90" w:rsidRPr="00D050A9" w:rsidRDefault="00E16E90" w:rsidP="00D050A9">
            <w:pPr>
              <w:cnfStyle w:val="100000000000" w:firstRow="1" w:lastRow="0" w:firstColumn="0" w:lastColumn="0" w:oddVBand="0" w:evenVBand="0" w:oddHBand="0" w:evenHBand="0" w:firstRowFirstColumn="0" w:firstRowLastColumn="0" w:lastRowFirstColumn="0" w:lastRowLastColumn="0"/>
            </w:pPr>
          </w:p>
        </w:tc>
      </w:tr>
      <w:tr w:rsidR="00E16E90" w:rsidRPr="00236C2C" w14:paraId="6177DA8A" w14:textId="77777777" w:rsidTr="00D050A9">
        <w:trPr>
          <w:trHeight w:val="564"/>
        </w:trPr>
        <w:tc>
          <w:tcPr>
            <w:cnfStyle w:val="001000000000" w:firstRow="0" w:lastRow="0" w:firstColumn="1" w:lastColumn="0" w:oddVBand="0" w:evenVBand="0" w:oddHBand="0" w:evenHBand="0" w:firstRowFirstColumn="0" w:firstRowLastColumn="0" w:lastRowFirstColumn="0" w:lastRowLastColumn="0"/>
            <w:tcW w:w="2738" w:type="pct"/>
            <w:vMerge w:val="restart"/>
            <w:tcBorders>
              <w:top w:val="single" w:sz="4" w:space="0" w:color="4E8347"/>
              <w:bottom w:val="single" w:sz="4" w:space="0" w:color="4E8347"/>
            </w:tcBorders>
            <w:shd w:val="clear" w:color="auto" w:fill="F2F2F2" w:themeFill="background1" w:themeFillShade="F2"/>
            <w:vAlign w:val="center"/>
          </w:tcPr>
          <w:p w14:paraId="1B6D9E6D" w14:textId="77777777" w:rsidR="00E16E90" w:rsidRPr="000F7F34" w:rsidRDefault="00E16E90" w:rsidP="000F7F34">
            <w:pPr>
              <w:pStyle w:val="TableHeadings"/>
              <w:rPr>
                <w:b/>
              </w:rPr>
            </w:pPr>
            <w:r w:rsidRPr="000F7F34">
              <w:rPr>
                <w:b/>
              </w:rPr>
              <w:t>National health reform agreement commitments</w:t>
            </w:r>
          </w:p>
        </w:tc>
        <w:tc>
          <w:tcPr>
            <w:tcW w:w="605" w:type="pct"/>
            <w:vMerge w:val="restart"/>
            <w:tcBorders>
              <w:top w:val="single" w:sz="4" w:space="0" w:color="4E8347"/>
              <w:bottom w:val="single" w:sz="4" w:space="0" w:color="4E8347"/>
            </w:tcBorders>
            <w:shd w:val="clear" w:color="auto" w:fill="F2F2F2" w:themeFill="background1" w:themeFillShade="F2"/>
            <w:vAlign w:val="center"/>
          </w:tcPr>
          <w:p w14:paraId="5763731E" w14:textId="77777777" w:rsidR="00E16E90" w:rsidRPr="000F7F34" w:rsidRDefault="00E16E90" w:rsidP="000F7F34">
            <w:pPr>
              <w:pStyle w:val="TableHeadings"/>
              <w:cnfStyle w:val="000000000000" w:firstRow="0" w:lastRow="0" w:firstColumn="0" w:lastColumn="0" w:oddVBand="0" w:evenVBand="0" w:oddHBand="0" w:evenHBand="0" w:firstRowFirstColumn="0" w:firstRowLastColumn="0" w:lastRowFirstColumn="0" w:lastRowLastColumn="0"/>
            </w:pPr>
            <w:r w:rsidRPr="000F7F34">
              <w:t>NHRA clause</w:t>
            </w:r>
          </w:p>
        </w:tc>
        <w:tc>
          <w:tcPr>
            <w:tcW w:w="851" w:type="pct"/>
            <w:vMerge w:val="restart"/>
            <w:tcBorders>
              <w:top w:val="single" w:sz="4" w:space="0" w:color="4E8347"/>
              <w:bottom w:val="single" w:sz="4" w:space="0" w:color="4E8347"/>
              <w:right w:val="nil"/>
            </w:tcBorders>
            <w:shd w:val="clear" w:color="auto" w:fill="F2F2F2" w:themeFill="background1" w:themeFillShade="F2"/>
            <w:vAlign w:val="center"/>
          </w:tcPr>
          <w:p w14:paraId="1D443698" w14:textId="77777777" w:rsidR="00E16E90" w:rsidRPr="000F7F34" w:rsidRDefault="00E16E90" w:rsidP="000F7F34">
            <w:pPr>
              <w:pStyle w:val="TableHeadings"/>
              <w:cnfStyle w:val="000000000000" w:firstRow="0" w:lastRow="0" w:firstColumn="0" w:lastColumn="0" w:oddVBand="0" w:evenVBand="0" w:oddHBand="0" w:evenHBand="0" w:firstRowFirstColumn="0" w:firstRowLastColumn="0" w:lastRowFirstColumn="0" w:lastRowLastColumn="0"/>
            </w:pPr>
            <w:r w:rsidRPr="000F7F34">
              <w:t>Deliverable</w:t>
            </w:r>
          </w:p>
        </w:tc>
        <w:tc>
          <w:tcPr>
            <w:tcW w:w="807" w:type="pct"/>
            <w:gridSpan w:val="4"/>
            <w:tcBorders>
              <w:top w:val="single" w:sz="4" w:space="0" w:color="4E8347"/>
              <w:left w:val="nil"/>
              <w:bottom w:val="single" w:sz="4" w:space="0" w:color="4E8347"/>
            </w:tcBorders>
            <w:shd w:val="clear" w:color="auto" w:fill="F2F2F2" w:themeFill="background1" w:themeFillShade="F2"/>
            <w:vAlign w:val="center"/>
          </w:tcPr>
          <w:p w14:paraId="5CEF1FE3" w14:textId="77777777" w:rsidR="00E16E90" w:rsidRPr="000F7F34" w:rsidRDefault="00E16E90" w:rsidP="000F7F34">
            <w:pPr>
              <w:pStyle w:val="TableHeadings"/>
              <w:cnfStyle w:val="000000000000" w:firstRow="0" w:lastRow="0" w:firstColumn="0" w:lastColumn="0" w:oddVBand="0" w:evenVBand="0" w:oddHBand="0" w:evenHBand="0" w:firstRowFirstColumn="0" w:firstRowLastColumn="0" w:lastRowFirstColumn="0" w:lastRowLastColumn="0"/>
            </w:pPr>
            <w:r w:rsidRPr="000F7F34">
              <w:t>Timeframes</w:t>
            </w:r>
          </w:p>
        </w:tc>
      </w:tr>
      <w:tr w:rsidR="00E16E90" w:rsidRPr="00236C2C" w14:paraId="1C5E72EF" w14:textId="77777777" w:rsidTr="00D050A9">
        <w:trPr>
          <w:trHeight w:val="564"/>
        </w:trPr>
        <w:tc>
          <w:tcPr>
            <w:cnfStyle w:val="001000000000" w:firstRow="0" w:lastRow="0" w:firstColumn="1" w:lastColumn="0" w:oddVBand="0" w:evenVBand="0" w:oddHBand="0" w:evenHBand="0" w:firstRowFirstColumn="0" w:firstRowLastColumn="0" w:lastRowFirstColumn="0" w:lastRowLastColumn="0"/>
            <w:tcW w:w="2738" w:type="pct"/>
            <w:vMerge/>
            <w:tcBorders>
              <w:top w:val="nil"/>
              <w:bottom w:val="single" w:sz="4" w:space="0" w:color="4E8347"/>
            </w:tcBorders>
            <w:vAlign w:val="center"/>
          </w:tcPr>
          <w:p w14:paraId="4E07D971" w14:textId="77777777" w:rsidR="00E16E90" w:rsidRPr="000F7F34" w:rsidRDefault="00E16E90" w:rsidP="000F7F34">
            <w:pPr>
              <w:pStyle w:val="TableHeadings"/>
              <w:rPr>
                <w:b/>
              </w:rPr>
            </w:pPr>
          </w:p>
        </w:tc>
        <w:tc>
          <w:tcPr>
            <w:tcW w:w="605" w:type="pct"/>
            <w:vMerge/>
            <w:tcBorders>
              <w:top w:val="nil"/>
              <w:bottom w:val="single" w:sz="4" w:space="0" w:color="4E8347"/>
            </w:tcBorders>
            <w:vAlign w:val="center"/>
          </w:tcPr>
          <w:p w14:paraId="1E2DA0D0" w14:textId="77777777" w:rsidR="00E16E90" w:rsidRPr="00C84DF4" w:rsidRDefault="00E16E90" w:rsidP="002C1A45">
            <w:pPr>
              <w:cnfStyle w:val="000000000000" w:firstRow="0" w:lastRow="0" w:firstColumn="0" w:lastColumn="0" w:oddVBand="0" w:evenVBand="0" w:oddHBand="0" w:evenHBand="0" w:firstRowFirstColumn="0" w:firstRowLastColumn="0" w:lastRowFirstColumn="0" w:lastRowLastColumn="0"/>
            </w:pPr>
          </w:p>
        </w:tc>
        <w:tc>
          <w:tcPr>
            <w:tcW w:w="851" w:type="pct"/>
            <w:vMerge/>
            <w:tcBorders>
              <w:top w:val="nil"/>
              <w:bottom w:val="single" w:sz="4" w:space="0" w:color="4E8347"/>
              <w:right w:val="single" w:sz="4" w:space="0" w:color="4E8347"/>
            </w:tcBorders>
            <w:vAlign w:val="center"/>
          </w:tcPr>
          <w:p w14:paraId="577F2075" w14:textId="77777777" w:rsidR="00E16E90" w:rsidRPr="00C84DF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4E8347"/>
              <w:left w:val="single" w:sz="4" w:space="0" w:color="4E8347"/>
              <w:bottom w:val="single" w:sz="4" w:space="0" w:color="4E8347"/>
              <w:right w:val="single" w:sz="4" w:space="0" w:color="4E8347"/>
            </w:tcBorders>
            <w:shd w:val="clear" w:color="auto" w:fill="F2F2F2" w:themeFill="background1" w:themeFillShade="F2"/>
            <w:vAlign w:val="center"/>
          </w:tcPr>
          <w:p w14:paraId="430CFAA0" w14:textId="77777777" w:rsidR="00E16E90" w:rsidRPr="00C84DF4" w:rsidRDefault="00E16E90" w:rsidP="002C1A45">
            <w:pPr>
              <w:cnfStyle w:val="000000000000" w:firstRow="0" w:lastRow="0" w:firstColumn="0" w:lastColumn="0" w:oddVBand="0" w:evenVBand="0" w:oddHBand="0" w:evenHBand="0" w:firstRowFirstColumn="0" w:firstRowLastColumn="0" w:lastRowFirstColumn="0" w:lastRowLastColumn="0"/>
            </w:pPr>
            <w:r w:rsidRPr="00C84DF4">
              <w:t>21-22</w:t>
            </w:r>
          </w:p>
        </w:tc>
        <w:tc>
          <w:tcPr>
            <w:tcW w:w="202" w:type="pct"/>
            <w:tcBorders>
              <w:top w:val="single" w:sz="4" w:space="0" w:color="4E8347"/>
              <w:left w:val="single" w:sz="4" w:space="0" w:color="4E8347"/>
              <w:bottom w:val="single" w:sz="4" w:space="0" w:color="4E8347"/>
              <w:right w:val="single" w:sz="4" w:space="0" w:color="4E8347"/>
            </w:tcBorders>
            <w:shd w:val="clear" w:color="auto" w:fill="F2F2F2" w:themeFill="background1" w:themeFillShade="F2"/>
            <w:vAlign w:val="center"/>
          </w:tcPr>
          <w:p w14:paraId="63F7A8F6" w14:textId="77777777" w:rsidR="00E16E90" w:rsidRPr="00C84DF4" w:rsidRDefault="00E16E90" w:rsidP="002C1A45">
            <w:pPr>
              <w:cnfStyle w:val="000000000000" w:firstRow="0" w:lastRow="0" w:firstColumn="0" w:lastColumn="0" w:oddVBand="0" w:evenVBand="0" w:oddHBand="0" w:evenHBand="0" w:firstRowFirstColumn="0" w:firstRowLastColumn="0" w:lastRowFirstColumn="0" w:lastRowLastColumn="0"/>
            </w:pPr>
            <w:r w:rsidRPr="00C84DF4">
              <w:t>22-23</w:t>
            </w:r>
          </w:p>
        </w:tc>
        <w:tc>
          <w:tcPr>
            <w:tcW w:w="202" w:type="pct"/>
            <w:tcBorders>
              <w:top w:val="single" w:sz="4" w:space="0" w:color="4E8347"/>
              <w:left w:val="single" w:sz="4" w:space="0" w:color="4E8347"/>
              <w:bottom w:val="single" w:sz="4" w:space="0" w:color="4E8347"/>
              <w:right w:val="single" w:sz="4" w:space="0" w:color="4E8347"/>
            </w:tcBorders>
            <w:shd w:val="clear" w:color="auto" w:fill="F2F2F2" w:themeFill="background1" w:themeFillShade="F2"/>
            <w:vAlign w:val="center"/>
          </w:tcPr>
          <w:p w14:paraId="2F19C13B" w14:textId="77777777" w:rsidR="00E16E90" w:rsidRPr="00C84DF4" w:rsidRDefault="00E16E90" w:rsidP="002C1A45">
            <w:pPr>
              <w:cnfStyle w:val="000000000000" w:firstRow="0" w:lastRow="0" w:firstColumn="0" w:lastColumn="0" w:oddVBand="0" w:evenVBand="0" w:oddHBand="0" w:evenHBand="0" w:firstRowFirstColumn="0" w:firstRowLastColumn="0" w:lastRowFirstColumn="0" w:lastRowLastColumn="0"/>
            </w:pPr>
            <w:r w:rsidRPr="00C84DF4">
              <w:t>23-24</w:t>
            </w:r>
          </w:p>
        </w:tc>
        <w:tc>
          <w:tcPr>
            <w:tcW w:w="201" w:type="pct"/>
            <w:tcBorders>
              <w:top w:val="single" w:sz="4" w:space="0" w:color="4E8347"/>
              <w:left w:val="single" w:sz="4" w:space="0" w:color="4E8347"/>
              <w:bottom w:val="single" w:sz="4" w:space="0" w:color="4E8347"/>
              <w:right w:val="single" w:sz="4" w:space="0" w:color="4E8347"/>
            </w:tcBorders>
            <w:shd w:val="clear" w:color="auto" w:fill="F2F2F2" w:themeFill="background1" w:themeFillShade="F2"/>
            <w:vAlign w:val="center"/>
          </w:tcPr>
          <w:p w14:paraId="0A16C270" w14:textId="77777777" w:rsidR="00E16E90" w:rsidRPr="00C84DF4" w:rsidRDefault="00E16E90" w:rsidP="002C1A45">
            <w:pPr>
              <w:cnfStyle w:val="000000000000" w:firstRow="0" w:lastRow="0" w:firstColumn="0" w:lastColumn="0" w:oddVBand="0" w:evenVBand="0" w:oddHBand="0" w:evenHBand="0" w:firstRowFirstColumn="0" w:firstRowLastColumn="0" w:lastRowFirstColumn="0" w:lastRowLastColumn="0"/>
            </w:pPr>
            <w:r w:rsidRPr="00C84DF4">
              <w:t>24-25</w:t>
            </w:r>
          </w:p>
        </w:tc>
      </w:tr>
      <w:tr w:rsidR="00E16E90" w:rsidRPr="00236C2C" w14:paraId="187E114C" w14:textId="77777777" w:rsidTr="00D050A9">
        <w:trPr>
          <w:trHeight w:val="556"/>
        </w:trPr>
        <w:tc>
          <w:tcPr>
            <w:cnfStyle w:val="001000000000" w:firstRow="0" w:lastRow="0" w:firstColumn="1" w:lastColumn="0" w:oddVBand="0" w:evenVBand="0" w:oddHBand="0" w:evenHBand="0" w:firstRowFirstColumn="0" w:firstRowLastColumn="0" w:lastRowFirstColumn="0" w:lastRowLastColumn="0"/>
            <w:tcW w:w="2738" w:type="pct"/>
            <w:tcBorders>
              <w:top w:val="single" w:sz="4" w:space="0" w:color="4E8347"/>
              <w:bottom w:val="single" w:sz="4" w:space="0" w:color="4E8347"/>
            </w:tcBorders>
            <w:vAlign w:val="center"/>
          </w:tcPr>
          <w:p w14:paraId="6E6BF38B" w14:textId="1A8473E0" w:rsidR="00E16E90" w:rsidRPr="000F7F34" w:rsidRDefault="00E16E90" w:rsidP="000F7F34">
            <w:pPr>
              <w:pStyle w:val="TableHeadings"/>
              <w:rPr>
                <w:b/>
              </w:rPr>
            </w:pPr>
            <w:r w:rsidRPr="000F7F34">
              <w:rPr>
                <w:b/>
              </w:rPr>
              <w:t xml:space="preserve">Identify and support </w:t>
            </w:r>
            <w:r w:rsidRPr="003874C4">
              <w:rPr>
                <w:b/>
              </w:rPr>
              <w:t>re</w:t>
            </w:r>
            <w:r w:rsidR="00AA662B" w:rsidRPr="003874C4">
              <w:rPr>
                <w:b/>
              </w:rPr>
              <w:t>moval</w:t>
            </w:r>
            <w:r w:rsidRPr="003874C4">
              <w:rPr>
                <w:b/>
              </w:rPr>
              <w:t xml:space="preserve"> of</w:t>
            </w:r>
            <w:r w:rsidRPr="000F7F34">
              <w:rPr>
                <w:b/>
              </w:rPr>
              <w:t xml:space="preserve"> legislative, </w:t>
            </w:r>
            <w:proofErr w:type="gramStart"/>
            <w:r w:rsidRPr="000F7F34">
              <w:rPr>
                <w:b/>
              </w:rPr>
              <w:t>regulatory</w:t>
            </w:r>
            <w:proofErr w:type="gramEnd"/>
            <w:r w:rsidRPr="000F7F34">
              <w:rPr>
                <w:b/>
              </w:rPr>
              <w:t xml:space="preserve"> and technical barriers to implementing innovative funding and payment approaches</w:t>
            </w:r>
          </w:p>
        </w:tc>
        <w:tc>
          <w:tcPr>
            <w:tcW w:w="605" w:type="pct"/>
            <w:tcBorders>
              <w:top w:val="single" w:sz="4" w:space="0" w:color="4E8347"/>
              <w:bottom w:val="single" w:sz="4" w:space="0" w:color="4E8347"/>
            </w:tcBorders>
            <w:vAlign w:val="center"/>
          </w:tcPr>
          <w:p w14:paraId="3E6B0898" w14:textId="0D8BD1AD"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r w:rsidRPr="000A6724">
              <w:t>C.21.b</w:t>
            </w:r>
          </w:p>
        </w:tc>
        <w:tc>
          <w:tcPr>
            <w:tcW w:w="851" w:type="pct"/>
            <w:tcBorders>
              <w:top w:val="single" w:sz="4" w:space="0" w:color="4E8347"/>
              <w:bottom w:val="single" w:sz="4" w:space="0" w:color="4E8347"/>
              <w:right w:val="single" w:sz="4" w:space="0" w:color="4E8347"/>
            </w:tcBorders>
            <w:vAlign w:val="center"/>
          </w:tcPr>
          <w:p w14:paraId="2B3574AE" w14:textId="52BC9A71"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r w:rsidRPr="000A6724">
              <w:t>Action plan</w:t>
            </w:r>
          </w:p>
        </w:tc>
        <w:tc>
          <w:tcPr>
            <w:tcW w:w="202" w:type="pct"/>
            <w:tcBorders>
              <w:top w:val="single" w:sz="4" w:space="0" w:color="4E8347"/>
              <w:left w:val="single" w:sz="4" w:space="0" w:color="4E8347"/>
              <w:bottom w:val="single" w:sz="4" w:space="0" w:color="FFFFFF" w:themeColor="background1"/>
              <w:right w:val="single" w:sz="4" w:space="0" w:color="4E8347"/>
            </w:tcBorders>
            <w:shd w:val="clear" w:color="auto" w:fill="4E8347"/>
            <w:vAlign w:val="center"/>
          </w:tcPr>
          <w:p w14:paraId="3CC9F94C"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4E8347"/>
              <w:left w:val="single" w:sz="4" w:space="0" w:color="4E8347"/>
              <w:bottom w:val="single" w:sz="4" w:space="0" w:color="4E8347"/>
              <w:right w:val="single" w:sz="4" w:space="0" w:color="4E8347"/>
            </w:tcBorders>
            <w:vAlign w:val="center"/>
          </w:tcPr>
          <w:p w14:paraId="2B6DBA64"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4E8347"/>
              <w:left w:val="single" w:sz="4" w:space="0" w:color="4E8347"/>
              <w:bottom w:val="single" w:sz="4" w:space="0" w:color="4E8347"/>
              <w:right w:val="single" w:sz="4" w:space="0" w:color="4E8347"/>
            </w:tcBorders>
            <w:vAlign w:val="center"/>
          </w:tcPr>
          <w:p w14:paraId="2B9469BE"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1" w:type="pct"/>
            <w:tcBorders>
              <w:top w:val="single" w:sz="4" w:space="0" w:color="4E8347"/>
              <w:left w:val="single" w:sz="4" w:space="0" w:color="4E8347"/>
              <w:bottom w:val="single" w:sz="4" w:space="0" w:color="4E8347"/>
              <w:right w:val="single" w:sz="4" w:space="0" w:color="4E8347"/>
            </w:tcBorders>
            <w:vAlign w:val="center"/>
          </w:tcPr>
          <w:p w14:paraId="77A96893"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r>
      <w:tr w:rsidR="00E16E90" w:rsidRPr="00236C2C" w14:paraId="04B028A5" w14:textId="77777777" w:rsidTr="00D050A9">
        <w:trPr>
          <w:trHeight w:val="556"/>
        </w:trPr>
        <w:tc>
          <w:tcPr>
            <w:cnfStyle w:val="001000000000" w:firstRow="0" w:lastRow="0" w:firstColumn="1" w:lastColumn="0" w:oddVBand="0" w:evenVBand="0" w:oddHBand="0" w:evenHBand="0" w:firstRowFirstColumn="0" w:firstRowLastColumn="0" w:lastRowFirstColumn="0" w:lastRowLastColumn="0"/>
            <w:tcW w:w="2738" w:type="pct"/>
            <w:tcBorders>
              <w:top w:val="single" w:sz="4" w:space="0" w:color="4E8347"/>
              <w:bottom w:val="single" w:sz="4" w:space="0" w:color="4E8347"/>
            </w:tcBorders>
            <w:vAlign w:val="center"/>
          </w:tcPr>
          <w:p w14:paraId="376A49A1" w14:textId="4026A00C" w:rsidR="00E16E90" w:rsidRPr="000F7F34" w:rsidRDefault="00E16E90" w:rsidP="000F7F34">
            <w:pPr>
              <w:pStyle w:val="TableHeadings"/>
              <w:rPr>
                <w:b/>
              </w:rPr>
            </w:pPr>
            <w:r w:rsidRPr="000F7F34">
              <w:rPr>
                <w:b/>
              </w:rPr>
              <w:t>Develop a funding methodology that incorporates flexible funding options within the public hospital funding model that support innovative models of care</w:t>
            </w:r>
          </w:p>
        </w:tc>
        <w:tc>
          <w:tcPr>
            <w:tcW w:w="605" w:type="pct"/>
            <w:tcBorders>
              <w:top w:val="single" w:sz="4" w:space="0" w:color="4E8347"/>
              <w:bottom w:val="single" w:sz="4" w:space="0" w:color="4E8347"/>
            </w:tcBorders>
            <w:vAlign w:val="center"/>
          </w:tcPr>
          <w:p w14:paraId="03978819" w14:textId="01D559B9"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r w:rsidRPr="000A6724">
              <w:t>A.101.a</w:t>
            </w:r>
          </w:p>
        </w:tc>
        <w:tc>
          <w:tcPr>
            <w:tcW w:w="851" w:type="pct"/>
            <w:tcBorders>
              <w:top w:val="single" w:sz="4" w:space="0" w:color="4E8347"/>
              <w:bottom w:val="single" w:sz="4" w:space="0" w:color="4E8347"/>
              <w:right w:val="single" w:sz="4" w:space="0" w:color="4E8347"/>
            </w:tcBorders>
            <w:vAlign w:val="center"/>
          </w:tcPr>
          <w:p w14:paraId="674CDC0E" w14:textId="7BBC5FE2"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r w:rsidRPr="000A6724">
              <w:t>Endorsed methodology</w:t>
            </w:r>
          </w:p>
        </w:tc>
        <w:tc>
          <w:tcPr>
            <w:tcW w:w="202" w:type="pct"/>
            <w:tcBorders>
              <w:top w:val="single" w:sz="4" w:space="0" w:color="FFFFFF" w:themeColor="background1"/>
              <w:left w:val="single" w:sz="4" w:space="0" w:color="4E8347"/>
              <w:bottom w:val="single" w:sz="4" w:space="0" w:color="FFFFFF" w:themeColor="background1"/>
              <w:right w:val="single" w:sz="4" w:space="0" w:color="4E8347"/>
            </w:tcBorders>
            <w:shd w:val="clear" w:color="auto" w:fill="4E8347"/>
            <w:vAlign w:val="center"/>
          </w:tcPr>
          <w:p w14:paraId="0AA2EF0A"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4E8347"/>
              <w:left w:val="single" w:sz="4" w:space="0" w:color="4E8347"/>
              <w:bottom w:val="single" w:sz="4" w:space="0" w:color="4E8347"/>
              <w:right w:val="single" w:sz="4" w:space="0" w:color="4E8347"/>
            </w:tcBorders>
            <w:vAlign w:val="center"/>
          </w:tcPr>
          <w:p w14:paraId="27B8FFF7"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4E8347"/>
              <w:left w:val="single" w:sz="4" w:space="0" w:color="4E8347"/>
              <w:bottom w:val="single" w:sz="4" w:space="0" w:color="4E8347"/>
              <w:right w:val="single" w:sz="4" w:space="0" w:color="4E8347"/>
            </w:tcBorders>
            <w:vAlign w:val="center"/>
          </w:tcPr>
          <w:p w14:paraId="7F407C72"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1" w:type="pct"/>
            <w:tcBorders>
              <w:top w:val="single" w:sz="4" w:space="0" w:color="4E8347"/>
              <w:left w:val="single" w:sz="4" w:space="0" w:color="4E8347"/>
              <w:bottom w:val="single" w:sz="4" w:space="0" w:color="4E8347"/>
              <w:right w:val="single" w:sz="4" w:space="0" w:color="4E8347"/>
            </w:tcBorders>
            <w:vAlign w:val="center"/>
          </w:tcPr>
          <w:p w14:paraId="67F319D2"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r>
      <w:tr w:rsidR="00E16E90" w:rsidRPr="00236C2C" w14:paraId="58DF75FA" w14:textId="77777777" w:rsidTr="00D050A9">
        <w:tc>
          <w:tcPr>
            <w:cnfStyle w:val="001000000000" w:firstRow="0" w:lastRow="0" w:firstColumn="1" w:lastColumn="0" w:oddVBand="0" w:evenVBand="0" w:oddHBand="0" w:evenHBand="0" w:firstRowFirstColumn="0" w:firstRowLastColumn="0" w:lastRowFirstColumn="0" w:lastRowLastColumn="0"/>
            <w:tcW w:w="2738" w:type="pct"/>
            <w:tcBorders>
              <w:top w:val="single" w:sz="4" w:space="0" w:color="4E8347"/>
              <w:bottom w:val="single" w:sz="4" w:space="0" w:color="4E8347"/>
            </w:tcBorders>
            <w:vAlign w:val="center"/>
          </w:tcPr>
          <w:p w14:paraId="7513E441" w14:textId="5C2B5EF8" w:rsidR="00E16E90" w:rsidRPr="000F7F34" w:rsidRDefault="00E16E90" w:rsidP="000F7F34">
            <w:pPr>
              <w:pStyle w:val="TableHeadings"/>
              <w:rPr>
                <w:b/>
              </w:rPr>
            </w:pPr>
            <w:r w:rsidRPr="000F7F34">
              <w:rPr>
                <w:b/>
              </w:rPr>
              <w:t xml:space="preserve">Develop a national health funding and payments framework </w:t>
            </w:r>
          </w:p>
        </w:tc>
        <w:tc>
          <w:tcPr>
            <w:tcW w:w="605" w:type="pct"/>
            <w:tcBorders>
              <w:top w:val="single" w:sz="4" w:space="0" w:color="4E8347"/>
              <w:bottom w:val="single" w:sz="4" w:space="0" w:color="4E8347"/>
            </w:tcBorders>
            <w:vAlign w:val="center"/>
          </w:tcPr>
          <w:p w14:paraId="17289929" w14:textId="50250A22"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r w:rsidRPr="000A6724">
              <w:t>C.21.a</w:t>
            </w:r>
          </w:p>
        </w:tc>
        <w:tc>
          <w:tcPr>
            <w:tcW w:w="851" w:type="pct"/>
            <w:tcBorders>
              <w:top w:val="single" w:sz="4" w:space="0" w:color="4E8347"/>
              <w:bottom w:val="single" w:sz="4" w:space="0" w:color="4E8347"/>
              <w:right w:val="single" w:sz="4" w:space="0" w:color="4E8347"/>
            </w:tcBorders>
            <w:vAlign w:val="center"/>
          </w:tcPr>
          <w:p w14:paraId="0B888401" w14:textId="093F691F"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r w:rsidRPr="000A6724">
              <w:t>Framework</w:t>
            </w:r>
          </w:p>
        </w:tc>
        <w:tc>
          <w:tcPr>
            <w:tcW w:w="202" w:type="pct"/>
            <w:tcBorders>
              <w:top w:val="single" w:sz="4" w:space="0" w:color="FFFFFF" w:themeColor="background1"/>
              <w:left w:val="single" w:sz="4" w:space="0" w:color="4E8347"/>
              <w:bottom w:val="single" w:sz="4" w:space="0" w:color="FFFFFF" w:themeColor="background1"/>
              <w:right w:val="single" w:sz="4" w:space="0" w:color="FFFFFF" w:themeColor="background1"/>
            </w:tcBorders>
            <w:shd w:val="clear" w:color="auto" w:fill="4E8347"/>
            <w:vAlign w:val="center"/>
          </w:tcPr>
          <w:p w14:paraId="0F3CC021"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4E8347"/>
              <w:left w:val="single" w:sz="4" w:space="0" w:color="FFFFFF" w:themeColor="background1"/>
              <w:bottom w:val="single" w:sz="4" w:space="0" w:color="FFFFFF" w:themeColor="background1"/>
              <w:right w:val="single" w:sz="4" w:space="0" w:color="4E8347"/>
            </w:tcBorders>
            <w:shd w:val="clear" w:color="auto" w:fill="4E8347"/>
            <w:vAlign w:val="center"/>
          </w:tcPr>
          <w:p w14:paraId="28A37A72"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4E8347"/>
              <w:left w:val="single" w:sz="4" w:space="0" w:color="4E8347"/>
              <w:bottom w:val="single" w:sz="4" w:space="0" w:color="4E8347"/>
              <w:right w:val="single" w:sz="4" w:space="0" w:color="4E8347"/>
            </w:tcBorders>
            <w:vAlign w:val="center"/>
          </w:tcPr>
          <w:p w14:paraId="229D33B1"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1" w:type="pct"/>
            <w:tcBorders>
              <w:top w:val="single" w:sz="4" w:space="0" w:color="4E8347"/>
              <w:left w:val="single" w:sz="4" w:space="0" w:color="4E8347"/>
              <w:bottom w:val="single" w:sz="4" w:space="0" w:color="4E8347"/>
              <w:right w:val="single" w:sz="4" w:space="0" w:color="4E8347"/>
            </w:tcBorders>
            <w:vAlign w:val="center"/>
          </w:tcPr>
          <w:p w14:paraId="03D4E3B2"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r>
      <w:tr w:rsidR="00CB7B49" w:rsidRPr="00236C2C" w14:paraId="11DB911E" w14:textId="77777777" w:rsidTr="00D050A9">
        <w:tc>
          <w:tcPr>
            <w:cnfStyle w:val="001000000000" w:firstRow="0" w:lastRow="0" w:firstColumn="1" w:lastColumn="0" w:oddVBand="0" w:evenVBand="0" w:oddHBand="0" w:evenHBand="0" w:firstRowFirstColumn="0" w:firstRowLastColumn="0" w:lastRowFirstColumn="0" w:lastRowLastColumn="0"/>
            <w:tcW w:w="2738" w:type="pct"/>
            <w:tcBorders>
              <w:top w:val="single" w:sz="4" w:space="0" w:color="4E8347"/>
              <w:bottom w:val="single" w:sz="4" w:space="0" w:color="4E8347"/>
            </w:tcBorders>
            <w:vAlign w:val="center"/>
          </w:tcPr>
          <w:p w14:paraId="0FBDCC1E" w14:textId="53BF4D5B" w:rsidR="00E16E90" w:rsidRPr="000F7F34" w:rsidRDefault="00E16E90" w:rsidP="000F7F34">
            <w:pPr>
              <w:pStyle w:val="TableHeadings"/>
              <w:rPr>
                <w:b/>
              </w:rPr>
            </w:pPr>
            <w:r w:rsidRPr="000F7F34">
              <w:rPr>
                <w:b/>
              </w:rPr>
              <w:t>Trial funding and payment reforms at a program level</w:t>
            </w:r>
            <w:r w:rsidR="00375734">
              <w:rPr>
                <w:b/>
              </w:rPr>
              <w:t xml:space="preserve"> and progress</w:t>
            </w:r>
            <w:r w:rsidRPr="000F7F34">
              <w:rPr>
                <w:b/>
              </w:rPr>
              <w:t xml:space="preserve"> system level changes</w:t>
            </w:r>
          </w:p>
        </w:tc>
        <w:tc>
          <w:tcPr>
            <w:tcW w:w="605" w:type="pct"/>
            <w:tcBorders>
              <w:top w:val="single" w:sz="4" w:space="0" w:color="4E8347"/>
              <w:bottom w:val="single" w:sz="4" w:space="0" w:color="4E8347"/>
            </w:tcBorders>
            <w:vAlign w:val="center"/>
          </w:tcPr>
          <w:p w14:paraId="7F4C5BA2" w14:textId="5474FF0F"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r w:rsidRPr="000A6724">
              <w:t>C.21.c</w:t>
            </w:r>
          </w:p>
        </w:tc>
        <w:tc>
          <w:tcPr>
            <w:tcW w:w="851" w:type="pct"/>
            <w:tcBorders>
              <w:top w:val="single" w:sz="4" w:space="0" w:color="4E8347"/>
              <w:bottom w:val="single" w:sz="4" w:space="0" w:color="4E8347"/>
              <w:right w:val="single" w:sz="4" w:space="0" w:color="4E8347"/>
            </w:tcBorders>
            <w:vAlign w:val="center"/>
          </w:tcPr>
          <w:p w14:paraId="2F6453A8" w14:textId="6BA9C64A"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r w:rsidRPr="000A6724">
              <w:t>Bilateral and multilateral trials</w:t>
            </w:r>
          </w:p>
        </w:tc>
        <w:tc>
          <w:tcPr>
            <w:tcW w:w="202" w:type="pct"/>
            <w:tcBorders>
              <w:top w:val="single" w:sz="4" w:space="0" w:color="FFFFFF" w:themeColor="background1"/>
              <w:left w:val="single" w:sz="4" w:space="0" w:color="4E8347"/>
              <w:bottom w:val="single" w:sz="4" w:space="0" w:color="FFFFFF" w:themeColor="background1"/>
              <w:right w:val="single" w:sz="4" w:space="0" w:color="FFFFFF" w:themeColor="background1"/>
            </w:tcBorders>
            <w:shd w:val="clear" w:color="auto" w:fill="4E8347"/>
            <w:vAlign w:val="center"/>
          </w:tcPr>
          <w:p w14:paraId="36EA2CF9"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8347"/>
            <w:vAlign w:val="center"/>
          </w:tcPr>
          <w:p w14:paraId="50CC173C"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4E8347"/>
              <w:left w:val="single" w:sz="4" w:space="0" w:color="FFFFFF" w:themeColor="background1"/>
              <w:bottom w:val="single" w:sz="4" w:space="0" w:color="FFFFFF" w:themeColor="background1"/>
              <w:right w:val="single" w:sz="4" w:space="0" w:color="FFFFFF" w:themeColor="background1"/>
            </w:tcBorders>
            <w:shd w:val="clear" w:color="auto" w:fill="4E8347"/>
            <w:vAlign w:val="center"/>
          </w:tcPr>
          <w:p w14:paraId="40A43D47"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1" w:type="pct"/>
            <w:tcBorders>
              <w:top w:val="single" w:sz="4" w:space="0" w:color="4E8347"/>
              <w:left w:val="single" w:sz="4" w:space="0" w:color="FFFFFF" w:themeColor="background1"/>
              <w:bottom w:val="single" w:sz="4" w:space="0" w:color="FFFFFF" w:themeColor="background1"/>
              <w:right w:val="single" w:sz="4" w:space="0" w:color="4E8347"/>
            </w:tcBorders>
            <w:shd w:val="clear" w:color="auto" w:fill="4E8347"/>
            <w:vAlign w:val="center"/>
          </w:tcPr>
          <w:p w14:paraId="77CF9685"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r>
      <w:tr w:rsidR="00E16E90" w:rsidRPr="00236C2C" w14:paraId="578AF960" w14:textId="77777777" w:rsidTr="00D050A9">
        <w:tc>
          <w:tcPr>
            <w:cnfStyle w:val="001000000000" w:firstRow="0" w:lastRow="0" w:firstColumn="1" w:lastColumn="0" w:oddVBand="0" w:evenVBand="0" w:oddHBand="0" w:evenHBand="0" w:firstRowFirstColumn="0" w:firstRowLastColumn="0" w:lastRowFirstColumn="0" w:lastRowLastColumn="0"/>
            <w:tcW w:w="2738" w:type="pct"/>
            <w:tcBorders>
              <w:top w:val="single" w:sz="4" w:space="0" w:color="4E8347"/>
              <w:bottom w:val="single" w:sz="4" w:space="0" w:color="4E8347"/>
            </w:tcBorders>
            <w:vAlign w:val="center"/>
          </w:tcPr>
          <w:p w14:paraId="2F5AF062" w14:textId="50B8CC96" w:rsidR="00E16E90" w:rsidRPr="000F7F34" w:rsidRDefault="00E16E90" w:rsidP="000F7F34">
            <w:pPr>
              <w:pStyle w:val="TableHeadings"/>
              <w:rPr>
                <w:b/>
              </w:rPr>
            </w:pPr>
            <w:r w:rsidRPr="000F7F34">
              <w:rPr>
                <w:b/>
              </w:rPr>
              <w:t>Implement a common approach to evaluation of trials and knowledge sharing to inform further decisions about scaling of trials and future reform directions.</w:t>
            </w:r>
          </w:p>
        </w:tc>
        <w:tc>
          <w:tcPr>
            <w:tcW w:w="605" w:type="pct"/>
            <w:tcBorders>
              <w:top w:val="single" w:sz="4" w:space="0" w:color="4E8347"/>
              <w:bottom w:val="single" w:sz="4" w:space="0" w:color="4E8347"/>
            </w:tcBorders>
            <w:vAlign w:val="center"/>
          </w:tcPr>
          <w:p w14:paraId="4EC4BA30" w14:textId="21D8CCFC"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r w:rsidRPr="000A6724">
              <w:t>C21.d</w:t>
            </w:r>
          </w:p>
        </w:tc>
        <w:tc>
          <w:tcPr>
            <w:tcW w:w="851" w:type="pct"/>
            <w:tcBorders>
              <w:top w:val="single" w:sz="4" w:space="0" w:color="4E8347"/>
              <w:bottom w:val="single" w:sz="4" w:space="0" w:color="4E8347"/>
              <w:right w:val="single" w:sz="4" w:space="0" w:color="4E8347"/>
            </w:tcBorders>
            <w:vAlign w:val="center"/>
          </w:tcPr>
          <w:p w14:paraId="6C27B46D" w14:textId="1E19E129"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r w:rsidRPr="000A6724">
              <w:t>Evaluation reports</w:t>
            </w:r>
          </w:p>
        </w:tc>
        <w:tc>
          <w:tcPr>
            <w:tcW w:w="202" w:type="pct"/>
            <w:tcBorders>
              <w:top w:val="single" w:sz="4" w:space="0" w:color="FFFFFF" w:themeColor="background1"/>
              <w:left w:val="single" w:sz="4" w:space="0" w:color="4E8347"/>
              <w:bottom w:val="single" w:sz="4" w:space="0" w:color="4E8347"/>
              <w:right w:val="single" w:sz="4" w:space="0" w:color="FFFFFF" w:themeColor="background1"/>
            </w:tcBorders>
            <w:shd w:val="clear" w:color="auto" w:fill="4E8347"/>
            <w:vAlign w:val="center"/>
          </w:tcPr>
          <w:p w14:paraId="4A41B681"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FFFFFF" w:themeColor="background1"/>
              <w:left w:val="single" w:sz="4" w:space="0" w:color="FFFFFF" w:themeColor="background1"/>
              <w:bottom w:val="single" w:sz="4" w:space="0" w:color="4E8347"/>
              <w:right w:val="single" w:sz="4" w:space="0" w:color="FFFFFF" w:themeColor="background1"/>
            </w:tcBorders>
            <w:shd w:val="clear" w:color="auto" w:fill="4E8347"/>
            <w:vAlign w:val="center"/>
          </w:tcPr>
          <w:p w14:paraId="560344E9"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FFFFFF" w:themeColor="background1"/>
              <w:left w:val="single" w:sz="4" w:space="0" w:color="FFFFFF" w:themeColor="background1"/>
              <w:bottom w:val="single" w:sz="4" w:space="0" w:color="4E8347"/>
              <w:right w:val="single" w:sz="4" w:space="0" w:color="FFFFFF" w:themeColor="background1"/>
            </w:tcBorders>
            <w:shd w:val="clear" w:color="auto" w:fill="4E8347"/>
            <w:vAlign w:val="center"/>
          </w:tcPr>
          <w:p w14:paraId="56777483"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1" w:type="pct"/>
            <w:tcBorders>
              <w:top w:val="single" w:sz="4" w:space="0" w:color="FFFFFF" w:themeColor="background1"/>
              <w:left w:val="single" w:sz="4" w:space="0" w:color="FFFFFF" w:themeColor="background1"/>
              <w:bottom w:val="single" w:sz="4" w:space="0" w:color="4E8347"/>
              <w:right w:val="single" w:sz="4" w:space="0" w:color="4E8347"/>
            </w:tcBorders>
            <w:shd w:val="clear" w:color="auto" w:fill="4E8347"/>
            <w:vAlign w:val="center"/>
          </w:tcPr>
          <w:p w14:paraId="3FBDA593"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r>
    </w:tbl>
    <w:p w14:paraId="71E4F514" w14:textId="0F447533" w:rsidR="00E2077D" w:rsidRDefault="00BB1699" w:rsidP="009E4463">
      <w:pPr>
        <w:ind w:left="-284"/>
      </w:pPr>
      <w:r>
        <w:br w:type="page"/>
      </w:r>
      <w:r w:rsidR="00ED0DC6">
        <w:rPr>
          <w:noProof/>
          <w:lang w:eastAsia="en-AU"/>
        </w:rPr>
        <w:lastRenderedPageBreak/>
        <w:drawing>
          <wp:inline distT="0" distB="0" distL="0" distR="0" wp14:anchorId="69F14E25" wp14:editId="644CB58F">
            <wp:extent cx="6226893" cy="8820000"/>
            <wp:effectExtent l="0" t="0" r="2540" b="635"/>
            <wp:docPr id="6" name="Picture 6" descr="This image shows the paying for value and outcomes - Outcomes Map. All the information in this image can be read in the tables prior to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mage shows the paying for value and outcomes - Outcomes Map. All the information in this image can be read in the tables prior to this imag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6893" cy="8820000"/>
                    </a:xfrm>
                    <a:prstGeom prst="rect">
                      <a:avLst/>
                    </a:prstGeom>
                    <a:noFill/>
                  </pic:spPr>
                </pic:pic>
              </a:graphicData>
            </a:graphic>
          </wp:inline>
        </w:drawing>
      </w:r>
      <w:r w:rsidR="00F06C43" w:rsidRPr="00F06C43">
        <w:t xml:space="preserve"> </w:t>
      </w:r>
      <w:r w:rsidR="00E2077D">
        <w:br w:type="page"/>
      </w:r>
    </w:p>
    <w:tbl>
      <w:tblPr>
        <w:tblStyle w:val="DepartmentalTealstyle"/>
        <w:tblW w:w="5000" w:type="pct"/>
        <w:tblBorders>
          <w:top w:val="single" w:sz="4" w:space="0" w:color="C00000"/>
          <w:bottom w:val="single" w:sz="4" w:space="0" w:color="C00000"/>
          <w:insideH w:val="single" w:sz="4" w:space="0" w:color="C00000"/>
        </w:tblBorders>
        <w:tblCellMar>
          <w:left w:w="57" w:type="dxa"/>
          <w:right w:w="57" w:type="dxa"/>
        </w:tblCellMar>
        <w:tblLook w:val="04A0" w:firstRow="1" w:lastRow="0" w:firstColumn="1" w:lastColumn="0" w:noHBand="0" w:noVBand="1"/>
        <w:tblDescription w:val="This table is a list of reform stream for the Joint planning and funding at the local level.&#10;"/>
      </w:tblPr>
      <w:tblGrid>
        <w:gridCol w:w="1827"/>
        <w:gridCol w:w="8371"/>
      </w:tblGrid>
      <w:tr w:rsidR="00B25D6D" w:rsidRPr="00922865" w14:paraId="54DED2FA" w14:textId="77777777" w:rsidTr="00D050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6" w:type="pct"/>
            <w:tcBorders>
              <w:top w:val="nil"/>
              <w:bottom w:val="nil"/>
            </w:tcBorders>
            <w:shd w:val="clear" w:color="auto" w:fill="AB1D1D"/>
          </w:tcPr>
          <w:p w14:paraId="479ECF03" w14:textId="77777777" w:rsidR="00B25D6D" w:rsidRPr="00D050A9" w:rsidRDefault="00B25D6D" w:rsidP="00D050A9">
            <w:r w:rsidRPr="00D050A9">
              <w:lastRenderedPageBreak/>
              <w:br w:type="page"/>
              <w:t>Reform stream</w:t>
            </w:r>
          </w:p>
        </w:tc>
        <w:tc>
          <w:tcPr>
            <w:tcW w:w="4104" w:type="pct"/>
            <w:tcBorders>
              <w:top w:val="nil"/>
              <w:bottom w:val="nil"/>
            </w:tcBorders>
            <w:shd w:val="clear" w:color="auto" w:fill="AB1D1D"/>
          </w:tcPr>
          <w:p w14:paraId="327886F9" w14:textId="77777777" w:rsidR="00B25D6D" w:rsidRPr="00D050A9" w:rsidRDefault="00B25D6D" w:rsidP="00D050A9">
            <w:pPr>
              <w:cnfStyle w:val="100000000000" w:firstRow="1" w:lastRow="0" w:firstColumn="0" w:lastColumn="0" w:oddVBand="0" w:evenVBand="0" w:oddHBand="0" w:evenHBand="0" w:firstRowFirstColumn="0" w:firstRowLastColumn="0" w:lastRowFirstColumn="0" w:lastRowLastColumn="0"/>
            </w:pPr>
            <w:bookmarkStart w:id="28" w:name="_Toc75425925"/>
            <w:r w:rsidRPr="00D050A9">
              <w:t>Joint planning and funding at the local level</w:t>
            </w:r>
            <w:bookmarkEnd w:id="28"/>
          </w:p>
        </w:tc>
      </w:tr>
      <w:tr w:rsidR="00B25D6D" w:rsidRPr="00236C2C" w14:paraId="03FC96B2" w14:textId="77777777" w:rsidTr="00D050A9">
        <w:trPr>
          <w:trHeight w:val="664"/>
        </w:trPr>
        <w:tc>
          <w:tcPr>
            <w:cnfStyle w:val="001000000000" w:firstRow="0" w:lastRow="0" w:firstColumn="1" w:lastColumn="0" w:oddVBand="0" w:evenVBand="0" w:oddHBand="0" w:evenHBand="0" w:firstRowFirstColumn="0" w:firstRowLastColumn="0" w:lastRowFirstColumn="0" w:lastRowLastColumn="0"/>
            <w:tcW w:w="896" w:type="pct"/>
            <w:tcBorders>
              <w:top w:val="nil"/>
              <w:bottom w:val="single" w:sz="4" w:space="0" w:color="AB1D1D"/>
            </w:tcBorders>
            <w:vAlign w:val="center"/>
          </w:tcPr>
          <w:p w14:paraId="03509678" w14:textId="77777777" w:rsidR="00B25D6D" w:rsidRPr="000F7F34" w:rsidRDefault="00B25D6D" w:rsidP="000F7F34">
            <w:pPr>
              <w:pStyle w:val="TableHeadings"/>
              <w:rPr>
                <w:b/>
              </w:rPr>
            </w:pPr>
            <w:r w:rsidRPr="000F7F34">
              <w:rPr>
                <w:b/>
              </w:rPr>
              <w:t>Vision</w:t>
            </w:r>
          </w:p>
        </w:tc>
        <w:tc>
          <w:tcPr>
            <w:tcW w:w="4104" w:type="pct"/>
            <w:tcBorders>
              <w:top w:val="nil"/>
              <w:bottom w:val="single" w:sz="4" w:space="0" w:color="AB1D1D"/>
            </w:tcBorders>
            <w:vAlign w:val="center"/>
          </w:tcPr>
          <w:p w14:paraId="45A91E4F" w14:textId="58F8A7D4" w:rsidR="00B25D6D" w:rsidRPr="000F7F34" w:rsidRDefault="00B25D6D" w:rsidP="000F7F34">
            <w:pPr>
              <w:pStyle w:val="TableContent"/>
              <w:cnfStyle w:val="000000000000" w:firstRow="0" w:lastRow="0" w:firstColumn="0" w:lastColumn="0" w:oddVBand="0" w:evenVBand="0" w:oddHBand="0" w:evenHBand="0" w:firstRowFirstColumn="0" w:firstRowLastColumn="0" w:lastRowFirstColumn="0" w:lastRowLastColumn="0"/>
            </w:pPr>
            <w:r w:rsidRPr="000F7F34">
              <w:t>Better-integrated, patient-centred care will improve people’s experiences and health outcomes and support equitable access to care. Integrated planning and funding of health services at a local level will support providers to plan, resource, work together, and coordinate care for patients across their treatment journey.</w:t>
            </w:r>
          </w:p>
        </w:tc>
      </w:tr>
      <w:tr w:rsidR="00B25D6D" w:rsidRPr="00236C2C" w14:paraId="107F9923" w14:textId="77777777" w:rsidTr="00D050A9">
        <w:tc>
          <w:tcPr>
            <w:cnfStyle w:val="001000000000" w:firstRow="0" w:lastRow="0" w:firstColumn="1" w:lastColumn="0" w:oddVBand="0" w:evenVBand="0" w:oddHBand="0" w:evenHBand="0" w:firstRowFirstColumn="0" w:firstRowLastColumn="0" w:lastRowFirstColumn="0" w:lastRowLastColumn="0"/>
            <w:tcW w:w="896" w:type="pct"/>
            <w:tcBorders>
              <w:top w:val="single" w:sz="4" w:space="0" w:color="AB1D1D"/>
              <w:bottom w:val="single" w:sz="4" w:space="0" w:color="AB1D1D"/>
            </w:tcBorders>
            <w:vAlign w:val="center"/>
          </w:tcPr>
          <w:p w14:paraId="0C2DD48D" w14:textId="77777777" w:rsidR="00B25D6D" w:rsidRPr="000F7F34" w:rsidRDefault="00B25D6D" w:rsidP="000F7F34">
            <w:pPr>
              <w:pStyle w:val="TableHeadings"/>
              <w:rPr>
                <w:b/>
              </w:rPr>
            </w:pPr>
            <w:r w:rsidRPr="000F7F34">
              <w:rPr>
                <w:b/>
              </w:rPr>
              <w:t>Aim</w:t>
            </w:r>
          </w:p>
        </w:tc>
        <w:tc>
          <w:tcPr>
            <w:tcW w:w="4104" w:type="pct"/>
            <w:tcBorders>
              <w:top w:val="single" w:sz="4" w:space="0" w:color="AB1D1D"/>
              <w:bottom w:val="single" w:sz="4" w:space="0" w:color="AB1D1D"/>
            </w:tcBorders>
            <w:vAlign w:val="center"/>
          </w:tcPr>
          <w:p w14:paraId="553FED4D" w14:textId="269B8FEF" w:rsidR="00B25D6D" w:rsidRPr="000F7F34" w:rsidRDefault="00B25D6D"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Local planning and service commissioning is driven by collaboration, integration and better investment decisions across care settings based on population and patient needs, with clear and shared accountability for outcomes and quality. Innovative governance models will increase flexibility and support providers to deliver value-based care according to the Quadruple Aim in health care - </w:t>
            </w:r>
            <w:r w:rsidR="00376F65">
              <w:t>improved health outcomes, improved patient experience, improved provider experience, and improved effectiveness and efficiency</w:t>
            </w:r>
            <w:r w:rsidRPr="000F7F34">
              <w:t>.</w:t>
            </w:r>
          </w:p>
        </w:tc>
      </w:tr>
      <w:tr w:rsidR="00B25D6D" w:rsidRPr="00236C2C" w14:paraId="4F6FCBF1" w14:textId="77777777" w:rsidTr="00D050A9">
        <w:tc>
          <w:tcPr>
            <w:cnfStyle w:val="001000000000" w:firstRow="0" w:lastRow="0" w:firstColumn="1" w:lastColumn="0" w:oddVBand="0" w:evenVBand="0" w:oddHBand="0" w:evenHBand="0" w:firstRowFirstColumn="0" w:firstRowLastColumn="0" w:lastRowFirstColumn="0" w:lastRowLastColumn="0"/>
            <w:tcW w:w="896" w:type="pct"/>
            <w:tcBorders>
              <w:top w:val="single" w:sz="4" w:space="0" w:color="AB1D1D"/>
              <w:bottom w:val="single" w:sz="4" w:space="0" w:color="AB1D1D"/>
            </w:tcBorders>
            <w:vAlign w:val="center"/>
          </w:tcPr>
          <w:p w14:paraId="0A22985A" w14:textId="77777777" w:rsidR="00B25D6D" w:rsidRPr="000F7F34" w:rsidRDefault="00B25D6D" w:rsidP="000F7F34">
            <w:pPr>
              <w:pStyle w:val="TableHeadings"/>
              <w:rPr>
                <w:b/>
              </w:rPr>
            </w:pPr>
            <w:r w:rsidRPr="000F7F34">
              <w:rPr>
                <w:b/>
              </w:rPr>
              <w:t>Case for change</w:t>
            </w:r>
          </w:p>
        </w:tc>
        <w:tc>
          <w:tcPr>
            <w:tcW w:w="4104" w:type="pct"/>
            <w:tcBorders>
              <w:top w:val="single" w:sz="4" w:space="0" w:color="AB1D1D"/>
              <w:bottom w:val="single" w:sz="4" w:space="0" w:color="AB1D1D"/>
            </w:tcBorders>
            <w:vAlign w:val="center"/>
          </w:tcPr>
          <w:p w14:paraId="6C3B76DB" w14:textId="564B4C54" w:rsidR="00B25D6D" w:rsidRPr="000F7F34" w:rsidRDefault="00B25D6D"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The current health system in Australia is fragmented, making it difficult for people to get </w:t>
            </w:r>
            <w:r w:rsidR="00BF099F">
              <w:br/>
            </w:r>
            <w:r w:rsidRPr="000F7F34">
              <w:t xml:space="preserve">well-coordinated care and leading to poorer health outcomes. The system is not well-placed to meet the needs of people with chronic or complex health and social care needs, and older, frailer people who often use a wide range of health services. Poor coordination between providers can cause confusion and duplication and make services hard to navigate. </w:t>
            </w:r>
          </w:p>
          <w:p w14:paraId="404B984F" w14:textId="77777777" w:rsidR="00B25D6D" w:rsidRPr="000F7F34" w:rsidRDefault="00B25D6D"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Despite best efforts, providers often work in isolation rather than together. Investment decisions are far removed from service delivery and there is potential for blame and cost shifting between service providers, commissioners, health sectors and levels of government. </w:t>
            </w:r>
          </w:p>
          <w:p w14:paraId="2F1EE624" w14:textId="77777777" w:rsidR="00B25D6D" w:rsidRPr="000F7F34" w:rsidRDefault="00B25D6D"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The Commonwealth, states and territories recognise there is a need for greater collaboration across care settings, support for clinicians to adopt new practices, and a joint commitment across all agencies and governments to ensure better planning and co-ordination of health services at the local level. This reform complements the </w:t>
            </w:r>
            <w:r w:rsidRPr="00BF1D00">
              <w:rPr>
                <w:i/>
                <w:iCs/>
              </w:rPr>
              <w:t>Paying for value and outcomes</w:t>
            </w:r>
            <w:r w:rsidRPr="000F7F34">
              <w:t xml:space="preserve"> reform, which supports more flexible funding arrangements.</w:t>
            </w:r>
          </w:p>
        </w:tc>
      </w:tr>
      <w:tr w:rsidR="00B25D6D" w:rsidRPr="00236C2C" w14:paraId="47E1D8EE" w14:textId="77777777" w:rsidTr="00D050A9">
        <w:tc>
          <w:tcPr>
            <w:cnfStyle w:val="001000000000" w:firstRow="0" w:lastRow="0" w:firstColumn="1" w:lastColumn="0" w:oddVBand="0" w:evenVBand="0" w:oddHBand="0" w:evenHBand="0" w:firstRowFirstColumn="0" w:firstRowLastColumn="0" w:lastRowFirstColumn="0" w:lastRowLastColumn="0"/>
            <w:tcW w:w="896" w:type="pct"/>
            <w:tcBorders>
              <w:top w:val="single" w:sz="4" w:space="0" w:color="AB1D1D"/>
              <w:bottom w:val="single" w:sz="4" w:space="0" w:color="AB1D1D"/>
            </w:tcBorders>
            <w:vAlign w:val="center"/>
          </w:tcPr>
          <w:p w14:paraId="0EEFC6BA" w14:textId="77777777" w:rsidR="00B25D6D" w:rsidRPr="000F7F34" w:rsidRDefault="00B25D6D" w:rsidP="000F7F34">
            <w:pPr>
              <w:pStyle w:val="TableHeadings"/>
              <w:rPr>
                <w:b/>
              </w:rPr>
            </w:pPr>
            <w:r w:rsidRPr="000F7F34">
              <w:rPr>
                <w:b/>
              </w:rPr>
              <w:t>Links to other reforms</w:t>
            </w:r>
          </w:p>
        </w:tc>
        <w:tc>
          <w:tcPr>
            <w:tcW w:w="4104" w:type="pct"/>
            <w:tcBorders>
              <w:top w:val="single" w:sz="4" w:space="0" w:color="AB1D1D"/>
              <w:bottom w:val="single" w:sz="4" w:space="0" w:color="AB1D1D"/>
            </w:tcBorders>
            <w:vAlign w:val="center"/>
          </w:tcPr>
          <w:p w14:paraId="1FA78FCF" w14:textId="21BC03F7" w:rsidR="00B25D6D" w:rsidRPr="000F7F34" w:rsidRDefault="00B25D6D" w:rsidP="000F7F34">
            <w:pPr>
              <w:pStyle w:val="TableContent"/>
              <w:cnfStyle w:val="000000000000" w:firstRow="0" w:lastRow="0" w:firstColumn="0" w:lastColumn="0" w:oddVBand="0" w:evenVBand="0" w:oddHBand="0" w:evenHBand="0" w:firstRowFirstColumn="0" w:firstRowLastColumn="0" w:lastRowFirstColumn="0" w:lastRowLastColumn="0"/>
            </w:pPr>
            <w:r w:rsidRPr="000F7F34">
              <w:t>This reform is critically interdependent with other long-term health reforms, particular</w:t>
            </w:r>
            <w:r w:rsidR="00BF099F">
              <w:t>ly</w:t>
            </w:r>
            <w:r w:rsidRPr="000F7F34">
              <w:t xml:space="preserve"> the </w:t>
            </w:r>
            <w:r w:rsidRPr="00BF1D00">
              <w:rPr>
                <w:i/>
                <w:iCs/>
              </w:rPr>
              <w:t xml:space="preserve">Paying for </w:t>
            </w:r>
            <w:r w:rsidR="00AB5CE6" w:rsidRPr="00BF1D00">
              <w:rPr>
                <w:i/>
                <w:iCs/>
              </w:rPr>
              <w:t>v</w:t>
            </w:r>
            <w:r w:rsidRPr="00BF1D00">
              <w:rPr>
                <w:i/>
                <w:iCs/>
              </w:rPr>
              <w:t xml:space="preserve">alue and </w:t>
            </w:r>
            <w:r w:rsidR="00AB5CE6" w:rsidRPr="00BF1D00">
              <w:rPr>
                <w:i/>
                <w:iCs/>
              </w:rPr>
              <w:t>o</w:t>
            </w:r>
            <w:r w:rsidRPr="00BF1D00">
              <w:rPr>
                <w:i/>
                <w:iCs/>
              </w:rPr>
              <w:t>utcomes</w:t>
            </w:r>
            <w:r w:rsidRPr="000F7F34">
              <w:t xml:space="preserve"> reform, which will deliver system-level payment reforms to create a supportive environment to trial effective commissioning arrangements.</w:t>
            </w:r>
          </w:p>
          <w:p w14:paraId="7A44C18D" w14:textId="77777777" w:rsidR="00B25D6D" w:rsidRPr="000F7F34" w:rsidRDefault="00B25D6D"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The </w:t>
            </w:r>
            <w:r w:rsidRPr="00BF1D00">
              <w:rPr>
                <w:i/>
                <w:iCs/>
              </w:rPr>
              <w:t>Enhanced health data</w:t>
            </w:r>
            <w:r w:rsidRPr="000F7F34">
              <w:t xml:space="preserve"> reform will develop new and improved data sets (including primary and community health) and enhance linkage capabilities to support integration and local commissioning. </w:t>
            </w:r>
          </w:p>
          <w:p w14:paraId="3AC237C2" w14:textId="6A1E7AAA" w:rsidR="00B25D6D" w:rsidRPr="000F7F34" w:rsidRDefault="00B25D6D" w:rsidP="00BF099F">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This reform offers a mechanism to address the findings in the Productivity Commission’s report on Innovations in Care for Chronic Health Conditions (2021), and the recommendations and outcomes of the Royal Commission </w:t>
            </w:r>
            <w:r w:rsidR="00BF099F">
              <w:t>into</w:t>
            </w:r>
            <w:r w:rsidRPr="000F7F34">
              <w:t xml:space="preserve"> Aged Care </w:t>
            </w:r>
            <w:r w:rsidR="00BF099F">
              <w:t xml:space="preserve">Quality and Safety </w:t>
            </w:r>
            <w:r w:rsidRPr="000F7F34">
              <w:t>(2021) and</w:t>
            </w:r>
            <w:r w:rsidR="00AB7FA0">
              <w:t xml:space="preserve"> </w:t>
            </w:r>
            <w:r w:rsidR="00BF099F">
              <w:t xml:space="preserve">the </w:t>
            </w:r>
            <w:r w:rsidR="00AB7FA0">
              <w:t xml:space="preserve">Royal Commission </w:t>
            </w:r>
            <w:r w:rsidR="00BF099F">
              <w:t xml:space="preserve">into Violence, Abuse, Neglect and Exploitation of People with </w:t>
            </w:r>
            <w:r w:rsidRPr="000F7F34">
              <w:t>Disability (2023). It will leverage COVID-19 responses, existing jurisdiction initiatives and align with Commonwealth reforms to primary care.</w:t>
            </w:r>
          </w:p>
        </w:tc>
      </w:tr>
      <w:tr w:rsidR="00B25D6D" w:rsidRPr="00236C2C" w14:paraId="7A2603F2" w14:textId="77777777" w:rsidTr="00D050A9">
        <w:tc>
          <w:tcPr>
            <w:cnfStyle w:val="001000000000" w:firstRow="0" w:lastRow="0" w:firstColumn="1" w:lastColumn="0" w:oddVBand="0" w:evenVBand="0" w:oddHBand="0" w:evenHBand="0" w:firstRowFirstColumn="0" w:firstRowLastColumn="0" w:lastRowFirstColumn="0" w:lastRowLastColumn="0"/>
            <w:tcW w:w="896" w:type="pct"/>
            <w:tcBorders>
              <w:top w:val="single" w:sz="4" w:space="0" w:color="AB1D1D"/>
              <w:bottom w:val="single" w:sz="4" w:space="0" w:color="AB1D1D"/>
            </w:tcBorders>
            <w:vAlign w:val="center"/>
          </w:tcPr>
          <w:p w14:paraId="3E4BF8EE" w14:textId="77777777" w:rsidR="00B25D6D" w:rsidRPr="000F7F34" w:rsidRDefault="00B25D6D" w:rsidP="000F7F34">
            <w:pPr>
              <w:pStyle w:val="TableHeadings"/>
              <w:rPr>
                <w:b/>
              </w:rPr>
            </w:pPr>
            <w:r w:rsidRPr="000F7F34">
              <w:rPr>
                <w:b/>
              </w:rPr>
              <w:t>Intended outcomes</w:t>
            </w:r>
          </w:p>
        </w:tc>
        <w:tc>
          <w:tcPr>
            <w:tcW w:w="4104" w:type="pct"/>
            <w:tcBorders>
              <w:top w:val="single" w:sz="4" w:space="0" w:color="AB1D1D"/>
              <w:bottom w:val="single" w:sz="4" w:space="0" w:color="AB1D1D"/>
            </w:tcBorders>
            <w:vAlign w:val="center"/>
          </w:tcPr>
          <w:p w14:paraId="03998D78" w14:textId="77777777" w:rsidR="00B25D6D" w:rsidRPr="000F7F34" w:rsidRDefault="00B25D6D" w:rsidP="000F7F34">
            <w:pPr>
              <w:pStyle w:val="TableContent"/>
              <w:cnfStyle w:val="000000000000" w:firstRow="0" w:lastRow="0" w:firstColumn="0" w:lastColumn="0" w:oddVBand="0" w:evenVBand="0" w:oddHBand="0" w:evenHBand="0" w:firstRowFirstColumn="0" w:firstRowLastColumn="0" w:lastRowFirstColumn="0" w:lastRowLastColumn="0"/>
            </w:pPr>
            <w:r w:rsidRPr="000F7F34">
              <w:t>During the term of this Addendum, all parties will strive to achieve:</w:t>
            </w:r>
          </w:p>
          <w:p w14:paraId="7DA4786D" w14:textId="77777777" w:rsidR="00AB7FA0" w:rsidRDefault="00AB7FA0" w:rsidP="00AB7FA0">
            <w:pPr>
              <w:pStyle w:val="Tabl-BulletPointRed"/>
              <w:cnfStyle w:val="000000000000" w:firstRow="0" w:lastRow="0" w:firstColumn="0" w:lastColumn="0" w:oddVBand="0" w:evenVBand="0" w:oddHBand="0" w:evenHBand="0" w:firstRowFirstColumn="0" w:firstRowLastColumn="0" w:lastRowFirstColumn="0" w:lastRowLastColumn="0"/>
            </w:pPr>
            <w:r>
              <w:t xml:space="preserve">national principles for local level commissioning to support an increase in effective collaboration between primary, community and acute health care </w:t>
            </w:r>
            <w:proofErr w:type="spellStart"/>
            <w:r>
              <w:t>organisations</w:t>
            </w:r>
            <w:proofErr w:type="spellEnd"/>
            <w:r w:rsidRPr="00BC7031">
              <w:t xml:space="preserve"> </w:t>
            </w:r>
          </w:p>
          <w:p w14:paraId="29ACEC87" w14:textId="77777777" w:rsidR="00AB7FA0" w:rsidRPr="00BC7031" w:rsidRDefault="00AB7FA0" w:rsidP="00AB7FA0">
            <w:pPr>
              <w:pStyle w:val="Tabl-BulletPointRed"/>
              <w:cnfStyle w:val="000000000000" w:firstRow="0" w:lastRow="0" w:firstColumn="0" w:lastColumn="0" w:oddVBand="0" w:evenVBand="0" w:oddHBand="0" w:evenHBand="0" w:firstRowFirstColumn="0" w:firstRowLastColumn="0" w:lastRowFirstColumn="0" w:lastRowLastColumn="0"/>
            </w:pPr>
            <w:r w:rsidRPr="000F7F34">
              <w:t xml:space="preserve">increased number of </w:t>
            </w:r>
            <w:r>
              <w:t xml:space="preserve">sustainable </w:t>
            </w:r>
            <w:r w:rsidRPr="000F7F34">
              <w:t xml:space="preserve">joint planning and funding initiatives </w:t>
            </w:r>
            <w:r>
              <w:t xml:space="preserve">to deliver improved experiences for patients and better health outcomes at the local level </w:t>
            </w:r>
          </w:p>
          <w:p w14:paraId="69FAC57E" w14:textId="77777777" w:rsidR="00AB7FA0" w:rsidRPr="00BC7031" w:rsidRDefault="00AB7FA0" w:rsidP="00AB7FA0">
            <w:pPr>
              <w:pStyle w:val="Tabl-BulletPointRed"/>
              <w:cnfStyle w:val="000000000000" w:firstRow="0" w:lastRow="0" w:firstColumn="0" w:lastColumn="0" w:oddVBand="0" w:evenVBand="0" w:oddHBand="0" w:evenHBand="0" w:firstRowFirstColumn="0" w:firstRowLastColumn="0" w:lastRowFirstColumn="0" w:lastRowLastColumn="0"/>
              <w:rPr>
                <w:lang w:val="en-AU"/>
              </w:rPr>
            </w:pPr>
            <w:r>
              <w:rPr>
                <w:lang w:val="en-AU"/>
              </w:rPr>
              <w:t>i</w:t>
            </w:r>
            <w:r w:rsidRPr="00BC7031">
              <w:rPr>
                <w:lang w:val="en-AU"/>
              </w:rPr>
              <w:t xml:space="preserve">ncrease in patients reporting positive health care experiences, using appropriate care </w:t>
            </w:r>
            <w:proofErr w:type="gramStart"/>
            <w:r w:rsidRPr="00BC7031">
              <w:rPr>
                <w:lang w:val="en-AU"/>
              </w:rPr>
              <w:t>settings</w:t>
            </w:r>
            <w:proofErr w:type="gramEnd"/>
            <w:r w:rsidRPr="00BC7031">
              <w:rPr>
                <w:lang w:val="en-AU"/>
              </w:rPr>
              <w:t xml:space="preserve"> and accessing integrated care pathways</w:t>
            </w:r>
          </w:p>
          <w:p w14:paraId="5477536E" w14:textId="77777777" w:rsidR="00AB7FA0" w:rsidRPr="00BC7031" w:rsidRDefault="00AB7FA0" w:rsidP="00AB7FA0">
            <w:pPr>
              <w:pStyle w:val="Tabl-BulletPointRed"/>
              <w:cnfStyle w:val="000000000000" w:firstRow="0" w:lastRow="0" w:firstColumn="0" w:lastColumn="0" w:oddVBand="0" w:evenVBand="0" w:oddHBand="0" w:evenHBand="0" w:firstRowFirstColumn="0" w:firstRowLastColumn="0" w:lastRowFirstColumn="0" w:lastRowLastColumn="0"/>
              <w:rPr>
                <w:lang w:val="en-AU"/>
              </w:rPr>
            </w:pPr>
            <w:r>
              <w:rPr>
                <w:lang w:val="en-AU"/>
              </w:rPr>
              <w:t>i</w:t>
            </w:r>
            <w:r w:rsidRPr="00BC7031">
              <w:rPr>
                <w:lang w:val="en-AU"/>
              </w:rPr>
              <w:t xml:space="preserve">ncrease in </w:t>
            </w:r>
            <w:r>
              <w:rPr>
                <w:lang w:val="en-AU"/>
              </w:rPr>
              <w:t>provider</w:t>
            </w:r>
            <w:r w:rsidRPr="00BC7031">
              <w:rPr>
                <w:lang w:val="en-AU"/>
              </w:rPr>
              <w:t xml:space="preserve"> satisfaction and engagement</w:t>
            </w:r>
            <w:r>
              <w:rPr>
                <w:lang w:val="en-AU"/>
              </w:rPr>
              <w:t>, and increased participation in training to improve commissioning capability</w:t>
            </w:r>
          </w:p>
          <w:p w14:paraId="32C63D2F" w14:textId="2E54C8AA" w:rsidR="00B25D6D" w:rsidRPr="00211DEC" w:rsidRDefault="00AB7FA0" w:rsidP="00AB7FA0">
            <w:pPr>
              <w:pStyle w:val="Tabl-BulletPointRed"/>
              <w:cnfStyle w:val="000000000000" w:firstRow="0" w:lastRow="0" w:firstColumn="0" w:lastColumn="0" w:oddVBand="0" w:evenVBand="0" w:oddHBand="0" w:evenHBand="0" w:firstRowFirstColumn="0" w:firstRowLastColumn="0" w:lastRowFirstColumn="0" w:lastRowLastColumn="0"/>
            </w:pPr>
            <w:r>
              <w:rPr>
                <w:lang w:val="en-AU"/>
              </w:rPr>
              <w:t>t</w:t>
            </w:r>
            <w:r w:rsidRPr="00BC7031">
              <w:rPr>
                <w:lang w:val="en-AU"/>
              </w:rPr>
              <w:t xml:space="preserve">rials </w:t>
            </w:r>
            <w:r>
              <w:rPr>
                <w:lang w:val="en-AU"/>
              </w:rPr>
              <w:t xml:space="preserve">that </w:t>
            </w:r>
            <w:r w:rsidRPr="00BC7031">
              <w:rPr>
                <w:lang w:val="en-AU"/>
              </w:rPr>
              <w:t>demonstrate reduction in service duplication</w:t>
            </w:r>
            <w:r w:rsidR="00BF099F">
              <w:rPr>
                <w:lang w:val="en-AU"/>
              </w:rPr>
              <w:t xml:space="preserve"> and</w:t>
            </w:r>
            <w:r w:rsidRPr="00BC7031">
              <w:rPr>
                <w:lang w:val="en-AU"/>
              </w:rPr>
              <w:t xml:space="preserve"> improved efficiency</w:t>
            </w:r>
          </w:p>
        </w:tc>
      </w:tr>
      <w:tr w:rsidR="00B25D6D" w:rsidRPr="00236C2C" w14:paraId="2A063C49" w14:textId="77777777" w:rsidTr="00D050A9">
        <w:tc>
          <w:tcPr>
            <w:cnfStyle w:val="001000000000" w:firstRow="0" w:lastRow="0" w:firstColumn="1" w:lastColumn="0" w:oddVBand="0" w:evenVBand="0" w:oddHBand="0" w:evenHBand="0" w:firstRowFirstColumn="0" w:firstRowLastColumn="0" w:lastRowFirstColumn="0" w:lastRowLastColumn="0"/>
            <w:tcW w:w="896" w:type="pct"/>
            <w:tcBorders>
              <w:top w:val="single" w:sz="4" w:space="0" w:color="AB1D1D"/>
              <w:bottom w:val="single" w:sz="4" w:space="0" w:color="AB1D1D"/>
            </w:tcBorders>
            <w:vAlign w:val="center"/>
          </w:tcPr>
          <w:p w14:paraId="1F724CE2" w14:textId="77777777" w:rsidR="00B25D6D" w:rsidRPr="000F7F34" w:rsidRDefault="00B25D6D" w:rsidP="000F7F34">
            <w:pPr>
              <w:pStyle w:val="TableHeadings"/>
              <w:rPr>
                <w:b/>
              </w:rPr>
            </w:pPr>
            <w:r w:rsidRPr="000F7F34">
              <w:rPr>
                <w:b/>
              </w:rPr>
              <w:t>Key concepts</w:t>
            </w:r>
          </w:p>
        </w:tc>
        <w:tc>
          <w:tcPr>
            <w:tcW w:w="4104" w:type="pct"/>
            <w:tcBorders>
              <w:top w:val="single" w:sz="4" w:space="0" w:color="AB1D1D"/>
              <w:bottom w:val="single" w:sz="4" w:space="0" w:color="AB1D1D"/>
            </w:tcBorders>
            <w:vAlign w:val="center"/>
          </w:tcPr>
          <w:p w14:paraId="7EFC3837" w14:textId="77777777" w:rsidR="00B25D6D" w:rsidRPr="00211DEC" w:rsidRDefault="00B25D6D" w:rsidP="000F7F34">
            <w:pPr>
              <w:pStyle w:val="TableContent"/>
              <w:cnfStyle w:val="000000000000" w:firstRow="0" w:lastRow="0" w:firstColumn="0" w:lastColumn="0" w:oddVBand="0" w:evenVBand="0" w:oddHBand="0" w:evenHBand="0" w:firstRowFirstColumn="0" w:firstRowLastColumn="0" w:lastRowFirstColumn="0" w:lastRowLastColumn="0"/>
            </w:pPr>
            <w:r w:rsidRPr="00211DEC">
              <w:t>‘Joint planning’ involves various organisations collaborating to assess needs, for geographic regions and for specific populations, make decisions on what health services and health literacy and prevention measures are provided, and share accountability for outcomes.</w:t>
            </w:r>
          </w:p>
          <w:p w14:paraId="2D058613" w14:textId="77777777" w:rsidR="00B25D6D" w:rsidRPr="00211DEC" w:rsidRDefault="00B25D6D" w:rsidP="000F7F34">
            <w:pPr>
              <w:pStyle w:val="TableContent"/>
              <w:cnfStyle w:val="000000000000" w:firstRow="0" w:lastRow="0" w:firstColumn="0" w:lastColumn="0" w:oddVBand="0" w:evenVBand="0" w:oddHBand="0" w:evenHBand="0" w:firstRowFirstColumn="0" w:firstRowLastColumn="0" w:lastRowFirstColumn="0" w:lastRowLastColumn="0"/>
            </w:pPr>
            <w:r w:rsidRPr="00211DEC">
              <w:t xml:space="preserve">‘Joint funding’ involves using existing and new funding to support integrated care pathways, including pooled models where various funding sources may be combined. </w:t>
            </w:r>
          </w:p>
          <w:p w14:paraId="47F5568D" w14:textId="77777777" w:rsidR="00B25D6D" w:rsidRPr="000A6724" w:rsidRDefault="00B25D6D" w:rsidP="000F7F34">
            <w:pPr>
              <w:pStyle w:val="TableContent"/>
              <w:cnfStyle w:val="000000000000" w:firstRow="0" w:lastRow="0" w:firstColumn="0" w:lastColumn="0" w:oddVBand="0" w:evenVBand="0" w:oddHBand="0" w:evenHBand="0" w:firstRowFirstColumn="0" w:firstRowLastColumn="0" w:lastRowFirstColumn="0" w:lastRowLastColumn="0"/>
            </w:pPr>
            <w:r w:rsidRPr="00211DEC">
              <w:t>‘Commissioning’ is a continual cycle to develop and implement services based on needs assessment, planning, co-design, funding, monitoring and evaluation.</w:t>
            </w:r>
          </w:p>
        </w:tc>
      </w:tr>
      <w:tr w:rsidR="00B25D6D" w:rsidRPr="00236C2C" w14:paraId="5AE251A1" w14:textId="77777777" w:rsidTr="00D050A9">
        <w:tc>
          <w:tcPr>
            <w:cnfStyle w:val="001000000000" w:firstRow="0" w:lastRow="0" w:firstColumn="1" w:lastColumn="0" w:oddVBand="0" w:evenVBand="0" w:oddHBand="0" w:evenHBand="0" w:firstRowFirstColumn="0" w:firstRowLastColumn="0" w:lastRowFirstColumn="0" w:lastRowLastColumn="0"/>
            <w:tcW w:w="896" w:type="pct"/>
            <w:tcBorders>
              <w:top w:val="single" w:sz="4" w:space="0" w:color="AB1D1D"/>
              <w:bottom w:val="single" w:sz="4" w:space="0" w:color="AB1D1D"/>
            </w:tcBorders>
            <w:vAlign w:val="center"/>
          </w:tcPr>
          <w:p w14:paraId="4C4386EC" w14:textId="67E0AF4B" w:rsidR="00B25D6D" w:rsidRPr="000F7F34" w:rsidRDefault="00B25D6D" w:rsidP="000F7F34">
            <w:pPr>
              <w:pStyle w:val="TableHeadings"/>
              <w:rPr>
                <w:b/>
              </w:rPr>
            </w:pPr>
            <w:r w:rsidRPr="000F7F34">
              <w:rPr>
                <w:b/>
              </w:rPr>
              <w:t>COVID-19 related</w:t>
            </w:r>
            <w:r w:rsidR="009E4463">
              <w:rPr>
                <w:b/>
              </w:rPr>
              <w:t xml:space="preserve"> </w:t>
            </w:r>
            <w:r w:rsidRPr="000F7F34">
              <w:rPr>
                <w:b/>
              </w:rPr>
              <w:t>developments</w:t>
            </w:r>
          </w:p>
        </w:tc>
        <w:tc>
          <w:tcPr>
            <w:tcW w:w="4104" w:type="pct"/>
            <w:tcBorders>
              <w:top w:val="single" w:sz="4" w:space="0" w:color="AB1D1D"/>
              <w:bottom w:val="single" w:sz="4" w:space="0" w:color="AB1D1D"/>
            </w:tcBorders>
            <w:vAlign w:val="center"/>
          </w:tcPr>
          <w:p w14:paraId="559BF3BC" w14:textId="77777777" w:rsidR="00B25D6D" w:rsidRPr="000A6724" w:rsidRDefault="00B25D6D" w:rsidP="000F7F34">
            <w:pPr>
              <w:pStyle w:val="TableContent"/>
              <w:cnfStyle w:val="000000000000" w:firstRow="0" w:lastRow="0" w:firstColumn="0" w:lastColumn="0" w:oddVBand="0" w:evenVBand="0" w:oddHBand="0" w:evenHBand="0" w:firstRowFirstColumn="0" w:firstRowLastColumn="0" w:lastRowFirstColumn="0" w:lastRowLastColumn="0"/>
            </w:pPr>
            <w:r w:rsidRPr="00211DEC">
              <w:t>This reform may build on relevant COVID developments including the Aboriginal and Torres Strait Islander Advisory Group on COVID-19, co-chaired by NACCHO and Commonwealth Health with all states involved, and local level PHN activities (e.g. emergency responses in Victoria and NSW).</w:t>
            </w:r>
          </w:p>
        </w:tc>
      </w:tr>
    </w:tbl>
    <w:p w14:paraId="2EEDE1BF" w14:textId="79316ED4" w:rsidR="008E6E4F" w:rsidRDefault="008E6E4F" w:rsidP="002C1A45"/>
    <w:tbl>
      <w:tblPr>
        <w:tblStyle w:val="DepartmentalTealstyle"/>
        <w:tblW w:w="5000" w:type="pct"/>
        <w:tblCellMar>
          <w:left w:w="57" w:type="dxa"/>
          <w:right w:w="57" w:type="dxa"/>
        </w:tblCellMar>
        <w:tblLook w:val="04A0" w:firstRow="1" w:lastRow="0" w:firstColumn="1" w:lastColumn="0" w:noHBand="0" w:noVBand="1"/>
        <w:tblDescription w:val="This table is a list of key components for the Joint planning and funding at the local level."/>
      </w:tblPr>
      <w:tblGrid>
        <w:gridCol w:w="5494"/>
        <w:gridCol w:w="1321"/>
        <w:gridCol w:w="1708"/>
        <w:gridCol w:w="419"/>
        <w:gridCol w:w="419"/>
        <w:gridCol w:w="419"/>
        <w:gridCol w:w="385"/>
        <w:gridCol w:w="33"/>
      </w:tblGrid>
      <w:tr w:rsidR="00E16E90" w:rsidRPr="00D050A9" w14:paraId="5DFE6A6B" w14:textId="77777777" w:rsidTr="009B3544">
        <w:trPr>
          <w:gridAfter w:val="1"/>
          <w:cnfStyle w:val="100000000000" w:firstRow="1" w:lastRow="0" w:firstColumn="0" w:lastColumn="0" w:oddVBand="0" w:evenVBand="0" w:oddHBand="0" w:evenHBand="0" w:firstRowFirstColumn="0" w:firstRowLastColumn="0" w:lastRowFirstColumn="0" w:lastRowLastColumn="0"/>
          <w:wAfter w:w="15" w:type="pct"/>
          <w:trHeight w:val="564"/>
          <w:tblHeader/>
        </w:trPr>
        <w:tc>
          <w:tcPr>
            <w:cnfStyle w:val="001000000000" w:firstRow="0" w:lastRow="0" w:firstColumn="1" w:lastColumn="0" w:oddVBand="0" w:evenVBand="0" w:oddHBand="0" w:evenHBand="0" w:firstRowFirstColumn="0" w:firstRowLastColumn="0" w:lastRowFirstColumn="0" w:lastRowLastColumn="0"/>
            <w:tcW w:w="2700" w:type="pct"/>
            <w:tcBorders>
              <w:top w:val="nil"/>
              <w:bottom w:val="nil"/>
              <w:right w:val="nil"/>
            </w:tcBorders>
            <w:shd w:val="clear" w:color="auto" w:fill="AB1D1D"/>
            <w:vAlign w:val="center"/>
          </w:tcPr>
          <w:p w14:paraId="216A4A8B" w14:textId="6E1E3810" w:rsidR="00E16E90" w:rsidRPr="00D050A9" w:rsidRDefault="00E16E90" w:rsidP="00D050A9">
            <w:r w:rsidRPr="00D050A9">
              <w:t>Key components</w:t>
            </w:r>
          </w:p>
        </w:tc>
        <w:tc>
          <w:tcPr>
            <w:tcW w:w="2285" w:type="pct"/>
            <w:gridSpan w:val="6"/>
            <w:tcBorders>
              <w:top w:val="nil"/>
              <w:left w:val="nil"/>
              <w:bottom w:val="nil"/>
              <w:right w:val="nil"/>
            </w:tcBorders>
            <w:shd w:val="clear" w:color="auto" w:fill="AB1D1D"/>
            <w:vAlign w:val="center"/>
          </w:tcPr>
          <w:p w14:paraId="05BA7A9C" w14:textId="77777777" w:rsidR="00E16E90" w:rsidRPr="00D050A9" w:rsidRDefault="00E16E90" w:rsidP="00D050A9">
            <w:pPr>
              <w:cnfStyle w:val="100000000000" w:firstRow="1" w:lastRow="0" w:firstColumn="0" w:lastColumn="0" w:oddVBand="0" w:evenVBand="0" w:oddHBand="0" w:evenHBand="0" w:firstRowFirstColumn="0" w:firstRowLastColumn="0" w:lastRowFirstColumn="0" w:lastRowLastColumn="0"/>
            </w:pPr>
          </w:p>
        </w:tc>
      </w:tr>
      <w:tr w:rsidR="00E16E90" w:rsidRPr="00236C2C" w14:paraId="66234009" w14:textId="77777777" w:rsidTr="00D050A9">
        <w:trPr>
          <w:trHeight w:val="564"/>
        </w:trPr>
        <w:tc>
          <w:tcPr>
            <w:cnfStyle w:val="001000000000" w:firstRow="0" w:lastRow="0" w:firstColumn="1" w:lastColumn="0" w:oddVBand="0" w:evenVBand="0" w:oddHBand="0" w:evenHBand="0" w:firstRowFirstColumn="0" w:firstRowLastColumn="0" w:lastRowFirstColumn="0" w:lastRowLastColumn="0"/>
            <w:tcW w:w="2700" w:type="pct"/>
            <w:vMerge w:val="restart"/>
            <w:tcBorders>
              <w:top w:val="single" w:sz="4" w:space="0" w:color="AB157D"/>
              <w:bottom w:val="single" w:sz="4" w:space="0" w:color="AB1D1D"/>
            </w:tcBorders>
            <w:shd w:val="clear" w:color="auto" w:fill="F2F2F2" w:themeFill="background1" w:themeFillShade="F2"/>
            <w:vAlign w:val="center"/>
          </w:tcPr>
          <w:p w14:paraId="5C18ED63" w14:textId="77777777" w:rsidR="00E16E90" w:rsidRPr="000F7F34" w:rsidRDefault="00E16E90" w:rsidP="000F7F34">
            <w:pPr>
              <w:pStyle w:val="TableHeadings"/>
              <w:rPr>
                <w:b/>
              </w:rPr>
            </w:pPr>
            <w:r w:rsidRPr="000F7F34">
              <w:rPr>
                <w:b/>
              </w:rPr>
              <w:t>National health reform agreement commitments</w:t>
            </w:r>
          </w:p>
        </w:tc>
        <w:tc>
          <w:tcPr>
            <w:tcW w:w="654" w:type="pct"/>
            <w:vMerge w:val="restart"/>
            <w:tcBorders>
              <w:top w:val="single" w:sz="4" w:space="0" w:color="AB157D"/>
              <w:bottom w:val="single" w:sz="4" w:space="0" w:color="AB1D1D"/>
            </w:tcBorders>
            <w:shd w:val="clear" w:color="auto" w:fill="F2F2F2" w:themeFill="background1" w:themeFillShade="F2"/>
            <w:vAlign w:val="center"/>
          </w:tcPr>
          <w:p w14:paraId="4357E0A2" w14:textId="77777777" w:rsidR="00E16E90" w:rsidRPr="000F7F34" w:rsidRDefault="00E16E90" w:rsidP="000F7F34">
            <w:pPr>
              <w:pStyle w:val="TableHeadings"/>
              <w:cnfStyle w:val="000000000000" w:firstRow="0" w:lastRow="0" w:firstColumn="0" w:lastColumn="0" w:oddVBand="0" w:evenVBand="0" w:oddHBand="0" w:evenHBand="0" w:firstRowFirstColumn="0" w:firstRowLastColumn="0" w:lastRowFirstColumn="0" w:lastRowLastColumn="0"/>
            </w:pPr>
            <w:r w:rsidRPr="000F7F34">
              <w:t>NHRA clause</w:t>
            </w:r>
          </w:p>
        </w:tc>
        <w:tc>
          <w:tcPr>
            <w:tcW w:w="844" w:type="pct"/>
            <w:vMerge w:val="restart"/>
            <w:tcBorders>
              <w:top w:val="single" w:sz="4" w:space="0" w:color="AB157D"/>
              <w:bottom w:val="single" w:sz="4" w:space="0" w:color="AB1D1D"/>
              <w:right w:val="nil"/>
            </w:tcBorders>
            <w:shd w:val="clear" w:color="auto" w:fill="F2F2F2" w:themeFill="background1" w:themeFillShade="F2"/>
            <w:vAlign w:val="center"/>
          </w:tcPr>
          <w:p w14:paraId="1D516F62" w14:textId="77777777" w:rsidR="00E16E90" w:rsidRPr="000F7F34" w:rsidRDefault="00E16E90" w:rsidP="000F7F34">
            <w:pPr>
              <w:pStyle w:val="TableHeadings"/>
              <w:cnfStyle w:val="000000000000" w:firstRow="0" w:lastRow="0" w:firstColumn="0" w:lastColumn="0" w:oddVBand="0" w:evenVBand="0" w:oddHBand="0" w:evenHBand="0" w:firstRowFirstColumn="0" w:firstRowLastColumn="0" w:lastRowFirstColumn="0" w:lastRowLastColumn="0"/>
              <w:rPr>
                <w:szCs w:val="21"/>
              </w:rPr>
            </w:pPr>
            <w:r w:rsidRPr="000F7F34">
              <w:rPr>
                <w:szCs w:val="21"/>
              </w:rPr>
              <w:t>Deliverable</w:t>
            </w:r>
          </w:p>
        </w:tc>
        <w:tc>
          <w:tcPr>
            <w:tcW w:w="802" w:type="pct"/>
            <w:gridSpan w:val="5"/>
            <w:tcBorders>
              <w:top w:val="single" w:sz="4" w:space="0" w:color="AB157D"/>
              <w:left w:val="nil"/>
              <w:bottom w:val="single" w:sz="4" w:space="0" w:color="AB1D1D"/>
            </w:tcBorders>
            <w:shd w:val="clear" w:color="auto" w:fill="F2F2F2" w:themeFill="background1" w:themeFillShade="F2"/>
            <w:vAlign w:val="center"/>
          </w:tcPr>
          <w:p w14:paraId="582AD5D9" w14:textId="77777777" w:rsidR="00E16E90" w:rsidRPr="000F7F34" w:rsidRDefault="00E16E90" w:rsidP="000F7F34">
            <w:pPr>
              <w:pStyle w:val="TableHeadings"/>
              <w:cnfStyle w:val="000000000000" w:firstRow="0" w:lastRow="0" w:firstColumn="0" w:lastColumn="0" w:oddVBand="0" w:evenVBand="0" w:oddHBand="0" w:evenHBand="0" w:firstRowFirstColumn="0" w:firstRowLastColumn="0" w:lastRowFirstColumn="0" w:lastRowLastColumn="0"/>
            </w:pPr>
            <w:r w:rsidRPr="000F7F34">
              <w:t>Timeframes</w:t>
            </w:r>
          </w:p>
        </w:tc>
      </w:tr>
      <w:tr w:rsidR="00E16E90" w:rsidRPr="00236C2C" w14:paraId="170AFB17" w14:textId="77777777" w:rsidTr="00D050A9">
        <w:trPr>
          <w:trHeight w:val="564"/>
        </w:trPr>
        <w:tc>
          <w:tcPr>
            <w:cnfStyle w:val="001000000000" w:firstRow="0" w:lastRow="0" w:firstColumn="1" w:lastColumn="0" w:oddVBand="0" w:evenVBand="0" w:oddHBand="0" w:evenHBand="0" w:firstRowFirstColumn="0" w:firstRowLastColumn="0" w:lastRowFirstColumn="0" w:lastRowLastColumn="0"/>
            <w:tcW w:w="2700" w:type="pct"/>
            <w:vMerge/>
            <w:tcBorders>
              <w:top w:val="nil"/>
              <w:bottom w:val="single" w:sz="4" w:space="0" w:color="AB1D1D"/>
            </w:tcBorders>
            <w:vAlign w:val="center"/>
          </w:tcPr>
          <w:p w14:paraId="715C956C" w14:textId="77777777" w:rsidR="00E16E90" w:rsidRPr="000F7F34" w:rsidRDefault="00E16E90" w:rsidP="000F7F34">
            <w:pPr>
              <w:pStyle w:val="TableHeadings"/>
              <w:rPr>
                <w:b/>
              </w:rPr>
            </w:pPr>
          </w:p>
        </w:tc>
        <w:tc>
          <w:tcPr>
            <w:tcW w:w="654" w:type="pct"/>
            <w:vMerge/>
            <w:tcBorders>
              <w:top w:val="nil"/>
              <w:bottom w:val="single" w:sz="4" w:space="0" w:color="AB1D1D"/>
            </w:tcBorders>
            <w:vAlign w:val="center"/>
          </w:tcPr>
          <w:p w14:paraId="07DD4F9E" w14:textId="77777777" w:rsidR="00E16E90" w:rsidRPr="00C84DF4" w:rsidRDefault="00E16E90" w:rsidP="002C1A45">
            <w:pPr>
              <w:cnfStyle w:val="000000000000" w:firstRow="0" w:lastRow="0" w:firstColumn="0" w:lastColumn="0" w:oddVBand="0" w:evenVBand="0" w:oddHBand="0" w:evenHBand="0" w:firstRowFirstColumn="0" w:firstRowLastColumn="0" w:lastRowFirstColumn="0" w:lastRowLastColumn="0"/>
            </w:pPr>
          </w:p>
        </w:tc>
        <w:tc>
          <w:tcPr>
            <w:tcW w:w="844" w:type="pct"/>
            <w:vMerge/>
            <w:tcBorders>
              <w:top w:val="nil"/>
              <w:bottom w:val="single" w:sz="4" w:space="0" w:color="AB1D1D"/>
              <w:right w:val="single" w:sz="4" w:space="0" w:color="AB1D1D"/>
            </w:tcBorders>
            <w:vAlign w:val="center"/>
          </w:tcPr>
          <w:p w14:paraId="50440BC8" w14:textId="77777777" w:rsidR="00E16E90" w:rsidRPr="00EE6AE2"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202" w:type="pct"/>
            <w:tcBorders>
              <w:top w:val="single" w:sz="4" w:space="0" w:color="AB1D1D"/>
              <w:left w:val="single" w:sz="4" w:space="0" w:color="AB1D1D"/>
              <w:bottom w:val="single" w:sz="4" w:space="0" w:color="AB1D1D"/>
              <w:right w:val="single" w:sz="4" w:space="0" w:color="AB1D1D"/>
            </w:tcBorders>
            <w:shd w:val="clear" w:color="auto" w:fill="F2F2F2" w:themeFill="background1" w:themeFillShade="F2"/>
            <w:vAlign w:val="center"/>
          </w:tcPr>
          <w:p w14:paraId="5D84D803" w14:textId="77777777" w:rsidR="00E16E90" w:rsidRPr="00C84DF4" w:rsidRDefault="00E16E90" w:rsidP="002C1A45">
            <w:pPr>
              <w:cnfStyle w:val="000000000000" w:firstRow="0" w:lastRow="0" w:firstColumn="0" w:lastColumn="0" w:oddVBand="0" w:evenVBand="0" w:oddHBand="0" w:evenHBand="0" w:firstRowFirstColumn="0" w:firstRowLastColumn="0" w:lastRowFirstColumn="0" w:lastRowLastColumn="0"/>
            </w:pPr>
            <w:r w:rsidRPr="00C84DF4">
              <w:t>21-22</w:t>
            </w:r>
          </w:p>
        </w:tc>
        <w:tc>
          <w:tcPr>
            <w:tcW w:w="201" w:type="pct"/>
            <w:tcBorders>
              <w:top w:val="single" w:sz="4" w:space="0" w:color="AB1D1D"/>
              <w:left w:val="single" w:sz="4" w:space="0" w:color="AB1D1D"/>
              <w:bottom w:val="single" w:sz="4" w:space="0" w:color="AB1D1D"/>
              <w:right w:val="single" w:sz="4" w:space="0" w:color="AB1D1D"/>
            </w:tcBorders>
            <w:shd w:val="clear" w:color="auto" w:fill="F2F2F2" w:themeFill="background1" w:themeFillShade="F2"/>
            <w:vAlign w:val="center"/>
          </w:tcPr>
          <w:p w14:paraId="4C5FDB8F" w14:textId="77777777" w:rsidR="00E16E90" w:rsidRPr="00C84DF4" w:rsidRDefault="00E16E90" w:rsidP="002C1A45">
            <w:pPr>
              <w:cnfStyle w:val="000000000000" w:firstRow="0" w:lastRow="0" w:firstColumn="0" w:lastColumn="0" w:oddVBand="0" w:evenVBand="0" w:oddHBand="0" w:evenHBand="0" w:firstRowFirstColumn="0" w:firstRowLastColumn="0" w:lastRowFirstColumn="0" w:lastRowLastColumn="0"/>
            </w:pPr>
            <w:r w:rsidRPr="00C84DF4">
              <w:t>22-23</w:t>
            </w:r>
          </w:p>
        </w:tc>
        <w:tc>
          <w:tcPr>
            <w:tcW w:w="200" w:type="pct"/>
            <w:tcBorders>
              <w:top w:val="single" w:sz="4" w:space="0" w:color="AB1D1D"/>
              <w:left w:val="single" w:sz="4" w:space="0" w:color="AB1D1D"/>
              <w:bottom w:val="single" w:sz="4" w:space="0" w:color="AB1D1D"/>
              <w:right w:val="single" w:sz="4" w:space="0" w:color="AB1D1D"/>
            </w:tcBorders>
            <w:shd w:val="clear" w:color="auto" w:fill="F2F2F2" w:themeFill="background1" w:themeFillShade="F2"/>
            <w:vAlign w:val="center"/>
          </w:tcPr>
          <w:p w14:paraId="1476C914" w14:textId="77777777" w:rsidR="00E16E90" w:rsidRPr="00C84DF4" w:rsidRDefault="00E16E90" w:rsidP="002C1A45">
            <w:pPr>
              <w:cnfStyle w:val="000000000000" w:firstRow="0" w:lastRow="0" w:firstColumn="0" w:lastColumn="0" w:oddVBand="0" w:evenVBand="0" w:oddHBand="0" w:evenHBand="0" w:firstRowFirstColumn="0" w:firstRowLastColumn="0" w:lastRowFirstColumn="0" w:lastRowLastColumn="0"/>
            </w:pPr>
            <w:r w:rsidRPr="00C84DF4">
              <w:t>23-24</w:t>
            </w:r>
          </w:p>
        </w:tc>
        <w:tc>
          <w:tcPr>
            <w:tcW w:w="200" w:type="pct"/>
            <w:gridSpan w:val="2"/>
            <w:tcBorders>
              <w:top w:val="single" w:sz="4" w:space="0" w:color="AB1D1D"/>
              <w:left w:val="single" w:sz="4" w:space="0" w:color="AB1D1D"/>
              <w:bottom w:val="single" w:sz="4" w:space="0" w:color="AB1D1D"/>
              <w:right w:val="single" w:sz="4" w:space="0" w:color="AB1D1D"/>
            </w:tcBorders>
            <w:shd w:val="clear" w:color="auto" w:fill="F2F2F2" w:themeFill="background1" w:themeFillShade="F2"/>
            <w:vAlign w:val="center"/>
          </w:tcPr>
          <w:p w14:paraId="2C0CCCB9" w14:textId="77777777" w:rsidR="00E16E90" w:rsidRPr="00C84DF4" w:rsidRDefault="00E16E90" w:rsidP="002C1A45">
            <w:pPr>
              <w:cnfStyle w:val="000000000000" w:firstRow="0" w:lastRow="0" w:firstColumn="0" w:lastColumn="0" w:oddVBand="0" w:evenVBand="0" w:oddHBand="0" w:evenHBand="0" w:firstRowFirstColumn="0" w:firstRowLastColumn="0" w:lastRowFirstColumn="0" w:lastRowLastColumn="0"/>
            </w:pPr>
            <w:r w:rsidRPr="00C84DF4">
              <w:t>24-25</w:t>
            </w:r>
          </w:p>
        </w:tc>
      </w:tr>
      <w:tr w:rsidR="00EE6AE2" w:rsidRPr="00236C2C" w14:paraId="45CDAD84" w14:textId="77777777" w:rsidTr="00D050A9">
        <w:trPr>
          <w:trHeight w:val="556"/>
        </w:trPr>
        <w:tc>
          <w:tcPr>
            <w:cnfStyle w:val="001000000000" w:firstRow="0" w:lastRow="0" w:firstColumn="1" w:lastColumn="0" w:oddVBand="0" w:evenVBand="0" w:oddHBand="0" w:evenHBand="0" w:firstRowFirstColumn="0" w:firstRowLastColumn="0" w:lastRowFirstColumn="0" w:lastRowLastColumn="0"/>
            <w:tcW w:w="2700" w:type="pct"/>
            <w:tcBorders>
              <w:top w:val="single" w:sz="4" w:space="0" w:color="AB1D1D"/>
              <w:bottom w:val="single" w:sz="4" w:space="0" w:color="AB1D1D"/>
            </w:tcBorders>
            <w:vAlign w:val="center"/>
          </w:tcPr>
          <w:p w14:paraId="1B4F6924" w14:textId="5A5496C7" w:rsidR="00EE6AE2" w:rsidRPr="000F7F34" w:rsidRDefault="00EE6AE2" w:rsidP="000F7F34">
            <w:pPr>
              <w:pStyle w:val="TableHeadings"/>
              <w:rPr>
                <w:b/>
                <w:bCs/>
              </w:rPr>
            </w:pPr>
            <w:r w:rsidRPr="000F7F34">
              <w:rPr>
                <w:b/>
                <w:bCs/>
              </w:rPr>
              <w:t xml:space="preserve">Identify and support reform of barriers to joint governance, needs assessment, service integration, </w:t>
            </w:r>
            <w:proofErr w:type="gramStart"/>
            <w:r w:rsidRPr="000F7F34">
              <w:rPr>
                <w:b/>
                <w:bCs/>
              </w:rPr>
              <w:t>evaluation</w:t>
            </w:r>
            <w:proofErr w:type="gramEnd"/>
            <w:r w:rsidRPr="000F7F34">
              <w:rPr>
                <w:b/>
                <w:bCs/>
              </w:rPr>
              <w:t xml:space="preserve"> and funding, at a national, state and territory level </w:t>
            </w:r>
          </w:p>
        </w:tc>
        <w:tc>
          <w:tcPr>
            <w:tcW w:w="654" w:type="pct"/>
            <w:tcBorders>
              <w:top w:val="single" w:sz="4" w:space="0" w:color="AB1D1D"/>
              <w:bottom w:val="single" w:sz="4" w:space="0" w:color="AB1D1D"/>
            </w:tcBorders>
            <w:vAlign w:val="center"/>
          </w:tcPr>
          <w:p w14:paraId="50813E01" w14:textId="13D3A8C0" w:rsidR="00EE6AE2" w:rsidRPr="000A6724" w:rsidRDefault="00EE6AE2" w:rsidP="00EE6AE2">
            <w:pPr>
              <w:cnfStyle w:val="000000000000" w:firstRow="0" w:lastRow="0" w:firstColumn="0" w:lastColumn="0" w:oddVBand="0" w:evenVBand="0" w:oddHBand="0" w:evenHBand="0" w:firstRowFirstColumn="0" w:firstRowLastColumn="0" w:lastRowFirstColumn="0" w:lastRowLastColumn="0"/>
            </w:pPr>
            <w:r w:rsidRPr="000A6724">
              <w:t>C28.b</w:t>
            </w:r>
          </w:p>
        </w:tc>
        <w:tc>
          <w:tcPr>
            <w:tcW w:w="844" w:type="pct"/>
            <w:tcBorders>
              <w:top w:val="single" w:sz="4" w:space="0" w:color="AB1D1D"/>
              <w:bottom w:val="single" w:sz="4" w:space="0" w:color="AB1D1D"/>
              <w:right w:val="single" w:sz="4" w:space="0" w:color="AB1D1D"/>
            </w:tcBorders>
            <w:vAlign w:val="center"/>
          </w:tcPr>
          <w:p w14:paraId="0934817C" w14:textId="474E6184" w:rsidR="00EE6AE2" w:rsidRPr="00EE6AE2" w:rsidRDefault="00EE6AE2" w:rsidP="00EE6AE2">
            <w:pPr>
              <w:cnfStyle w:val="000000000000" w:firstRow="0" w:lastRow="0" w:firstColumn="0" w:lastColumn="0" w:oddVBand="0" w:evenVBand="0" w:oddHBand="0" w:evenHBand="0" w:firstRowFirstColumn="0" w:firstRowLastColumn="0" w:lastRowFirstColumn="0" w:lastRowLastColumn="0"/>
              <w:rPr>
                <w:szCs w:val="21"/>
              </w:rPr>
            </w:pPr>
            <w:r w:rsidRPr="00EE6AE2">
              <w:rPr>
                <w:szCs w:val="21"/>
              </w:rPr>
              <w:t>Action plan</w:t>
            </w:r>
          </w:p>
        </w:tc>
        <w:tc>
          <w:tcPr>
            <w:tcW w:w="202" w:type="pct"/>
            <w:tcBorders>
              <w:top w:val="single" w:sz="4" w:space="0" w:color="AB1D1D"/>
              <w:left w:val="single" w:sz="4" w:space="0" w:color="AB1D1D"/>
              <w:bottom w:val="single" w:sz="4" w:space="0" w:color="FFFFFF" w:themeColor="background1"/>
              <w:right w:val="single" w:sz="4" w:space="0" w:color="FFFFFF" w:themeColor="background1"/>
            </w:tcBorders>
            <w:shd w:val="clear" w:color="auto" w:fill="AB1D1D"/>
            <w:vAlign w:val="center"/>
          </w:tcPr>
          <w:p w14:paraId="3E5832B6" w14:textId="77777777" w:rsidR="00EE6AE2" w:rsidRPr="000A6724" w:rsidRDefault="00EE6AE2" w:rsidP="00EE6AE2">
            <w:pPr>
              <w:cnfStyle w:val="000000000000" w:firstRow="0" w:lastRow="0" w:firstColumn="0" w:lastColumn="0" w:oddVBand="0" w:evenVBand="0" w:oddHBand="0" w:evenHBand="0" w:firstRowFirstColumn="0" w:firstRowLastColumn="0" w:lastRowFirstColumn="0" w:lastRowLastColumn="0"/>
            </w:pPr>
          </w:p>
        </w:tc>
        <w:tc>
          <w:tcPr>
            <w:tcW w:w="201" w:type="pct"/>
            <w:tcBorders>
              <w:top w:val="single" w:sz="4" w:space="0" w:color="AB1D1D"/>
              <w:left w:val="single" w:sz="4" w:space="0" w:color="FFFFFF" w:themeColor="background1"/>
              <w:bottom w:val="single" w:sz="4" w:space="0" w:color="FFFFFF" w:themeColor="background1"/>
              <w:right w:val="single" w:sz="4" w:space="0" w:color="AB1D1D"/>
            </w:tcBorders>
            <w:shd w:val="clear" w:color="auto" w:fill="AB1D1D"/>
            <w:vAlign w:val="center"/>
          </w:tcPr>
          <w:p w14:paraId="589E4097" w14:textId="77777777" w:rsidR="00EE6AE2" w:rsidRPr="000A6724" w:rsidRDefault="00EE6AE2" w:rsidP="00EE6AE2">
            <w:pPr>
              <w:cnfStyle w:val="000000000000" w:firstRow="0" w:lastRow="0" w:firstColumn="0" w:lastColumn="0" w:oddVBand="0" w:evenVBand="0" w:oddHBand="0" w:evenHBand="0" w:firstRowFirstColumn="0" w:firstRowLastColumn="0" w:lastRowFirstColumn="0" w:lastRowLastColumn="0"/>
            </w:pPr>
          </w:p>
        </w:tc>
        <w:tc>
          <w:tcPr>
            <w:tcW w:w="200" w:type="pct"/>
            <w:tcBorders>
              <w:top w:val="single" w:sz="4" w:space="0" w:color="AB1D1D"/>
              <w:left w:val="single" w:sz="4" w:space="0" w:color="AB1D1D"/>
              <w:bottom w:val="single" w:sz="4" w:space="0" w:color="AB1D1D"/>
              <w:right w:val="single" w:sz="4" w:space="0" w:color="AB1D1D"/>
            </w:tcBorders>
            <w:vAlign w:val="center"/>
          </w:tcPr>
          <w:p w14:paraId="4A20BDD7" w14:textId="77777777" w:rsidR="00EE6AE2" w:rsidRPr="000A6724" w:rsidRDefault="00EE6AE2" w:rsidP="00EE6AE2">
            <w:pPr>
              <w:cnfStyle w:val="000000000000" w:firstRow="0" w:lastRow="0" w:firstColumn="0" w:lastColumn="0" w:oddVBand="0" w:evenVBand="0" w:oddHBand="0" w:evenHBand="0" w:firstRowFirstColumn="0" w:firstRowLastColumn="0" w:lastRowFirstColumn="0" w:lastRowLastColumn="0"/>
            </w:pPr>
          </w:p>
        </w:tc>
        <w:tc>
          <w:tcPr>
            <w:tcW w:w="200" w:type="pct"/>
            <w:gridSpan w:val="2"/>
            <w:tcBorders>
              <w:top w:val="single" w:sz="4" w:space="0" w:color="AB1D1D"/>
              <w:left w:val="single" w:sz="4" w:space="0" w:color="AB1D1D"/>
              <w:bottom w:val="single" w:sz="4" w:space="0" w:color="AB1D1D"/>
              <w:right w:val="single" w:sz="4" w:space="0" w:color="AB1D1D"/>
            </w:tcBorders>
            <w:vAlign w:val="center"/>
          </w:tcPr>
          <w:p w14:paraId="651FCAE7" w14:textId="77777777" w:rsidR="00EE6AE2" w:rsidRPr="000A6724" w:rsidRDefault="00EE6AE2" w:rsidP="00EE6AE2">
            <w:pPr>
              <w:cnfStyle w:val="000000000000" w:firstRow="0" w:lastRow="0" w:firstColumn="0" w:lastColumn="0" w:oddVBand="0" w:evenVBand="0" w:oddHBand="0" w:evenHBand="0" w:firstRowFirstColumn="0" w:firstRowLastColumn="0" w:lastRowFirstColumn="0" w:lastRowLastColumn="0"/>
            </w:pPr>
          </w:p>
        </w:tc>
      </w:tr>
      <w:tr w:rsidR="00AB7FA0" w:rsidRPr="00236C2C" w14:paraId="05783B3D" w14:textId="77777777" w:rsidTr="00D050A9">
        <w:tc>
          <w:tcPr>
            <w:cnfStyle w:val="001000000000" w:firstRow="0" w:lastRow="0" w:firstColumn="1" w:lastColumn="0" w:oddVBand="0" w:evenVBand="0" w:oddHBand="0" w:evenHBand="0" w:firstRowFirstColumn="0" w:firstRowLastColumn="0" w:lastRowFirstColumn="0" w:lastRowLastColumn="0"/>
            <w:tcW w:w="2700" w:type="pct"/>
            <w:tcBorders>
              <w:top w:val="single" w:sz="4" w:space="0" w:color="AB1D1D"/>
              <w:bottom w:val="single" w:sz="4" w:space="0" w:color="AB1D1D"/>
            </w:tcBorders>
            <w:vAlign w:val="center"/>
          </w:tcPr>
          <w:p w14:paraId="4D7B6005" w14:textId="1ED41521" w:rsidR="00AB7FA0" w:rsidRPr="000F7F34" w:rsidRDefault="00AB7FA0" w:rsidP="00AB7FA0">
            <w:pPr>
              <w:pStyle w:val="TableHeadings"/>
              <w:rPr>
                <w:b/>
                <w:bCs/>
              </w:rPr>
            </w:pPr>
            <w:r w:rsidRPr="000F7F34">
              <w:rPr>
                <w:b/>
                <w:bCs/>
              </w:rPr>
              <w:t xml:space="preserve">Agree national principles for commissioning at the local level </w:t>
            </w:r>
          </w:p>
        </w:tc>
        <w:tc>
          <w:tcPr>
            <w:tcW w:w="654" w:type="pct"/>
            <w:tcBorders>
              <w:top w:val="single" w:sz="4" w:space="0" w:color="AB1D1D"/>
              <w:bottom w:val="single" w:sz="4" w:space="0" w:color="AB1D1D"/>
            </w:tcBorders>
            <w:vAlign w:val="center"/>
          </w:tcPr>
          <w:p w14:paraId="111F7011" w14:textId="039D82CD"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r w:rsidRPr="000A6724">
              <w:t>C28.</w:t>
            </w:r>
            <w:r>
              <w:t>a</w:t>
            </w:r>
          </w:p>
        </w:tc>
        <w:tc>
          <w:tcPr>
            <w:tcW w:w="844" w:type="pct"/>
            <w:tcBorders>
              <w:top w:val="single" w:sz="4" w:space="0" w:color="AB1D1D"/>
              <w:bottom w:val="single" w:sz="4" w:space="0" w:color="AB1D1D"/>
              <w:right w:val="single" w:sz="4" w:space="0" w:color="AB1D1D"/>
            </w:tcBorders>
            <w:vAlign w:val="center"/>
          </w:tcPr>
          <w:p w14:paraId="7E1B0441" w14:textId="15687E83" w:rsidR="00AB7FA0" w:rsidRPr="00EE6AE2" w:rsidRDefault="00AB7FA0" w:rsidP="00AB7FA0">
            <w:pPr>
              <w:cnfStyle w:val="000000000000" w:firstRow="0" w:lastRow="0" w:firstColumn="0" w:lastColumn="0" w:oddVBand="0" w:evenVBand="0" w:oddHBand="0" w:evenHBand="0" w:firstRowFirstColumn="0" w:firstRowLastColumn="0" w:lastRowFirstColumn="0" w:lastRowLastColumn="0"/>
              <w:rPr>
                <w:szCs w:val="21"/>
              </w:rPr>
            </w:pPr>
            <w:r w:rsidRPr="00EE6AE2">
              <w:rPr>
                <w:szCs w:val="21"/>
              </w:rPr>
              <w:t>National principles</w:t>
            </w:r>
          </w:p>
        </w:tc>
        <w:tc>
          <w:tcPr>
            <w:tcW w:w="202" w:type="pct"/>
            <w:tcBorders>
              <w:top w:val="single" w:sz="4" w:space="0" w:color="FFFFFF" w:themeColor="background1"/>
              <w:left w:val="single" w:sz="4" w:space="0" w:color="AB1D1D"/>
              <w:bottom w:val="single" w:sz="4" w:space="0" w:color="FFFFFF"/>
              <w:right w:val="single" w:sz="4" w:space="0" w:color="FFFFFF" w:themeColor="background1"/>
            </w:tcBorders>
            <w:shd w:val="clear" w:color="auto" w:fill="AB1D1D"/>
            <w:vAlign w:val="center"/>
          </w:tcPr>
          <w:p w14:paraId="6D7F27C6"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c>
          <w:tcPr>
            <w:tcW w:w="201" w:type="pct"/>
            <w:tcBorders>
              <w:top w:val="single" w:sz="4" w:space="0" w:color="FFFFFF" w:themeColor="background1"/>
              <w:left w:val="single" w:sz="4" w:space="0" w:color="FFFFFF" w:themeColor="background1"/>
              <w:bottom w:val="single" w:sz="4" w:space="0" w:color="FFFFFF" w:themeColor="background1"/>
              <w:right w:val="single" w:sz="4" w:space="0" w:color="AB1D1D"/>
            </w:tcBorders>
            <w:shd w:val="clear" w:color="auto" w:fill="AB1D1D"/>
            <w:vAlign w:val="center"/>
          </w:tcPr>
          <w:p w14:paraId="4225C201"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c>
          <w:tcPr>
            <w:tcW w:w="200" w:type="pct"/>
            <w:tcBorders>
              <w:top w:val="single" w:sz="4" w:space="0" w:color="AB1D1D"/>
              <w:left w:val="single" w:sz="4" w:space="0" w:color="AB1D1D"/>
              <w:bottom w:val="single" w:sz="4" w:space="0" w:color="AB1D1D"/>
              <w:right w:val="single" w:sz="4" w:space="0" w:color="AB1D1D"/>
            </w:tcBorders>
            <w:vAlign w:val="center"/>
          </w:tcPr>
          <w:p w14:paraId="3D906992"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c>
          <w:tcPr>
            <w:tcW w:w="200" w:type="pct"/>
            <w:gridSpan w:val="2"/>
            <w:tcBorders>
              <w:top w:val="single" w:sz="4" w:space="0" w:color="AB1D1D"/>
              <w:left w:val="single" w:sz="4" w:space="0" w:color="AB1D1D"/>
              <w:bottom w:val="single" w:sz="4" w:space="0" w:color="AB1D1D"/>
              <w:right w:val="single" w:sz="4" w:space="0" w:color="AB1D1D"/>
            </w:tcBorders>
            <w:vAlign w:val="center"/>
          </w:tcPr>
          <w:p w14:paraId="682ECB45"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r>
      <w:tr w:rsidR="00AB7FA0" w:rsidRPr="00236C2C" w14:paraId="0913C19B" w14:textId="77777777" w:rsidTr="00D050A9">
        <w:tc>
          <w:tcPr>
            <w:cnfStyle w:val="001000000000" w:firstRow="0" w:lastRow="0" w:firstColumn="1" w:lastColumn="0" w:oddVBand="0" w:evenVBand="0" w:oddHBand="0" w:evenHBand="0" w:firstRowFirstColumn="0" w:firstRowLastColumn="0" w:lastRowFirstColumn="0" w:lastRowLastColumn="0"/>
            <w:tcW w:w="2700" w:type="pct"/>
            <w:tcBorders>
              <w:top w:val="single" w:sz="4" w:space="0" w:color="AB1D1D"/>
              <w:bottom w:val="single" w:sz="4" w:space="0" w:color="AB1D1D"/>
            </w:tcBorders>
            <w:vAlign w:val="center"/>
          </w:tcPr>
          <w:p w14:paraId="708541EA" w14:textId="7D9E3F66" w:rsidR="00AB7FA0" w:rsidRPr="000F7F34" w:rsidRDefault="00AB7FA0" w:rsidP="00AB7FA0">
            <w:pPr>
              <w:pStyle w:val="TableHeadings"/>
              <w:rPr>
                <w:b/>
                <w:bCs/>
              </w:rPr>
            </w:pPr>
            <w:r w:rsidRPr="000F7F34">
              <w:rPr>
                <w:b/>
                <w:bCs/>
              </w:rPr>
              <w:t xml:space="preserve">Trial, evaluate, </w:t>
            </w:r>
            <w:proofErr w:type="gramStart"/>
            <w:r w:rsidRPr="000F7F34">
              <w:rPr>
                <w:b/>
                <w:bCs/>
              </w:rPr>
              <w:t>refine</w:t>
            </w:r>
            <w:proofErr w:type="gramEnd"/>
            <w:r w:rsidRPr="000F7F34">
              <w:rPr>
                <w:b/>
                <w:bCs/>
              </w:rPr>
              <w:t xml:space="preserve"> and scale up joint planning and funding arrangements</w:t>
            </w:r>
          </w:p>
        </w:tc>
        <w:tc>
          <w:tcPr>
            <w:tcW w:w="654" w:type="pct"/>
            <w:tcBorders>
              <w:top w:val="single" w:sz="4" w:space="0" w:color="AB1D1D"/>
              <w:bottom w:val="single" w:sz="4" w:space="0" w:color="AB1D1D"/>
            </w:tcBorders>
            <w:vAlign w:val="center"/>
          </w:tcPr>
          <w:p w14:paraId="433E9509" w14:textId="1D77376B"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r w:rsidRPr="000A6724">
              <w:t>C28.</w:t>
            </w:r>
            <w:r>
              <w:t>c</w:t>
            </w:r>
          </w:p>
        </w:tc>
        <w:tc>
          <w:tcPr>
            <w:tcW w:w="844" w:type="pct"/>
            <w:tcBorders>
              <w:top w:val="single" w:sz="4" w:space="0" w:color="AB1D1D"/>
              <w:bottom w:val="single" w:sz="4" w:space="0" w:color="AB1D1D"/>
              <w:right w:val="single" w:sz="4" w:space="0" w:color="AB1D1D"/>
            </w:tcBorders>
            <w:vAlign w:val="center"/>
          </w:tcPr>
          <w:p w14:paraId="52E84AD1" w14:textId="670F49DB" w:rsidR="00AB7FA0" w:rsidRPr="00EE6AE2" w:rsidRDefault="00AB7FA0" w:rsidP="00AB7FA0">
            <w:pPr>
              <w:cnfStyle w:val="000000000000" w:firstRow="0" w:lastRow="0" w:firstColumn="0" w:lastColumn="0" w:oddVBand="0" w:evenVBand="0" w:oddHBand="0" w:evenHBand="0" w:firstRowFirstColumn="0" w:firstRowLastColumn="0" w:lastRowFirstColumn="0" w:lastRowLastColumn="0"/>
              <w:rPr>
                <w:szCs w:val="21"/>
              </w:rPr>
            </w:pPr>
            <w:r w:rsidRPr="00EE6AE2">
              <w:rPr>
                <w:szCs w:val="21"/>
              </w:rPr>
              <w:t>Bilateral and multilateral trials</w:t>
            </w:r>
          </w:p>
        </w:tc>
        <w:tc>
          <w:tcPr>
            <w:tcW w:w="202" w:type="pct"/>
            <w:tcBorders>
              <w:top w:val="single" w:sz="4" w:space="0" w:color="FFFFFF"/>
              <w:left w:val="single" w:sz="4" w:space="0" w:color="AB1D1D"/>
              <w:bottom w:val="single" w:sz="4" w:space="0" w:color="FFFFFF"/>
              <w:right w:val="single" w:sz="4" w:space="0" w:color="FFFFFF"/>
            </w:tcBorders>
            <w:shd w:val="clear" w:color="auto" w:fill="AB1D1D"/>
            <w:vAlign w:val="center"/>
          </w:tcPr>
          <w:p w14:paraId="348B17E2"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c>
          <w:tcPr>
            <w:tcW w:w="201" w:type="pct"/>
            <w:tcBorders>
              <w:top w:val="single" w:sz="4" w:space="0" w:color="FFFFFF" w:themeColor="background1"/>
              <w:left w:val="single" w:sz="4" w:space="0" w:color="FFFFFF"/>
              <w:bottom w:val="single" w:sz="4" w:space="0" w:color="FFFFFF" w:themeColor="background1"/>
              <w:right w:val="single" w:sz="4" w:space="0" w:color="FFFFFF"/>
            </w:tcBorders>
            <w:shd w:val="clear" w:color="auto" w:fill="AB1D1D"/>
            <w:vAlign w:val="center"/>
          </w:tcPr>
          <w:p w14:paraId="571FF86A"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c>
          <w:tcPr>
            <w:tcW w:w="200" w:type="pct"/>
            <w:tcBorders>
              <w:top w:val="single" w:sz="4" w:space="0" w:color="AB1D1D"/>
              <w:left w:val="single" w:sz="4" w:space="0" w:color="FFFFFF"/>
              <w:bottom w:val="single" w:sz="4" w:space="0" w:color="AB1D1D"/>
              <w:right w:val="single" w:sz="4" w:space="0" w:color="FFFFFF"/>
            </w:tcBorders>
            <w:shd w:val="clear" w:color="auto" w:fill="AB1D1D"/>
            <w:vAlign w:val="center"/>
          </w:tcPr>
          <w:p w14:paraId="0089E702"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c>
          <w:tcPr>
            <w:tcW w:w="200" w:type="pct"/>
            <w:gridSpan w:val="2"/>
            <w:tcBorders>
              <w:top w:val="single" w:sz="4" w:space="0" w:color="AB1D1D"/>
              <w:left w:val="single" w:sz="4" w:space="0" w:color="FFFFFF"/>
              <w:bottom w:val="single" w:sz="4" w:space="0" w:color="AB1D1D"/>
              <w:right w:val="single" w:sz="4" w:space="0" w:color="AB1D1D"/>
            </w:tcBorders>
            <w:shd w:val="clear" w:color="auto" w:fill="AB1D1D"/>
            <w:vAlign w:val="center"/>
          </w:tcPr>
          <w:p w14:paraId="456FEBCD"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r>
      <w:tr w:rsidR="00AB7FA0" w:rsidRPr="00236C2C" w14:paraId="5C20B153" w14:textId="77777777" w:rsidTr="00D050A9">
        <w:tc>
          <w:tcPr>
            <w:cnfStyle w:val="001000000000" w:firstRow="0" w:lastRow="0" w:firstColumn="1" w:lastColumn="0" w:oddVBand="0" w:evenVBand="0" w:oddHBand="0" w:evenHBand="0" w:firstRowFirstColumn="0" w:firstRowLastColumn="0" w:lastRowFirstColumn="0" w:lastRowLastColumn="0"/>
            <w:tcW w:w="2700" w:type="pct"/>
            <w:tcBorders>
              <w:top w:val="single" w:sz="4" w:space="0" w:color="AB1D1D"/>
              <w:bottom w:val="single" w:sz="4" w:space="0" w:color="AB1D1D"/>
            </w:tcBorders>
            <w:vAlign w:val="center"/>
          </w:tcPr>
          <w:p w14:paraId="55F70431" w14:textId="3A5F0304" w:rsidR="00AB7FA0" w:rsidRPr="000F7F34" w:rsidRDefault="00AB7FA0" w:rsidP="00AB7FA0">
            <w:pPr>
              <w:pStyle w:val="TableHeadings"/>
              <w:rPr>
                <w:b/>
                <w:bCs/>
              </w:rPr>
            </w:pPr>
            <w:r w:rsidRPr="000F7F34">
              <w:rPr>
                <w:b/>
                <w:bCs/>
              </w:rPr>
              <w:t xml:space="preserve">Address workforce </w:t>
            </w:r>
            <w:r>
              <w:rPr>
                <w:b/>
                <w:bCs/>
              </w:rPr>
              <w:t>matters</w:t>
            </w:r>
            <w:r w:rsidRPr="000F7F34">
              <w:rPr>
                <w:b/>
                <w:bCs/>
              </w:rPr>
              <w:t>, including capability gaps for health services commissioning</w:t>
            </w:r>
          </w:p>
        </w:tc>
        <w:tc>
          <w:tcPr>
            <w:tcW w:w="654" w:type="pct"/>
            <w:tcBorders>
              <w:top w:val="single" w:sz="4" w:space="0" w:color="AB1D1D"/>
              <w:bottom w:val="single" w:sz="4" w:space="0" w:color="AB1D1D"/>
            </w:tcBorders>
            <w:vAlign w:val="center"/>
          </w:tcPr>
          <w:p w14:paraId="00689E14" w14:textId="76750320"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r w:rsidRPr="000A6724">
              <w:t>C28.d</w:t>
            </w:r>
          </w:p>
        </w:tc>
        <w:tc>
          <w:tcPr>
            <w:tcW w:w="844" w:type="pct"/>
            <w:tcBorders>
              <w:top w:val="single" w:sz="4" w:space="0" w:color="AB1D1D"/>
              <w:bottom w:val="single" w:sz="4" w:space="0" w:color="AB1D1D"/>
              <w:right w:val="single" w:sz="4" w:space="0" w:color="AB1D1D"/>
            </w:tcBorders>
            <w:vAlign w:val="center"/>
          </w:tcPr>
          <w:p w14:paraId="48850350" w14:textId="372F0CF0" w:rsidR="00AB7FA0" w:rsidRPr="00EE6AE2" w:rsidRDefault="00AB7FA0" w:rsidP="00AB7FA0">
            <w:pPr>
              <w:cnfStyle w:val="000000000000" w:firstRow="0" w:lastRow="0" w:firstColumn="0" w:lastColumn="0" w:oddVBand="0" w:evenVBand="0" w:oddHBand="0" w:evenHBand="0" w:firstRowFirstColumn="0" w:firstRowLastColumn="0" w:lastRowFirstColumn="0" w:lastRowLastColumn="0"/>
              <w:rPr>
                <w:szCs w:val="21"/>
              </w:rPr>
            </w:pPr>
            <w:r w:rsidRPr="00EE6AE2">
              <w:rPr>
                <w:szCs w:val="21"/>
              </w:rPr>
              <w:t>Action plan</w:t>
            </w:r>
          </w:p>
        </w:tc>
        <w:tc>
          <w:tcPr>
            <w:tcW w:w="202" w:type="pct"/>
            <w:tcBorders>
              <w:top w:val="single" w:sz="4" w:space="0" w:color="FFFFFF"/>
              <w:left w:val="single" w:sz="4" w:space="0" w:color="AB1D1D"/>
              <w:bottom w:val="single" w:sz="4" w:space="0" w:color="AB1D1D"/>
              <w:right w:val="single" w:sz="4" w:space="0" w:color="FFFFFF" w:themeColor="background1"/>
            </w:tcBorders>
            <w:shd w:val="clear" w:color="auto" w:fill="AB1D1D"/>
            <w:vAlign w:val="center"/>
          </w:tcPr>
          <w:p w14:paraId="31DCE7AF"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c>
          <w:tcPr>
            <w:tcW w:w="2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1D1D"/>
            <w:vAlign w:val="center"/>
          </w:tcPr>
          <w:p w14:paraId="02B101B7"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c>
          <w:tcPr>
            <w:tcW w:w="200" w:type="pct"/>
            <w:tcBorders>
              <w:top w:val="single" w:sz="4" w:space="0" w:color="AB1D1D"/>
              <w:left w:val="single" w:sz="4" w:space="0" w:color="FFFFFF" w:themeColor="background1"/>
              <w:bottom w:val="single" w:sz="4" w:space="0" w:color="AB1D1D"/>
              <w:right w:val="single" w:sz="4" w:space="0" w:color="AB1D1D"/>
            </w:tcBorders>
            <w:vAlign w:val="center"/>
          </w:tcPr>
          <w:p w14:paraId="5B9B747D"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c>
          <w:tcPr>
            <w:tcW w:w="200" w:type="pct"/>
            <w:gridSpan w:val="2"/>
            <w:tcBorders>
              <w:top w:val="single" w:sz="4" w:space="0" w:color="AB1D1D"/>
              <w:left w:val="single" w:sz="4" w:space="0" w:color="AB1D1D"/>
              <w:bottom w:val="single" w:sz="4" w:space="0" w:color="AB1D1D"/>
              <w:right w:val="single" w:sz="4" w:space="0" w:color="AB1D1D"/>
            </w:tcBorders>
            <w:vAlign w:val="center"/>
          </w:tcPr>
          <w:p w14:paraId="75D0C34A"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r>
      <w:tr w:rsidR="00AB7FA0" w:rsidRPr="00236C2C" w14:paraId="0441DDF8" w14:textId="77777777" w:rsidTr="00D050A9">
        <w:tc>
          <w:tcPr>
            <w:cnfStyle w:val="001000000000" w:firstRow="0" w:lastRow="0" w:firstColumn="1" w:lastColumn="0" w:oddVBand="0" w:evenVBand="0" w:oddHBand="0" w:evenHBand="0" w:firstRowFirstColumn="0" w:firstRowLastColumn="0" w:lastRowFirstColumn="0" w:lastRowLastColumn="0"/>
            <w:tcW w:w="2700" w:type="pct"/>
            <w:tcBorders>
              <w:top w:val="single" w:sz="4" w:space="0" w:color="AB1D1D"/>
              <w:bottom w:val="single" w:sz="4" w:space="0" w:color="AB1D1D"/>
            </w:tcBorders>
            <w:vAlign w:val="center"/>
          </w:tcPr>
          <w:p w14:paraId="5174A61A" w14:textId="0D90A7C7" w:rsidR="00AB7FA0" w:rsidRPr="000F7F34" w:rsidRDefault="00AB7FA0" w:rsidP="00AB7FA0">
            <w:pPr>
              <w:pStyle w:val="TableHeadings"/>
              <w:rPr>
                <w:b/>
                <w:bCs/>
              </w:rPr>
            </w:pPr>
            <w:r w:rsidRPr="000F7F34">
              <w:rPr>
                <w:b/>
                <w:bCs/>
              </w:rPr>
              <w:t>Explore innovative workforce models and potential new roles for care coordination</w:t>
            </w:r>
          </w:p>
        </w:tc>
        <w:tc>
          <w:tcPr>
            <w:tcW w:w="654" w:type="pct"/>
            <w:tcBorders>
              <w:top w:val="single" w:sz="4" w:space="0" w:color="AB1D1D"/>
              <w:bottom w:val="single" w:sz="4" w:space="0" w:color="AB1D1D"/>
            </w:tcBorders>
            <w:vAlign w:val="center"/>
          </w:tcPr>
          <w:p w14:paraId="03151CB9" w14:textId="54B461AD"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r w:rsidRPr="000A6724">
              <w:t>C28.</w:t>
            </w:r>
            <w:r>
              <w:t>d</w:t>
            </w:r>
          </w:p>
        </w:tc>
        <w:tc>
          <w:tcPr>
            <w:tcW w:w="844" w:type="pct"/>
            <w:tcBorders>
              <w:top w:val="single" w:sz="4" w:space="0" w:color="AB1D1D"/>
              <w:bottom w:val="single" w:sz="4" w:space="0" w:color="AB1D1D"/>
              <w:right w:val="single" w:sz="4" w:space="0" w:color="AB1D1D"/>
            </w:tcBorders>
            <w:vAlign w:val="center"/>
          </w:tcPr>
          <w:p w14:paraId="5BFBA08D" w14:textId="47FD9BA1" w:rsidR="00AB7FA0" w:rsidRPr="00EE6AE2" w:rsidRDefault="00AB7FA0" w:rsidP="00AB7FA0">
            <w:pPr>
              <w:cnfStyle w:val="000000000000" w:firstRow="0" w:lastRow="0" w:firstColumn="0" w:lastColumn="0" w:oddVBand="0" w:evenVBand="0" w:oddHBand="0" w:evenHBand="0" w:firstRowFirstColumn="0" w:firstRowLastColumn="0" w:lastRowFirstColumn="0" w:lastRowLastColumn="0"/>
              <w:rPr>
                <w:szCs w:val="21"/>
              </w:rPr>
            </w:pPr>
            <w:r w:rsidRPr="00EE6AE2">
              <w:rPr>
                <w:szCs w:val="21"/>
              </w:rPr>
              <w:t>Defined models and roles</w:t>
            </w:r>
          </w:p>
        </w:tc>
        <w:tc>
          <w:tcPr>
            <w:tcW w:w="202" w:type="pct"/>
            <w:tcBorders>
              <w:top w:val="single" w:sz="4" w:space="0" w:color="AB1D1D"/>
              <w:left w:val="single" w:sz="4" w:space="0" w:color="AB1D1D"/>
              <w:bottom w:val="single" w:sz="4" w:space="0" w:color="AB1D1D"/>
              <w:right w:val="single" w:sz="4" w:space="0" w:color="AB1D1D"/>
            </w:tcBorders>
            <w:vAlign w:val="center"/>
          </w:tcPr>
          <w:p w14:paraId="5F4B15AB"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c>
          <w:tcPr>
            <w:tcW w:w="201" w:type="pct"/>
            <w:tcBorders>
              <w:top w:val="single" w:sz="4" w:space="0" w:color="FFFFFF" w:themeColor="background1"/>
              <w:left w:val="single" w:sz="4" w:space="0" w:color="AB1D1D"/>
              <w:bottom w:val="single" w:sz="4" w:space="0" w:color="FFFFFF" w:themeColor="background1"/>
              <w:right w:val="single" w:sz="4" w:space="0" w:color="FFFFFF"/>
            </w:tcBorders>
            <w:shd w:val="clear" w:color="auto" w:fill="AB1D1D"/>
            <w:vAlign w:val="center"/>
          </w:tcPr>
          <w:p w14:paraId="5E8B26CC"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c>
          <w:tcPr>
            <w:tcW w:w="200" w:type="pct"/>
            <w:tcBorders>
              <w:top w:val="single" w:sz="4" w:space="0" w:color="AB1D1D"/>
              <w:left w:val="single" w:sz="4" w:space="0" w:color="FFFFFF"/>
              <w:bottom w:val="single" w:sz="4" w:space="0" w:color="FFFFFF"/>
              <w:right w:val="single" w:sz="4" w:space="0" w:color="AB1D1D"/>
            </w:tcBorders>
            <w:shd w:val="clear" w:color="auto" w:fill="AB1D1D"/>
            <w:vAlign w:val="center"/>
          </w:tcPr>
          <w:p w14:paraId="1B5C4C9C"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c>
          <w:tcPr>
            <w:tcW w:w="200" w:type="pct"/>
            <w:gridSpan w:val="2"/>
            <w:tcBorders>
              <w:top w:val="single" w:sz="4" w:space="0" w:color="AB1D1D"/>
              <w:left w:val="single" w:sz="4" w:space="0" w:color="AB1D1D"/>
              <w:bottom w:val="single" w:sz="4" w:space="0" w:color="AB1D1D"/>
              <w:right w:val="single" w:sz="4" w:space="0" w:color="AB1D1D"/>
            </w:tcBorders>
            <w:vAlign w:val="center"/>
          </w:tcPr>
          <w:p w14:paraId="3EF3B0BF"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r>
      <w:tr w:rsidR="00AE2D7D" w:rsidRPr="00236C2C" w14:paraId="0D66F908" w14:textId="77777777" w:rsidTr="00D050A9">
        <w:tc>
          <w:tcPr>
            <w:cnfStyle w:val="001000000000" w:firstRow="0" w:lastRow="0" w:firstColumn="1" w:lastColumn="0" w:oddVBand="0" w:evenVBand="0" w:oddHBand="0" w:evenHBand="0" w:firstRowFirstColumn="0" w:firstRowLastColumn="0" w:lastRowFirstColumn="0" w:lastRowLastColumn="0"/>
            <w:tcW w:w="2700" w:type="pct"/>
            <w:tcBorders>
              <w:top w:val="single" w:sz="4" w:space="0" w:color="AB1D1D"/>
              <w:bottom w:val="single" w:sz="4" w:space="0" w:color="AB1D1D"/>
            </w:tcBorders>
            <w:vAlign w:val="center"/>
          </w:tcPr>
          <w:p w14:paraId="116882E4" w14:textId="71423BDA" w:rsidR="00AE2D7D" w:rsidRPr="00AE2D7D" w:rsidRDefault="00AE2D7D" w:rsidP="00AE2D7D">
            <w:pPr>
              <w:pStyle w:val="TableHeadings"/>
              <w:rPr>
                <w:b/>
              </w:rPr>
            </w:pPr>
            <w:r w:rsidRPr="00AE2D7D">
              <w:rPr>
                <w:b/>
              </w:rPr>
              <w:t>Develop outcome measures, reporting and accountability arrangements shared between local organisations</w:t>
            </w:r>
          </w:p>
        </w:tc>
        <w:tc>
          <w:tcPr>
            <w:tcW w:w="654" w:type="pct"/>
            <w:tcBorders>
              <w:top w:val="single" w:sz="4" w:space="0" w:color="AB1D1D"/>
              <w:bottom w:val="single" w:sz="4" w:space="0" w:color="AB1D1D"/>
            </w:tcBorders>
            <w:vAlign w:val="center"/>
          </w:tcPr>
          <w:p w14:paraId="717224D0" w14:textId="14FF1B26" w:rsidR="00AE2D7D" w:rsidRPr="000A6724" w:rsidRDefault="00AE2D7D" w:rsidP="00AE2D7D">
            <w:pPr>
              <w:cnfStyle w:val="000000000000" w:firstRow="0" w:lastRow="0" w:firstColumn="0" w:lastColumn="0" w:oddVBand="0" w:evenVBand="0" w:oddHBand="0" w:evenHBand="0" w:firstRowFirstColumn="0" w:firstRowLastColumn="0" w:lastRowFirstColumn="0" w:lastRowLastColumn="0"/>
            </w:pPr>
            <w:r>
              <w:t>C28.e</w:t>
            </w:r>
          </w:p>
        </w:tc>
        <w:tc>
          <w:tcPr>
            <w:tcW w:w="844" w:type="pct"/>
            <w:tcBorders>
              <w:top w:val="single" w:sz="4" w:space="0" w:color="AB1D1D"/>
              <w:bottom w:val="single" w:sz="4" w:space="0" w:color="AB1D1D"/>
              <w:right w:val="single" w:sz="4" w:space="0" w:color="AB1D1D"/>
            </w:tcBorders>
            <w:vAlign w:val="center"/>
          </w:tcPr>
          <w:p w14:paraId="42FB4469" w14:textId="19C14B83" w:rsidR="00AE2D7D" w:rsidRPr="00EE6AE2" w:rsidRDefault="00AE2D7D" w:rsidP="00AE2D7D">
            <w:pPr>
              <w:cnfStyle w:val="000000000000" w:firstRow="0" w:lastRow="0" w:firstColumn="0" w:lastColumn="0" w:oddVBand="0" w:evenVBand="0" w:oddHBand="0" w:evenHBand="0" w:firstRowFirstColumn="0" w:firstRowLastColumn="0" w:lastRowFirstColumn="0" w:lastRowLastColumn="0"/>
              <w:rPr>
                <w:szCs w:val="21"/>
              </w:rPr>
            </w:pPr>
            <w:r>
              <w:rPr>
                <w:szCs w:val="21"/>
              </w:rPr>
              <w:t>New measures</w:t>
            </w:r>
          </w:p>
        </w:tc>
        <w:tc>
          <w:tcPr>
            <w:tcW w:w="202" w:type="pct"/>
            <w:tcBorders>
              <w:top w:val="single" w:sz="4" w:space="0" w:color="AB1D1D"/>
              <w:left w:val="single" w:sz="4" w:space="0" w:color="AB1D1D"/>
              <w:bottom w:val="single" w:sz="4" w:space="0" w:color="AB1D1D"/>
              <w:right w:val="single" w:sz="4" w:space="0" w:color="AB1D1D"/>
            </w:tcBorders>
            <w:vAlign w:val="center"/>
          </w:tcPr>
          <w:p w14:paraId="3C7C4BEF" w14:textId="77777777" w:rsidR="00AE2D7D" w:rsidRPr="000A6724" w:rsidRDefault="00AE2D7D" w:rsidP="00AE2D7D">
            <w:pPr>
              <w:cnfStyle w:val="000000000000" w:firstRow="0" w:lastRow="0" w:firstColumn="0" w:lastColumn="0" w:oddVBand="0" w:evenVBand="0" w:oddHBand="0" w:evenHBand="0" w:firstRowFirstColumn="0" w:firstRowLastColumn="0" w:lastRowFirstColumn="0" w:lastRowLastColumn="0"/>
            </w:pPr>
          </w:p>
        </w:tc>
        <w:tc>
          <w:tcPr>
            <w:tcW w:w="201" w:type="pct"/>
            <w:tcBorders>
              <w:top w:val="single" w:sz="4" w:space="0" w:color="FFFFFF" w:themeColor="background1"/>
              <w:left w:val="single" w:sz="4" w:space="0" w:color="AB1D1D"/>
              <w:bottom w:val="single" w:sz="4" w:space="0" w:color="AB1D1D"/>
              <w:right w:val="single" w:sz="4" w:space="0" w:color="AB1D1D"/>
            </w:tcBorders>
            <w:shd w:val="clear" w:color="auto" w:fill="AB1D1D"/>
            <w:vAlign w:val="center"/>
          </w:tcPr>
          <w:p w14:paraId="0779D6DC" w14:textId="77777777" w:rsidR="00AE2D7D" w:rsidRPr="000A6724" w:rsidRDefault="00AE2D7D" w:rsidP="00AE2D7D">
            <w:pPr>
              <w:cnfStyle w:val="000000000000" w:firstRow="0" w:lastRow="0" w:firstColumn="0" w:lastColumn="0" w:oddVBand="0" w:evenVBand="0" w:oddHBand="0" w:evenHBand="0" w:firstRowFirstColumn="0" w:firstRowLastColumn="0" w:lastRowFirstColumn="0" w:lastRowLastColumn="0"/>
            </w:pPr>
          </w:p>
        </w:tc>
        <w:tc>
          <w:tcPr>
            <w:tcW w:w="200" w:type="pct"/>
            <w:tcBorders>
              <w:top w:val="single" w:sz="4" w:space="0" w:color="FFFFFF"/>
              <w:left w:val="single" w:sz="4" w:space="0" w:color="AB1D1D"/>
              <w:bottom w:val="single" w:sz="4" w:space="0" w:color="AB1D1D"/>
              <w:right w:val="single" w:sz="4" w:space="0" w:color="AB1D1D"/>
            </w:tcBorders>
            <w:vAlign w:val="center"/>
          </w:tcPr>
          <w:p w14:paraId="683470E3" w14:textId="77777777" w:rsidR="00AE2D7D" w:rsidRPr="000A6724" w:rsidRDefault="00AE2D7D" w:rsidP="00AE2D7D">
            <w:pPr>
              <w:cnfStyle w:val="000000000000" w:firstRow="0" w:lastRow="0" w:firstColumn="0" w:lastColumn="0" w:oddVBand="0" w:evenVBand="0" w:oddHBand="0" w:evenHBand="0" w:firstRowFirstColumn="0" w:firstRowLastColumn="0" w:lastRowFirstColumn="0" w:lastRowLastColumn="0"/>
            </w:pPr>
          </w:p>
        </w:tc>
        <w:tc>
          <w:tcPr>
            <w:tcW w:w="200" w:type="pct"/>
            <w:gridSpan w:val="2"/>
            <w:tcBorders>
              <w:top w:val="single" w:sz="4" w:space="0" w:color="AB1D1D"/>
              <w:left w:val="single" w:sz="4" w:space="0" w:color="AB1D1D"/>
              <w:bottom w:val="single" w:sz="4" w:space="0" w:color="AB1D1D"/>
              <w:right w:val="single" w:sz="4" w:space="0" w:color="AB1D1D"/>
            </w:tcBorders>
            <w:vAlign w:val="center"/>
          </w:tcPr>
          <w:p w14:paraId="3EDBB2CB" w14:textId="77777777" w:rsidR="00AE2D7D" w:rsidRPr="000A6724" w:rsidRDefault="00AE2D7D" w:rsidP="00AE2D7D">
            <w:pPr>
              <w:cnfStyle w:val="000000000000" w:firstRow="0" w:lastRow="0" w:firstColumn="0" w:lastColumn="0" w:oddVBand="0" w:evenVBand="0" w:oddHBand="0" w:evenHBand="0" w:firstRowFirstColumn="0" w:firstRowLastColumn="0" w:lastRowFirstColumn="0" w:lastRowLastColumn="0"/>
            </w:pPr>
          </w:p>
        </w:tc>
      </w:tr>
    </w:tbl>
    <w:p w14:paraId="4A522446" w14:textId="77777777" w:rsidR="006655F6" w:rsidRDefault="006655F6">
      <w:pPr>
        <w:spacing w:before="0" w:after="0"/>
      </w:pPr>
      <w:r>
        <w:br w:type="page"/>
      </w:r>
    </w:p>
    <w:p w14:paraId="097FF6C0" w14:textId="53604B21" w:rsidR="001877CE" w:rsidRDefault="0064700C" w:rsidP="002C1A45">
      <w:r>
        <w:rPr>
          <w:noProof/>
          <w:lang w:eastAsia="en-AU"/>
        </w:rPr>
        <w:lastRenderedPageBreak/>
        <w:drawing>
          <wp:inline distT="0" distB="0" distL="0" distR="0" wp14:anchorId="5B819819" wp14:editId="02E0A9F6">
            <wp:extent cx="6269220" cy="8820000"/>
            <wp:effectExtent l="0" t="0" r="0" b="635"/>
            <wp:docPr id="8" name="Picture 8" descr="This image shows the Joint planning and funding at the local level - Outcomes Map. All the information in this image can be read in the tables prior to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mage shows the Joint planning and funding at the local level - Outcomes Map. All the information in this image can be read in the tables prior to this imag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9220" cy="8820000"/>
                    </a:xfrm>
                    <a:prstGeom prst="rect">
                      <a:avLst/>
                    </a:prstGeom>
                    <a:noFill/>
                  </pic:spPr>
                </pic:pic>
              </a:graphicData>
            </a:graphic>
          </wp:inline>
        </w:drawing>
      </w:r>
      <w:r w:rsidR="00E2077D">
        <w:br w:type="page"/>
      </w:r>
    </w:p>
    <w:tbl>
      <w:tblPr>
        <w:tblStyle w:val="DepartmentalTealstyle"/>
        <w:tblW w:w="5000" w:type="pct"/>
        <w:tblBorders>
          <w:top w:val="single" w:sz="4" w:space="0" w:color="A5A5A5" w:themeColor="accent3"/>
          <w:bottom w:val="single" w:sz="4" w:space="0" w:color="A5A5A5" w:themeColor="accent3"/>
          <w:insideH w:val="single" w:sz="4" w:space="0" w:color="A5A5A5" w:themeColor="accent3"/>
        </w:tblBorders>
        <w:tblCellMar>
          <w:left w:w="57" w:type="dxa"/>
          <w:right w:w="57" w:type="dxa"/>
        </w:tblCellMar>
        <w:tblLook w:val="04A0" w:firstRow="1" w:lastRow="0" w:firstColumn="1" w:lastColumn="0" w:noHBand="0" w:noVBand="1"/>
        <w:tblDescription w:val="This table is a list of reform stream for Empowering people through health literacy&#10;&#10;"/>
      </w:tblPr>
      <w:tblGrid>
        <w:gridCol w:w="1923"/>
        <w:gridCol w:w="8275"/>
      </w:tblGrid>
      <w:tr w:rsidR="00EE6AE2" w:rsidRPr="00D050A9" w14:paraId="11D293F1" w14:textId="77777777" w:rsidTr="00D050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3" w:type="pct"/>
            <w:tcBorders>
              <w:top w:val="nil"/>
              <w:bottom w:val="nil"/>
            </w:tcBorders>
            <w:shd w:val="clear" w:color="auto" w:fill="2E77D6"/>
          </w:tcPr>
          <w:p w14:paraId="0A2483B6" w14:textId="77777777" w:rsidR="00EE6AE2" w:rsidRPr="00D050A9" w:rsidRDefault="00EE6AE2" w:rsidP="00D050A9">
            <w:r w:rsidRPr="00D050A9">
              <w:lastRenderedPageBreak/>
              <w:br w:type="page"/>
              <w:t>Reform stream</w:t>
            </w:r>
          </w:p>
        </w:tc>
        <w:tc>
          <w:tcPr>
            <w:tcW w:w="4057" w:type="pct"/>
            <w:tcBorders>
              <w:top w:val="nil"/>
              <w:bottom w:val="nil"/>
            </w:tcBorders>
            <w:shd w:val="clear" w:color="auto" w:fill="2E77D6"/>
          </w:tcPr>
          <w:p w14:paraId="35DD9CBB" w14:textId="77777777" w:rsidR="00EE6AE2" w:rsidRPr="00D050A9" w:rsidRDefault="00EE6AE2" w:rsidP="00D050A9">
            <w:pPr>
              <w:cnfStyle w:val="100000000000" w:firstRow="1" w:lastRow="0" w:firstColumn="0" w:lastColumn="0" w:oddVBand="0" w:evenVBand="0" w:oddHBand="0" w:evenHBand="0" w:firstRowFirstColumn="0" w:firstRowLastColumn="0" w:lastRowFirstColumn="0" w:lastRowLastColumn="0"/>
            </w:pPr>
            <w:r w:rsidRPr="00D050A9">
              <w:t>Empowering people through health literacy</w:t>
            </w:r>
          </w:p>
        </w:tc>
      </w:tr>
      <w:tr w:rsidR="00EE6AE2" w:rsidRPr="00236C2C" w14:paraId="102CCC92" w14:textId="77777777" w:rsidTr="00D050A9">
        <w:trPr>
          <w:trHeight w:val="664"/>
        </w:trPr>
        <w:tc>
          <w:tcPr>
            <w:cnfStyle w:val="001000000000" w:firstRow="0" w:lastRow="0" w:firstColumn="1" w:lastColumn="0" w:oddVBand="0" w:evenVBand="0" w:oddHBand="0" w:evenHBand="0" w:firstRowFirstColumn="0" w:firstRowLastColumn="0" w:lastRowFirstColumn="0" w:lastRowLastColumn="0"/>
            <w:tcW w:w="943" w:type="pct"/>
            <w:tcBorders>
              <w:top w:val="nil"/>
              <w:bottom w:val="single" w:sz="4" w:space="0" w:color="2E77D6"/>
            </w:tcBorders>
            <w:vAlign w:val="center"/>
          </w:tcPr>
          <w:p w14:paraId="56824E81" w14:textId="77777777" w:rsidR="00EE6AE2" w:rsidRPr="000F7F34" w:rsidRDefault="00EE6AE2" w:rsidP="000F7F34">
            <w:pPr>
              <w:pStyle w:val="TableHeadings"/>
              <w:rPr>
                <w:b/>
              </w:rPr>
            </w:pPr>
            <w:r w:rsidRPr="000F7F34">
              <w:rPr>
                <w:b/>
              </w:rPr>
              <w:t>Vision</w:t>
            </w:r>
          </w:p>
        </w:tc>
        <w:tc>
          <w:tcPr>
            <w:tcW w:w="4057" w:type="pct"/>
            <w:tcBorders>
              <w:top w:val="nil"/>
              <w:bottom w:val="single" w:sz="4" w:space="0" w:color="2E77D6"/>
            </w:tcBorders>
            <w:vAlign w:val="center"/>
          </w:tcPr>
          <w:p w14:paraId="600A8F6A" w14:textId="77777777" w:rsidR="00EE6AE2" w:rsidRPr="000A672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FC39A1">
              <w:t>Australians will be empowered to manage their own health, avoid illness, make informed health choices, engage effectively with health services, and achieve better health outcomes.</w:t>
            </w:r>
          </w:p>
        </w:tc>
      </w:tr>
      <w:tr w:rsidR="00EE6AE2" w:rsidRPr="00236C2C" w14:paraId="48A75F6B" w14:textId="77777777" w:rsidTr="00D050A9">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2E77D6"/>
              <w:bottom w:val="single" w:sz="4" w:space="0" w:color="2E77D6"/>
            </w:tcBorders>
            <w:vAlign w:val="center"/>
          </w:tcPr>
          <w:p w14:paraId="21B0C892" w14:textId="77777777" w:rsidR="00EE6AE2" w:rsidRPr="000F7F34" w:rsidRDefault="00EE6AE2" w:rsidP="000F7F34">
            <w:pPr>
              <w:pStyle w:val="TableHeadings"/>
              <w:rPr>
                <w:b/>
              </w:rPr>
            </w:pPr>
            <w:r w:rsidRPr="000F7F34">
              <w:rPr>
                <w:b/>
              </w:rPr>
              <w:t>Aim</w:t>
            </w:r>
          </w:p>
        </w:tc>
        <w:tc>
          <w:tcPr>
            <w:tcW w:w="4057" w:type="pct"/>
            <w:tcBorders>
              <w:top w:val="single" w:sz="4" w:space="0" w:color="2E77D6"/>
              <w:bottom w:val="single" w:sz="4" w:space="0" w:color="2E77D6"/>
            </w:tcBorders>
            <w:vAlign w:val="center"/>
          </w:tcPr>
          <w:p w14:paraId="160B401D" w14:textId="77777777" w:rsidR="00EE6AE2" w:rsidRPr="000A672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FC39A1">
              <w:t xml:space="preserve">Service providers and policy makers will better support people’s health literacy needs, including through strategic leadership for the health sector. The whole health system will be more responsive to individuals’ health literacy needs, delivering person-centred health information, </w:t>
            </w:r>
            <w:proofErr w:type="gramStart"/>
            <w:r w:rsidRPr="00FC39A1">
              <w:t>support</w:t>
            </w:r>
            <w:proofErr w:type="gramEnd"/>
            <w:r w:rsidRPr="00FC39A1">
              <w:t xml:space="preserve"> and services to all Australians.</w:t>
            </w:r>
          </w:p>
        </w:tc>
      </w:tr>
      <w:tr w:rsidR="00EE6AE2" w:rsidRPr="00236C2C" w14:paraId="1582342E" w14:textId="77777777" w:rsidTr="00D050A9">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2E77D6"/>
              <w:bottom w:val="single" w:sz="4" w:space="0" w:color="2E77D6"/>
            </w:tcBorders>
            <w:vAlign w:val="center"/>
          </w:tcPr>
          <w:p w14:paraId="58045F44" w14:textId="77777777" w:rsidR="00EE6AE2" w:rsidRPr="000F7F34" w:rsidRDefault="00EE6AE2" w:rsidP="000F7F34">
            <w:pPr>
              <w:pStyle w:val="TableHeadings"/>
              <w:rPr>
                <w:b/>
              </w:rPr>
            </w:pPr>
            <w:r w:rsidRPr="000F7F34">
              <w:rPr>
                <w:b/>
              </w:rPr>
              <w:t>Case for change</w:t>
            </w:r>
          </w:p>
        </w:tc>
        <w:tc>
          <w:tcPr>
            <w:tcW w:w="4057" w:type="pct"/>
            <w:tcBorders>
              <w:top w:val="single" w:sz="4" w:space="0" w:color="2E77D6"/>
              <w:bottom w:val="single" w:sz="4" w:space="0" w:color="2E77D6"/>
            </w:tcBorders>
            <w:vAlign w:val="center"/>
          </w:tcPr>
          <w:p w14:paraId="3AC793E9" w14:textId="0FD19E7D" w:rsidR="00EE6AE2" w:rsidRPr="000A672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FC39A1">
              <w:t xml:space="preserve">The Commonwealth, states and territories recognise all Australians have a right to safe, high quality care. This is enhanced when people are informed about services, treatment options and costs in a clear and open </w:t>
            </w:r>
            <w:r w:rsidR="007B229E" w:rsidRPr="00FC39A1">
              <w:t>way and</w:t>
            </w:r>
            <w:r w:rsidRPr="00FC39A1">
              <w:t xml:space="preserve"> are active participants in decisions and choices about their care. Health literacy is crucial to effective self-care</w:t>
            </w:r>
            <w:r w:rsidR="00C348D4">
              <w:t>.</w:t>
            </w:r>
            <w:r w:rsidRPr="00FC39A1">
              <w:t xml:space="preserve"> </w:t>
            </w:r>
            <w:r w:rsidR="00C348D4">
              <w:t>P</w:t>
            </w:r>
            <w:r w:rsidRPr="00FC39A1">
              <w:t xml:space="preserve">eople with poor health literacy are less able to understand the consequences of poor health, take action to prevent or manage disease, navigate the health </w:t>
            </w:r>
            <w:proofErr w:type="gramStart"/>
            <w:r w:rsidRPr="00FC39A1">
              <w:t>system</w:t>
            </w:r>
            <w:proofErr w:type="gramEnd"/>
            <w:r w:rsidRPr="00FC39A1">
              <w:t xml:space="preserve"> or participate in their own health</w:t>
            </w:r>
            <w:r w:rsidR="004A7CBB">
              <w:t xml:space="preserve"> </w:t>
            </w:r>
            <w:r w:rsidRPr="00FC39A1">
              <w:t>care decision-making. Poor health literacy can lead to higher rates of overweight and obesity, chronic conditions, hospitalisation, emergency care and adverse outcomes and disproportionately affects people from disadvantaged backgrounds.</w:t>
            </w:r>
          </w:p>
        </w:tc>
      </w:tr>
      <w:tr w:rsidR="00EE6AE2" w:rsidRPr="00236C2C" w14:paraId="376B97F3" w14:textId="77777777" w:rsidTr="00D050A9">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2E77D6"/>
              <w:bottom w:val="single" w:sz="4" w:space="0" w:color="2E77D6"/>
            </w:tcBorders>
            <w:vAlign w:val="center"/>
          </w:tcPr>
          <w:p w14:paraId="3F1876B8" w14:textId="77777777" w:rsidR="00EE6AE2" w:rsidRPr="000F7F34" w:rsidRDefault="00EE6AE2" w:rsidP="000F7F34">
            <w:pPr>
              <w:pStyle w:val="TableHeadings"/>
              <w:rPr>
                <w:b/>
              </w:rPr>
            </w:pPr>
            <w:r w:rsidRPr="000F7F34">
              <w:rPr>
                <w:b/>
              </w:rPr>
              <w:t>Links to other reforms</w:t>
            </w:r>
          </w:p>
        </w:tc>
        <w:tc>
          <w:tcPr>
            <w:tcW w:w="4057" w:type="pct"/>
            <w:tcBorders>
              <w:top w:val="single" w:sz="4" w:space="0" w:color="2E77D6"/>
              <w:bottom w:val="single" w:sz="4" w:space="0" w:color="2E77D6"/>
            </w:tcBorders>
            <w:vAlign w:val="center"/>
          </w:tcPr>
          <w:p w14:paraId="288F388D" w14:textId="0A0A3378" w:rsidR="00EE6AE2" w:rsidRPr="00FC39A1"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FC39A1">
              <w:t xml:space="preserve">The </w:t>
            </w:r>
            <w:r w:rsidRPr="00BF1D00">
              <w:rPr>
                <w:i/>
                <w:iCs/>
              </w:rPr>
              <w:t xml:space="preserve">Enhanced </w:t>
            </w:r>
            <w:r w:rsidR="00AB5CE6" w:rsidRPr="00BF1D00">
              <w:rPr>
                <w:i/>
                <w:iCs/>
              </w:rPr>
              <w:t>h</w:t>
            </w:r>
            <w:r w:rsidRPr="00BF1D00">
              <w:rPr>
                <w:i/>
                <w:iCs/>
              </w:rPr>
              <w:t xml:space="preserve">ealth </w:t>
            </w:r>
            <w:r w:rsidR="00AB5CE6" w:rsidRPr="00BF1D00">
              <w:rPr>
                <w:i/>
                <w:iCs/>
              </w:rPr>
              <w:t>d</w:t>
            </w:r>
            <w:r w:rsidRPr="00BF1D00">
              <w:rPr>
                <w:i/>
                <w:iCs/>
              </w:rPr>
              <w:t>ata</w:t>
            </w:r>
            <w:r w:rsidRPr="00FC39A1">
              <w:t xml:space="preserve"> reform will develop quality information for consumers on health system performance, including the development and implementation of Patient Reported Measures. </w:t>
            </w:r>
          </w:p>
          <w:p w14:paraId="19794C8C" w14:textId="2D45EFDD" w:rsidR="00EE6AE2" w:rsidRPr="00FC39A1"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FC39A1">
              <w:t xml:space="preserve">This reform will support </w:t>
            </w:r>
            <w:r w:rsidR="002E57C6">
              <w:t>C</w:t>
            </w:r>
            <w:r w:rsidRPr="00FC39A1">
              <w:t xml:space="preserve">losing the </w:t>
            </w:r>
            <w:r w:rsidR="002E57C6">
              <w:t>G</w:t>
            </w:r>
            <w:r w:rsidRPr="00FC39A1">
              <w:t>ap in disadvantage for Aboriginal and Torres Strait Islander people, and other vulnerable groups.</w:t>
            </w:r>
          </w:p>
          <w:p w14:paraId="5D7A49BC" w14:textId="6F0FCC9F" w:rsidR="00EE6AE2" w:rsidRPr="000A672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FC39A1">
              <w:t>Work to align government</w:t>
            </w:r>
            <w:r w:rsidR="0085099B">
              <w:t>-</w:t>
            </w:r>
            <w:r w:rsidRPr="00FC39A1">
              <w:t xml:space="preserve">funded information resources and digital platforms will align with My Health Record and </w:t>
            </w:r>
            <w:proofErr w:type="spellStart"/>
            <w:r w:rsidRPr="00FC39A1">
              <w:t>Healthdirect</w:t>
            </w:r>
            <w:proofErr w:type="spellEnd"/>
            <w:r w:rsidRPr="00FC39A1">
              <w:t xml:space="preserve"> initiatives.</w:t>
            </w:r>
          </w:p>
        </w:tc>
      </w:tr>
      <w:tr w:rsidR="00EE6AE2" w:rsidRPr="00236C2C" w14:paraId="159F2495" w14:textId="77777777" w:rsidTr="00D050A9">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2E77D6"/>
              <w:bottom w:val="single" w:sz="4" w:space="0" w:color="2E77D6"/>
            </w:tcBorders>
            <w:vAlign w:val="center"/>
          </w:tcPr>
          <w:p w14:paraId="35B11946" w14:textId="77777777" w:rsidR="00EE6AE2" w:rsidRPr="000F7F34" w:rsidRDefault="00EE6AE2" w:rsidP="000F7F34">
            <w:pPr>
              <w:pStyle w:val="TableHeadings"/>
              <w:rPr>
                <w:b/>
              </w:rPr>
            </w:pPr>
            <w:r w:rsidRPr="000F7F34">
              <w:rPr>
                <w:b/>
              </w:rPr>
              <w:t>Intended outcomes</w:t>
            </w:r>
          </w:p>
        </w:tc>
        <w:tc>
          <w:tcPr>
            <w:tcW w:w="4057" w:type="pct"/>
            <w:tcBorders>
              <w:top w:val="single" w:sz="4" w:space="0" w:color="2E77D6"/>
              <w:bottom w:val="single" w:sz="4" w:space="0" w:color="2E77D6"/>
            </w:tcBorders>
            <w:vAlign w:val="center"/>
          </w:tcPr>
          <w:p w14:paraId="66235DA8" w14:textId="77777777" w:rsidR="00EE6AE2"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FC39A1">
              <w:t>During the term of this Addendum, all parties will strive to:</w:t>
            </w:r>
          </w:p>
          <w:p w14:paraId="4F6BD75F" w14:textId="77777777" w:rsidR="00EE6AE2" w:rsidRPr="00DA4DF3" w:rsidRDefault="00EE6AE2" w:rsidP="00DA4DF3">
            <w:pPr>
              <w:pStyle w:val="Table-BulletPointBlue"/>
              <w:cnfStyle w:val="000000000000" w:firstRow="0" w:lastRow="0" w:firstColumn="0" w:lastColumn="0" w:oddVBand="0" w:evenVBand="0" w:oddHBand="0" w:evenHBand="0" w:firstRowFirstColumn="0" w:firstRowLastColumn="0" w:lastRowFirstColumn="0" w:lastRowLastColumn="0"/>
            </w:pPr>
            <w:r w:rsidRPr="00DA4DF3">
              <w:t>embed health literacy standards and requirements into health care training and qualifications</w:t>
            </w:r>
          </w:p>
          <w:p w14:paraId="7732298E" w14:textId="77777777" w:rsidR="00EE6AE2" w:rsidRPr="00DA4DF3" w:rsidRDefault="00EE6AE2" w:rsidP="00DA4DF3">
            <w:pPr>
              <w:pStyle w:val="Table-BulletPointBlue"/>
              <w:cnfStyle w:val="000000000000" w:firstRow="0" w:lastRow="0" w:firstColumn="0" w:lastColumn="0" w:oddVBand="0" w:evenVBand="0" w:oddHBand="0" w:evenHBand="0" w:firstRowFirstColumn="0" w:firstRowLastColumn="0" w:lastRowFirstColumn="0" w:lastRowLastColumn="0"/>
            </w:pPr>
            <w:r w:rsidRPr="00DA4DF3">
              <w:t>increase innovation and cooperation on health literacy initiatives between governments, the health workforce, researchers, and the community</w:t>
            </w:r>
          </w:p>
          <w:p w14:paraId="5A7128D1" w14:textId="77777777" w:rsidR="00EE6AE2" w:rsidRPr="00DA4DF3" w:rsidRDefault="00EE6AE2" w:rsidP="00DA4DF3">
            <w:pPr>
              <w:pStyle w:val="Table-BulletPointBlue"/>
              <w:cnfStyle w:val="000000000000" w:firstRow="0" w:lastRow="0" w:firstColumn="0" w:lastColumn="0" w:oddVBand="0" w:evenVBand="0" w:oddHBand="0" w:evenHBand="0" w:firstRowFirstColumn="0" w:firstRowLastColumn="0" w:lastRowFirstColumn="0" w:lastRowLastColumn="0"/>
            </w:pPr>
            <w:r w:rsidRPr="00DA4DF3">
              <w:t xml:space="preserve">ensure people can easily access reliable, user-friendly, </w:t>
            </w:r>
            <w:proofErr w:type="gramStart"/>
            <w:r w:rsidRPr="00DA4DF3">
              <w:t>culturally</w:t>
            </w:r>
            <w:proofErr w:type="gramEnd"/>
            <w:r w:rsidRPr="00DA4DF3">
              <w:t xml:space="preserve"> and linguistically appropriate information and support</w:t>
            </w:r>
          </w:p>
          <w:p w14:paraId="4237BA0F" w14:textId="77777777" w:rsidR="00EE6AE2" w:rsidRPr="00DA4DF3" w:rsidRDefault="00EE6AE2" w:rsidP="00DA4DF3">
            <w:pPr>
              <w:pStyle w:val="Table-BulletPointBlue"/>
              <w:cnfStyle w:val="000000000000" w:firstRow="0" w:lastRow="0" w:firstColumn="0" w:lastColumn="0" w:oddVBand="0" w:evenVBand="0" w:oddHBand="0" w:evenHBand="0" w:firstRowFirstColumn="0" w:firstRowLastColumn="0" w:lastRowFirstColumn="0" w:lastRowLastColumn="0"/>
            </w:pPr>
            <w:r w:rsidRPr="00DA4DF3">
              <w:t>support patients and families to partner with their health care teams to make joint decisions about care options</w:t>
            </w:r>
          </w:p>
          <w:p w14:paraId="6EE9AD02" w14:textId="77777777" w:rsidR="00EE6AE2" w:rsidRPr="000A6724" w:rsidRDefault="00EE6AE2" w:rsidP="00DA4DF3">
            <w:pPr>
              <w:pStyle w:val="Table-BulletPointBlue"/>
              <w:cnfStyle w:val="000000000000" w:firstRow="0" w:lastRow="0" w:firstColumn="0" w:lastColumn="0" w:oddVBand="0" w:evenVBand="0" w:oddHBand="0" w:evenHBand="0" w:firstRowFirstColumn="0" w:firstRowLastColumn="0" w:lastRowFirstColumn="0" w:lastRowLastColumn="0"/>
            </w:pPr>
            <w:r w:rsidRPr="00DA4DF3">
              <w:t xml:space="preserve">promote the use of Patient Reported Measures to understand what </w:t>
            </w:r>
            <w:proofErr w:type="gramStart"/>
            <w:r w:rsidRPr="00DA4DF3">
              <w:t>patients</w:t>
            </w:r>
            <w:proofErr w:type="gramEnd"/>
            <w:r w:rsidRPr="00DA4DF3">
              <w:t xml:space="preserve"> value and improve patient experiences and outcomes</w:t>
            </w:r>
          </w:p>
        </w:tc>
      </w:tr>
      <w:tr w:rsidR="00EE6AE2" w:rsidRPr="00236C2C" w14:paraId="35FDAF7E" w14:textId="77777777" w:rsidTr="00D050A9">
        <w:trPr>
          <w:cantSplit/>
          <w:trHeight w:val="1134"/>
        </w:trPr>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2E77D6"/>
              <w:bottom w:val="single" w:sz="4" w:space="0" w:color="2E77D6"/>
            </w:tcBorders>
            <w:vAlign w:val="center"/>
          </w:tcPr>
          <w:p w14:paraId="154B2F8A" w14:textId="77777777" w:rsidR="00EE6AE2" w:rsidRPr="000F7F34" w:rsidRDefault="00EE6AE2" w:rsidP="000F7F34">
            <w:pPr>
              <w:pStyle w:val="TableHeadings"/>
              <w:rPr>
                <w:b/>
              </w:rPr>
            </w:pPr>
            <w:r w:rsidRPr="000F7F34">
              <w:rPr>
                <w:b/>
              </w:rPr>
              <w:t>Key concepts</w:t>
            </w:r>
          </w:p>
        </w:tc>
        <w:tc>
          <w:tcPr>
            <w:tcW w:w="4057" w:type="pct"/>
            <w:tcBorders>
              <w:top w:val="single" w:sz="4" w:space="0" w:color="2E77D6"/>
              <w:bottom w:val="single" w:sz="4" w:space="0" w:color="2E77D6"/>
            </w:tcBorders>
            <w:vAlign w:val="center"/>
          </w:tcPr>
          <w:p w14:paraId="006B7895" w14:textId="3058AD72" w:rsidR="00EE6AE2" w:rsidRPr="000A6724" w:rsidRDefault="00EE6AE2" w:rsidP="007D6575">
            <w:pPr>
              <w:pStyle w:val="TableContent"/>
              <w:cnfStyle w:val="000000000000" w:firstRow="0" w:lastRow="0" w:firstColumn="0" w:lastColumn="0" w:oddVBand="0" w:evenVBand="0" w:oddHBand="0" w:evenHBand="0" w:firstRowFirstColumn="0" w:firstRowLastColumn="0" w:lastRowFirstColumn="0" w:lastRowLastColumn="0"/>
            </w:pPr>
            <w:r w:rsidRPr="00FC39A1">
              <w:t xml:space="preserve">The </w:t>
            </w:r>
            <w:r w:rsidRPr="00BF1D00">
              <w:rPr>
                <w:i/>
                <w:iCs/>
              </w:rPr>
              <w:t>Empowering people through health literacy</w:t>
            </w:r>
            <w:r w:rsidRPr="00FC39A1">
              <w:t xml:space="preserve"> reform is focused on creating a health system that promotes health literacy, including cultural change at the organisational and individual levels. </w:t>
            </w:r>
            <w:r w:rsidR="007D6575">
              <w:br/>
            </w:r>
            <w:r w:rsidRPr="00FC39A1">
              <w:t>It will take a universal approach to promoting health literacy responsiveness by recognising everyone benefits from clear, understandable, motivational (including non-stigmatising) and actionable information and</w:t>
            </w:r>
            <w:r w:rsidR="00992D4D">
              <w:t xml:space="preserve"> that</w:t>
            </w:r>
            <w:r w:rsidRPr="00FC39A1">
              <w:t xml:space="preserve"> health workers are not expected to identify who has low levels </w:t>
            </w:r>
            <w:r w:rsidR="007D6575">
              <w:br/>
            </w:r>
            <w:r w:rsidRPr="00FC39A1">
              <w:t>of health literacy.</w:t>
            </w:r>
          </w:p>
        </w:tc>
      </w:tr>
      <w:tr w:rsidR="00EE6AE2" w:rsidRPr="00236C2C" w14:paraId="167DA8D4" w14:textId="77777777" w:rsidTr="00D050A9">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2E77D6"/>
              <w:bottom w:val="single" w:sz="4" w:space="0" w:color="2E77D6"/>
            </w:tcBorders>
            <w:vAlign w:val="center"/>
          </w:tcPr>
          <w:p w14:paraId="60423390" w14:textId="77777777" w:rsidR="00EE6AE2" w:rsidRPr="000F7F34" w:rsidRDefault="00EE6AE2" w:rsidP="000F7F34">
            <w:pPr>
              <w:pStyle w:val="TableHeadings"/>
              <w:rPr>
                <w:b/>
              </w:rPr>
            </w:pPr>
            <w:r w:rsidRPr="000F7F34">
              <w:rPr>
                <w:b/>
              </w:rPr>
              <w:t>COVID-19 related</w:t>
            </w:r>
            <w:r w:rsidRPr="000F7F34">
              <w:rPr>
                <w:b/>
              </w:rPr>
              <w:br/>
              <w:t>developments</w:t>
            </w:r>
          </w:p>
        </w:tc>
        <w:tc>
          <w:tcPr>
            <w:tcW w:w="4057" w:type="pct"/>
            <w:tcBorders>
              <w:top w:val="single" w:sz="4" w:space="0" w:color="2E77D6"/>
              <w:bottom w:val="single" w:sz="4" w:space="0" w:color="2E77D6"/>
            </w:tcBorders>
            <w:vAlign w:val="center"/>
          </w:tcPr>
          <w:p w14:paraId="66C108DB" w14:textId="77777777" w:rsidR="00EE6AE2" w:rsidRPr="000A672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FC39A1">
              <w:t>Relevant COVID developments include improved communications campaigns and the increased profile of government information resources and advice services, particularly in quality language materials and accessible formats.</w:t>
            </w:r>
          </w:p>
        </w:tc>
      </w:tr>
    </w:tbl>
    <w:p w14:paraId="0380476A" w14:textId="49403216" w:rsidR="001877CE" w:rsidRDefault="001877CE" w:rsidP="002C1A45">
      <w:r>
        <w:br w:type="page"/>
      </w:r>
    </w:p>
    <w:tbl>
      <w:tblPr>
        <w:tblStyle w:val="DepartmentalTealstyle"/>
        <w:tblW w:w="5000" w:type="pct"/>
        <w:tblCellMar>
          <w:left w:w="57" w:type="dxa"/>
          <w:right w:w="57" w:type="dxa"/>
        </w:tblCellMar>
        <w:tblLook w:val="04A0" w:firstRow="1" w:lastRow="0" w:firstColumn="1" w:lastColumn="0" w:noHBand="0" w:noVBand="1"/>
        <w:tblDescription w:val="This table is a list of key components for empowering people through health literacy"/>
      </w:tblPr>
      <w:tblGrid>
        <w:gridCol w:w="5441"/>
        <w:gridCol w:w="1289"/>
        <w:gridCol w:w="1796"/>
        <w:gridCol w:w="418"/>
        <w:gridCol w:w="418"/>
        <w:gridCol w:w="418"/>
        <w:gridCol w:w="418"/>
      </w:tblGrid>
      <w:tr w:rsidR="00DB7C0B" w:rsidRPr="00D050A9" w14:paraId="56FE4B09" w14:textId="77777777" w:rsidTr="009B3544">
        <w:trPr>
          <w:cnfStyle w:val="100000000000" w:firstRow="1" w:lastRow="0" w:firstColumn="0" w:lastColumn="0" w:oddVBand="0" w:evenVBand="0" w:oddHBand="0" w:evenHBand="0" w:firstRowFirstColumn="0" w:firstRowLastColumn="0" w:lastRowFirstColumn="0" w:lastRowLastColumn="0"/>
          <w:trHeight w:val="564"/>
          <w:tblHeader/>
        </w:trPr>
        <w:tc>
          <w:tcPr>
            <w:cnfStyle w:val="001000000000" w:firstRow="0" w:lastRow="0" w:firstColumn="1" w:lastColumn="0" w:oddVBand="0" w:evenVBand="0" w:oddHBand="0" w:evenHBand="0" w:firstRowFirstColumn="0" w:firstRowLastColumn="0" w:lastRowFirstColumn="0" w:lastRowLastColumn="0"/>
            <w:tcW w:w="2685" w:type="pct"/>
            <w:tcBorders>
              <w:top w:val="nil"/>
              <w:bottom w:val="nil"/>
            </w:tcBorders>
            <w:shd w:val="clear" w:color="auto" w:fill="2E77D6"/>
            <w:vAlign w:val="center"/>
          </w:tcPr>
          <w:p w14:paraId="09595E94" w14:textId="36AAA1F9" w:rsidR="00DB7C0B" w:rsidRPr="00D050A9" w:rsidRDefault="00DB7C0B" w:rsidP="00D050A9">
            <w:r w:rsidRPr="00D050A9">
              <w:lastRenderedPageBreak/>
              <w:t>Key components</w:t>
            </w:r>
          </w:p>
        </w:tc>
        <w:tc>
          <w:tcPr>
            <w:tcW w:w="2315" w:type="pct"/>
            <w:gridSpan w:val="6"/>
            <w:tcBorders>
              <w:top w:val="nil"/>
              <w:bottom w:val="nil"/>
            </w:tcBorders>
            <w:shd w:val="clear" w:color="auto" w:fill="2E77D6"/>
            <w:vAlign w:val="center"/>
          </w:tcPr>
          <w:p w14:paraId="4CE2A1EC" w14:textId="77777777" w:rsidR="00DB7C0B" w:rsidRPr="00D050A9" w:rsidRDefault="00DB7C0B" w:rsidP="00D050A9">
            <w:pPr>
              <w:cnfStyle w:val="100000000000" w:firstRow="1" w:lastRow="0" w:firstColumn="0" w:lastColumn="0" w:oddVBand="0" w:evenVBand="0" w:oddHBand="0" w:evenHBand="0" w:firstRowFirstColumn="0" w:firstRowLastColumn="0" w:lastRowFirstColumn="0" w:lastRowLastColumn="0"/>
            </w:pPr>
          </w:p>
        </w:tc>
      </w:tr>
      <w:tr w:rsidR="00DB7C0B" w:rsidRPr="00236C2C" w14:paraId="12FA7A30" w14:textId="77777777" w:rsidTr="00D050A9">
        <w:trPr>
          <w:trHeight w:val="564"/>
        </w:trPr>
        <w:tc>
          <w:tcPr>
            <w:cnfStyle w:val="001000000000" w:firstRow="0" w:lastRow="0" w:firstColumn="1" w:lastColumn="0" w:oddVBand="0" w:evenVBand="0" w:oddHBand="0" w:evenHBand="0" w:firstRowFirstColumn="0" w:firstRowLastColumn="0" w:lastRowFirstColumn="0" w:lastRowLastColumn="0"/>
            <w:tcW w:w="2685" w:type="pct"/>
            <w:vMerge w:val="restart"/>
            <w:tcBorders>
              <w:top w:val="single" w:sz="4" w:space="0" w:color="2E77D6"/>
              <w:bottom w:val="single" w:sz="4" w:space="0" w:color="2E77D6"/>
            </w:tcBorders>
            <w:shd w:val="clear" w:color="auto" w:fill="F2F2F2" w:themeFill="background1" w:themeFillShade="F2"/>
            <w:vAlign w:val="center"/>
          </w:tcPr>
          <w:p w14:paraId="728AD9B7" w14:textId="77777777" w:rsidR="00DB7C0B" w:rsidRPr="000F7F34" w:rsidRDefault="00DB7C0B" w:rsidP="000F7F34">
            <w:pPr>
              <w:pStyle w:val="TableHeadings"/>
              <w:rPr>
                <w:b/>
              </w:rPr>
            </w:pPr>
            <w:r w:rsidRPr="000F7F34">
              <w:rPr>
                <w:b/>
              </w:rPr>
              <w:t>National health reform agreement commitments</w:t>
            </w:r>
          </w:p>
        </w:tc>
        <w:tc>
          <w:tcPr>
            <w:tcW w:w="649" w:type="pct"/>
            <w:vMerge w:val="restart"/>
            <w:tcBorders>
              <w:top w:val="single" w:sz="4" w:space="0" w:color="2E77D6"/>
              <w:bottom w:val="single" w:sz="4" w:space="0" w:color="2E77D6"/>
            </w:tcBorders>
            <w:shd w:val="clear" w:color="auto" w:fill="F2F2F2" w:themeFill="background1" w:themeFillShade="F2"/>
            <w:vAlign w:val="center"/>
          </w:tcPr>
          <w:p w14:paraId="53CF32EC" w14:textId="77777777" w:rsidR="00DB7C0B" w:rsidRPr="000F7F34" w:rsidRDefault="00DB7C0B" w:rsidP="000F7F34">
            <w:pPr>
              <w:pStyle w:val="TableHeadings"/>
              <w:cnfStyle w:val="000000000000" w:firstRow="0" w:lastRow="0" w:firstColumn="0" w:lastColumn="0" w:oddVBand="0" w:evenVBand="0" w:oddHBand="0" w:evenHBand="0" w:firstRowFirstColumn="0" w:firstRowLastColumn="0" w:lastRowFirstColumn="0" w:lastRowLastColumn="0"/>
            </w:pPr>
            <w:r w:rsidRPr="000F7F34">
              <w:t>NHRA clause</w:t>
            </w:r>
          </w:p>
        </w:tc>
        <w:tc>
          <w:tcPr>
            <w:tcW w:w="861" w:type="pct"/>
            <w:vMerge w:val="restart"/>
            <w:tcBorders>
              <w:top w:val="single" w:sz="4" w:space="0" w:color="2E77D6"/>
              <w:bottom w:val="single" w:sz="4" w:space="0" w:color="2E77D6"/>
              <w:right w:val="nil"/>
            </w:tcBorders>
            <w:shd w:val="clear" w:color="auto" w:fill="F2F2F2" w:themeFill="background1" w:themeFillShade="F2"/>
            <w:vAlign w:val="center"/>
          </w:tcPr>
          <w:p w14:paraId="4EE161DF" w14:textId="77777777" w:rsidR="00DB7C0B" w:rsidRPr="000F7F34" w:rsidRDefault="00DB7C0B" w:rsidP="000F7F34">
            <w:pPr>
              <w:pStyle w:val="TableHeadings"/>
              <w:cnfStyle w:val="000000000000" w:firstRow="0" w:lastRow="0" w:firstColumn="0" w:lastColumn="0" w:oddVBand="0" w:evenVBand="0" w:oddHBand="0" w:evenHBand="0" w:firstRowFirstColumn="0" w:firstRowLastColumn="0" w:lastRowFirstColumn="0" w:lastRowLastColumn="0"/>
            </w:pPr>
            <w:r w:rsidRPr="000F7F34">
              <w:t>Deliverable</w:t>
            </w:r>
          </w:p>
        </w:tc>
        <w:tc>
          <w:tcPr>
            <w:tcW w:w="805" w:type="pct"/>
            <w:gridSpan w:val="4"/>
            <w:tcBorders>
              <w:top w:val="single" w:sz="4" w:space="0" w:color="2E77D6"/>
              <w:left w:val="nil"/>
              <w:bottom w:val="single" w:sz="4" w:space="0" w:color="2E77D6"/>
            </w:tcBorders>
            <w:shd w:val="clear" w:color="auto" w:fill="F2F2F2" w:themeFill="background1" w:themeFillShade="F2"/>
            <w:vAlign w:val="center"/>
          </w:tcPr>
          <w:p w14:paraId="3774958F" w14:textId="77777777" w:rsidR="00DB7C0B" w:rsidRPr="000F7F34" w:rsidRDefault="00DB7C0B" w:rsidP="000F7F34">
            <w:pPr>
              <w:pStyle w:val="TableHeadings"/>
              <w:cnfStyle w:val="000000000000" w:firstRow="0" w:lastRow="0" w:firstColumn="0" w:lastColumn="0" w:oddVBand="0" w:evenVBand="0" w:oddHBand="0" w:evenHBand="0" w:firstRowFirstColumn="0" w:firstRowLastColumn="0" w:lastRowFirstColumn="0" w:lastRowLastColumn="0"/>
            </w:pPr>
            <w:r w:rsidRPr="000F7F34">
              <w:t>Timeframes</w:t>
            </w:r>
          </w:p>
        </w:tc>
      </w:tr>
      <w:tr w:rsidR="00DB7C0B" w:rsidRPr="00236C2C" w14:paraId="79599069" w14:textId="77777777" w:rsidTr="00D050A9">
        <w:trPr>
          <w:trHeight w:val="564"/>
        </w:trPr>
        <w:tc>
          <w:tcPr>
            <w:cnfStyle w:val="001000000000" w:firstRow="0" w:lastRow="0" w:firstColumn="1" w:lastColumn="0" w:oddVBand="0" w:evenVBand="0" w:oddHBand="0" w:evenHBand="0" w:firstRowFirstColumn="0" w:firstRowLastColumn="0" w:lastRowFirstColumn="0" w:lastRowLastColumn="0"/>
            <w:tcW w:w="2685" w:type="pct"/>
            <w:vMerge/>
            <w:tcBorders>
              <w:top w:val="nil"/>
              <w:bottom w:val="single" w:sz="4" w:space="0" w:color="2E77D6"/>
            </w:tcBorders>
            <w:vAlign w:val="center"/>
          </w:tcPr>
          <w:p w14:paraId="2E2E49B9" w14:textId="77777777" w:rsidR="00DB7C0B" w:rsidRPr="000F7F34" w:rsidRDefault="00DB7C0B" w:rsidP="000F7F34">
            <w:pPr>
              <w:pStyle w:val="TableHeadings"/>
              <w:rPr>
                <w:b/>
              </w:rPr>
            </w:pPr>
          </w:p>
        </w:tc>
        <w:tc>
          <w:tcPr>
            <w:tcW w:w="649" w:type="pct"/>
            <w:vMerge/>
            <w:tcBorders>
              <w:top w:val="nil"/>
              <w:bottom w:val="single" w:sz="4" w:space="0" w:color="2E77D6"/>
            </w:tcBorders>
            <w:vAlign w:val="center"/>
          </w:tcPr>
          <w:p w14:paraId="40CF0038" w14:textId="77777777" w:rsidR="00DB7C0B" w:rsidRPr="000D694A" w:rsidRDefault="00DB7C0B" w:rsidP="002C1A45">
            <w:pPr>
              <w:cnfStyle w:val="000000000000" w:firstRow="0" w:lastRow="0" w:firstColumn="0" w:lastColumn="0" w:oddVBand="0" w:evenVBand="0" w:oddHBand="0" w:evenHBand="0" w:firstRowFirstColumn="0" w:firstRowLastColumn="0" w:lastRowFirstColumn="0" w:lastRowLastColumn="0"/>
              <w:rPr>
                <w:szCs w:val="21"/>
              </w:rPr>
            </w:pPr>
          </w:p>
        </w:tc>
        <w:tc>
          <w:tcPr>
            <w:tcW w:w="861" w:type="pct"/>
            <w:vMerge/>
            <w:tcBorders>
              <w:top w:val="nil"/>
              <w:bottom w:val="single" w:sz="4" w:space="0" w:color="2E77D6"/>
              <w:right w:val="single" w:sz="4" w:space="0" w:color="2E77D6"/>
            </w:tcBorders>
            <w:vAlign w:val="center"/>
          </w:tcPr>
          <w:p w14:paraId="60483F28" w14:textId="77777777" w:rsidR="00DB7C0B" w:rsidRPr="000D694A" w:rsidRDefault="00DB7C0B" w:rsidP="002C1A45">
            <w:pPr>
              <w:cnfStyle w:val="000000000000" w:firstRow="0" w:lastRow="0" w:firstColumn="0" w:lastColumn="0" w:oddVBand="0" w:evenVBand="0" w:oddHBand="0" w:evenHBand="0" w:firstRowFirstColumn="0" w:firstRowLastColumn="0" w:lastRowFirstColumn="0" w:lastRowLastColumn="0"/>
              <w:rPr>
                <w:szCs w:val="21"/>
              </w:rPr>
            </w:pPr>
          </w:p>
        </w:tc>
        <w:tc>
          <w:tcPr>
            <w:tcW w:w="202" w:type="pct"/>
            <w:tcBorders>
              <w:top w:val="single" w:sz="4" w:space="0" w:color="2E77D6"/>
              <w:left w:val="single" w:sz="4" w:space="0" w:color="2E77D6"/>
              <w:bottom w:val="single" w:sz="4" w:space="0" w:color="2E77D6"/>
              <w:right w:val="single" w:sz="4" w:space="0" w:color="2E77D6"/>
            </w:tcBorders>
            <w:shd w:val="clear" w:color="auto" w:fill="F2F2F2" w:themeFill="background1" w:themeFillShade="F2"/>
            <w:vAlign w:val="center"/>
          </w:tcPr>
          <w:p w14:paraId="4EABC110" w14:textId="77777777" w:rsidR="00DB7C0B" w:rsidRPr="00C84DF4" w:rsidRDefault="00DB7C0B" w:rsidP="002C1A45">
            <w:pPr>
              <w:cnfStyle w:val="000000000000" w:firstRow="0" w:lastRow="0" w:firstColumn="0" w:lastColumn="0" w:oddVBand="0" w:evenVBand="0" w:oddHBand="0" w:evenHBand="0" w:firstRowFirstColumn="0" w:firstRowLastColumn="0" w:lastRowFirstColumn="0" w:lastRowLastColumn="0"/>
            </w:pPr>
            <w:r w:rsidRPr="00C84DF4">
              <w:t>21-22</w:t>
            </w:r>
          </w:p>
        </w:tc>
        <w:tc>
          <w:tcPr>
            <w:tcW w:w="202" w:type="pct"/>
            <w:tcBorders>
              <w:top w:val="single" w:sz="4" w:space="0" w:color="2E77D6"/>
              <w:left w:val="single" w:sz="4" w:space="0" w:color="2E77D6"/>
              <w:bottom w:val="single" w:sz="4" w:space="0" w:color="2E77D6"/>
              <w:right w:val="single" w:sz="4" w:space="0" w:color="2E77D6"/>
            </w:tcBorders>
            <w:shd w:val="clear" w:color="auto" w:fill="F2F2F2" w:themeFill="background1" w:themeFillShade="F2"/>
            <w:vAlign w:val="center"/>
          </w:tcPr>
          <w:p w14:paraId="2E1A735B" w14:textId="77777777" w:rsidR="00DB7C0B" w:rsidRPr="00C84DF4" w:rsidRDefault="00DB7C0B" w:rsidP="002C1A45">
            <w:pPr>
              <w:cnfStyle w:val="000000000000" w:firstRow="0" w:lastRow="0" w:firstColumn="0" w:lastColumn="0" w:oddVBand="0" w:evenVBand="0" w:oddHBand="0" w:evenHBand="0" w:firstRowFirstColumn="0" w:firstRowLastColumn="0" w:lastRowFirstColumn="0" w:lastRowLastColumn="0"/>
            </w:pPr>
            <w:r w:rsidRPr="00C84DF4">
              <w:t>22-23</w:t>
            </w:r>
          </w:p>
        </w:tc>
        <w:tc>
          <w:tcPr>
            <w:tcW w:w="200" w:type="pct"/>
            <w:tcBorders>
              <w:top w:val="single" w:sz="4" w:space="0" w:color="2E77D6"/>
              <w:left w:val="single" w:sz="4" w:space="0" w:color="2E77D6"/>
              <w:bottom w:val="single" w:sz="4" w:space="0" w:color="2E77D6"/>
              <w:right w:val="single" w:sz="4" w:space="0" w:color="2E77D6"/>
            </w:tcBorders>
            <w:shd w:val="clear" w:color="auto" w:fill="F2F2F2" w:themeFill="background1" w:themeFillShade="F2"/>
            <w:vAlign w:val="center"/>
          </w:tcPr>
          <w:p w14:paraId="47C83D27" w14:textId="77777777" w:rsidR="00DB7C0B" w:rsidRPr="00C84DF4" w:rsidRDefault="00DB7C0B" w:rsidP="002C1A45">
            <w:pPr>
              <w:cnfStyle w:val="000000000000" w:firstRow="0" w:lastRow="0" w:firstColumn="0" w:lastColumn="0" w:oddVBand="0" w:evenVBand="0" w:oddHBand="0" w:evenHBand="0" w:firstRowFirstColumn="0" w:firstRowLastColumn="0" w:lastRowFirstColumn="0" w:lastRowLastColumn="0"/>
            </w:pPr>
            <w:r w:rsidRPr="00C84DF4">
              <w:t>23-24</w:t>
            </w:r>
          </w:p>
        </w:tc>
        <w:tc>
          <w:tcPr>
            <w:tcW w:w="200" w:type="pct"/>
            <w:tcBorders>
              <w:top w:val="single" w:sz="4" w:space="0" w:color="2E77D6"/>
              <w:left w:val="single" w:sz="4" w:space="0" w:color="2E77D6"/>
              <w:bottom w:val="single" w:sz="4" w:space="0" w:color="2E77D6"/>
              <w:right w:val="single" w:sz="4" w:space="0" w:color="2E77D6"/>
            </w:tcBorders>
            <w:shd w:val="clear" w:color="auto" w:fill="F2F2F2" w:themeFill="background1" w:themeFillShade="F2"/>
            <w:vAlign w:val="center"/>
          </w:tcPr>
          <w:p w14:paraId="67DEEBDD" w14:textId="77777777" w:rsidR="00DB7C0B" w:rsidRPr="00C84DF4" w:rsidRDefault="00DB7C0B" w:rsidP="002C1A45">
            <w:pPr>
              <w:cnfStyle w:val="000000000000" w:firstRow="0" w:lastRow="0" w:firstColumn="0" w:lastColumn="0" w:oddVBand="0" w:evenVBand="0" w:oddHBand="0" w:evenHBand="0" w:firstRowFirstColumn="0" w:firstRowLastColumn="0" w:lastRowFirstColumn="0" w:lastRowLastColumn="0"/>
            </w:pPr>
            <w:r w:rsidRPr="00C84DF4">
              <w:t>24-25</w:t>
            </w:r>
          </w:p>
        </w:tc>
      </w:tr>
      <w:tr w:rsidR="00EE6AE2" w:rsidRPr="00236C2C" w14:paraId="66F23A08" w14:textId="77777777" w:rsidTr="00D050A9">
        <w:trPr>
          <w:trHeight w:val="556"/>
        </w:trPr>
        <w:tc>
          <w:tcPr>
            <w:cnfStyle w:val="001000000000" w:firstRow="0" w:lastRow="0" w:firstColumn="1" w:lastColumn="0" w:oddVBand="0" w:evenVBand="0" w:oddHBand="0" w:evenHBand="0" w:firstRowFirstColumn="0" w:firstRowLastColumn="0" w:lastRowFirstColumn="0" w:lastRowLastColumn="0"/>
            <w:tcW w:w="2685" w:type="pct"/>
            <w:tcBorders>
              <w:top w:val="single" w:sz="4" w:space="0" w:color="2E77D6"/>
              <w:bottom w:val="single" w:sz="4" w:space="0" w:color="2E77D6"/>
            </w:tcBorders>
            <w:vAlign w:val="center"/>
          </w:tcPr>
          <w:p w14:paraId="2854AA54" w14:textId="13FC8534" w:rsidR="00EE6AE2" w:rsidRPr="000F7F34" w:rsidRDefault="00EE6AE2" w:rsidP="000F7F34">
            <w:pPr>
              <w:pStyle w:val="TableHeadings"/>
              <w:rPr>
                <w:b/>
                <w:bCs/>
              </w:rPr>
            </w:pPr>
            <w:r w:rsidRPr="000F7F34">
              <w:rPr>
                <w:b/>
                <w:bCs/>
              </w:rPr>
              <w:t xml:space="preserve">Better align government-funded information resources and digital platforms, ensuring they are culturally and linguistically appropriate, accessible, </w:t>
            </w:r>
            <w:proofErr w:type="gramStart"/>
            <w:r w:rsidRPr="000F7F34">
              <w:rPr>
                <w:b/>
                <w:bCs/>
              </w:rPr>
              <w:t>credible</w:t>
            </w:r>
            <w:proofErr w:type="gramEnd"/>
            <w:r w:rsidRPr="000F7F34">
              <w:rPr>
                <w:b/>
                <w:bCs/>
              </w:rPr>
              <w:t xml:space="preserve"> and evidence-based</w:t>
            </w:r>
          </w:p>
        </w:tc>
        <w:tc>
          <w:tcPr>
            <w:tcW w:w="649" w:type="pct"/>
            <w:tcBorders>
              <w:top w:val="single" w:sz="4" w:space="0" w:color="2E77D6"/>
              <w:bottom w:val="single" w:sz="4" w:space="0" w:color="2E77D6"/>
            </w:tcBorders>
            <w:vAlign w:val="center"/>
          </w:tcPr>
          <w:p w14:paraId="531733A1" w14:textId="455FB8B6" w:rsidR="00EE6AE2" w:rsidRPr="000D694A" w:rsidRDefault="00EE6AE2" w:rsidP="00EE6AE2">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C.33</w:t>
            </w:r>
          </w:p>
        </w:tc>
        <w:tc>
          <w:tcPr>
            <w:tcW w:w="861" w:type="pct"/>
            <w:tcBorders>
              <w:top w:val="single" w:sz="4" w:space="0" w:color="2E77D6"/>
              <w:bottom w:val="single" w:sz="4" w:space="0" w:color="2E77D6"/>
              <w:right w:val="single" w:sz="4" w:space="0" w:color="2E77D6"/>
            </w:tcBorders>
            <w:vAlign w:val="center"/>
          </w:tcPr>
          <w:p w14:paraId="3C247C88" w14:textId="327A9E5E" w:rsidR="00EE6AE2" w:rsidRPr="000D694A" w:rsidRDefault="00D52370" w:rsidP="00EE6AE2">
            <w:pPr>
              <w:cnfStyle w:val="000000000000" w:firstRow="0" w:lastRow="0" w:firstColumn="0" w:lastColumn="0" w:oddVBand="0" w:evenVBand="0" w:oddHBand="0" w:evenHBand="0" w:firstRowFirstColumn="0" w:firstRowLastColumn="0" w:lastRowFirstColumn="0" w:lastRowLastColumn="0"/>
              <w:rPr>
                <w:szCs w:val="21"/>
              </w:rPr>
            </w:pPr>
            <w:r>
              <w:rPr>
                <w:szCs w:val="21"/>
              </w:rPr>
              <w:t>Reviewed health digital platforms and information resources</w:t>
            </w:r>
          </w:p>
        </w:tc>
        <w:tc>
          <w:tcPr>
            <w:tcW w:w="202" w:type="pct"/>
            <w:tcBorders>
              <w:top w:val="single" w:sz="4" w:space="0" w:color="FFFFFF" w:themeColor="background1"/>
              <w:left w:val="single" w:sz="4" w:space="0" w:color="2E77D6"/>
              <w:bottom w:val="single" w:sz="4" w:space="0" w:color="2E77D6"/>
              <w:right w:val="single" w:sz="4" w:space="0" w:color="FFFFFF"/>
            </w:tcBorders>
            <w:shd w:val="clear" w:color="auto" w:fill="2E77D6"/>
            <w:vAlign w:val="center"/>
          </w:tcPr>
          <w:p w14:paraId="5ECA4D76" w14:textId="77777777" w:rsidR="00EE6AE2" w:rsidRPr="000A6724" w:rsidRDefault="00EE6AE2" w:rsidP="00EE6AE2">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2E77D6"/>
              <w:left w:val="single" w:sz="4" w:space="0" w:color="FFFFFF"/>
              <w:bottom w:val="single" w:sz="4" w:space="0" w:color="2E77D6"/>
              <w:right w:val="single" w:sz="4" w:space="0" w:color="FFFFFF"/>
            </w:tcBorders>
            <w:shd w:val="clear" w:color="auto" w:fill="2E77D6"/>
            <w:vAlign w:val="center"/>
          </w:tcPr>
          <w:p w14:paraId="120AA2D4" w14:textId="77777777" w:rsidR="00EE6AE2" w:rsidRPr="000A6724" w:rsidRDefault="00EE6AE2" w:rsidP="00EE6AE2">
            <w:pPr>
              <w:cnfStyle w:val="000000000000" w:firstRow="0" w:lastRow="0" w:firstColumn="0" w:lastColumn="0" w:oddVBand="0" w:evenVBand="0" w:oddHBand="0" w:evenHBand="0" w:firstRowFirstColumn="0" w:firstRowLastColumn="0" w:lastRowFirstColumn="0" w:lastRowLastColumn="0"/>
            </w:pPr>
          </w:p>
        </w:tc>
        <w:tc>
          <w:tcPr>
            <w:tcW w:w="200" w:type="pct"/>
            <w:tcBorders>
              <w:top w:val="single" w:sz="4" w:space="0" w:color="2E77D6"/>
              <w:left w:val="single" w:sz="4" w:space="0" w:color="FFFFFF"/>
              <w:bottom w:val="single" w:sz="4" w:space="0" w:color="FFFFFF"/>
              <w:right w:val="single" w:sz="4" w:space="0" w:color="2E77D6"/>
            </w:tcBorders>
            <w:shd w:val="clear" w:color="auto" w:fill="2E77D6"/>
            <w:vAlign w:val="center"/>
          </w:tcPr>
          <w:p w14:paraId="3D155544" w14:textId="77777777" w:rsidR="00EE6AE2" w:rsidRPr="000A6724" w:rsidRDefault="00EE6AE2" w:rsidP="00EE6AE2">
            <w:pPr>
              <w:cnfStyle w:val="000000000000" w:firstRow="0" w:lastRow="0" w:firstColumn="0" w:lastColumn="0" w:oddVBand="0" w:evenVBand="0" w:oddHBand="0" w:evenHBand="0" w:firstRowFirstColumn="0" w:firstRowLastColumn="0" w:lastRowFirstColumn="0" w:lastRowLastColumn="0"/>
            </w:pPr>
          </w:p>
        </w:tc>
        <w:tc>
          <w:tcPr>
            <w:tcW w:w="200" w:type="pct"/>
            <w:tcBorders>
              <w:top w:val="single" w:sz="4" w:space="0" w:color="2E77D6"/>
              <w:left w:val="single" w:sz="4" w:space="0" w:color="2E77D6"/>
              <w:bottom w:val="single" w:sz="4" w:space="0" w:color="2E77D6"/>
              <w:right w:val="single" w:sz="4" w:space="0" w:color="2E77D6"/>
            </w:tcBorders>
            <w:vAlign w:val="center"/>
          </w:tcPr>
          <w:p w14:paraId="7674D8A8" w14:textId="77777777" w:rsidR="00EE6AE2" w:rsidRPr="000A6724" w:rsidRDefault="00EE6AE2" w:rsidP="00EE6AE2">
            <w:pPr>
              <w:cnfStyle w:val="000000000000" w:firstRow="0" w:lastRow="0" w:firstColumn="0" w:lastColumn="0" w:oddVBand="0" w:evenVBand="0" w:oddHBand="0" w:evenHBand="0" w:firstRowFirstColumn="0" w:firstRowLastColumn="0" w:lastRowFirstColumn="0" w:lastRowLastColumn="0"/>
            </w:pPr>
          </w:p>
        </w:tc>
      </w:tr>
      <w:tr w:rsidR="00D52370" w:rsidRPr="00236C2C" w14:paraId="44D20392" w14:textId="77777777" w:rsidTr="00D050A9">
        <w:tc>
          <w:tcPr>
            <w:cnfStyle w:val="001000000000" w:firstRow="0" w:lastRow="0" w:firstColumn="1" w:lastColumn="0" w:oddVBand="0" w:evenVBand="0" w:oddHBand="0" w:evenHBand="0" w:firstRowFirstColumn="0" w:firstRowLastColumn="0" w:lastRowFirstColumn="0" w:lastRowLastColumn="0"/>
            <w:tcW w:w="2685" w:type="pct"/>
            <w:tcBorders>
              <w:top w:val="single" w:sz="4" w:space="0" w:color="2E77D6"/>
              <w:bottom w:val="single" w:sz="4" w:space="0" w:color="2E77D6"/>
            </w:tcBorders>
            <w:vAlign w:val="center"/>
          </w:tcPr>
          <w:p w14:paraId="75A93AD7" w14:textId="583FE91A" w:rsidR="00D52370" w:rsidRPr="000F7F34" w:rsidRDefault="00D52370" w:rsidP="00D52370">
            <w:pPr>
              <w:pStyle w:val="TableHeadings"/>
              <w:rPr>
                <w:b/>
                <w:bCs/>
              </w:rPr>
            </w:pPr>
            <w:r w:rsidRPr="000F7F34">
              <w:rPr>
                <w:b/>
                <w:bCs/>
              </w:rPr>
              <w:t>Systematically measure patient reported health outcomes and care experiences</w:t>
            </w:r>
          </w:p>
        </w:tc>
        <w:tc>
          <w:tcPr>
            <w:tcW w:w="649" w:type="pct"/>
            <w:tcBorders>
              <w:top w:val="single" w:sz="4" w:space="0" w:color="2E77D6"/>
              <w:bottom w:val="single" w:sz="4" w:space="0" w:color="2E77D6"/>
            </w:tcBorders>
            <w:vAlign w:val="center"/>
          </w:tcPr>
          <w:p w14:paraId="7843468F" w14:textId="58A34092" w:rsidR="00D52370" w:rsidRPr="000D694A" w:rsidRDefault="00D52370" w:rsidP="00D5237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C.32</w:t>
            </w:r>
          </w:p>
        </w:tc>
        <w:tc>
          <w:tcPr>
            <w:tcW w:w="861" w:type="pct"/>
            <w:tcBorders>
              <w:top w:val="single" w:sz="4" w:space="0" w:color="2E77D6"/>
              <w:bottom w:val="single" w:sz="4" w:space="0" w:color="2E77D6"/>
              <w:right w:val="single" w:sz="4" w:space="0" w:color="2E77D6"/>
            </w:tcBorders>
            <w:vAlign w:val="center"/>
          </w:tcPr>
          <w:p w14:paraId="47F6D0EA" w14:textId="0E571768" w:rsidR="00D52370" w:rsidRPr="000D694A" w:rsidRDefault="00D52370" w:rsidP="00D5237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 xml:space="preserve">Patient reported measures framework (linked to </w:t>
            </w:r>
            <w:r w:rsidRPr="00BF1D00">
              <w:rPr>
                <w:i/>
                <w:iCs/>
                <w:szCs w:val="21"/>
              </w:rPr>
              <w:t>Enhanced health data</w:t>
            </w:r>
            <w:r w:rsidRPr="000D694A">
              <w:rPr>
                <w:szCs w:val="21"/>
              </w:rPr>
              <w:t>)</w:t>
            </w:r>
          </w:p>
        </w:tc>
        <w:tc>
          <w:tcPr>
            <w:tcW w:w="202" w:type="pct"/>
            <w:tcBorders>
              <w:top w:val="single" w:sz="4" w:space="0" w:color="2E77D6"/>
              <w:left w:val="single" w:sz="4" w:space="0" w:color="2E77D6"/>
              <w:bottom w:val="single" w:sz="4" w:space="0" w:color="2E77D6"/>
              <w:right w:val="single" w:sz="4" w:space="0" w:color="2E77D6"/>
            </w:tcBorders>
            <w:vAlign w:val="center"/>
          </w:tcPr>
          <w:p w14:paraId="62B96950" w14:textId="77777777" w:rsidR="00D52370" w:rsidRPr="000A6724" w:rsidRDefault="00D52370" w:rsidP="00D52370">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2E77D6"/>
              <w:left w:val="single" w:sz="4" w:space="0" w:color="2E77D6"/>
              <w:bottom w:val="single" w:sz="4" w:space="0" w:color="2E77D6"/>
              <w:right w:val="single" w:sz="4" w:space="0" w:color="2E77D6"/>
            </w:tcBorders>
            <w:vAlign w:val="center"/>
          </w:tcPr>
          <w:p w14:paraId="7E0A06C3" w14:textId="77777777" w:rsidR="00D52370" w:rsidRPr="000A6724" w:rsidRDefault="00D52370" w:rsidP="00D52370">
            <w:pPr>
              <w:cnfStyle w:val="000000000000" w:firstRow="0" w:lastRow="0" w:firstColumn="0" w:lastColumn="0" w:oddVBand="0" w:evenVBand="0" w:oddHBand="0" w:evenHBand="0" w:firstRowFirstColumn="0" w:firstRowLastColumn="0" w:lastRowFirstColumn="0" w:lastRowLastColumn="0"/>
            </w:pPr>
          </w:p>
        </w:tc>
        <w:tc>
          <w:tcPr>
            <w:tcW w:w="200" w:type="pct"/>
            <w:tcBorders>
              <w:top w:val="single" w:sz="4" w:space="0" w:color="FFFFFF"/>
              <w:left w:val="single" w:sz="4" w:space="0" w:color="2E77D6"/>
              <w:bottom w:val="single" w:sz="4" w:space="0" w:color="2E77D6"/>
              <w:right w:val="single" w:sz="4" w:space="0" w:color="FFFFFF" w:themeColor="background1"/>
            </w:tcBorders>
            <w:shd w:val="clear" w:color="auto" w:fill="2E77D6"/>
            <w:vAlign w:val="center"/>
          </w:tcPr>
          <w:p w14:paraId="61B26BD6" w14:textId="77777777" w:rsidR="00D52370" w:rsidRPr="000A6724" w:rsidRDefault="00D52370" w:rsidP="00D52370">
            <w:pPr>
              <w:cnfStyle w:val="000000000000" w:firstRow="0" w:lastRow="0" w:firstColumn="0" w:lastColumn="0" w:oddVBand="0" w:evenVBand="0" w:oddHBand="0" w:evenHBand="0" w:firstRowFirstColumn="0" w:firstRowLastColumn="0" w:lastRowFirstColumn="0" w:lastRowLastColumn="0"/>
            </w:pPr>
          </w:p>
        </w:tc>
        <w:tc>
          <w:tcPr>
            <w:tcW w:w="200" w:type="pct"/>
            <w:tcBorders>
              <w:top w:val="single" w:sz="4" w:space="0" w:color="2E77D6"/>
              <w:left w:val="single" w:sz="4" w:space="0" w:color="FFFFFF" w:themeColor="background1"/>
              <w:bottom w:val="single" w:sz="4" w:space="0" w:color="FFFFFF" w:themeColor="background1"/>
              <w:right w:val="single" w:sz="4" w:space="0" w:color="2E77D6"/>
            </w:tcBorders>
            <w:shd w:val="clear" w:color="auto" w:fill="2E77D6"/>
            <w:vAlign w:val="center"/>
          </w:tcPr>
          <w:p w14:paraId="14DFDA78" w14:textId="77777777" w:rsidR="00D52370" w:rsidRPr="000A6724" w:rsidRDefault="00D52370" w:rsidP="00D52370">
            <w:pPr>
              <w:cnfStyle w:val="000000000000" w:firstRow="0" w:lastRow="0" w:firstColumn="0" w:lastColumn="0" w:oddVBand="0" w:evenVBand="0" w:oddHBand="0" w:evenHBand="0" w:firstRowFirstColumn="0" w:firstRowLastColumn="0" w:lastRowFirstColumn="0" w:lastRowLastColumn="0"/>
            </w:pPr>
          </w:p>
        </w:tc>
      </w:tr>
      <w:tr w:rsidR="00D52370" w:rsidRPr="00236C2C" w14:paraId="5108942C" w14:textId="77777777" w:rsidTr="00D050A9">
        <w:tc>
          <w:tcPr>
            <w:cnfStyle w:val="001000000000" w:firstRow="0" w:lastRow="0" w:firstColumn="1" w:lastColumn="0" w:oddVBand="0" w:evenVBand="0" w:oddHBand="0" w:evenHBand="0" w:firstRowFirstColumn="0" w:firstRowLastColumn="0" w:lastRowFirstColumn="0" w:lastRowLastColumn="0"/>
            <w:tcW w:w="2685" w:type="pct"/>
            <w:tcBorders>
              <w:top w:val="single" w:sz="4" w:space="0" w:color="2E77D6"/>
              <w:bottom w:val="single" w:sz="4" w:space="0" w:color="2E77D6"/>
            </w:tcBorders>
            <w:vAlign w:val="center"/>
          </w:tcPr>
          <w:p w14:paraId="47DFDF71" w14:textId="3E49A437" w:rsidR="00D52370" w:rsidRPr="000F7F34" w:rsidRDefault="00D52370" w:rsidP="00D52370">
            <w:pPr>
              <w:pStyle w:val="TableHeadings"/>
              <w:rPr>
                <w:b/>
                <w:bCs/>
              </w:rPr>
            </w:pPr>
            <w:r w:rsidRPr="000F7F34">
              <w:rPr>
                <w:b/>
                <w:bCs/>
              </w:rPr>
              <w:t xml:space="preserve">Build workforce capability to meet health literacy needs </w:t>
            </w:r>
          </w:p>
        </w:tc>
        <w:tc>
          <w:tcPr>
            <w:tcW w:w="649" w:type="pct"/>
            <w:tcBorders>
              <w:top w:val="single" w:sz="4" w:space="0" w:color="2E77D6"/>
              <w:bottom w:val="single" w:sz="4" w:space="0" w:color="2E77D6"/>
            </w:tcBorders>
            <w:vAlign w:val="center"/>
          </w:tcPr>
          <w:p w14:paraId="728BBF00" w14:textId="7F310040" w:rsidR="00D52370" w:rsidRPr="000D694A" w:rsidRDefault="00D52370" w:rsidP="00D5237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C.32</w:t>
            </w:r>
          </w:p>
        </w:tc>
        <w:tc>
          <w:tcPr>
            <w:tcW w:w="861" w:type="pct"/>
            <w:tcBorders>
              <w:top w:val="single" w:sz="4" w:space="0" w:color="2E77D6"/>
              <w:bottom w:val="single" w:sz="4" w:space="0" w:color="2E77D6"/>
              <w:right w:val="single" w:sz="4" w:space="0" w:color="2E77D6"/>
            </w:tcBorders>
            <w:vAlign w:val="center"/>
          </w:tcPr>
          <w:p w14:paraId="762B51BE" w14:textId="3E29AB4D" w:rsidR="00D52370" w:rsidRPr="000D694A" w:rsidRDefault="00D52370" w:rsidP="00D5237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Workforce engagement strategy</w:t>
            </w:r>
          </w:p>
        </w:tc>
        <w:tc>
          <w:tcPr>
            <w:tcW w:w="202" w:type="pct"/>
            <w:tcBorders>
              <w:top w:val="single" w:sz="4" w:space="0" w:color="2E77D6"/>
              <w:left w:val="single" w:sz="4" w:space="0" w:color="2E77D6"/>
              <w:bottom w:val="single" w:sz="4" w:space="0" w:color="2E77D6"/>
              <w:right w:val="single" w:sz="4" w:space="0" w:color="2E77D6"/>
            </w:tcBorders>
            <w:vAlign w:val="center"/>
          </w:tcPr>
          <w:p w14:paraId="76EBD1D8" w14:textId="77777777" w:rsidR="00D52370" w:rsidRPr="000A6724" w:rsidRDefault="00D52370" w:rsidP="00D52370">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2E77D6"/>
              <w:left w:val="single" w:sz="4" w:space="0" w:color="2E77D6"/>
              <w:bottom w:val="single" w:sz="4" w:space="0" w:color="2E77D6"/>
              <w:right w:val="single" w:sz="4" w:space="0" w:color="2E77D6"/>
            </w:tcBorders>
            <w:vAlign w:val="center"/>
          </w:tcPr>
          <w:p w14:paraId="4FDE33FE" w14:textId="77777777" w:rsidR="00D52370" w:rsidRPr="000A6724" w:rsidRDefault="00D52370" w:rsidP="00D52370">
            <w:pPr>
              <w:cnfStyle w:val="000000000000" w:firstRow="0" w:lastRow="0" w:firstColumn="0" w:lastColumn="0" w:oddVBand="0" w:evenVBand="0" w:oddHBand="0" w:evenHBand="0" w:firstRowFirstColumn="0" w:firstRowLastColumn="0" w:lastRowFirstColumn="0" w:lastRowLastColumn="0"/>
            </w:pPr>
          </w:p>
        </w:tc>
        <w:tc>
          <w:tcPr>
            <w:tcW w:w="200" w:type="pct"/>
            <w:tcBorders>
              <w:top w:val="single" w:sz="4" w:space="0" w:color="2E77D6"/>
              <w:left w:val="single" w:sz="4" w:space="0" w:color="2E77D6"/>
              <w:bottom w:val="single" w:sz="4" w:space="0" w:color="2E77D6"/>
              <w:right w:val="single" w:sz="4" w:space="0" w:color="2E77D6"/>
            </w:tcBorders>
            <w:vAlign w:val="center"/>
          </w:tcPr>
          <w:p w14:paraId="1A7D801A" w14:textId="77777777" w:rsidR="00D52370" w:rsidRPr="000A6724" w:rsidRDefault="00D52370" w:rsidP="00D52370">
            <w:pPr>
              <w:cnfStyle w:val="000000000000" w:firstRow="0" w:lastRow="0" w:firstColumn="0" w:lastColumn="0" w:oddVBand="0" w:evenVBand="0" w:oddHBand="0" w:evenHBand="0" w:firstRowFirstColumn="0" w:firstRowLastColumn="0" w:lastRowFirstColumn="0" w:lastRowLastColumn="0"/>
            </w:pPr>
          </w:p>
        </w:tc>
        <w:tc>
          <w:tcPr>
            <w:tcW w:w="200" w:type="pct"/>
            <w:tcBorders>
              <w:top w:val="single" w:sz="4" w:space="0" w:color="FFFFFF" w:themeColor="background1"/>
              <w:left w:val="single" w:sz="4" w:space="0" w:color="2E77D6"/>
              <w:bottom w:val="single" w:sz="4" w:space="0" w:color="FFFFFF" w:themeColor="background1"/>
              <w:right w:val="single" w:sz="4" w:space="0" w:color="2E77D6"/>
            </w:tcBorders>
            <w:shd w:val="clear" w:color="auto" w:fill="2E77D6"/>
            <w:vAlign w:val="center"/>
          </w:tcPr>
          <w:p w14:paraId="5BA81D57" w14:textId="77777777" w:rsidR="00D52370" w:rsidRPr="000A6724" w:rsidRDefault="00D52370" w:rsidP="00D52370">
            <w:pPr>
              <w:cnfStyle w:val="000000000000" w:firstRow="0" w:lastRow="0" w:firstColumn="0" w:lastColumn="0" w:oddVBand="0" w:evenVBand="0" w:oddHBand="0" w:evenHBand="0" w:firstRowFirstColumn="0" w:firstRowLastColumn="0" w:lastRowFirstColumn="0" w:lastRowLastColumn="0"/>
            </w:pPr>
          </w:p>
        </w:tc>
      </w:tr>
      <w:tr w:rsidR="00D52370" w:rsidRPr="00236C2C" w14:paraId="7CD18D9F" w14:textId="77777777" w:rsidTr="00D050A9">
        <w:tc>
          <w:tcPr>
            <w:cnfStyle w:val="001000000000" w:firstRow="0" w:lastRow="0" w:firstColumn="1" w:lastColumn="0" w:oddVBand="0" w:evenVBand="0" w:oddHBand="0" w:evenHBand="0" w:firstRowFirstColumn="0" w:firstRowLastColumn="0" w:lastRowFirstColumn="0" w:lastRowLastColumn="0"/>
            <w:tcW w:w="2685" w:type="pct"/>
            <w:tcBorders>
              <w:top w:val="single" w:sz="4" w:space="0" w:color="2E77D6"/>
              <w:bottom w:val="single" w:sz="4" w:space="0" w:color="2E77D6"/>
            </w:tcBorders>
            <w:vAlign w:val="center"/>
          </w:tcPr>
          <w:p w14:paraId="51293E24" w14:textId="3578C536" w:rsidR="00D52370" w:rsidRPr="000F7F34" w:rsidRDefault="00D52370" w:rsidP="00D52370">
            <w:pPr>
              <w:pStyle w:val="TableHeadings"/>
              <w:rPr>
                <w:b/>
                <w:bCs/>
              </w:rPr>
            </w:pPr>
            <w:r w:rsidRPr="000F7F34">
              <w:rPr>
                <w:b/>
                <w:bCs/>
              </w:rPr>
              <w:t>Make information on the performance of the health system and services more accessible</w:t>
            </w:r>
          </w:p>
        </w:tc>
        <w:tc>
          <w:tcPr>
            <w:tcW w:w="649" w:type="pct"/>
            <w:tcBorders>
              <w:top w:val="single" w:sz="4" w:space="0" w:color="2E77D6"/>
              <w:bottom w:val="single" w:sz="4" w:space="0" w:color="2E77D6"/>
            </w:tcBorders>
            <w:vAlign w:val="center"/>
          </w:tcPr>
          <w:p w14:paraId="3641C2F8" w14:textId="53EEB4A6" w:rsidR="00D52370" w:rsidRPr="000D694A" w:rsidRDefault="00D52370" w:rsidP="00D5237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C.33</w:t>
            </w:r>
          </w:p>
        </w:tc>
        <w:tc>
          <w:tcPr>
            <w:tcW w:w="861" w:type="pct"/>
            <w:tcBorders>
              <w:top w:val="single" w:sz="4" w:space="0" w:color="2E77D6"/>
              <w:bottom w:val="single" w:sz="4" w:space="0" w:color="2E77D6"/>
              <w:right w:val="single" w:sz="4" w:space="0" w:color="2E77D6"/>
            </w:tcBorders>
            <w:vAlign w:val="center"/>
          </w:tcPr>
          <w:p w14:paraId="13E18069" w14:textId="5F9D7D7D" w:rsidR="00D52370" w:rsidRPr="000D694A" w:rsidRDefault="00D52370" w:rsidP="00D5237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Accessible performance data</w:t>
            </w:r>
          </w:p>
        </w:tc>
        <w:tc>
          <w:tcPr>
            <w:tcW w:w="202" w:type="pct"/>
            <w:tcBorders>
              <w:top w:val="single" w:sz="4" w:space="0" w:color="2E77D6"/>
              <w:left w:val="single" w:sz="4" w:space="0" w:color="2E77D6"/>
              <w:bottom w:val="single" w:sz="4" w:space="0" w:color="2E77D6"/>
              <w:right w:val="single" w:sz="4" w:space="0" w:color="2E77D6"/>
            </w:tcBorders>
            <w:vAlign w:val="center"/>
          </w:tcPr>
          <w:p w14:paraId="4D07E73A" w14:textId="77777777" w:rsidR="00D52370" w:rsidRPr="000A6724" w:rsidRDefault="00D52370" w:rsidP="00D52370">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2E77D6"/>
              <w:left w:val="single" w:sz="4" w:space="0" w:color="2E77D6"/>
              <w:bottom w:val="single" w:sz="4" w:space="0" w:color="2E77D6"/>
              <w:right w:val="single" w:sz="4" w:space="0" w:color="2E77D6"/>
            </w:tcBorders>
            <w:vAlign w:val="center"/>
          </w:tcPr>
          <w:p w14:paraId="433E86EB" w14:textId="77777777" w:rsidR="00D52370" w:rsidRPr="000A6724" w:rsidRDefault="00D52370" w:rsidP="00D52370">
            <w:pPr>
              <w:cnfStyle w:val="000000000000" w:firstRow="0" w:lastRow="0" w:firstColumn="0" w:lastColumn="0" w:oddVBand="0" w:evenVBand="0" w:oddHBand="0" w:evenHBand="0" w:firstRowFirstColumn="0" w:firstRowLastColumn="0" w:lastRowFirstColumn="0" w:lastRowLastColumn="0"/>
            </w:pPr>
          </w:p>
        </w:tc>
        <w:tc>
          <w:tcPr>
            <w:tcW w:w="200" w:type="pct"/>
            <w:tcBorders>
              <w:top w:val="single" w:sz="4" w:space="0" w:color="2E77D6"/>
              <w:left w:val="single" w:sz="4" w:space="0" w:color="2E77D6"/>
              <w:bottom w:val="single" w:sz="4" w:space="0" w:color="FFFFFF" w:themeColor="background1"/>
              <w:right w:val="single" w:sz="4" w:space="0" w:color="FFFFFF" w:themeColor="background1"/>
            </w:tcBorders>
            <w:shd w:val="clear" w:color="auto" w:fill="2E77D6"/>
            <w:vAlign w:val="center"/>
          </w:tcPr>
          <w:p w14:paraId="50CABFF5" w14:textId="77777777" w:rsidR="00D52370" w:rsidRPr="000A6724" w:rsidRDefault="00D52370" w:rsidP="00D52370">
            <w:pPr>
              <w:cnfStyle w:val="000000000000" w:firstRow="0" w:lastRow="0" w:firstColumn="0" w:lastColumn="0" w:oddVBand="0" w:evenVBand="0" w:oddHBand="0" w:evenHBand="0" w:firstRowFirstColumn="0" w:firstRowLastColumn="0" w:lastRowFirstColumn="0" w:lastRowLastColumn="0"/>
            </w:pPr>
          </w:p>
        </w:tc>
        <w:tc>
          <w:tcPr>
            <w:tcW w:w="200" w:type="pct"/>
            <w:tcBorders>
              <w:top w:val="single" w:sz="4" w:space="0" w:color="FFFFFF" w:themeColor="background1"/>
              <w:left w:val="single" w:sz="4" w:space="0" w:color="FFFFFF" w:themeColor="background1"/>
              <w:bottom w:val="single" w:sz="4" w:space="0" w:color="FFFFFF" w:themeColor="background1"/>
              <w:right w:val="single" w:sz="4" w:space="0" w:color="2E77D6"/>
            </w:tcBorders>
            <w:shd w:val="clear" w:color="auto" w:fill="2E77D6"/>
            <w:vAlign w:val="center"/>
          </w:tcPr>
          <w:p w14:paraId="0D330B00" w14:textId="77777777" w:rsidR="00D52370" w:rsidRPr="000A6724" w:rsidRDefault="00D52370" w:rsidP="00D52370">
            <w:pPr>
              <w:cnfStyle w:val="000000000000" w:firstRow="0" w:lastRow="0" w:firstColumn="0" w:lastColumn="0" w:oddVBand="0" w:evenVBand="0" w:oddHBand="0" w:evenHBand="0" w:firstRowFirstColumn="0" w:firstRowLastColumn="0" w:lastRowFirstColumn="0" w:lastRowLastColumn="0"/>
            </w:pPr>
          </w:p>
        </w:tc>
      </w:tr>
      <w:tr w:rsidR="00EE6AE2" w:rsidRPr="00236C2C" w14:paraId="7E429229" w14:textId="77777777" w:rsidTr="00D050A9">
        <w:tc>
          <w:tcPr>
            <w:cnfStyle w:val="001000000000" w:firstRow="0" w:lastRow="0" w:firstColumn="1" w:lastColumn="0" w:oddVBand="0" w:evenVBand="0" w:oddHBand="0" w:evenHBand="0" w:firstRowFirstColumn="0" w:firstRowLastColumn="0" w:lastRowFirstColumn="0" w:lastRowLastColumn="0"/>
            <w:tcW w:w="2685" w:type="pct"/>
            <w:tcBorders>
              <w:top w:val="single" w:sz="4" w:space="0" w:color="2E77D6"/>
              <w:bottom w:val="single" w:sz="4" w:space="0" w:color="2E77D6"/>
            </w:tcBorders>
            <w:vAlign w:val="center"/>
          </w:tcPr>
          <w:p w14:paraId="1354018C" w14:textId="7CF0D6A7" w:rsidR="00EE6AE2" w:rsidRPr="000F7F34" w:rsidRDefault="00EE6AE2" w:rsidP="000F7F34">
            <w:pPr>
              <w:pStyle w:val="TableHeadings"/>
              <w:rPr>
                <w:b/>
                <w:bCs/>
              </w:rPr>
            </w:pPr>
            <w:r w:rsidRPr="000F7F34">
              <w:rPr>
                <w:b/>
                <w:bCs/>
              </w:rPr>
              <w:t xml:space="preserve">Share evidence of the effectiveness of health literacy initiatives across governments, the health workforce, </w:t>
            </w:r>
            <w:proofErr w:type="gramStart"/>
            <w:r w:rsidRPr="000F7F34">
              <w:rPr>
                <w:b/>
                <w:bCs/>
              </w:rPr>
              <w:t>researchers</w:t>
            </w:r>
            <w:proofErr w:type="gramEnd"/>
            <w:r w:rsidRPr="000F7F34">
              <w:rPr>
                <w:b/>
                <w:bCs/>
              </w:rPr>
              <w:t xml:space="preserve"> and the community</w:t>
            </w:r>
          </w:p>
        </w:tc>
        <w:tc>
          <w:tcPr>
            <w:tcW w:w="649" w:type="pct"/>
            <w:tcBorders>
              <w:top w:val="single" w:sz="4" w:space="0" w:color="2E77D6"/>
              <w:bottom w:val="single" w:sz="4" w:space="0" w:color="2E77D6"/>
            </w:tcBorders>
            <w:vAlign w:val="center"/>
          </w:tcPr>
          <w:p w14:paraId="18CC1262" w14:textId="5FC67306" w:rsidR="00EE6AE2" w:rsidRPr="000D694A" w:rsidRDefault="00EE6AE2" w:rsidP="00EE6AE2">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C.34</w:t>
            </w:r>
          </w:p>
        </w:tc>
        <w:tc>
          <w:tcPr>
            <w:tcW w:w="861" w:type="pct"/>
            <w:tcBorders>
              <w:top w:val="single" w:sz="4" w:space="0" w:color="2E77D6"/>
              <w:bottom w:val="single" w:sz="4" w:space="0" w:color="2E77D6"/>
              <w:right w:val="single" w:sz="4" w:space="0" w:color="2E77D6"/>
            </w:tcBorders>
            <w:vAlign w:val="center"/>
          </w:tcPr>
          <w:p w14:paraId="67E9E7C1" w14:textId="5C6C41D4" w:rsidR="00EE6AE2" w:rsidRPr="000D694A" w:rsidRDefault="00EE6AE2" w:rsidP="00EE6AE2">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Information sharing strategies and mechanisms utilised/developed</w:t>
            </w:r>
          </w:p>
        </w:tc>
        <w:tc>
          <w:tcPr>
            <w:tcW w:w="202" w:type="pct"/>
            <w:tcBorders>
              <w:top w:val="single" w:sz="4" w:space="0" w:color="2E77D6"/>
              <w:left w:val="single" w:sz="4" w:space="0" w:color="2E77D6"/>
              <w:bottom w:val="single" w:sz="4" w:space="0" w:color="2E77D6"/>
              <w:right w:val="single" w:sz="4" w:space="0" w:color="FFFFFF" w:themeColor="background1"/>
            </w:tcBorders>
            <w:shd w:val="clear" w:color="auto" w:fill="2E77D6"/>
            <w:vAlign w:val="center"/>
          </w:tcPr>
          <w:p w14:paraId="136CD31F" w14:textId="77777777" w:rsidR="00EE6AE2" w:rsidRPr="000A6724" w:rsidRDefault="00EE6AE2" w:rsidP="00EE6AE2">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2E77D6"/>
              <w:left w:val="single" w:sz="4" w:space="0" w:color="FFFFFF" w:themeColor="background1"/>
              <w:bottom w:val="single" w:sz="4" w:space="0" w:color="2E77D6"/>
              <w:right w:val="single" w:sz="4" w:space="0" w:color="FFFFFF" w:themeColor="background1"/>
            </w:tcBorders>
            <w:shd w:val="clear" w:color="auto" w:fill="2E77D6"/>
            <w:vAlign w:val="center"/>
          </w:tcPr>
          <w:p w14:paraId="50EC1757" w14:textId="77777777" w:rsidR="00EE6AE2" w:rsidRPr="000A6724" w:rsidRDefault="00EE6AE2" w:rsidP="00EE6AE2">
            <w:pPr>
              <w:cnfStyle w:val="000000000000" w:firstRow="0" w:lastRow="0" w:firstColumn="0" w:lastColumn="0" w:oddVBand="0" w:evenVBand="0" w:oddHBand="0" w:evenHBand="0" w:firstRowFirstColumn="0" w:firstRowLastColumn="0" w:lastRowFirstColumn="0" w:lastRowLastColumn="0"/>
            </w:pPr>
          </w:p>
        </w:tc>
        <w:tc>
          <w:tcPr>
            <w:tcW w:w="200" w:type="pct"/>
            <w:tcBorders>
              <w:top w:val="single" w:sz="4" w:space="0" w:color="FFFFFF" w:themeColor="background1"/>
              <w:left w:val="single" w:sz="4" w:space="0" w:color="FFFFFF" w:themeColor="background1"/>
              <w:bottom w:val="single" w:sz="4" w:space="0" w:color="2E77D6"/>
              <w:right w:val="single" w:sz="4" w:space="0" w:color="FFFFFF" w:themeColor="background1"/>
            </w:tcBorders>
            <w:shd w:val="clear" w:color="auto" w:fill="2E77D6"/>
            <w:vAlign w:val="center"/>
          </w:tcPr>
          <w:p w14:paraId="0C483E99" w14:textId="77777777" w:rsidR="00EE6AE2" w:rsidRPr="000A6724" w:rsidRDefault="00EE6AE2" w:rsidP="00EE6AE2">
            <w:pPr>
              <w:cnfStyle w:val="000000000000" w:firstRow="0" w:lastRow="0" w:firstColumn="0" w:lastColumn="0" w:oddVBand="0" w:evenVBand="0" w:oddHBand="0" w:evenHBand="0" w:firstRowFirstColumn="0" w:firstRowLastColumn="0" w:lastRowFirstColumn="0" w:lastRowLastColumn="0"/>
            </w:pPr>
          </w:p>
        </w:tc>
        <w:tc>
          <w:tcPr>
            <w:tcW w:w="200" w:type="pct"/>
            <w:tcBorders>
              <w:top w:val="single" w:sz="4" w:space="0" w:color="FFFFFF" w:themeColor="background1"/>
              <w:left w:val="single" w:sz="4" w:space="0" w:color="FFFFFF" w:themeColor="background1"/>
              <w:bottom w:val="single" w:sz="4" w:space="0" w:color="2E77D6"/>
              <w:right w:val="single" w:sz="4" w:space="0" w:color="2E77D6"/>
            </w:tcBorders>
            <w:shd w:val="clear" w:color="auto" w:fill="2E77D6"/>
            <w:vAlign w:val="center"/>
          </w:tcPr>
          <w:p w14:paraId="4A962CD4" w14:textId="77777777" w:rsidR="00EE6AE2" w:rsidRPr="000A6724" w:rsidRDefault="00EE6AE2" w:rsidP="00EE6AE2">
            <w:pPr>
              <w:cnfStyle w:val="000000000000" w:firstRow="0" w:lastRow="0" w:firstColumn="0" w:lastColumn="0" w:oddVBand="0" w:evenVBand="0" w:oddHBand="0" w:evenHBand="0" w:firstRowFirstColumn="0" w:firstRowLastColumn="0" w:lastRowFirstColumn="0" w:lastRowLastColumn="0"/>
            </w:pPr>
          </w:p>
        </w:tc>
      </w:tr>
    </w:tbl>
    <w:p w14:paraId="59FF9036" w14:textId="77777777" w:rsidR="005C3443" w:rsidRDefault="000E7A1F" w:rsidP="002C1A45">
      <w:r>
        <w:br w:type="page"/>
      </w:r>
    </w:p>
    <w:p w14:paraId="581DF765" w14:textId="250436D4" w:rsidR="00E2077D" w:rsidRDefault="0064700C" w:rsidP="009E4463">
      <w:pPr>
        <w:ind w:left="-426"/>
      </w:pPr>
      <w:r>
        <w:rPr>
          <w:noProof/>
          <w:lang w:eastAsia="en-AU"/>
        </w:rPr>
        <w:lastRenderedPageBreak/>
        <w:drawing>
          <wp:inline distT="0" distB="0" distL="0" distR="0" wp14:anchorId="7F03FF2E" wp14:editId="04424FB3">
            <wp:extent cx="6493690" cy="8820000"/>
            <wp:effectExtent l="0" t="0" r="2540" b="635"/>
            <wp:docPr id="9" name="Picture 9" descr="This image shows the Empowering people through health literacy - Outcomes Map. All the information in this image can be read in the tables prior to this 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mage shows the Empowering people through health literacy - Outcomes Map. All the information in this image can be read in the tables prior to this imag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3690" cy="8820000"/>
                    </a:xfrm>
                    <a:prstGeom prst="rect">
                      <a:avLst/>
                    </a:prstGeom>
                    <a:noFill/>
                  </pic:spPr>
                </pic:pic>
              </a:graphicData>
            </a:graphic>
          </wp:inline>
        </w:drawing>
      </w:r>
    </w:p>
    <w:tbl>
      <w:tblPr>
        <w:tblStyle w:val="DepartmentalTealstyle"/>
        <w:tblW w:w="5000" w:type="pct"/>
        <w:tblCellMar>
          <w:left w:w="57" w:type="dxa"/>
          <w:right w:w="57" w:type="dxa"/>
        </w:tblCellMar>
        <w:tblLook w:val="04A0" w:firstRow="1" w:lastRow="0" w:firstColumn="1" w:lastColumn="0" w:noHBand="0" w:noVBand="1"/>
        <w:tblDescription w:val="This table is a list of the reform stream for the Prevention and wellbeing"/>
      </w:tblPr>
      <w:tblGrid>
        <w:gridCol w:w="1923"/>
        <w:gridCol w:w="8275"/>
      </w:tblGrid>
      <w:tr w:rsidR="00EE6AE2" w:rsidRPr="00D050A9" w14:paraId="78F0ABAA" w14:textId="77777777" w:rsidTr="00D050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3" w:type="pct"/>
            <w:tcBorders>
              <w:top w:val="nil"/>
              <w:bottom w:val="nil"/>
            </w:tcBorders>
            <w:shd w:val="clear" w:color="auto" w:fill="B3612D"/>
          </w:tcPr>
          <w:p w14:paraId="03F697ED" w14:textId="77777777" w:rsidR="00EE6AE2" w:rsidRPr="009B3544" w:rsidRDefault="00EE6AE2" w:rsidP="009B3544">
            <w:r w:rsidRPr="009B3544">
              <w:lastRenderedPageBreak/>
              <w:br w:type="page"/>
              <w:t>Reform stream</w:t>
            </w:r>
          </w:p>
        </w:tc>
        <w:tc>
          <w:tcPr>
            <w:tcW w:w="4057" w:type="pct"/>
            <w:tcBorders>
              <w:top w:val="nil"/>
              <w:bottom w:val="nil"/>
            </w:tcBorders>
            <w:shd w:val="clear" w:color="auto" w:fill="B3612D"/>
          </w:tcPr>
          <w:p w14:paraId="262F2023" w14:textId="291EA273" w:rsidR="00EE6AE2" w:rsidRPr="009B3544" w:rsidRDefault="00EE6AE2" w:rsidP="009B3544">
            <w:pPr>
              <w:cnfStyle w:val="100000000000" w:firstRow="1" w:lastRow="0" w:firstColumn="0" w:lastColumn="0" w:oddVBand="0" w:evenVBand="0" w:oddHBand="0" w:evenHBand="0" w:firstRowFirstColumn="0" w:firstRowLastColumn="0" w:lastRowFirstColumn="0" w:lastRowLastColumn="0"/>
            </w:pPr>
            <w:bookmarkStart w:id="29" w:name="_Toc75425927"/>
            <w:r w:rsidRPr="009B3544">
              <w:t>Prevention and wellbeing</w:t>
            </w:r>
            <w:bookmarkEnd w:id="29"/>
          </w:p>
        </w:tc>
      </w:tr>
      <w:tr w:rsidR="00EE6AE2" w:rsidRPr="00236C2C" w14:paraId="50D9A33D" w14:textId="77777777" w:rsidTr="00D050A9">
        <w:trPr>
          <w:trHeight w:val="664"/>
        </w:trPr>
        <w:tc>
          <w:tcPr>
            <w:cnfStyle w:val="001000000000" w:firstRow="0" w:lastRow="0" w:firstColumn="1" w:lastColumn="0" w:oddVBand="0" w:evenVBand="0" w:oddHBand="0" w:evenHBand="0" w:firstRowFirstColumn="0" w:firstRowLastColumn="0" w:lastRowFirstColumn="0" w:lastRowLastColumn="0"/>
            <w:tcW w:w="943" w:type="pct"/>
            <w:tcBorders>
              <w:top w:val="nil"/>
              <w:bottom w:val="single" w:sz="4" w:space="0" w:color="B3612D"/>
            </w:tcBorders>
            <w:vAlign w:val="center"/>
          </w:tcPr>
          <w:p w14:paraId="43F68780" w14:textId="77777777" w:rsidR="00EE6AE2" w:rsidRPr="000F7F34" w:rsidRDefault="00EE6AE2" w:rsidP="000F7F34">
            <w:pPr>
              <w:pStyle w:val="TableHeadings"/>
              <w:rPr>
                <w:b/>
              </w:rPr>
            </w:pPr>
            <w:r w:rsidRPr="000F7F34">
              <w:rPr>
                <w:b/>
              </w:rPr>
              <w:t>Vision</w:t>
            </w:r>
          </w:p>
        </w:tc>
        <w:tc>
          <w:tcPr>
            <w:tcW w:w="4057" w:type="pct"/>
            <w:tcBorders>
              <w:top w:val="nil"/>
              <w:bottom w:val="single" w:sz="4" w:space="0" w:color="B3612D"/>
            </w:tcBorders>
            <w:vAlign w:val="center"/>
          </w:tcPr>
          <w:p w14:paraId="63B92552" w14:textId="77777777" w:rsidR="00EE6AE2" w:rsidRPr="000F7F3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Australians will live healthier lives. This reform will promote and maintain good physical and mental health and wellbeing and reduce the proportion of people living with preventable chronic conditions and delay the onset of these conditions. It will address the underlying drivers of preventable ill health – including social, </w:t>
            </w:r>
            <w:proofErr w:type="gramStart"/>
            <w:r w:rsidRPr="000F7F34">
              <w:t>economic</w:t>
            </w:r>
            <w:proofErr w:type="gramEnd"/>
            <w:r w:rsidRPr="000F7F34">
              <w:t xml:space="preserve"> and environmental factors – and will focus on those with greatest need. This reform will make our health system more equitable and more sustainable.</w:t>
            </w:r>
          </w:p>
        </w:tc>
      </w:tr>
      <w:tr w:rsidR="00EE6AE2" w:rsidRPr="00236C2C" w14:paraId="765F0248" w14:textId="77777777" w:rsidTr="00D050A9">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B3612D"/>
              <w:bottom w:val="single" w:sz="4" w:space="0" w:color="B3612D"/>
            </w:tcBorders>
            <w:vAlign w:val="center"/>
          </w:tcPr>
          <w:p w14:paraId="48583CF1" w14:textId="77777777" w:rsidR="00EE6AE2" w:rsidRPr="000F7F34" w:rsidRDefault="00EE6AE2" w:rsidP="000F7F34">
            <w:pPr>
              <w:pStyle w:val="TableHeadings"/>
              <w:rPr>
                <w:b/>
              </w:rPr>
            </w:pPr>
            <w:r w:rsidRPr="000F7F34">
              <w:rPr>
                <w:b/>
              </w:rPr>
              <w:t>Aim</w:t>
            </w:r>
          </w:p>
        </w:tc>
        <w:tc>
          <w:tcPr>
            <w:tcW w:w="4057" w:type="pct"/>
            <w:tcBorders>
              <w:top w:val="single" w:sz="4" w:space="0" w:color="B3612D"/>
              <w:bottom w:val="single" w:sz="4" w:space="0" w:color="B3612D"/>
            </w:tcBorders>
            <w:vAlign w:val="center"/>
          </w:tcPr>
          <w:p w14:paraId="7C26C4F6" w14:textId="789019B6" w:rsidR="00EE6AE2" w:rsidRPr="000F7F3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Primary prevention investment will be increased and invested in scalable, high-value, </w:t>
            </w:r>
            <w:r w:rsidR="00427E16">
              <w:br/>
            </w:r>
            <w:r w:rsidRPr="000F7F34">
              <w:t>evidence-based innovations so Australia’s health system can promote good health and wellbeing and better address preventable chronic disease.</w:t>
            </w:r>
          </w:p>
        </w:tc>
      </w:tr>
      <w:tr w:rsidR="00EE6AE2" w:rsidRPr="00236C2C" w14:paraId="2CBA5A45" w14:textId="77777777" w:rsidTr="00D050A9">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B3612D"/>
              <w:bottom w:val="single" w:sz="4" w:space="0" w:color="B3612D"/>
            </w:tcBorders>
            <w:vAlign w:val="center"/>
          </w:tcPr>
          <w:p w14:paraId="35E77A2B" w14:textId="77777777" w:rsidR="00EE6AE2" w:rsidRPr="000F7F34" w:rsidRDefault="00EE6AE2" w:rsidP="000F7F34">
            <w:pPr>
              <w:pStyle w:val="TableHeadings"/>
              <w:rPr>
                <w:b/>
              </w:rPr>
            </w:pPr>
            <w:r w:rsidRPr="000F7F34">
              <w:rPr>
                <w:b/>
              </w:rPr>
              <w:t>Case for change</w:t>
            </w:r>
          </w:p>
        </w:tc>
        <w:tc>
          <w:tcPr>
            <w:tcW w:w="4057" w:type="pct"/>
            <w:tcBorders>
              <w:top w:val="single" w:sz="4" w:space="0" w:color="B3612D"/>
              <w:bottom w:val="single" w:sz="4" w:space="0" w:color="B3612D"/>
            </w:tcBorders>
            <w:vAlign w:val="center"/>
          </w:tcPr>
          <w:p w14:paraId="0C46A0C3" w14:textId="77777777" w:rsidR="00EE6AE2" w:rsidRPr="000F7F3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Australia is a world leader in many areas of prevention, such as reducing levels of smoking, but despite ongoing action in other areas like tackling obesity, rates of chronic disease have not reduced. </w:t>
            </w:r>
          </w:p>
          <w:p w14:paraId="0C9203DA" w14:textId="77777777" w:rsidR="00EE6AE2" w:rsidRPr="000F7F3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0F7F34">
              <w:t>Almost 40 per cent of the total burden of disease could be prevented by reducing exposure to the top five risk factors – tobacco use, overweight and obesity, dietary risks, high blood pressure and high blood sugar. And approximately 40 per cent of preventable hospitalisations are due to chronic disease, placing a significant burden on the health system.</w:t>
            </w:r>
          </w:p>
          <w:p w14:paraId="58AA7FB6" w14:textId="4C29D9B6" w:rsidR="00EE6AE2" w:rsidRPr="000F7F3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0F7F34">
              <w:t>Funding for preventive health is low and varies across jurisdictions, with public health in Australia accounting for just 1.5 per cent of total health expenditure. There are ongoing difficulties in measuring impacts, outcomes, and returns on investment for preventive health activities. There are limited mechanisms to generate investment or support cross sector collaboration.</w:t>
            </w:r>
          </w:p>
          <w:p w14:paraId="1FF247D4" w14:textId="7AF59D65" w:rsidR="00EE6AE2" w:rsidRPr="000F7F3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The Commonwealth, states and territories recognise that effective prevention requires </w:t>
            </w:r>
            <w:r w:rsidR="00427E16">
              <w:br/>
            </w:r>
            <w:r w:rsidRPr="000F7F34">
              <w:t xml:space="preserve">cross-portfolio action and engagement to complement existing activities. Through the NHRA, all governments have committed to increase investment in primary prevention over time in </w:t>
            </w:r>
            <w:r w:rsidR="00427E16">
              <w:br/>
            </w:r>
            <w:r w:rsidRPr="000F7F34">
              <w:t>evidence-based initiatives.</w:t>
            </w:r>
          </w:p>
        </w:tc>
      </w:tr>
      <w:tr w:rsidR="00EE6AE2" w:rsidRPr="00236C2C" w14:paraId="2E043AB4" w14:textId="77777777" w:rsidTr="00D050A9">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B3612D"/>
              <w:bottom w:val="single" w:sz="4" w:space="0" w:color="B3612D"/>
            </w:tcBorders>
            <w:vAlign w:val="center"/>
          </w:tcPr>
          <w:p w14:paraId="0425E322" w14:textId="77777777" w:rsidR="00EE6AE2" w:rsidRPr="000F7F34" w:rsidRDefault="00EE6AE2" w:rsidP="000F7F34">
            <w:pPr>
              <w:pStyle w:val="TableHeadings"/>
              <w:rPr>
                <w:b/>
              </w:rPr>
            </w:pPr>
            <w:r w:rsidRPr="000F7F34">
              <w:rPr>
                <w:b/>
              </w:rPr>
              <w:t>Links to other reforms</w:t>
            </w:r>
          </w:p>
        </w:tc>
        <w:tc>
          <w:tcPr>
            <w:tcW w:w="4057" w:type="pct"/>
            <w:tcBorders>
              <w:top w:val="single" w:sz="4" w:space="0" w:color="B3612D"/>
              <w:bottom w:val="single" w:sz="4" w:space="0" w:color="B3612D"/>
            </w:tcBorders>
            <w:vAlign w:val="center"/>
          </w:tcPr>
          <w:p w14:paraId="3C874F91" w14:textId="7C91EEF5" w:rsidR="00EE6AE2" w:rsidRPr="000F7F34" w:rsidRDefault="00B94A3A" w:rsidP="000F7F34">
            <w:pPr>
              <w:pStyle w:val="TableContent"/>
              <w:cnfStyle w:val="000000000000" w:firstRow="0" w:lastRow="0" w:firstColumn="0" w:lastColumn="0" w:oddVBand="0" w:evenVBand="0" w:oddHBand="0" w:evenHBand="0" w:firstRowFirstColumn="0" w:firstRowLastColumn="0" w:lastRowFirstColumn="0" w:lastRowLastColumn="0"/>
            </w:pPr>
            <w:r w:rsidRPr="000F7F34">
              <w:t>This reform will build on the National Strategic Framework on Chronic Conditions, as well as the full range of evidence</w:t>
            </w:r>
            <w:r w:rsidR="00994AAC">
              <w:t>-</w:t>
            </w:r>
            <w:r w:rsidRPr="000F7F34">
              <w:t xml:space="preserve">based primary prevention activities undertaken nationally and within jurisdictions. It will support the implementation of existing commitments in development – </w:t>
            </w:r>
            <w:r>
              <w:t xml:space="preserve">such as </w:t>
            </w:r>
            <w:r w:rsidRPr="000F7F34">
              <w:t>the National Obesity Strategy</w:t>
            </w:r>
            <w:r>
              <w:t>,</w:t>
            </w:r>
            <w:r w:rsidRPr="000F7F34">
              <w:t xml:space="preserve"> the National Preventive Health Strategy</w:t>
            </w:r>
            <w:r>
              <w:t xml:space="preserve"> and the National Mental Health and Suicide Prevention Agreement</w:t>
            </w:r>
            <w:r w:rsidRPr="000F7F34">
              <w:t>.</w:t>
            </w:r>
          </w:p>
        </w:tc>
      </w:tr>
      <w:tr w:rsidR="00EE6AE2" w:rsidRPr="00236C2C" w14:paraId="45976C6B" w14:textId="77777777" w:rsidTr="00D050A9">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B3612D"/>
              <w:bottom w:val="single" w:sz="4" w:space="0" w:color="B3612D"/>
            </w:tcBorders>
            <w:vAlign w:val="center"/>
          </w:tcPr>
          <w:p w14:paraId="734CDABD" w14:textId="77777777" w:rsidR="00EE6AE2" w:rsidRPr="000F7F34" w:rsidRDefault="00EE6AE2" w:rsidP="000F7F34">
            <w:pPr>
              <w:pStyle w:val="TableHeadings"/>
              <w:rPr>
                <w:b/>
              </w:rPr>
            </w:pPr>
            <w:r w:rsidRPr="000F7F34">
              <w:rPr>
                <w:b/>
              </w:rPr>
              <w:t>Intended outcomes</w:t>
            </w:r>
          </w:p>
        </w:tc>
        <w:tc>
          <w:tcPr>
            <w:tcW w:w="4057" w:type="pct"/>
            <w:tcBorders>
              <w:top w:val="single" w:sz="4" w:space="0" w:color="B3612D"/>
              <w:bottom w:val="single" w:sz="4" w:space="0" w:color="B3612D"/>
            </w:tcBorders>
            <w:vAlign w:val="center"/>
          </w:tcPr>
          <w:p w14:paraId="66706C36" w14:textId="77777777" w:rsidR="00EE6AE2" w:rsidRPr="000F7F3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0F7F34">
              <w:t>During the term of this Addendum, all parties will strive to achieve:</w:t>
            </w:r>
          </w:p>
          <w:p w14:paraId="01F42EA9" w14:textId="77777777" w:rsidR="00EE6AE2" w:rsidRPr="000F7F34" w:rsidRDefault="00EE6AE2" w:rsidP="00DA4DF3">
            <w:pPr>
              <w:pStyle w:val="Table-BulletPointOrange"/>
              <w:cnfStyle w:val="000000000000" w:firstRow="0" w:lastRow="0" w:firstColumn="0" w:lastColumn="0" w:oddVBand="0" w:evenVBand="0" w:oddHBand="0" w:evenHBand="0" w:firstRowFirstColumn="0" w:firstRowLastColumn="0" w:lastRowFirstColumn="0" w:lastRowLastColumn="0"/>
            </w:pPr>
            <w:r w:rsidRPr="000F7F34">
              <w:t>a shared approach to the prevention of chronic conditions, their risk factors, and their underlying drivers</w:t>
            </w:r>
          </w:p>
          <w:p w14:paraId="0FAEB11C" w14:textId="77777777" w:rsidR="00EE6AE2" w:rsidRPr="000F7F34" w:rsidRDefault="00EE6AE2" w:rsidP="00DA4DF3">
            <w:pPr>
              <w:pStyle w:val="Table-BulletPointOrange"/>
              <w:cnfStyle w:val="000000000000" w:firstRow="0" w:lastRow="0" w:firstColumn="0" w:lastColumn="0" w:oddVBand="0" w:evenVBand="0" w:oddHBand="0" w:evenHBand="0" w:firstRowFirstColumn="0" w:firstRowLastColumn="0" w:lastRowFirstColumn="0" w:lastRowLastColumn="0"/>
            </w:pPr>
            <w:r w:rsidRPr="000F7F34">
              <w:t>removal of barriers and disincentives for prevention activities across the healthcare system to promote a better balance between prevention and treatment within the health system</w:t>
            </w:r>
          </w:p>
          <w:p w14:paraId="3BCD3CFE" w14:textId="77777777" w:rsidR="00EE6AE2" w:rsidRPr="000F7F34" w:rsidRDefault="00EE6AE2" w:rsidP="00DA4DF3">
            <w:pPr>
              <w:pStyle w:val="Table-BulletPointOrange"/>
              <w:cnfStyle w:val="000000000000" w:firstRow="0" w:lastRow="0" w:firstColumn="0" w:lastColumn="0" w:oddVBand="0" w:evenVBand="0" w:oddHBand="0" w:evenHBand="0" w:firstRowFirstColumn="0" w:firstRowLastColumn="0" w:lastRowFirstColumn="0" w:lastRowLastColumn="0"/>
            </w:pPr>
            <w:r w:rsidRPr="000F7F34">
              <w:t>increased investment (by all sources) in prevention activities, and a sustainable national prevention funding mechanism with appropriate incentives</w:t>
            </w:r>
          </w:p>
          <w:p w14:paraId="4BA9A122" w14:textId="77777777" w:rsidR="00EE6AE2" w:rsidRPr="00192F4C" w:rsidRDefault="00EE6AE2" w:rsidP="00DA4DF3">
            <w:pPr>
              <w:pStyle w:val="Table-BulletPointOrange"/>
              <w:cnfStyle w:val="000000000000" w:firstRow="0" w:lastRow="0" w:firstColumn="0" w:lastColumn="0" w:oddVBand="0" w:evenVBand="0" w:oddHBand="0" w:evenHBand="0" w:firstRowFirstColumn="0" w:firstRowLastColumn="0" w:lastRowFirstColumn="0" w:lastRowLastColumn="0"/>
              <w:rPr>
                <w:rFonts w:cstheme="minorHAnsi"/>
              </w:rPr>
            </w:pPr>
            <w:r w:rsidRPr="000F7F34">
              <w:t>a strengthened evidence base for primary prevention initiatives, including improved collection, linkage, analysis, access, use of prevention related data and evaluation of initiatives</w:t>
            </w:r>
          </w:p>
        </w:tc>
      </w:tr>
      <w:tr w:rsidR="00EE6AE2" w:rsidRPr="00236C2C" w14:paraId="0DBC35FC" w14:textId="77777777" w:rsidTr="00D050A9">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B3612D"/>
              <w:bottom w:val="single" w:sz="4" w:space="0" w:color="B3612D"/>
            </w:tcBorders>
            <w:vAlign w:val="center"/>
          </w:tcPr>
          <w:p w14:paraId="5D272142" w14:textId="77777777" w:rsidR="00EE6AE2" w:rsidRPr="000F7F34" w:rsidRDefault="00EE6AE2" w:rsidP="000F7F34">
            <w:pPr>
              <w:pStyle w:val="TableHeadings"/>
              <w:rPr>
                <w:b/>
              </w:rPr>
            </w:pPr>
            <w:r w:rsidRPr="000F7F34">
              <w:rPr>
                <w:b/>
              </w:rPr>
              <w:t>Key concepts</w:t>
            </w:r>
          </w:p>
        </w:tc>
        <w:tc>
          <w:tcPr>
            <w:tcW w:w="4057" w:type="pct"/>
            <w:tcBorders>
              <w:top w:val="single" w:sz="4" w:space="0" w:color="B3612D"/>
              <w:bottom w:val="single" w:sz="4" w:space="0" w:color="B3612D"/>
            </w:tcBorders>
            <w:vAlign w:val="center"/>
          </w:tcPr>
          <w:p w14:paraId="4133B964" w14:textId="77777777" w:rsidR="00EE6AE2" w:rsidRPr="000F7F3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The Commonwealth, states and territories will work together to explore innovative ways to finance evidence-based primary prevention activities, including through cross sector and non-government sources. This reform will lay the foundations for increased, sustained investment in preventing disease and promoting wellbeing, including addressing the wider determinants of health. </w:t>
            </w:r>
          </w:p>
          <w:p w14:paraId="785C180D" w14:textId="77777777" w:rsidR="00EE6AE2" w:rsidRPr="000F7F3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0F7F34">
              <w:t>Cohort-specific and risk-based approaches to planning and prioritisation will be explored.</w:t>
            </w:r>
          </w:p>
          <w:p w14:paraId="0013AC0E" w14:textId="77777777" w:rsidR="00EE6AE2" w:rsidRPr="000F7F3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0F7F34">
              <w:t>A national prevention and monitoring performance framework will include outcomes measures and indicators to show progress. It will develop targets and outcomes specifically relating to the health and wellbeing of Aboriginal and Torres Strait Islander populations. It will also develop a consistent way to measure the cost-effectiveness of prevention investment.</w:t>
            </w:r>
          </w:p>
        </w:tc>
      </w:tr>
      <w:tr w:rsidR="00EE6AE2" w:rsidRPr="00236C2C" w14:paraId="080DBB4F" w14:textId="77777777" w:rsidTr="00D050A9">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B3612D"/>
              <w:bottom w:val="single" w:sz="4" w:space="0" w:color="B3612D"/>
            </w:tcBorders>
            <w:vAlign w:val="center"/>
          </w:tcPr>
          <w:p w14:paraId="086FAE10" w14:textId="24DA9A8B" w:rsidR="00EE6AE2" w:rsidRPr="000F7F34" w:rsidRDefault="00EE6AE2" w:rsidP="000F7F34">
            <w:pPr>
              <w:pStyle w:val="TableHeadings"/>
              <w:rPr>
                <w:b/>
              </w:rPr>
            </w:pPr>
            <w:r w:rsidRPr="000F7F34">
              <w:rPr>
                <w:b/>
              </w:rPr>
              <w:t>COVID-19 related</w:t>
            </w:r>
            <w:r w:rsidR="009B3544">
              <w:rPr>
                <w:b/>
              </w:rPr>
              <w:t xml:space="preserve"> </w:t>
            </w:r>
            <w:r w:rsidRPr="000F7F34">
              <w:rPr>
                <w:b/>
              </w:rPr>
              <w:t>developments</w:t>
            </w:r>
          </w:p>
        </w:tc>
        <w:tc>
          <w:tcPr>
            <w:tcW w:w="4057" w:type="pct"/>
            <w:tcBorders>
              <w:top w:val="single" w:sz="4" w:space="0" w:color="B3612D"/>
              <w:bottom w:val="single" w:sz="4" w:space="0" w:color="B3612D"/>
            </w:tcBorders>
            <w:vAlign w:val="center"/>
          </w:tcPr>
          <w:p w14:paraId="3F754EB5" w14:textId="77777777" w:rsidR="00EE6AE2" w:rsidRPr="000F7F3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Key risk factors for illness and fatalities from COVID-19 included obesity and chronic disease, highlighting the risk to our population and the urgent need for action on non-communicable disease. </w:t>
            </w:r>
          </w:p>
          <w:p w14:paraId="1259548F" w14:textId="37191FAB" w:rsidR="00EE6AE2" w:rsidRPr="000F7F3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The COVID-19 response included a number of preventive approaches, including: pro-active outreach programs to support people at high risk for COVID-19, including people with disabilities; mental health and wellbeing support programs; increased support for infectious disease emergency response research; and increased telephone and online access to support and </w:t>
            </w:r>
            <w:r w:rsidRPr="000F7F34">
              <w:lastRenderedPageBreak/>
              <w:t xml:space="preserve">information. </w:t>
            </w:r>
            <w:r w:rsidR="00FA6ACB">
              <w:br/>
            </w:r>
            <w:r w:rsidRPr="000F7F34">
              <w:t xml:space="preserve">This reform will explore the potential benefits and risks of embedding initiatives such as these </w:t>
            </w:r>
            <w:r w:rsidR="00FA6ACB">
              <w:br/>
            </w:r>
            <w:r w:rsidRPr="000F7F34">
              <w:t>in ongoing programs.</w:t>
            </w:r>
          </w:p>
        </w:tc>
      </w:tr>
    </w:tbl>
    <w:p w14:paraId="3E4D4047" w14:textId="0F1FC641" w:rsidR="000F7F34" w:rsidRDefault="000F7F34">
      <w:pPr>
        <w:spacing w:before="0" w:after="0"/>
      </w:pPr>
    </w:p>
    <w:tbl>
      <w:tblPr>
        <w:tblStyle w:val="DepartmentalTealstyle"/>
        <w:tblW w:w="5000" w:type="pct"/>
        <w:tblCellMar>
          <w:left w:w="57" w:type="dxa"/>
          <w:right w:w="57" w:type="dxa"/>
        </w:tblCellMar>
        <w:tblLook w:val="04A0" w:firstRow="1" w:lastRow="0" w:firstColumn="1" w:lastColumn="0" w:noHBand="0" w:noVBand="1"/>
        <w:tblDescription w:val="This table is a list of key components for the Prevention and wellbeing"/>
      </w:tblPr>
      <w:tblGrid>
        <w:gridCol w:w="5384"/>
        <w:gridCol w:w="1277"/>
        <w:gridCol w:w="1865"/>
        <w:gridCol w:w="418"/>
        <w:gridCol w:w="418"/>
        <w:gridCol w:w="418"/>
        <w:gridCol w:w="418"/>
      </w:tblGrid>
      <w:tr w:rsidR="000F7F34" w:rsidRPr="00D050A9" w14:paraId="554A0ED5" w14:textId="77777777" w:rsidTr="00D050A9">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659" w:type="pct"/>
            <w:tcBorders>
              <w:top w:val="nil"/>
              <w:bottom w:val="nil"/>
            </w:tcBorders>
            <w:shd w:val="clear" w:color="auto" w:fill="B3612D"/>
            <w:vAlign w:val="center"/>
          </w:tcPr>
          <w:p w14:paraId="2E9CDFE8" w14:textId="5970A0BF" w:rsidR="000F7F34" w:rsidRPr="009B3544" w:rsidRDefault="000F7F34" w:rsidP="009B3544">
            <w:r w:rsidRPr="00D050A9">
              <w:t>Key components</w:t>
            </w:r>
          </w:p>
        </w:tc>
        <w:tc>
          <w:tcPr>
            <w:tcW w:w="2341" w:type="pct"/>
            <w:gridSpan w:val="6"/>
            <w:tcBorders>
              <w:top w:val="nil"/>
              <w:bottom w:val="nil"/>
            </w:tcBorders>
            <w:shd w:val="clear" w:color="auto" w:fill="B3612D"/>
            <w:vAlign w:val="center"/>
          </w:tcPr>
          <w:p w14:paraId="53469189" w14:textId="77777777" w:rsidR="000F7F34" w:rsidRPr="00D050A9" w:rsidRDefault="000F7F34" w:rsidP="00D050A9">
            <w:pPr>
              <w:cnfStyle w:val="100000000000" w:firstRow="1" w:lastRow="0" w:firstColumn="0" w:lastColumn="0" w:oddVBand="0" w:evenVBand="0" w:oddHBand="0" w:evenHBand="0" w:firstRowFirstColumn="0" w:firstRowLastColumn="0" w:lastRowFirstColumn="0" w:lastRowLastColumn="0"/>
            </w:pPr>
          </w:p>
        </w:tc>
      </w:tr>
      <w:tr w:rsidR="000F7F34" w:rsidRPr="000D694A" w14:paraId="4F4445ED" w14:textId="77777777" w:rsidTr="00D050A9">
        <w:trPr>
          <w:trHeight w:val="564"/>
        </w:trPr>
        <w:tc>
          <w:tcPr>
            <w:cnfStyle w:val="001000000000" w:firstRow="0" w:lastRow="0" w:firstColumn="1" w:lastColumn="0" w:oddVBand="0" w:evenVBand="0" w:oddHBand="0" w:evenHBand="0" w:firstRowFirstColumn="0" w:firstRowLastColumn="0" w:lastRowFirstColumn="0" w:lastRowLastColumn="0"/>
            <w:tcW w:w="2659" w:type="pct"/>
            <w:vMerge w:val="restart"/>
            <w:tcBorders>
              <w:top w:val="single" w:sz="4" w:space="0" w:color="B3612D"/>
              <w:bottom w:val="single" w:sz="4" w:space="0" w:color="B3612D"/>
            </w:tcBorders>
            <w:shd w:val="clear" w:color="auto" w:fill="F2F2F2" w:themeFill="background1" w:themeFillShade="F2"/>
            <w:vAlign w:val="center"/>
          </w:tcPr>
          <w:p w14:paraId="630D862A" w14:textId="77777777" w:rsidR="000F7F34" w:rsidRPr="000F7F34" w:rsidRDefault="000F7F34" w:rsidP="000F7F34">
            <w:pPr>
              <w:pStyle w:val="TableHeadings"/>
              <w:rPr>
                <w:b/>
              </w:rPr>
            </w:pPr>
            <w:r w:rsidRPr="000F7F34">
              <w:rPr>
                <w:b/>
              </w:rPr>
              <w:t>National health reform agreement commitments</w:t>
            </w:r>
          </w:p>
        </w:tc>
        <w:tc>
          <w:tcPr>
            <w:tcW w:w="645" w:type="pct"/>
            <w:vMerge w:val="restart"/>
            <w:tcBorders>
              <w:top w:val="single" w:sz="4" w:space="0" w:color="B3612D"/>
              <w:bottom w:val="single" w:sz="4" w:space="0" w:color="B3612D"/>
            </w:tcBorders>
            <w:shd w:val="clear" w:color="auto" w:fill="F2F2F2" w:themeFill="background1" w:themeFillShade="F2"/>
            <w:vAlign w:val="center"/>
          </w:tcPr>
          <w:p w14:paraId="18E0D426" w14:textId="77777777" w:rsidR="000F7F34" w:rsidRPr="000F7F34" w:rsidRDefault="000F7F34" w:rsidP="000F7F34">
            <w:pPr>
              <w:pStyle w:val="TableHeadings"/>
              <w:cnfStyle w:val="000000000000" w:firstRow="0" w:lastRow="0" w:firstColumn="0" w:lastColumn="0" w:oddVBand="0" w:evenVBand="0" w:oddHBand="0" w:evenHBand="0" w:firstRowFirstColumn="0" w:firstRowLastColumn="0" w:lastRowFirstColumn="0" w:lastRowLastColumn="0"/>
            </w:pPr>
            <w:r w:rsidRPr="000F7F34">
              <w:t>NHRA clause</w:t>
            </w:r>
          </w:p>
        </w:tc>
        <w:tc>
          <w:tcPr>
            <w:tcW w:w="892" w:type="pct"/>
            <w:vMerge w:val="restart"/>
            <w:tcBorders>
              <w:top w:val="single" w:sz="4" w:space="0" w:color="B3612D"/>
              <w:bottom w:val="single" w:sz="4" w:space="0" w:color="B3612D"/>
              <w:right w:val="nil"/>
            </w:tcBorders>
            <w:shd w:val="clear" w:color="auto" w:fill="F2F2F2" w:themeFill="background1" w:themeFillShade="F2"/>
            <w:vAlign w:val="center"/>
          </w:tcPr>
          <w:p w14:paraId="043775F3" w14:textId="77777777" w:rsidR="000F7F34" w:rsidRPr="000F7F34" w:rsidRDefault="000F7F34" w:rsidP="000F7F34">
            <w:pPr>
              <w:pStyle w:val="TableHeadings"/>
              <w:cnfStyle w:val="000000000000" w:firstRow="0" w:lastRow="0" w:firstColumn="0" w:lastColumn="0" w:oddVBand="0" w:evenVBand="0" w:oddHBand="0" w:evenHBand="0" w:firstRowFirstColumn="0" w:firstRowLastColumn="0" w:lastRowFirstColumn="0" w:lastRowLastColumn="0"/>
            </w:pPr>
            <w:r w:rsidRPr="000F7F34">
              <w:t>Deliverable</w:t>
            </w:r>
          </w:p>
        </w:tc>
        <w:tc>
          <w:tcPr>
            <w:tcW w:w="803" w:type="pct"/>
            <w:gridSpan w:val="4"/>
            <w:tcBorders>
              <w:top w:val="single" w:sz="4" w:space="0" w:color="B3612D"/>
              <w:left w:val="nil"/>
              <w:bottom w:val="single" w:sz="4" w:space="0" w:color="B3612D"/>
            </w:tcBorders>
            <w:shd w:val="clear" w:color="auto" w:fill="F2F2F2" w:themeFill="background1" w:themeFillShade="F2"/>
            <w:vAlign w:val="center"/>
          </w:tcPr>
          <w:p w14:paraId="5EB48AF8" w14:textId="77777777" w:rsidR="000F7F34" w:rsidRPr="000F7F34" w:rsidRDefault="000F7F34" w:rsidP="000F7F34">
            <w:pPr>
              <w:pStyle w:val="TableHeadings"/>
              <w:cnfStyle w:val="000000000000" w:firstRow="0" w:lastRow="0" w:firstColumn="0" w:lastColumn="0" w:oddVBand="0" w:evenVBand="0" w:oddHBand="0" w:evenHBand="0" w:firstRowFirstColumn="0" w:firstRowLastColumn="0" w:lastRowFirstColumn="0" w:lastRowLastColumn="0"/>
            </w:pPr>
            <w:r w:rsidRPr="000F7F34">
              <w:t>Timeframes</w:t>
            </w:r>
          </w:p>
        </w:tc>
      </w:tr>
      <w:tr w:rsidR="000F7F34" w:rsidRPr="00C84DF4" w14:paraId="7A38FD4B" w14:textId="77777777" w:rsidTr="00D050A9">
        <w:trPr>
          <w:trHeight w:val="564"/>
        </w:trPr>
        <w:tc>
          <w:tcPr>
            <w:cnfStyle w:val="001000000000" w:firstRow="0" w:lastRow="0" w:firstColumn="1" w:lastColumn="0" w:oddVBand="0" w:evenVBand="0" w:oddHBand="0" w:evenHBand="0" w:firstRowFirstColumn="0" w:firstRowLastColumn="0" w:lastRowFirstColumn="0" w:lastRowLastColumn="0"/>
            <w:tcW w:w="2659" w:type="pct"/>
            <w:vMerge/>
            <w:tcBorders>
              <w:top w:val="nil"/>
              <w:bottom w:val="single" w:sz="4" w:space="0" w:color="B3612D"/>
            </w:tcBorders>
            <w:vAlign w:val="center"/>
          </w:tcPr>
          <w:p w14:paraId="093B7C47" w14:textId="77777777" w:rsidR="000F7F34" w:rsidRPr="000F7F34" w:rsidRDefault="000F7F34" w:rsidP="000F7F34">
            <w:pPr>
              <w:pStyle w:val="TableHeadings"/>
              <w:rPr>
                <w:b/>
              </w:rPr>
            </w:pPr>
          </w:p>
        </w:tc>
        <w:tc>
          <w:tcPr>
            <w:tcW w:w="645" w:type="pct"/>
            <w:vMerge/>
            <w:tcBorders>
              <w:top w:val="nil"/>
              <w:bottom w:val="single" w:sz="4" w:space="0" w:color="B3612D"/>
            </w:tcBorders>
            <w:vAlign w:val="center"/>
          </w:tcPr>
          <w:p w14:paraId="4A1B67D7" w14:textId="77777777" w:rsidR="000F7F34" w:rsidRPr="00C84DF4" w:rsidRDefault="000F7F34" w:rsidP="00C5600F">
            <w:pPr>
              <w:cnfStyle w:val="000000000000" w:firstRow="0" w:lastRow="0" w:firstColumn="0" w:lastColumn="0" w:oddVBand="0" w:evenVBand="0" w:oddHBand="0" w:evenHBand="0" w:firstRowFirstColumn="0" w:firstRowLastColumn="0" w:lastRowFirstColumn="0" w:lastRowLastColumn="0"/>
            </w:pPr>
          </w:p>
        </w:tc>
        <w:tc>
          <w:tcPr>
            <w:tcW w:w="892" w:type="pct"/>
            <w:vMerge/>
            <w:tcBorders>
              <w:top w:val="nil"/>
              <w:bottom w:val="single" w:sz="4" w:space="0" w:color="B3612D"/>
              <w:right w:val="single" w:sz="4" w:space="0" w:color="B3612D"/>
            </w:tcBorders>
            <w:vAlign w:val="center"/>
          </w:tcPr>
          <w:p w14:paraId="186B77DA" w14:textId="77777777" w:rsidR="000F7F34" w:rsidRPr="00C84DF4" w:rsidRDefault="000F7F34" w:rsidP="00C5600F">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B3612D"/>
              <w:left w:val="single" w:sz="4" w:space="0" w:color="B3612D"/>
              <w:bottom w:val="single" w:sz="4" w:space="0" w:color="B3612D"/>
              <w:right w:val="single" w:sz="4" w:space="0" w:color="B3612D"/>
            </w:tcBorders>
            <w:shd w:val="clear" w:color="auto" w:fill="F2F2F2" w:themeFill="background1" w:themeFillShade="F2"/>
            <w:vAlign w:val="center"/>
          </w:tcPr>
          <w:p w14:paraId="6DE1AA61" w14:textId="77777777" w:rsidR="000F7F34" w:rsidRPr="00C84DF4" w:rsidRDefault="000F7F34" w:rsidP="00C5600F">
            <w:pPr>
              <w:cnfStyle w:val="000000000000" w:firstRow="0" w:lastRow="0" w:firstColumn="0" w:lastColumn="0" w:oddVBand="0" w:evenVBand="0" w:oddHBand="0" w:evenHBand="0" w:firstRowFirstColumn="0" w:firstRowLastColumn="0" w:lastRowFirstColumn="0" w:lastRowLastColumn="0"/>
            </w:pPr>
            <w:r w:rsidRPr="00C84DF4">
              <w:t>21-22</w:t>
            </w:r>
          </w:p>
        </w:tc>
        <w:tc>
          <w:tcPr>
            <w:tcW w:w="201" w:type="pct"/>
            <w:tcBorders>
              <w:top w:val="single" w:sz="4" w:space="0" w:color="B3612D"/>
              <w:left w:val="single" w:sz="4" w:space="0" w:color="B3612D"/>
              <w:bottom w:val="single" w:sz="4" w:space="0" w:color="B3612D"/>
              <w:right w:val="single" w:sz="4" w:space="0" w:color="B3612D"/>
            </w:tcBorders>
            <w:shd w:val="clear" w:color="auto" w:fill="F2F2F2" w:themeFill="background1" w:themeFillShade="F2"/>
            <w:vAlign w:val="center"/>
          </w:tcPr>
          <w:p w14:paraId="05523052" w14:textId="77777777" w:rsidR="000F7F34" w:rsidRPr="00C84DF4" w:rsidRDefault="000F7F34" w:rsidP="00C5600F">
            <w:pPr>
              <w:cnfStyle w:val="000000000000" w:firstRow="0" w:lastRow="0" w:firstColumn="0" w:lastColumn="0" w:oddVBand="0" w:evenVBand="0" w:oddHBand="0" w:evenHBand="0" w:firstRowFirstColumn="0" w:firstRowLastColumn="0" w:lastRowFirstColumn="0" w:lastRowLastColumn="0"/>
            </w:pPr>
            <w:r w:rsidRPr="00C84DF4">
              <w:t>22-23</w:t>
            </w:r>
          </w:p>
        </w:tc>
        <w:tc>
          <w:tcPr>
            <w:tcW w:w="200" w:type="pct"/>
            <w:tcBorders>
              <w:top w:val="single" w:sz="4" w:space="0" w:color="B3612D"/>
              <w:left w:val="single" w:sz="4" w:space="0" w:color="B3612D"/>
              <w:bottom w:val="single" w:sz="4" w:space="0" w:color="B3612D"/>
              <w:right w:val="single" w:sz="4" w:space="0" w:color="B3612D"/>
            </w:tcBorders>
            <w:shd w:val="clear" w:color="auto" w:fill="F2F2F2" w:themeFill="background1" w:themeFillShade="F2"/>
            <w:vAlign w:val="center"/>
          </w:tcPr>
          <w:p w14:paraId="3D146E9D" w14:textId="77777777" w:rsidR="000F7F34" w:rsidRPr="00C84DF4" w:rsidRDefault="000F7F34" w:rsidP="00C5600F">
            <w:pPr>
              <w:cnfStyle w:val="000000000000" w:firstRow="0" w:lastRow="0" w:firstColumn="0" w:lastColumn="0" w:oddVBand="0" w:evenVBand="0" w:oddHBand="0" w:evenHBand="0" w:firstRowFirstColumn="0" w:firstRowLastColumn="0" w:lastRowFirstColumn="0" w:lastRowLastColumn="0"/>
            </w:pPr>
            <w:r w:rsidRPr="00C84DF4">
              <w:t>23-24</w:t>
            </w:r>
          </w:p>
        </w:tc>
        <w:tc>
          <w:tcPr>
            <w:tcW w:w="200" w:type="pct"/>
            <w:tcBorders>
              <w:top w:val="single" w:sz="4" w:space="0" w:color="B3612D"/>
              <w:left w:val="single" w:sz="4" w:space="0" w:color="B3612D"/>
              <w:bottom w:val="single" w:sz="4" w:space="0" w:color="B3612D"/>
              <w:right w:val="single" w:sz="4" w:space="0" w:color="B3612D"/>
            </w:tcBorders>
            <w:shd w:val="clear" w:color="auto" w:fill="F2F2F2" w:themeFill="background1" w:themeFillShade="F2"/>
            <w:vAlign w:val="center"/>
          </w:tcPr>
          <w:p w14:paraId="53E4590C" w14:textId="77777777" w:rsidR="000F7F34" w:rsidRPr="00C84DF4" w:rsidRDefault="000F7F34" w:rsidP="00C5600F">
            <w:pPr>
              <w:cnfStyle w:val="000000000000" w:firstRow="0" w:lastRow="0" w:firstColumn="0" w:lastColumn="0" w:oddVBand="0" w:evenVBand="0" w:oddHBand="0" w:evenHBand="0" w:firstRowFirstColumn="0" w:firstRowLastColumn="0" w:lastRowFirstColumn="0" w:lastRowLastColumn="0"/>
            </w:pPr>
            <w:r w:rsidRPr="00C84DF4">
              <w:t>24-25</w:t>
            </w:r>
          </w:p>
        </w:tc>
      </w:tr>
      <w:tr w:rsidR="000F7F34" w:rsidRPr="00206493" w14:paraId="4A47AD0E" w14:textId="77777777" w:rsidTr="00D050A9">
        <w:trPr>
          <w:trHeight w:val="556"/>
        </w:trPr>
        <w:tc>
          <w:tcPr>
            <w:cnfStyle w:val="001000000000" w:firstRow="0" w:lastRow="0" w:firstColumn="1" w:lastColumn="0" w:oddVBand="0" w:evenVBand="0" w:oddHBand="0" w:evenHBand="0" w:firstRowFirstColumn="0" w:firstRowLastColumn="0" w:lastRowFirstColumn="0" w:lastRowLastColumn="0"/>
            <w:tcW w:w="2659" w:type="pct"/>
            <w:tcBorders>
              <w:top w:val="single" w:sz="4" w:space="0" w:color="B3612D"/>
              <w:bottom w:val="single" w:sz="4" w:space="0" w:color="B3612D"/>
            </w:tcBorders>
            <w:vAlign w:val="center"/>
          </w:tcPr>
          <w:p w14:paraId="775A2193" w14:textId="77777777" w:rsidR="000F7F34" w:rsidRPr="000F7F34" w:rsidRDefault="000F7F34" w:rsidP="000F7F34">
            <w:pPr>
              <w:pStyle w:val="TableHeadings"/>
              <w:rPr>
                <w:b/>
              </w:rPr>
            </w:pPr>
            <w:r w:rsidRPr="000F7F34">
              <w:rPr>
                <w:b/>
              </w:rPr>
              <w:t>Review health system barriers to prevention</w:t>
            </w:r>
          </w:p>
        </w:tc>
        <w:tc>
          <w:tcPr>
            <w:tcW w:w="645" w:type="pct"/>
            <w:tcBorders>
              <w:top w:val="single" w:sz="4" w:space="0" w:color="B3612D"/>
              <w:bottom w:val="single" w:sz="4" w:space="0" w:color="B3612D"/>
            </w:tcBorders>
            <w:vAlign w:val="center"/>
          </w:tcPr>
          <w:p w14:paraId="57C70401" w14:textId="77777777" w:rsidR="000F7F34" w:rsidRPr="00EE6AE2" w:rsidRDefault="000F7F34" w:rsidP="00C5600F">
            <w:pPr>
              <w:cnfStyle w:val="000000000000" w:firstRow="0" w:lastRow="0" w:firstColumn="0" w:lastColumn="0" w:oddVBand="0" w:evenVBand="0" w:oddHBand="0" w:evenHBand="0" w:firstRowFirstColumn="0" w:firstRowLastColumn="0" w:lastRowFirstColumn="0" w:lastRowLastColumn="0"/>
              <w:rPr>
                <w:szCs w:val="21"/>
              </w:rPr>
            </w:pPr>
            <w:r w:rsidRPr="00EE6AE2">
              <w:rPr>
                <w:rFonts w:cstheme="minorHAnsi"/>
                <w:szCs w:val="21"/>
              </w:rPr>
              <w:t>C.40.e</w:t>
            </w:r>
          </w:p>
        </w:tc>
        <w:tc>
          <w:tcPr>
            <w:tcW w:w="892" w:type="pct"/>
            <w:tcBorders>
              <w:top w:val="single" w:sz="4" w:space="0" w:color="B3612D"/>
              <w:bottom w:val="single" w:sz="4" w:space="0" w:color="B3612D"/>
              <w:right w:val="single" w:sz="4" w:space="0" w:color="B3612D"/>
            </w:tcBorders>
            <w:vAlign w:val="center"/>
          </w:tcPr>
          <w:p w14:paraId="08F18118" w14:textId="77777777" w:rsidR="000F7F34" w:rsidRPr="00EE6AE2" w:rsidRDefault="000F7F34" w:rsidP="00C5600F">
            <w:pPr>
              <w:cnfStyle w:val="000000000000" w:firstRow="0" w:lastRow="0" w:firstColumn="0" w:lastColumn="0" w:oddVBand="0" w:evenVBand="0" w:oddHBand="0" w:evenHBand="0" w:firstRowFirstColumn="0" w:firstRowLastColumn="0" w:lastRowFirstColumn="0" w:lastRowLastColumn="0"/>
              <w:rPr>
                <w:szCs w:val="21"/>
              </w:rPr>
            </w:pPr>
            <w:r w:rsidRPr="00EE6AE2">
              <w:rPr>
                <w:rFonts w:cstheme="minorHAnsi"/>
                <w:szCs w:val="21"/>
              </w:rPr>
              <w:t>Action plan</w:t>
            </w:r>
          </w:p>
        </w:tc>
        <w:tc>
          <w:tcPr>
            <w:tcW w:w="202" w:type="pct"/>
            <w:tcBorders>
              <w:top w:val="single" w:sz="4" w:space="0" w:color="B3612D"/>
              <w:left w:val="single" w:sz="4" w:space="0" w:color="B3612D"/>
              <w:bottom w:val="single" w:sz="4" w:space="0" w:color="FFFFFF" w:themeColor="background1"/>
              <w:right w:val="single" w:sz="4" w:space="0" w:color="FFFFFF" w:themeColor="background1"/>
            </w:tcBorders>
            <w:shd w:val="clear" w:color="auto" w:fill="B3612D"/>
            <w:vAlign w:val="center"/>
          </w:tcPr>
          <w:p w14:paraId="33F22A52"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c>
          <w:tcPr>
            <w:tcW w:w="201" w:type="pct"/>
            <w:tcBorders>
              <w:top w:val="single" w:sz="4" w:space="0" w:color="B3612D"/>
              <w:left w:val="single" w:sz="4" w:space="0" w:color="FFFFFF" w:themeColor="background1"/>
              <w:bottom w:val="single" w:sz="4" w:space="0" w:color="B3612D"/>
              <w:right w:val="single" w:sz="4" w:space="0" w:color="B3612D"/>
            </w:tcBorders>
            <w:vAlign w:val="center"/>
          </w:tcPr>
          <w:p w14:paraId="6C4E52E5"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c>
          <w:tcPr>
            <w:tcW w:w="200" w:type="pct"/>
            <w:tcBorders>
              <w:top w:val="single" w:sz="4" w:space="0" w:color="B3612D"/>
              <w:left w:val="single" w:sz="4" w:space="0" w:color="B3612D"/>
              <w:bottom w:val="single" w:sz="4" w:space="0" w:color="B3612D"/>
              <w:right w:val="single" w:sz="4" w:space="0" w:color="B3612D"/>
            </w:tcBorders>
            <w:vAlign w:val="center"/>
          </w:tcPr>
          <w:p w14:paraId="13CF037F"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c>
          <w:tcPr>
            <w:tcW w:w="200" w:type="pct"/>
            <w:tcBorders>
              <w:top w:val="single" w:sz="4" w:space="0" w:color="B3612D"/>
              <w:left w:val="single" w:sz="4" w:space="0" w:color="B3612D"/>
              <w:bottom w:val="single" w:sz="4" w:space="0" w:color="B3612D"/>
              <w:right w:val="single" w:sz="4" w:space="0" w:color="B3612D"/>
            </w:tcBorders>
            <w:vAlign w:val="center"/>
          </w:tcPr>
          <w:p w14:paraId="07C5CC9F"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r>
      <w:tr w:rsidR="000F7F34" w:rsidRPr="00206493" w14:paraId="383354AC" w14:textId="77777777" w:rsidTr="00D050A9">
        <w:trPr>
          <w:trHeight w:val="556"/>
        </w:trPr>
        <w:tc>
          <w:tcPr>
            <w:cnfStyle w:val="001000000000" w:firstRow="0" w:lastRow="0" w:firstColumn="1" w:lastColumn="0" w:oddVBand="0" w:evenVBand="0" w:oddHBand="0" w:evenHBand="0" w:firstRowFirstColumn="0" w:firstRowLastColumn="0" w:lastRowFirstColumn="0" w:lastRowLastColumn="0"/>
            <w:tcW w:w="2659" w:type="pct"/>
            <w:tcBorders>
              <w:top w:val="single" w:sz="4" w:space="0" w:color="B3612D"/>
              <w:bottom w:val="single" w:sz="4" w:space="0" w:color="B3612D"/>
            </w:tcBorders>
            <w:vAlign w:val="center"/>
          </w:tcPr>
          <w:p w14:paraId="3AC6BBE4" w14:textId="77777777" w:rsidR="000F7F34" w:rsidRPr="000F7F34" w:rsidRDefault="000F7F34" w:rsidP="000F7F34">
            <w:pPr>
              <w:pStyle w:val="TableHeadings"/>
              <w:rPr>
                <w:b/>
              </w:rPr>
            </w:pPr>
            <w:r w:rsidRPr="000F7F34">
              <w:rPr>
                <w:b/>
              </w:rPr>
              <w:t xml:space="preserve">Agree a national monitoring and reporting framework, including outcomes and progress measures to inform priorities for prevention investment </w:t>
            </w:r>
          </w:p>
        </w:tc>
        <w:tc>
          <w:tcPr>
            <w:tcW w:w="645" w:type="pct"/>
            <w:tcBorders>
              <w:top w:val="single" w:sz="4" w:space="0" w:color="B3612D"/>
              <w:bottom w:val="single" w:sz="4" w:space="0" w:color="B3612D"/>
            </w:tcBorders>
            <w:vAlign w:val="center"/>
          </w:tcPr>
          <w:p w14:paraId="7522F071" w14:textId="77777777" w:rsidR="000F7F34" w:rsidRPr="00EE6AE2" w:rsidRDefault="000F7F34" w:rsidP="00C5600F">
            <w:pPr>
              <w:cnfStyle w:val="000000000000" w:firstRow="0" w:lastRow="0" w:firstColumn="0" w:lastColumn="0" w:oddVBand="0" w:evenVBand="0" w:oddHBand="0" w:evenHBand="0" w:firstRowFirstColumn="0" w:firstRowLastColumn="0" w:lastRowFirstColumn="0" w:lastRowLastColumn="0"/>
              <w:rPr>
                <w:szCs w:val="21"/>
              </w:rPr>
            </w:pPr>
            <w:r w:rsidRPr="00EE6AE2">
              <w:rPr>
                <w:rFonts w:cstheme="minorHAnsi"/>
                <w:szCs w:val="21"/>
              </w:rPr>
              <w:t>C.40.a</w:t>
            </w:r>
          </w:p>
        </w:tc>
        <w:tc>
          <w:tcPr>
            <w:tcW w:w="892" w:type="pct"/>
            <w:tcBorders>
              <w:top w:val="single" w:sz="4" w:space="0" w:color="B3612D"/>
              <w:bottom w:val="single" w:sz="4" w:space="0" w:color="B3612D"/>
              <w:right w:val="single" w:sz="4" w:space="0" w:color="B3612D"/>
            </w:tcBorders>
            <w:vAlign w:val="center"/>
          </w:tcPr>
          <w:p w14:paraId="586F1E5A" w14:textId="77777777" w:rsidR="000F7F34" w:rsidRPr="00EE6AE2" w:rsidRDefault="000F7F34" w:rsidP="00C5600F">
            <w:pPr>
              <w:cnfStyle w:val="000000000000" w:firstRow="0" w:lastRow="0" w:firstColumn="0" w:lastColumn="0" w:oddVBand="0" w:evenVBand="0" w:oddHBand="0" w:evenHBand="0" w:firstRowFirstColumn="0" w:firstRowLastColumn="0" w:lastRowFirstColumn="0" w:lastRowLastColumn="0"/>
              <w:rPr>
                <w:szCs w:val="21"/>
              </w:rPr>
            </w:pPr>
            <w:r w:rsidRPr="00EE6AE2">
              <w:rPr>
                <w:rFonts w:cstheme="minorHAnsi"/>
                <w:szCs w:val="21"/>
              </w:rPr>
              <w:t>Framework</w:t>
            </w:r>
          </w:p>
        </w:tc>
        <w:tc>
          <w:tcPr>
            <w:tcW w:w="202" w:type="pct"/>
            <w:tcBorders>
              <w:top w:val="single" w:sz="4" w:space="0" w:color="FFFFFF" w:themeColor="background1"/>
              <w:left w:val="single" w:sz="4" w:space="0" w:color="B3612D"/>
              <w:bottom w:val="single" w:sz="4" w:space="0" w:color="B3612D"/>
              <w:right w:val="single" w:sz="4" w:space="0" w:color="FFFFFF" w:themeColor="background1"/>
            </w:tcBorders>
            <w:shd w:val="clear" w:color="auto" w:fill="B3612D"/>
            <w:vAlign w:val="center"/>
          </w:tcPr>
          <w:p w14:paraId="39EC53EA"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c>
          <w:tcPr>
            <w:tcW w:w="201" w:type="pct"/>
            <w:tcBorders>
              <w:top w:val="single" w:sz="4" w:space="0" w:color="B3612D"/>
              <w:left w:val="single" w:sz="4" w:space="0" w:color="FFFFFF" w:themeColor="background1"/>
              <w:bottom w:val="single" w:sz="4" w:space="0" w:color="FFFFFF" w:themeColor="background1"/>
              <w:right w:val="single" w:sz="4" w:space="0" w:color="B3612D"/>
            </w:tcBorders>
            <w:shd w:val="clear" w:color="auto" w:fill="B3612D"/>
            <w:vAlign w:val="center"/>
          </w:tcPr>
          <w:p w14:paraId="3A5BFD18"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c>
          <w:tcPr>
            <w:tcW w:w="200" w:type="pct"/>
            <w:tcBorders>
              <w:top w:val="single" w:sz="4" w:space="0" w:color="B3612D"/>
              <w:left w:val="single" w:sz="4" w:space="0" w:color="B3612D"/>
              <w:bottom w:val="single" w:sz="4" w:space="0" w:color="B3612D"/>
              <w:right w:val="single" w:sz="4" w:space="0" w:color="B3612D"/>
            </w:tcBorders>
            <w:vAlign w:val="center"/>
          </w:tcPr>
          <w:p w14:paraId="76094753"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c>
          <w:tcPr>
            <w:tcW w:w="200" w:type="pct"/>
            <w:tcBorders>
              <w:top w:val="single" w:sz="4" w:space="0" w:color="B3612D"/>
              <w:left w:val="single" w:sz="4" w:space="0" w:color="B3612D"/>
              <w:bottom w:val="single" w:sz="4" w:space="0" w:color="B3612D"/>
              <w:right w:val="single" w:sz="4" w:space="0" w:color="B3612D"/>
            </w:tcBorders>
            <w:vAlign w:val="center"/>
          </w:tcPr>
          <w:p w14:paraId="5D02318A"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r>
      <w:tr w:rsidR="000F7F34" w:rsidRPr="00206493" w14:paraId="1B178BDF" w14:textId="77777777" w:rsidTr="00D050A9">
        <w:tc>
          <w:tcPr>
            <w:cnfStyle w:val="001000000000" w:firstRow="0" w:lastRow="0" w:firstColumn="1" w:lastColumn="0" w:oddVBand="0" w:evenVBand="0" w:oddHBand="0" w:evenHBand="0" w:firstRowFirstColumn="0" w:firstRowLastColumn="0" w:lastRowFirstColumn="0" w:lastRowLastColumn="0"/>
            <w:tcW w:w="2659" w:type="pct"/>
            <w:tcBorders>
              <w:top w:val="single" w:sz="4" w:space="0" w:color="B3612D"/>
              <w:bottom w:val="single" w:sz="4" w:space="0" w:color="B3612D"/>
            </w:tcBorders>
            <w:vAlign w:val="center"/>
          </w:tcPr>
          <w:p w14:paraId="244426A6" w14:textId="77777777" w:rsidR="000F7F34" w:rsidRPr="000F7F34" w:rsidRDefault="000F7F34" w:rsidP="000F7F34">
            <w:pPr>
              <w:pStyle w:val="TableHeadings"/>
              <w:rPr>
                <w:b/>
              </w:rPr>
            </w:pPr>
            <w:r w:rsidRPr="000F7F34">
              <w:rPr>
                <w:b/>
              </w:rPr>
              <w:t xml:space="preserve">Develop innovative fit-for-purpose financing mechanisms for scaling primary prevention initiatives </w:t>
            </w:r>
          </w:p>
        </w:tc>
        <w:tc>
          <w:tcPr>
            <w:tcW w:w="645" w:type="pct"/>
            <w:tcBorders>
              <w:top w:val="single" w:sz="4" w:space="0" w:color="B3612D"/>
              <w:bottom w:val="single" w:sz="4" w:space="0" w:color="B3612D"/>
            </w:tcBorders>
            <w:vAlign w:val="center"/>
          </w:tcPr>
          <w:p w14:paraId="658B71D0" w14:textId="77777777" w:rsidR="000F7F34" w:rsidRPr="00EE6AE2" w:rsidRDefault="000F7F34" w:rsidP="00C5600F">
            <w:pPr>
              <w:spacing w:before="60"/>
              <w:cnfStyle w:val="000000000000" w:firstRow="0" w:lastRow="0" w:firstColumn="0" w:lastColumn="0" w:oddVBand="0" w:evenVBand="0" w:oddHBand="0" w:evenHBand="0" w:firstRowFirstColumn="0" w:firstRowLastColumn="0" w:lastRowFirstColumn="0" w:lastRowLastColumn="0"/>
              <w:rPr>
                <w:rFonts w:cstheme="minorHAnsi"/>
                <w:szCs w:val="21"/>
              </w:rPr>
            </w:pPr>
            <w:r w:rsidRPr="00EE6AE2">
              <w:rPr>
                <w:rFonts w:cstheme="minorHAnsi"/>
                <w:szCs w:val="21"/>
              </w:rPr>
              <w:t>C.40.c</w:t>
            </w:r>
          </w:p>
          <w:p w14:paraId="319A2BA7" w14:textId="77777777" w:rsidR="000F7F34" w:rsidRPr="00EE6AE2" w:rsidRDefault="000F7F34" w:rsidP="00C5600F">
            <w:pPr>
              <w:cnfStyle w:val="000000000000" w:firstRow="0" w:lastRow="0" w:firstColumn="0" w:lastColumn="0" w:oddVBand="0" w:evenVBand="0" w:oddHBand="0" w:evenHBand="0" w:firstRowFirstColumn="0" w:firstRowLastColumn="0" w:lastRowFirstColumn="0" w:lastRowLastColumn="0"/>
              <w:rPr>
                <w:szCs w:val="21"/>
              </w:rPr>
            </w:pPr>
            <w:r w:rsidRPr="00EE6AE2">
              <w:rPr>
                <w:rFonts w:cstheme="minorHAnsi"/>
                <w:szCs w:val="21"/>
              </w:rPr>
              <w:t>C.40.b</w:t>
            </w:r>
            <w:r w:rsidRPr="006E1C57">
              <w:t> </w:t>
            </w:r>
          </w:p>
        </w:tc>
        <w:tc>
          <w:tcPr>
            <w:tcW w:w="892" w:type="pct"/>
            <w:tcBorders>
              <w:top w:val="single" w:sz="4" w:space="0" w:color="B3612D"/>
              <w:bottom w:val="single" w:sz="4" w:space="0" w:color="B3612D"/>
              <w:right w:val="single" w:sz="4" w:space="0" w:color="B3612D"/>
            </w:tcBorders>
            <w:vAlign w:val="center"/>
          </w:tcPr>
          <w:p w14:paraId="02897F83" w14:textId="77777777" w:rsidR="000F7F34" w:rsidRPr="00EE6AE2" w:rsidRDefault="000F7F34" w:rsidP="00C5600F">
            <w:pPr>
              <w:cnfStyle w:val="000000000000" w:firstRow="0" w:lastRow="0" w:firstColumn="0" w:lastColumn="0" w:oddVBand="0" w:evenVBand="0" w:oddHBand="0" w:evenHBand="0" w:firstRowFirstColumn="0" w:firstRowLastColumn="0" w:lastRowFirstColumn="0" w:lastRowLastColumn="0"/>
              <w:rPr>
                <w:szCs w:val="21"/>
              </w:rPr>
            </w:pPr>
            <w:r w:rsidRPr="00EE6AE2">
              <w:rPr>
                <w:rFonts w:cstheme="minorHAnsi"/>
                <w:szCs w:val="21"/>
              </w:rPr>
              <w:t>Bilateral trials</w:t>
            </w:r>
          </w:p>
        </w:tc>
        <w:tc>
          <w:tcPr>
            <w:tcW w:w="202" w:type="pct"/>
            <w:tcBorders>
              <w:top w:val="single" w:sz="4" w:space="0" w:color="B3612D"/>
              <w:left w:val="single" w:sz="4" w:space="0" w:color="B3612D"/>
              <w:bottom w:val="single" w:sz="4" w:space="0" w:color="B3612D"/>
              <w:right w:val="single" w:sz="4" w:space="0" w:color="B3612D"/>
            </w:tcBorders>
            <w:vAlign w:val="center"/>
          </w:tcPr>
          <w:p w14:paraId="6FED6FE5"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c>
          <w:tcPr>
            <w:tcW w:w="201" w:type="pct"/>
            <w:tcBorders>
              <w:top w:val="single" w:sz="4" w:space="0" w:color="FFFFFF" w:themeColor="background1"/>
              <w:left w:val="single" w:sz="4" w:space="0" w:color="B3612D"/>
              <w:bottom w:val="single" w:sz="4" w:space="0" w:color="B3612D"/>
              <w:right w:val="single" w:sz="4" w:space="0" w:color="FFFFFF" w:themeColor="background1"/>
            </w:tcBorders>
            <w:shd w:val="clear" w:color="auto" w:fill="B3612D"/>
            <w:vAlign w:val="center"/>
          </w:tcPr>
          <w:p w14:paraId="02EAA3F3"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c>
          <w:tcPr>
            <w:tcW w:w="200" w:type="pct"/>
            <w:tcBorders>
              <w:top w:val="single" w:sz="4" w:space="0" w:color="B3612D"/>
              <w:left w:val="single" w:sz="4" w:space="0" w:color="FFFFFF" w:themeColor="background1"/>
              <w:bottom w:val="single" w:sz="4" w:space="0" w:color="FFFFFF" w:themeColor="background1"/>
              <w:right w:val="single" w:sz="4" w:space="0" w:color="B3612D"/>
            </w:tcBorders>
            <w:shd w:val="clear" w:color="auto" w:fill="B3612D"/>
            <w:vAlign w:val="center"/>
          </w:tcPr>
          <w:p w14:paraId="7EA06024"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c>
          <w:tcPr>
            <w:tcW w:w="200" w:type="pct"/>
            <w:tcBorders>
              <w:top w:val="single" w:sz="4" w:space="0" w:color="B3612D"/>
              <w:left w:val="single" w:sz="4" w:space="0" w:color="B3612D"/>
              <w:bottom w:val="single" w:sz="4" w:space="0" w:color="B3612D"/>
              <w:right w:val="single" w:sz="4" w:space="0" w:color="B3612D"/>
            </w:tcBorders>
            <w:vAlign w:val="center"/>
          </w:tcPr>
          <w:p w14:paraId="69952E21"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r>
      <w:tr w:rsidR="000F7F34" w:rsidRPr="00206493" w14:paraId="2518D692" w14:textId="77777777" w:rsidTr="00D050A9">
        <w:tc>
          <w:tcPr>
            <w:cnfStyle w:val="001000000000" w:firstRow="0" w:lastRow="0" w:firstColumn="1" w:lastColumn="0" w:oddVBand="0" w:evenVBand="0" w:oddHBand="0" w:evenHBand="0" w:firstRowFirstColumn="0" w:firstRowLastColumn="0" w:lastRowFirstColumn="0" w:lastRowLastColumn="0"/>
            <w:tcW w:w="2659" w:type="pct"/>
            <w:tcBorders>
              <w:top w:val="single" w:sz="4" w:space="0" w:color="B3612D"/>
              <w:bottom w:val="single" w:sz="4" w:space="0" w:color="B3612D"/>
            </w:tcBorders>
            <w:vAlign w:val="center"/>
          </w:tcPr>
          <w:p w14:paraId="715DA25B" w14:textId="77777777" w:rsidR="000F7F34" w:rsidRPr="000F7F34" w:rsidRDefault="000F7F34" w:rsidP="000F7F34">
            <w:pPr>
              <w:pStyle w:val="TableHeadings"/>
              <w:rPr>
                <w:b/>
              </w:rPr>
            </w:pPr>
            <w:r w:rsidRPr="000F7F34">
              <w:rPr>
                <w:b/>
              </w:rPr>
              <w:t xml:space="preserve">Explore evidence-based regulatory prevention measures </w:t>
            </w:r>
          </w:p>
        </w:tc>
        <w:tc>
          <w:tcPr>
            <w:tcW w:w="645" w:type="pct"/>
            <w:tcBorders>
              <w:top w:val="single" w:sz="4" w:space="0" w:color="B3612D"/>
              <w:bottom w:val="single" w:sz="4" w:space="0" w:color="B3612D"/>
            </w:tcBorders>
            <w:vAlign w:val="center"/>
          </w:tcPr>
          <w:p w14:paraId="302A6DAD" w14:textId="77777777" w:rsidR="000F7F34" w:rsidRPr="00EE6AE2" w:rsidRDefault="000F7F34" w:rsidP="00C5600F">
            <w:pPr>
              <w:cnfStyle w:val="000000000000" w:firstRow="0" w:lastRow="0" w:firstColumn="0" w:lastColumn="0" w:oddVBand="0" w:evenVBand="0" w:oddHBand="0" w:evenHBand="0" w:firstRowFirstColumn="0" w:firstRowLastColumn="0" w:lastRowFirstColumn="0" w:lastRowLastColumn="0"/>
              <w:rPr>
                <w:szCs w:val="21"/>
              </w:rPr>
            </w:pPr>
            <w:r w:rsidRPr="00EE6AE2">
              <w:rPr>
                <w:rFonts w:cstheme="minorHAnsi"/>
                <w:szCs w:val="21"/>
              </w:rPr>
              <w:t>C.40.d</w:t>
            </w:r>
          </w:p>
        </w:tc>
        <w:tc>
          <w:tcPr>
            <w:tcW w:w="892" w:type="pct"/>
            <w:tcBorders>
              <w:top w:val="single" w:sz="4" w:space="0" w:color="B3612D"/>
              <w:bottom w:val="single" w:sz="4" w:space="0" w:color="B3612D"/>
              <w:right w:val="single" w:sz="4" w:space="0" w:color="B3612D"/>
            </w:tcBorders>
            <w:vAlign w:val="center"/>
          </w:tcPr>
          <w:p w14:paraId="66BE5FFC" w14:textId="77777777" w:rsidR="000F7F34" w:rsidRPr="00EE6AE2" w:rsidRDefault="000F7F34" w:rsidP="00C5600F">
            <w:pPr>
              <w:cnfStyle w:val="000000000000" w:firstRow="0" w:lastRow="0" w:firstColumn="0" w:lastColumn="0" w:oddVBand="0" w:evenVBand="0" w:oddHBand="0" w:evenHBand="0" w:firstRowFirstColumn="0" w:firstRowLastColumn="0" w:lastRowFirstColumn="0" w:lastRowLastColumn="0"/>
              <w:rPr>
                <w:szCs w:val="21"/>
              </w:rPr>
            </w:pPr>
            <w:r w:rsidRPr="00EE6AE2">
              <w:rPr>
                <w:rFonts w:cstheme="minorHAnsi"/>
                <w:szCs w:val="21"/>
              </w:rPr>
              <w:t>Recommendations</w:t>
            </w:r>
          </w:p>
        </w:tc>
        <w:tc>
          <w:tcPr>
            <w:tcW w:w="202" w:type="pct"/>
            <w:tcBorders>
              <w:top w:val="single" w:sz="4" w:space="0" w:color="B3612D"/>
              <w:left w:val="single" w:sz="4" w:space="0" w:color="B3612D"/>
              <w:bottom w:val="single" w:sz="4" w:space="0" w:color="B3612D"/>
              <w:right w:val="single" w:sz="4" w:space="0" w:color="B3612D"/>
            </w:tcBorders>
            <w:vAlign w:val="center"/>
          </w:tcPr>
          <w:p w14:paraId="30753418"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c>
          <w:tcPr>
            <w:tcW w:w="201" w:type="pct"/>
            <w:tcBorders>
              <w:top w:val="single" w:sz="4" w:space="0" w:color="B3612D"/>
              <w:left w:val="single" w:sz="4" w:space="0" w:color="B3612D"/>
              <w:bottom w:val="single" w:sz="4" w:space="0" w:color="B3612D"/>
              <w:right w:val="single" w:sz="4" w:space="0" w:color="B3612D"/>
            </w:tcBorders>
            <w:vAlign w:val="center"/>
          </w:tcPr>
          <w:p w14:paraId="1B5C45A0"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c>
          <w:tcPr>
            <w:tcW w:w="200" w:type="pct"/>
            <w:tcBorders>
              <w:top w:val="single" w:sz="4" w:space="0" w:color="FFFFFF" w:themeColor="background1"/>
              <w:left w:val="single" w:sz="4" w:space="0" w:color="B3612D"/>
              <w:bottom w:val="single" w:sz="4" w:space="0" w:color="B3612D"/>
              <w:right w:val="single" w:sz="4" w:space="0" w:color="B3612D"/>
            </w:tcBorders>
            <w:shd w:val="clear" w:color="auto" w:fill="B3612D"/>
            <w:vAlign w:val="center"/>
          </w:tcPr>
          <w:p w14:paraId="3DE7DAD9"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c>
          <w:tcPr>
            <w:tcW w:w="200" w:type="pct"/>
            <w:tcBorders>
              <w:top w:val="single" w:sz="4" w:space="0" w:color="B3612D"/>
              <w:left w:val="single" w:sz="4" w:space="0" w:color="B3612D"/>
              <w:bottom w:val="single" w:sz="4" w:space="0" w:color="B3612D"/>
              <w:right w:val="single" w:sz="4" w:space="0" w:color="B3612D"/>
            </w:tcBorders>
            <w:vAlign w:val="center"/>
          </w:tcPr>
          <w:p w14:paraId="02C39ADE"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r>
    </w:tbl>
    <w:p w14:paraId="1965AEA6" w14:textId="77777777" w:rsidR="00E458B9" w:rsidRDefault="000A6724" w:rsidP="002C1A45">
      <w:r>
        <w:br w:type="page"/>
      </w:r>
    </w:p>
    <w:p w14:paraId="5E2E57AA" w14:textId="413AE056" w:rsidR="00E2077D" w:rsidRDefault="00452D6A" w:rsidP="002C1A45">
      <w:r>
        <w:rPr>
          <w:noProof/>
          <w:lang w:eastAsia="en-AU"/>
        </w:rPr>
        <w:lastRenderedPageBreak/>
        <w:drawing>
          <wp:inline distT="0" distB="0" distL="0" distR="0" wp14:anchorId="0698A907" wp14:editId="3CEE06BB">
            <wp:extent cx="6254571" cy="8819515"/>
            <wp:effectExtent l="0" t="0" r="0" b="635"/>
            <wp:docPr id="10" name="Picture 10" descr="This image shows the Prevention and wellbeing - Outcomes Map. All the information in this image can be read in the tables prior to this 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mage shows the Prevention and wellbeing - Outcomes Map. All the information in this image can be read in the tables prior to this imag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l="2233"/>
                    <a:stretch/>
                  </pic:blipFill>
                  <pic:spPr bwMode="auto">
                    <a:xfrm>
                      <a:off x="0" y="0"/>
                      <a:ext cx="6254915" cy="8820000"/>
                    </a:xfrm>
                    <a:prstGeom prst="rect">
                      <a:avLst/>
                    </a:prstGeom>
                    <a:noFill/>
                    <a:ln>
                      <a:noFill/>
                    </a:ln>
                    <a:extLst>
                      <a:ext uri="{53640926-AAD7-44D8-BBD7-CCE9431645EC}">
                        <a14:shadowObscured xmlns:a14="http://schemas.microsoft.com/office/drawing/2010/main"/>
                      </a:ext>
                    </a:extLst>
                  </pic:spPr>
                </pic:pic>
              </a:graphicData>
            </a:graphic>
          </wp:inline>
        </w:drawing>
      </w:r>
      <w:r w:rsidR="00E2077D">
        <w:br w:type="page"/>
      </w:r>
    </w:p>
    <w:tbl>
      <w:tblPr>
        <w:tblStyle w:val="DepartmentalTealstyle"/>
        <w:tblW w:w="5000" w:type="pct"/>
        <w:tblBorders>
          <w:top w:val="single" w:sz="4" w:space="0" w:color="92D050"/>
          <w:bottom w:val="single" w:sz="4" w:space="0" w:color="92D050"/>
          <w:insideH w:val="single" w:sz="4" w:space="0" w:color="92D050"/>
        </w:tblBorders>
        <w:tblCellMar>
          <w:left w:w="57" w:type="dxa"/>
          <w:right w:w="57" w:type="dxa"/>
        </w:tblCellMar>
        <w:tblLook w:val="04A0" w:firstRow="1" w:lastRow="0" w:firstColumn="1" w:lastColumn="0" w:noHBand="0" w:noVBand="1"/>
        <w:tblDescription w:val="This table is a list of the reform stream for the Enhanced health data"/>
      </w:tblPr>
      <w:tblGrid>
        <w:gridCol w:w="1923"/>
        <w:gridCol w:w="8275"/>
      </w:tblGrid>
      <w:tr w:rsidR="00030C5F" w:rsidRPr="009B3544" w14:paraId="3999BB57" w14:textId="77777777" w:rsidTr="00F503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3" w:type="pct"/>
            <w:tcBorders>
              <w:top w:val="nil"/>
              <w:bottom w:val="nil"/>
            </w:tcBorders>
            <w:shd w:val="clear" w:color="auto" w:fill="7EC333"/>
          </w:tcPr>
          <w:p w14:paraId="64826E74" w14:textId="77777777" w:rsidR="00030C5F" w:rsidRPr="009B3544" w:rsidRDefault="00030C5F" w:rsidP="009B3544">
            <w:r w:rsidRPr="009B3544">
              <w:lastRenderedPageBreak/>
              <w:br w:type="page"/>
              <w:t>Reform stream</w:t>
            </w:r>
          </w:p>
        </w:tc>
        <w:tc>
          <w:tcPr>
            <w:tcW w:w="4057" w:type="pct"/>
            <w:tcBorders>
              <w:top w:val="nil"/>
              <w:bottom w:val="nil"/>
            </w:tcBorders>
            <w:shd w:val="clear" w:color="auto" w:fill="7EC333"/>
          </w:tcPr>
          <w:p w14:paraId="7AD43247" w14:textId="77777777" w:rsidR="00030C5F" w:rsidRPr="009B3544" w:rsidRDefault="00030C5F" w:rsidP="009B3544">
            <w:pPr>
              <w:cnfStyle w:val="100000000000" w:firstRow="1" w:lastRow="0" w:firstColumn="0" w:lastColumn="0" w:oddVBand="0" w:evenVBand="0" w:oddHBand="0" w:evenHBand="0" w:firstRowFirstColumn="0" w:firstRowLastColumn="0" w:lastRowFirstColumn="0" w:lastRowLastColumn="0"/>
            </w:pPr>
            <w:bookmarkStart w:id="30" w:name="_Toc75425928"/>
            <w:r w:rsidRPr="009B3544">
              <w:t>Enhanced health data</w:t>
            </w:r>
            <w:bookmarkEnd w:id="30"/>
          </w:p>
        </w:tc>
      </w:tr>
      <w:tr w:rsidR="00030C5F" w:rsidRPr="00236C2C" w14:paraId="039D4AE1" w14:textId="77777777" w:rsidTr="00F5034A">
        <w:trPr>
          <w:trHeight w:val="1225"/>
        </w:trPr>
        <w:tc>
          <w:tcPr>
            <w:cnfStyle w:val="001000000000" w:firstRow="0" w:lastRow="0" w:firstColumn="1" w:lastColumn="0" w:oddVBand="0" w:evenVBand="0" w:oddHBand="0" w:evenHBand="0" w:firstRowFirstColumn="0" w:firstRowLastColumn="0" w:lastRowFirstColumn="0" w:lastRowLastColumn="0"/>
            <w:tcW w:w="943" w:type="pct"/>
            <w:tcBorders>
              <w:top w:val="nil"/>
              <w:bottom w:val="single" w:sz="4" w:space="0" w:color="7EC333"/>
            </w:tcBorders>
            <w:vAlign w:val="center"/>
          </w:tcPr>
          <w:p w14:paraId="59B4C1A9" w14:textId="77777777" w:rsidR="00030C5F" w:rsidRPr="000F7F34" w:rsidRDefault="00030C5F" w:rsidP="000F7F34">
            <w:pPr>
              <w:pStyle w:val="TableHeadings"/>
              <w:rPr>
                <w:b/>
              </w:rPr>
            </w:pPr>
            <w:r w:rsidRPr="000F7F34">
              <w:rPr>
                <w:b/>
              </w:rPr>
              <w:t>Vision</w:t>
            </w:r>
          </w:p>
        </w:tc>
        <w:tc>
          <w:tcPr>
            <w:tcW w:w="4057" w:type="pct"/>
            <w:tcBorders>
              <w:top w:val="nil"/>
              <w:bottom w:val="single" w:sz="4" w:space="0" w:color="7EC333"/>
            </w:tcBorders>
            <w:vAlign w:val="center"/>
          </w:tcPr>
          <w:p w14:paraId="06764E0F" w14:textId="77777777" w:rsidR="00030C5F" w:rsidRPr="000F7F34" w:rsidRDefault="00030C5F"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Integrated data supports better decisions which improve health outcomes and save lives. Governments, clinicians, consumers and researchers will be able to access and link richer sources of information to help deliver better care which is more targeted, person-centred and </w:t>
            </w:r>
            <w:proofErr w:type="gramStart"/>
            <w:r w:rsidRPr="000F7F34">
              <w:t>value-based</w:t>
            </w:r>
            <w:proofErr w:type="gramEnd"/>
            <w:r w:rsidRPr="000F7F34">
              <w:t xml:space="preserve">.  </w:t>
            </w:r>
          </w:p>
        </w:tc>
      </w:tr>
      <w:tr w:rsidR="00030C5F" w:rsidRPr="00236C2C" w14:paraId="564FF580" w14:textId="77777777" w:rsidTr="00F5034A">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7EC333"/>
              <w:bottom w:val="single" w:sz="4" w:space="0" w:color="7EC333"/>
            </w:tcBorders>
            <w:vAlign w:val="center"/>
          </w:tcPr>
          <w:p w14:paraId="444E3A68" w14:textId="77777777" w:rsidR="00030C5F" w:rsidRPr="000F7F34" w:rsidRDefault="00030C5F" w:rsidP="000F7F34">
            <w:pPr>
              <w:pStyle w:val="TableHeadings"/>
              <w:rPr>
                <w:b/>
              </w:rPr>
            </w:pPr>
            <w:r w:rsidRPr="000F7F34">
              <w:rPr>
                <w:b/>
              </w:rPr>
              <w:t>Aim</w:t>
            </w:r>
          </w:p>
        </w:tc>
        <w:tc>
          <w:tcPr>
            <w:tcW w:w="4057" w:type="pct"/>
            <w:tcBorders>
              <w:top w:val="single" w:sz="4" w:space="0" w:color="7EC333"/>
              <w:bottom w:val="single" w:sz="4" w:space="0" w:color="7EC333"/>
            </w:tcBorders>
            <w:vAlign w:val="center"/>
          </w:tcPr>
          <w:p w14:paraId="0823891E" w14:textId="77777777" w:rsidR="00030C5F" w:rsidRPr="000F7F34" w:rsidRDefault="00030C5F"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This reform aims to ensure the data generated by Australia’s health system drives better health outcomes and delivers effective, </w:t>
            </w:r>
            <w:proofErr w:type="gramStart"/>
            <w:r w:rsidRPr="000F7F34">
              <w:t>safe</w:t>
            </w:r>
            <w:proofErr w:type="gramEnd"/>
            <w:r w:rsidRPr="000F7F34">
              <w:t xml:space="preserve"> and efficient health care for all Australians.</w:t>
            </w:r>
          </w:p>
        </w:tc>
      </w:tr>
      <w:tr w:rsidR="00030C5F" w:rsidRPr="00236C2C" w14:paraId="3A6FDBD9" w14:textId="77777777" w:rsidTr="00F5034A">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7EC333"/>
              <w:bottom w:val="single" w:sz="4" w:space="0" w:color="7EC333"/>
            </w:tcBorders>
            <w:vAlign w:val="center"/>
          </w:tcPr>
          <w:p w14:paraId="548A12C7" w14:textId="77777777" w:rsidR="00030C5F" w:rsidRPr="000F7F34" w:rsidRDefault="00030C5F" w:rsidP="000F7F34">
            <w:pPr>
              <w:pStyle w:val="TableHeadings"/>
              <w:rPr>
                <w:b/>
              </w:rPr>
            </w:pPr>
            <w:r w:rsidRPr="000F7F34">
              <w:rPr>
                <w:b/>
              </w:rPr>
              <w:t>Case for change</w:t>
            </w:r>
          </w:p>
        </w:tc>
        <w:tc>
          <w:tcPr>
            <w:tcW w:w="4057" w:type="pct"/>
            <w:tcBorders>
              <w:top w:val="single" w:sz="4" w:space="0" w:color="7EC333"/>
              <w:bottom w:val="single" w:sz="4" w:space="0" w:color="7EC333"/>
            </w:tcBorders>
            <w:vAlign w:val="center"/>
          </w:tcPr>
          <w:p w14:paraId="4FFF4FFB" w14:textId="77777777" w:rsidR="00030C5F" w:rsidRPr="000F7F34" w:rsidRDefault="00030C5F"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Australia’s data resources represent substantial investments, but there are technical and other barriers which limit realisation of the full benefits of this resource. </w:t>
            </w:r>
          </w:p>
          <w:p w14:paraId="10AC3B69" w14:textId="05730E9D" w:rsidR="00030C5F" w:rsidRPr="000F7F34" w:rsidRDefault="00030C5F"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The Commonwealth, states and territories recognise that integrating data across patient journeys by using various health data sets will support better planning and decision-making by governments, health services, clinicians, consumers, </w:t>
            </w:r>
            <w:proofErr w:type="gramStart"/>
            <w:r w:rsidRPr="000F7F34">
              <w:t>researchers</w:t>
            </w:r>
            <w:proofErr w:type="gramEnd"/>
            <w:r w:rsidRPr="000F7F34">
              <w:t xml:space="preserve"> and communities. Data linked at the person-level helps policymakers and program designers provide more consumer-focused care to drive system improvements and break down siloes. Robust health data is also essential to understanding the wider determinants of health and wellbeing.</w:t>
            </w:r>
          </w:p>
        </w:tc>
      </w:tr>
      <w:tr w:rsidR="00030C5F" w:rsidRPr="00236C2C" w14:paraId="6E5BE6DA" w14:textId="77777777" w:rsidTr="00F5034A">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7EC333"/>
              <w:bottom w:val="single" w:sz="4" w:space="0" w:color="7EC333"/>
            </w:tcBorders>
            <w:vAlign w:val="center"/>
          </w:tcPr>
          <w:p w14:paraId="7051F037" w14:textId="77777777" w:rsidR="00030C5F" w:rsidRPr="000F7F34" w:rsidRDefault="00030C5F" w:rsidP="000F7F34">
            <w:pPr>
              <w:pStyle w:val="TableHeadings"/>
              <w:rPr>
                <w:b/>
              </w:rPr>
            </w:pPr>
            <w:r w:rsidRPr="000F7F34">
              <w:rPr>
                <w:b/>
              </w:rPr>
              <w:t>Links to other reforms</w:t>
            </w:r>
          </w:p>
        </w:tc>
        <w:tc>
          <w:tcPr>
            <w:tcW w:w="4057" w:type="pct"/>
            <w:tcBorders>
              <w:top w:val="single" w:sz="4" w:space="0" w:color="7EC333"/>
              <w:bottom w:val="single" w:sz="4" w:space="0" w:color="7EC333"/>
            </w:tcBorders>
            <w:vAlign w:val="center"/>
          </w:tcPr>
          <w:p w14:paraId="12796CC3" w14:textId="3F91FB56" w:rsidR="00030C5F" w:rsidRPr="000F7F34" w:rsidRDefault="00030C5F"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The </w:t>
            </w:r>
            <w:r w:rsidRPr="00BF1D00">
              <w:rPr>
                <w:i/>
                <w:iCs/>
              </w:rPr>
              <w:t xml:space="preserve">Enhanced </w:t>
            </w:r>
            <w:r w:rsidR="00AB5CE6" w:rsidRPr="00BF1D00">
              <w:rPr>
                <w:i/>
                <w:iCs/>
              </w:rPr>
              <w:t>h</w:t>
            </w:r>
            <w:r w:rsidRPr="00BF1D00">
              <w:rPr>
                <w:i/>
                <w:iCs/>
              </w:rPr>
              <w:t xml:space="preserve">ealth </w:t>
            </w:r>
            <w:r w:rsidR="00AB5CE6" w:rsidRPr="00BF1D00">
              <w:rPr>
                <w:i/>
                <w:iCs/>
              </w:rPr>
              <w:t>d</w:t>
            </w:r>
            <w:r w:rsidRPr="00BF1D00">
              <w:rPr>
                <w:i/>
                <w:iCs/>
              </w:rPr>
              <w:t>ata</w:t>
            </w:r>
            <w:r w:rsidRPr="000F7F34">
              <w:t xml:space="preserve"> reform is key to fully realise other long-term health reforms, including </w:t>
            </w:r>
            <w:r w:rsidRPr="00BF1D00">
              <w:rPr>
                <w:i/>
                <w:iCs/>
              </w:rPr>
              <w:t>Paying for value and outcomes</w:t>
            </w:r>
            <w:r w:rsidRPr="000F7F34">
              <w:t xml:space="preserve">, </w:t>
            </w:r>
            <w:r w:rsidRPr="00BF1D00">
              <w:rPr>
                <w:i/>
                <w:iCs/>
              </w:rPr>
              <w:t>Joint planning and funding at a local level</w:t>
            </w:r>
            <w:r w:rsidRPr="000F7F34">
              <w:t xml:space="preserve">, </w:t>
            </w:r>
            <w:r w:rsidRPr="00BF1D00">
              <w:rPr>
                <w:i/>
                <w:iCs/>
              </w:rPr>
              <w:t>Interfaces between health, disability and aged care systems</w:t>
            </w:r>
            <w:r w:rsidRPr="000F7F34">
              <w:t>, and support trials of innovative models of care under the Addendum Schedule A.</w:t>
            </w:r>
          </w:p>
          <w:p w14:paraId="574E3534" w14:textId="77777777" w:rsidR="00030C5F" w:rsidRPr="000F7F34" w:rsidRDefault="00030C5F" w:rsidP="000F7F34">
            <w:pPr>
              <w:pStyle w:val="TableContent"/>
              <w:cnfStyle w:val="000000000000" w:firstRow="0" w:lastRow="0" w:firstColumn="0" w:lastColumn="0" w:oddVBand="0" w:evenVBand="0" w:oddHBand="0" w:evenHBand="0" w:firstRowFirstColumn="0" w:firstRowLastColumn="0" w:lastRowFirstColumn="0" w:lastRowLastColumn="0"/>
            </w:pPr>
            <w:r w:rsidRPr="000F7F34">
              <w:t>Initiatives developed under this reform will be mindful of the need for better data to accurately measure outcomes for Aboriginal and Torres Strait Islander peoples and progress toward Closing the Gap.</w:t>
            </w:r>
          </w:p>
        </w:tc>
      </w:tr>
      <w:tr w:rsidR="00030C5F" w:rsidRPr="00236C2C" w14:paraId="53CC226D" w14:textId="77777777" w:rsidTr="00F5034A">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7EC333"/>
              <w:bottom w:val="single" w:sz="4" w:space="0" w:color="7EC333"/>
            </w:tcBorders>
            <w:vAlign w:val="center"/>
          </w:tcPr>
          <w:p w14:paraId="56B426AA" w14:textId="77777777" w:rsidR="00030C5F" w:rsidRPr="000F7F34" w:rsidRDefault="00030C5F" w:rsidP="000F7F34">
            <w:pPr>
              <w:pStyle w:val="TableHeadings"/>
              <w:rPr>
                <w:b/>
              </w:rPr>
            </w:pPr>
            <w:r w:rsidRPr="000F7F34">
              <w:rPr>
                <w:b/>
              </w:rPr>
              <w:t>Intended outcomes</w:t>
            </w:r>
          </w:p>
        </w:tc>
        <w:tc>
          <w:tcPr>
            <w:tcW w:w="4057" w:type="pct"/>
            <w:tcBorders>
              <w:top w:val="single" w:sz="4" w:space="0" w:color="7EC333"/>
              <w:bottom w:val="single" w:sz="4" w:space="0" w:color="7EC333"/>
            </w:tcBorders>
            <w:vAlign w:val="center"/>
          </w:tcPr>
          <w:p w14:paraId="583C3022" w14:textId="77777777" w:rsidR="00030C5F" w:rsidRPr="000F7F34" w:rsidRDefault="00030C5F" w:rsidP="000F7F34">
            <w:pPr>
              <w:pStyle w:val="TableContent"/>
              <w:cnfStyle w:val="000000000000" w:firstRow="0" w:lastRow="0" w:firstColumn="0" w:lastColumn="0" w:oddVBand="0" w:evenVBand="0" w:oddHBand="0" w:evenHBand="0" w:firstRowFirstColumn="0" w:firstRowLastColumn="0" w:lastRowFirstColumn="0" w:lastRowLastColumn="0"/>
            </w:pPr>
            <w:r w:rsidRPr="000F7F34">
              <w:t>During the term of this Addendum, all parties will strive to:</w:t>
            </w:r>
          </w:p>
          <w:p w14:paraId="180F632B" w14:textId="77777777" w:rsidR="00030C5F" w:rsidRPr="000F7F34" w:rsidRDefault="00030C5F" w:rsidP="00452D6A">
            <w:pPr>
              <w:pStyle w:val="Table-BulletPointLightGreen"/>
              <w:cnfStyle w:val="000000000000" w:firstRow="0" w:lastRow="0" w:firstColumn="0" w:lastColumn="0" w:oddVBand="0" w:evenVBand="0" w:oddHBand="0" w:evenHBand="0" w:firstRowFirstColumn="0" w:firstRowLastColumn="0" w:lastRowFirstColumn="0" w:lastRowLastColumn="0"/>
            </w:pPr>
            <w:r w:rsidRPr="000F7F34">
              <w:t>establish a national standard and risk-based approach to govern the creation, access and sharing of data across all Australian governments</w:t>
            </w:r>
          </w:p>
          <w:p w14:paraId="215C21CB" w14:textId="77777777" w:rsidR="00030C5F" w:rsidRPr="000F7F34" w:rsidRDefault="00030C5F" w:rsidP="00452D6A">
            <w:pPr>
              <w:pStyle w:val="Table-BulletPointLightGreen"/>
              <w:cnfStyle w:val="000000000000" w:firstRow="0" w:lastRow="0" w:firstColumn="0" w:lastColumn="0" w:oddVBand="0" w:evenVBand="0" w:oddHBand="0" w:evenHBand="0" w:firstRowFirstColumn="0" w:firstRowLastColumn="0" w:lastRowFirstColumn="0" w:lastRowLastColumn="0"/>
            </w:pPr>
            <w:r w:rsidRPr="000F7F34">
              <w:t xml:space="preserve">remove legislative and regulatory barriers to health data linkage, </w:t>
            </w:r>
            <w:proofErr w:type="gramStart"/>
            <w:r w:rsidRPr="000F7F34">
              <w:t>access</w:t>
            </w:r>
            <w:proofErr w:type="gramEnd"/>
            <w:r w:rsidRPr="000F7F34">
              <w:t xml:space="preserve"> and use, while maintaining appropriate privacy standards</w:t>
            </w:r>
          </w:p>
          <w:p w14:paraId="668932EC" w14:textId="5C787494" w:rsidR="00030C5F" w:rsidRPr="000F7F34" w:rsidRDefault="00030C5F" w:rsidP="00452D6A">
            <w:pPr>
              <w:pStyle w:val="Table-BulletPointLightGreen"/>
              <w:cnfStyle w:val="000000000000" w:firstRow="0" w:lastRow="0" w:firstColumn="0" w:lastColumn="0" w:oddVBand="0" w:evenVBand="0" w:oddHBand="0" w:evenHBand="0" w:firstRowFirstColumn="0" w:firstRowLastColumn="0" w:lastRowFirstColumn="0" w:lastRowLastColumn="0"/>
            </w:pPr>
            <w:r w:rsidRPr="000F7F34">
              <w:t>increase access to regularly updated linked data, including multilateral linked data, across health</w:t>
            </w:r>
            <w:r w:rsidR="004A7CBB">
              <w:t xml:space="preserve"> </w:t>
            </w:r>
            <w:r w:rsidRPr="000F7F34">
              <w:t>care settings and patient journeys</w:t>
            </w:r>
          </w:p>
          <w:p w14:paraId="42301F80" w14:textId="77777777" w:rsidR="00030C5F" w:rsidRPr="000F7F34" w:rsidRDefault="00030C5F" w:rsidP="00452D6A">
            <w:pPr>
              <w:pStyle w:val="Table-BulletPointLightGreen"/>
              <w:cnfStyle w:val="000000000000" w:firstRow="0" w:lastRow="0" w:firstColumn="0" w:lastColumn="0" w:oddVBand="0" w:evenVBand="0" w:oddHBand="0" w:evenHBand="0" w:firstRowFirstColumn="0" w:firstRowLastColumn="0" w:lastRowFirstColumn="0" w:lastRowLastColumn="0"/>
            </w:pPr>
            <w:r w:rsidRPr="000F7F34">
              <w:t>increase use of best practice health data and analytics, including linked data and patient reported measures, to better understand health service use and inform planning and service delivery</w:t>
            </w:r>
          </w:p>
          <w:p w14:paraId="4B353E27" w14:textId="77777777" w:rsidR="00030C5F" w:rsidRPr="000F7F34" w:rsidRDefault="00030C5F" w:rsidP="00452D6A">
            <w:pPr>
              <w:pStyle w:val="Table-BulletPointLightGreen"/>
              <w:cnfStyle w:val="000000000000" w:firstRow="0" w:lastRow="0" w:firstColumn="0" w:lastColumn="0" w:oddVBand="0" w:evenVBand="0" w:oddHBand="0" w:evenHBand="0" w:firstRowFirstColumn="0" w:firstRowLastColumn="0" w:lastRowFirstColumn="0" w:lastRowLastColumn="0"/>
            </w:pPr>
            <w:r w:rsidRPr="000F7F34">
              <w:t>increase health workforce capability to use health data and analytics effectively</w:t>
            </w:r>
          </w:p>
          <w:p w14:paraId="549E310A" w14:textId="77777777" w:rsidR="00030C5F" w:rsidRPr="009B4A90" w:rsidRDefault="00030C5F" w:rsidP="00452D6A">
            <w:pPr>
              <w:pStyle w:val="Table-BulletPointLightGreen"/>
              <w:cnfStyle w:val="000000000000" w:firstRow="0" w:lastRow="0" w:firstColumn="0" w:lastColumn="0" w:oddVBand="0" w:evenVBand="0" w:oddHBand="0" w:evenHBand="0" w:firstRowFirstColumn="0" w:firstRowLastColumn="0" w:lastRowFirstColumn="0" w:lastRowLastColumn="0"/>
            </w:pPr>
            <w:r w:rsidRPr="000F7F34">
              <w:t>ensure appropriate data is captured and used meaningfully to support other NHRA reform activities</w:t>
            </w:r>
          </w:p>
        </w:tc>
      </w:tr>
      <w:tr w:rsidR="00030C5F" w:rsidRPr="00236C2C" w14:paraId="26DA9904" w14:textId="77777777" w:rsidTr="00F5034A">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7EC333"/>
              <w:bottom w:val="single" w:sz="4" w:space="0" w:color="7EC333"/>
            </w:tcBorders>
            <w:vAlign w:val="center"/>
          </w:tcPr>
          <w:p w14:paraId="5951889C" w14:textId="77777777" w:rsidR="00030C5F" w:rsidRPr="000F7F34" w:rsidRDefault="00030C5F" w:rsidP="000F7F34">
            <w:pPr>
              <w:pStyle w:val="TableHeadings"/>
              <w:rPr>
                <w:b/>
              </w:rPr>
            </w:pPr>
            <w:r w:rsidRPr="000F7F34">
              <w:rPr>
                <w:b/>
              </w:rPr>
              <w:t>Key concepts</w:t>
            </w:r>
          </w:p>
        </w:tc>
        <w:tc>
          <w:tcPr>
            <w:tcW w:w="4057" w:type="pct"/>
            <w:tcBorders>
              <w:top w:val="single" w:sz="4" w:space="0" w:color="7EC333"/>
              <w:bottom w:val="single" w:sz="4" w:space="0" w:color="7EC333"/>
            </w:tcBorders>
            <w:vAlign w:val="center"/>
          </w:tcPr>
          <w:p w14:paraId="27F2C0C9" w14:textId="77777777" w:rsidR="00030C5F" w:rsidRPr="000F7F34" w:rsidRDefault="00030C5F" w:rsidP="000F7F34">
            <w:pPr>
              <w:pStyle w:val="TableContent"/>
              <w:cnfStyle w:val="000000000000" w:firstRow="0" w:lastRow="0" w:firstColumn="0" w:lastColumn="0" w:oddVBand="0" w:evenVBand="0" w:oddHBand="0" w:evenHBand="0" w:firstRowFirstColumn="0" w:firstRowLastColumn="0" w:lastRowFirstColumn="0" w:lastRowLastColumn="0"/>
            </w:pPr>
            <w:r w:rsidRPr="000F7F34">
              <w:t>The Parties are committed to achieving comprehensive health data access, usage and sharing, while at the same time maintaining data security and preserving individuals’ privacy.</w:t>
            </w:r>
          </w:p>
        </w:tc>
      </w:tr>
      <w:tr w:rsidR="00030C5F" w:rsidRPr="00236C2C" w14:paraId="2C8191B9" w14:textId="77777777" w:rsidTr="00F5034A">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7EC333"/>
              <w:bottom w:val="single" w:sz="4" w:space="0" w:color="7EC333"/>
            </w:tcBorders>
            <w:vAlign w:val="center"/>
          </w:tcPr>
          <w:p w14:paraId="2B2CF88F" w14:textId="77777777" w:rsidR="00030C5F" w:rsidRPr="000F7F34" w:rsidRDefault="00030C5F" w:rsidP="000F7F34">
            <w:pPr>
              <w:pStyle w:val="TableHeadings"/>
              <w:rPr>
                <w:b/>
              </w:rPr>
            </w:pPr>
            <w:r w:rsidRPr="000F7F34">
              <w:rPr>
                <w:b/>
              </w:rPr>
              <w:t>COVID-19 related</w:t>
            </w:r>
            <w:r w:rsidRPr="000F7F34">
              <w:rPr>
                <w:b/>
              </w:rPr>
              <w:br/>
              <w:t>developments</w:t>
            </w:r>
          </w:p>
        </w:tc>
        <w:tc>
          <w:tcPr>
            <w:tcW w:w="4057" w:type="pct"/>
            <w:tcBorders>
              <w:top w:val="single" w:sz="4" w:space="0" w:color="7EC333"/>
              <w:bottom w:val="single" w:sz="4" w:space="0" w:color="7EC333"/>
            </w:tcBorders>
            <w:vAlign w:val="center"/>
          </w:tcPr>
          <w:p w14:paraId="77485213" w14:textId="414F0641" w:rsidR="00030C5F" w:rsidRPr="000F7F34" w:rsidRDefault="00030C5F"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This reform may be able to leverage COVID-19 responses to support rapid data collection for </w:t>
            </w:r>
            <w:r w:rsidR="004A7CBB">
              <w:br/>
            </w:r>
            <w:r w:rsidRPr="000F7F34">
              <w:t>up-to-date monitoring and response, including the Australian Data and Digital Council (ADDC) Data Sharing to Support COVID-19 Recovery, the Critical Health Resource Information System (CHRIS), and changes to legislation during the pandemic to allow data sharing between agencies.</w:t>
            </w:r>
          </w:p>
        </w:tc>
      </w:tr>
    </w:tbl>
    <w:p w14:paraId="44BB8765" w14:textId="77777777" w:rsidR="009E4463" w:rsidRDefault="009E4463">
      <w:pPr>
        <w:spacing w:before="0" w:after="0"/>
      </w:pPr>
      <w:r>
        <w:br w:type="page"/>
      </w:r>
    </w:p>
    <w:p w14:paraId="40215023" w14:textId="77777777" w:rsidR="00C07F20" w:rsidRDefault="00C07F20" w:rsidP="002C1A45"/>
    <w:tbl>
      <w:tblPr>
        <w:tblStyle w:val="DepartmentalTealstyle"/>
        <w:tblW w:w="5000" w:type="pct"/>
        <w:tblBorders>
          <w:top w:val="single" w:sz="4" w:space="0" w:color="92D050"/>
          <w:bottom w:val="single" w:sz="4" w:space="0" w:color="92D050"/>
          <w:insideH w:val="single" w:sz="4" w:space="0" w:color="92D050"/>
        </w:tblBorders>
        <w:tblCellMar>
          <w:left w:w="57" w:type="dxa"/>
          <w:right w:w="57" w:type="dxa"/>
        </w:tblCellMar>
        <w:tblLook w:val="04A0" w:firstRow="1" w:lastRow="0" w:firstColumn="1" w:lastColumn="0" w:noHBand="0" w:noVBand="1"/>
        <w:tblDescription w:val="This table is a list of key components to the reform stream for Enhanced health data"/>
      </w:tblPr>
      <w:tblGrid>
        <w:gridCol w:w="5509"/>
        <w:gridCol w:w="1320"/>
        <w:gridCol w:w="1697"/>
        <w:gridCol w:w="418"/>
        <w:gridCol w:w="418"/>
        <w:gridCol w:w="418"/>
        <w:gridCol w:w="418"/>
      </w:tblGrid>
      <w:tr w:rsidR="000D694A" w:rsidRPr="009B3544" w14:paraId="72435AEF" w14:textId="77777777" w:rsidTr="009B3544">
        <w:trPr>
          <w:cnfStyle w:val="100000000000" w:firstRow="1" w:lastRow="0" w:firstColumn="0" w:lastColumn="0" w:oddVBand="0" w:evenVBand="0" w:oddHBand="0" w:evenHBand="0" w:firstRowFirstColumn="0" w:firstRowLastColumn="0" w:lastRowFirstColumn="0" w:lastRowLastColumn="0"/>
          <w:trHeight w:val="564"/>
          <w:tblHeader/>
        </w:trPr>
        <w:tc>
          <w:tcPr>
            <w:cnfStyle w:val="001000000000" w:firstRow="0" w:lastRow="0" w:firstColumn="1" w:lastColumn="0" w:oddVBand="0" w:evenVBand="0" w:oddHBand="0" w:evenHBand="0" w:firstRowFirstColumn="0" w:firstRowLastColumn="0" w:lastRowFirstColumn="0" w:lastRowLastColumn="0"/>
            <w:tcW w:w="2706" w:type="pct"/>
            <w:tcBorders>
              <w:top w:val="nil"/>
              <w:bottom w:val="single" w:sz="4" w:space="0" w:color="7EC333"/>
            </w:tcBorders>
            <w:shd w:val="clear" w:color="auto" w:fill="7EC333"/>
            <w:vAlign w:val="center"/>
          </w:tcPr>
          <w:p w14:paraId="32592A29" w14:textId="3CEBE3D5" w:rsidR="000D694A" w:rsidRPr="009B3544" w:rsidRDefault="000D694A" w:rsidP="009B3544">
            <w:r w:rsidRPr="009B3544">
              <w:t>Key components</w:t>
            </w:r>
          </w:p>
        </w:tc>
        <w:tc>
          <w:tcPr>
            <w:tcW w:w="2294" w:type="pct"/>
            <w:gridSpan w:val="6"/>
            <w:tcBorders>
              <w:top w:val="nil"/>
              <w:bottom w:val="single" w:sz="4" w:space="0" w:color="7EC333"/>
            </w:tcBorders>
            <w:shd w:val="clear" w:color="auto" w:fill="7EC333"/>
            <w:vAlign w:val="center"/>
          </w:tcPr>
          <w:p w14:paraId="21B32FF4" w14:textId="77777777" w:rsidR="000D694A" w:rsidRPr="009B3544" w:rsidRDefault="000D694A" w:rsidP="009B3544">
            <w:pPr>
              <w:cnfStyle w:val="100000000000" w:firstRow="1" w:lastRow="0" w:firstColumn="0" w:lastColumn="0" w:oddVBand="0" w:evenVBand="0" w:oddHBand="0" w:evenHBand="0" w:firstRowFirstColumn="0" w:firstRowLastColumn="0" w:lastRowFirstColumn="0" w:lastRowLastColumn="0"/>
            </w:pPr>
          </w:p>
        </w:tc>
      </w:tr>
      <w:tr w:rsidR="000D694A" w:rsidRPr="00236C2C" w14:paraId="5CEA6622" w14:textId="77777777" w:rsidTr="009B3544">
        <w:trPr>
          <w:trHeight w:val="564"/>
        </w:trPr>
        <w:tc>
          <w:tcPr>
            <w:cnfStyle w:val="001000000000" w:firstRow="0" w:lastRow="0" w:firstColumn="1" w:lastColumn="0" w:oddVBand="0" w:evenVBand="0" w:oddHBand="0" w:evenHBand="0" w:firstRowFirstColumn="0" w:firstRowLastColumn="0" w:lastRowFirstColumn="0" w:lastRowLastColumn="0"/>
            <w:tcW w:w="2706" w:type="pct"/>
            <w:vMerge w:val="restart"/>
            <w:tcBorders>
              <w:top w:val="single" w:sz="4" w:space="0" w:color="7EC333"/>
              <w:bottom w:val="single" w:sz="4" w:space="0" w:color="7EC333"/>
            </w:tcBorders>
            <w:shd w:val="clear" w:color="auto" w:fill="F2F2F2" w:themeFill="background1" w:themeFillShade="F2"/>
            <w:vAlign w:val="center"/>
          </w:tcPr>
          <w:p w14:paraId="046CD1E7" w14:textId="77777777" w:rsidR="000D694A" w:rsidRPr="000F7F34" w:rsidRDefault="000D694A" w:rsidP="000F7F34">
            <w:pPr>
              <w:pStyle w:val="TableHeadings"/>
              <w:rPr>
                <w:b/>
              </w:rPr>
            </w:pPr>
            <w:r w:rsidRPr="000F7F34">
              <w:rPr>
                <w:b/>
              </w:rPr>
              <w:t>National health reform agreement commitments</w:t>
            </w:r>
          </w:p>
        </w:tc>
        <w:tc>
          <w:tcPr>
            <w:tcW w:w="652" w:type="pct"/>
            <w:vMerge w:val="restart"/>
            <w:tcBorders>
              <w:top w:val="single" w:sz="4" w:space="0" w:color="7EC333"/>
              <w:bottom w:val="single" w:sz="4" w:space="0" w:color="7EC333"/>
            </w:tcBorders>
            <w:shd w:val="clear" w:color="auto" w:fill="F2F2F2" w:themeFill="background1" w:themeFillShade="F2"/>
            <w:vAlign w:val="center"/>
          </w:tcPr>
          <w:p w14:paraId="5DBD4835" w14:textId="77777777" w:rsidR="000D694A" w:rsidRPr="000F7F34" w:rsidRDefault="000D694A" w:rsidP="000F7F34">
            <w:pPr>
              <w:pStyle w:val="TableHeadings"/>
              <w:cnfStyle w:val="000000000000" w:firstRow="0" w:lastRow="0" w:firstColumn="0" w:lastColumn="0" w:oddVBand="0" w:evenVBand="0" w:oddHBand="0" w:evenHBand="0" w:firstRowFirstColumn="0" w:firstRowLastColumn="0" w:lastRowFirstColumn="0" w:lastRowLastColumn="0"/>
            </w:pPr>
            <w:r w:rsidRPr="000F7F34">
              <w:t>NHRA clause</w:t>
            </w:r>
          </w:p>
        </w:tc>
        <w:tc>
          <w:tcPr>
            <w:tcW w:w="837" w:type="pct"/>
            <w:vMerge w:val="restart"/>
            <w:tcBorders>
              <w:top w:val="single" w:sz="4" w:space="0" w:color="7EC333"/>
              <w:bottom w:val="single" w:sz="4" w:space="0" w:color="7EC333"/>
            </w:tcBorders>
            <w:shd w:val="clear" w:color="auto" w:fill="F2F2F2" w:themeFill="background1" w:themeFillShade="F2"/>
            <w:vAlign w:val="center"/>
          </w:tcPr>
          <w:p w14:paraId="4188096C" w14:textId="77777777" w:rsidR="000D694A" w:rsidRPr="000F7F34" w:rsidRDefault="000D694A" w:rsidP="000F7F34">
            <w:pPr>
              <w:pStyle w:val="TableHeadings"/>
              <w:cnfStyle w:val="000000000000" w:firstRow="0" w:lastRow="0" w:firstColumn="0" w:lastColumn="0" w:oddVBand="0" w:evenVBand="0" w:oddHBand="0" w:evenHBand="0" w:firstRowFirstColumn="0" w:firstRowLastColumn="0" w:lastRowFirstColumn="0" w:lastRowLastColumn="0"/>
            </w:pPr>
            <w:r w:rsidRPr="000F7F34">
              <w:t>Deliverable</w:t>
            </w:r>
          </w:p>
        </w:tc>
        <w:tc>
          <w:tcPr>
            <w:tcW w:w="805" w:type="pct"/>
            <w:gridSpan w:val="4"/>
            <w:tcBorders>
              <w:top w:val="single" w:sz="4" w:space="0" w:color="7EC333"/>
              <w:bottom w:val="single" w:sz="4" w:space="0" w:color="7EC333"/>
            </w:tcBorders>
            <w:shd w:val="clear" w:color="auto" w:fill="F2F2F2" w:themeFill="background1" w:themeFillShade="F2"/>
            <w:vAlign w:val="center"/>
          </w:tcPr>
          <w:p w14:paraId="1ADE4ADB" w14:textId="77777777" w:rsidR="000D694A" w:rsidRPr="000F7F34" w:rsidRDefault="000D694A" w:rsidP="000F7F34">
            <w:pPr>
              <w:pStyle w:val="TableHeadings"/>
              <w:cnfStyle w:val="000000000000" w:firstRow="0" w:lastRow="0" w:firstColumn="0" w:lastColumn="0" w:oddVBand="0" w:evenVBand="0" w:oddHBand="0" w:evenHBand="0" w:firstRowFirstColumn="0" w:firstRowLastColumn="0" w:lastRowFirstColumn="0" w:lastRowLastColumn="0"/>
            </w:pPr>
            <w:r w:rsidRPr="000F7F34">
              <w:t>Timeframes</w:t>
            </w:r>
          </w:p>
        </w:tc>
      </w:tr>
      <w:tr w:rsidR="000D694A" w:rsidRPr="00236C2C" w14:paraId="6C7D7374" w14:textId="77777777" w:rsidTr="009B3544">
        <w:trPr>
          <w:trHeight w:val="564"/>
        </w:trPr>
        <w:tc>
          <w:tcPr>
            <w:cnfStyle w:val="001000000000" w:firstRow="0" w:lastRow="0" w:firstColumn="1" w:lastColumn="0" w:oddVBand="0" w:evenVBand="0" w:oddHBand="0" w:evenHBand="0" w:firstRowFirstColumn="0" w:firstRowLastColumn="0" w:lastRowFirstColumn="0" w:lastRowLastColumn="0"/>
            <w:tcW w:w="2706" w:type="pct"/>
            <w:vMerge/>
            <w:tcBorders>
              <w:top w:val="nil"/>
              <w:bottom w:val="single" w:sz="4" w:space="0" w:color="7EC333"/>
            </w:tcBorders>
            <w:vAlign w:val="center"/>
          </w:tcPr>
          <w:p w14:paraId="275D177F" w14:textId="77777777" w:rsidR="000D694A" w:rsidRPr="000F7F34" w:rsidRDefault="000D694A" w:rsidP="000F7F34">
            <w:pPr>
              <w:pStyle w:val="TableHeadings"/>
              <w:rPr>
                <w:b/>
              </w:rPr>
            </w:pPr>
          </w:p>
        </w:tc>
        <w:tc>
          <w:tcPr>
            <w:tcW w:w="652" w:type="pct"/>
            <w:vMerge/>
            <w:tcBorders>
              <w:top w:val="nil"/>
              <w:bottom w:val="single" w:sz="4" w:space="0" w:color="7EC333"/>
            </w:tcBorders>
            <w:vAlign w:val="center"/>
          </w:tcPr>
          <w:p w14:paraId="395B2141" w14:textId="77777777" w:rsidR="000D694A" w:rsidRPr="000D694A" w:rsidRDefault="000D694A" w:rsidP="00D55D40">
            <w:pPr>
              <w:cnfStyle w:val="000000000000" w:firstRow="0" w:lastRow="0" w:firstColumn="0" w:lastColumn="0" w:oddVBand="0" w:evenVBand="0" w:oddHBand="0" w:evenHBand="0" w:firstRowFirstColumn="0" w:firstRowLastColumn="0" w:lastRowFirstColumn="0" w:lastRowLastColumn="0"/>
              <w:rPr>
                <w:szCs w:val="21"/>
              </w:rPr>
            </w:pPr>
          </w:p>
        </w:tc>
        <w:tc>
          <w:tcPr>
            <w:tcW w:w="837" w:type="pct"/>
            <w:vMerge/>
            <w:tcBorders>
              <w:top w:val="nil"/>
              <w:bottom w:val="single" w:sz="4" w:space="0" w:color="7EC333"/>
              <w:right w:val="nil"/>
            </w:tcBorders>
            <w:vAlign w:val="center"/>
          </w:tcPr>
          <w:p w14:paraId="78178457" w14:textId="77777777" w:rsidR="000D694A" w:rsidRPr="000D694A" w:rsidRDefault="000D694A" w:rsidP="00D55D40">
            <w:pPr>
              <w:cnfStyle w:val="000000000000" w:firstRow="0" w:lastRow="0" w:firstColumn="0" w:lastColumn="0" w:oddVBand="0" w:evenVBand="0" w:oddHBand="0" w:evenHBand="0" w:firstRowFirstColumn="0" w:firstRowLastColumn="0" w:lastRowFirstColumn="0" w:lastRowLastColumn="0"/>
              <w:rPr>
                <w:szCs w:val="21"/>
              </w:rPr>
            </w:pPr>
          </w:p>
        </w:tc>
        <w:tc>
          <w:tcPr>
            <w:tcW w:w="204" w:type="pct"/>
            <w:tcBorders>
              <w:top w:val="single" w:sz="4" w:space="0" w:color="7EC333"/>
              <w:left w:val="nil"/>
              <w:bottom w:val="single" w:sz="4" w:space="0" w:color="7EC333"/>
              <w:right w:val="single" w:sz="4" w:space="0" w:color="7EC333"/>
            </w:tcBorders>
            <w:shd w:val="clear" w:color="auto" w:fill="F2F2F2" w:themeFill="background1" w:themeFillShade="F2"/>
            <w:vAlign w:val="center"/>
          </w:tcPr>
          <w:p w14:paraId="393CF39E" w14:textId="77777777" w:rsidR="000D694A" w:rsidRPr="000D694A" w:rsidRDefault="000D694A" w:rsidP="00D55D4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21-22</w:t>
            </w:r>
          </w:p>
        </w:tc>
        <w:tc>
          <w:tcPr>
            <w:tcW w:w="202" w:type="pct"/>
            <w:tcBorders>
              <w:top w:val="single" w:sz="4" w:space="0" w:color="7EC333"/>
              <w:left w:val="single" w:sz="4" w:space="0" w:color="7EC333"/>
              <w:bottom w:val="single" w:sz="4" w:space="0" w:color="7EC333"/>
              <w:right w:val="single" w:sz="4" w:space="0" w:color="7EC333"/>
            </w:tcBorders>
            <w:shd w:val="clear" w:color="auto" w:fill="F2F2F2" w:themeFill="background1" w:themeFillShade="F2"/>
            <w:vAlign w:val="center"/>
          </w:tcPr>
          <w:p w14:paraId="725AD188" w14:textId="77777777" w:rsidR="000D694A" w:rsidRPr="000D694A" w:rsidRDefault="000D694A" w:rsidP="00D55D4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22-23</w:t>
            </w:r>
          </w:p>
        </w:tc>
        <w:tc>
          <w:tcPr>
            <w:tcW w:w="200" w:type="pct"/>
            <w:tcBorders>
              <w:top w:val="single" w:sz="4" w:space="0" w:color="7EC333"/>
              <w:left w:val="single" w:sz="4" w:space="0" w:color="7EC333"/>
              <w:bottom w:val="single" w:sz="4" w:space="0" w:color="7EC333"/>
              <w:right w:val="single" w:sz="4" w:space="0" w:color="7EC333"/>
            </w:tcBorders>
            <w:shd w:val="clear" w:color="auto" w:fill="F2F2F2" w:themeFill="background1" w:themeFillShade="F2"/>
            <w:vAlign w:val="center"/>
          </w:tcPr>
          <w:p w14:paraId="21254625" w14:textId="77777777" w:rsidR="000D694A" w:rsidRPr="000D694A" w:rsidRDefault="000D694A" w:rsidP="00D55D4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23-24</w:t>
            </w:r>
          </w:p>
        </w:tc>
        <w:tc>
          <w:tcPr>
            <w:tcW w:w="200" w:type="pct"/>
            <w:tcBorders>
              <w:top w:val="single" w:sz="4" w:space="0" w:color="7EC333"/>
              <w:left w:val="single" w:sz="4" w:space="0" w:color="7EC333"/>
              <w:bottom w:val="single" w:sz="4" w:space="0" w:color="7EC333"/>
              <w:right w:val="single" w:sz="4" w:space="0" w:color="7EC333"/>
            </w:tcBorders>
            <w:shd w:val="clear" w:color="auto" w:fill="F2F2F2" w:themeFill="background1" w:themeFillShade="F2"/>
            <w:vAlign w:val="center"/>
          </w:tcPr>
          <w:p w14:paraId="2E00B71C" w14:textId="77777777" w:rsidR="000D694A" w:rsidRPr="000D694A" w:rsidRDefault="000D694A" w:rsidP="00D55D4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24-25</w:t>
            </w:r>
          </w:p>
        </w:tc>
      </w:tr>
      <w:tr w:rsidR="000D694A" w:rsidRPr="00236C2C" w14:paraId="0450AC3C" w14:textId="77777777" w:rsidTr="009B3544">
        <w:trPr>
          <w:trHeight w:val="556"/>
        </w:trPr>
        <w:tc>
          <w:tcPr>
            <w:cnfStyle w:val="001000000000" w:firstRow="0" w:lastRow="0" w:firstColumn="1" w:lastColumn="0" w:oddVBand="0" w:evenVBand="0" w:oddHBand="0" w:evenHBand="0" w:firstRowFirstColumn="0" w:firstRowLastColumn="0" w:lastRowFirstColumn="0" w:lastRowLastColumn="0"/>
            <w:tcW w:w="2706" w:type="pct"/>
            <w:tcBorders>
              <w:top w:val="single" w:sz="4" w:space="0" w:color="7EC333"/>
              <w:bottom w:val="single" w:sz="4" w:space="0" w:color="7EC333"/>
            </w:tcBorders>
            <w:vAlign w:val="center"/>
          </w:tcPr>
          <w:p w14:paraId="23C31185" w14:textId="77777777" w:rsidR="000D694A" w:rsidRPr="000F7F34" w:rsidRDefault="000D694A" w:rsidP="000F7F34">
            <w:pPr>
              <w:pStyle w:val="TableHeadings"/>
              <w:rPr>
                <w:b/>
              </w:rPr>
            </w:pPr>
            <w:r w:rsidRPr="000F7F34">
              <w:rPr>
                <w:b/>
              </w:rPr>
              <w:t>Review data linkage and privacy legislation and regulations across Australia</w:t>
            </w:r>
          </w:p>
        </w:tc>
        <w:tc>
          <w:tcPr>
            <w:tcW w:w="652" w:type="pct"/>
            <w:tcBorders>
              <w:top w:val="single" w:sz="4" w:space="0" w:color="7EC333"/>
              <w:bottom w:val="single" w:sz="4" w:space="0" w:color="7EC333"/>
            </w:tcBorders>
            <w:vAlign w:val="center"/>
          </w:tcPr>
          <w:p w14:paraId="0D83CFD8"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C.46.f</w:t>
            </w:r>
          </w:p>
        </w:tc>
        <w:tc>
          <w:tcPr>
            <w:tcW w:w="837" w:type="pct"/>
            <w:tcBorders>
              <w:top w:val="single" w:sz="4" w:space="0" w:color="7EC333"/>
              <w:bottom w:val="single" w:sz="4" w:space="0" w:color="7EC333"/>
              <w:right w:val="single" w:sz="4" w:space="0" w:color="7EC333"/>
            </w:tcBorders>
            <w:vAlign w:val="center"/>
          </w:tcPr>
          <w:p w14:paraId="14C9519C"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Report</w:t>
            </w:r>
          </w:p>
        </w:tc>
        <w:tc>
          <w:tcPr>
            <w:tcW w:w="204" w:type="pct"/>
            <w:tcBorders>
              <w:top w:val="single" w:sz="4" w:space="0" w:color="7EC333"/>
              <w:left w:val="single" w:sz="4" w:space="0" w:color="7EC333"/>
              <w:bottom w:val="single" w:sz="4" w:space="0" w:color="FFFFFF" w:themeColor="background1"/>
              <w:right w:val="single" w:sz="4" w:space="0" w:color="7EC333"/>
            </w:tcBorders>
            <w:shd w:val="clear" w:color="auto" w:fill="7EC333"/>
            <w:vAlign w:val="center"/>
          </w:tcPr>
          <w:p w14:paraId="0A4C93BC"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2" w:type="pct"/>
            <w:tcBorders>
              <w:top w:val="single" w:sz="4" w:space="0" w:color="7EC333"/>
              <w:left w:val="single" w:sz="4" w:space="0" w:color="7EC333"/>
              <w:bottom w:val="single" w:sz="4" w:space="0" w:color="7EC333"/>
              <w:right w:val="single" w:sz="4" w:space="0" w:color="7EC333"/>
            </w:tcBorders>
            <w:vAlign w:val="center"/>
          </w:tcPr>
          <w:p w14:paraId="36CC4068"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7EC333"/>
              <w:left w:val="single" w:sz="4" w:space="0" w:color="7EC333"/>
              <w:bottom w:val="single" w:sz="4" w:space="0" w:color="7EC333"/>
              <w:right w:val="single" w:sz="4" w:space="0" w:color="7EC333"/>
            </w:tcBorders>
            <w:vAlign w:val="center"/>
          </w:tcPr>
          <w:p w14:paraId="54CF9698"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7EC333"/>
              <w:left w:val="single" w:sz="4" w:space="0" w:color="7EC333"/>
              <w:bottom w:val="single" w:sz="4" w:space="0" w:color="7EC333"/>
              <w:right w:val="single" w:sz="4" w:space="0" w:color="7EC333"/>
            </w:tcBorders>
            <w:vAlign w:val="center"/>
          </w:tcPr>
          <w:p w14:paraId="3AD123A1"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13F02001" w14:textId="77777777" w:rsidTr="009B3544">
        <w:trPr>
          <w:trHeight w:val="556"/>
        </w:trPr>
        <w:tc>
          <w:tcPr>
            <w:cnfStyle w:val="001000000000" w:firstRow="0" w:lastRow="0" w:firstColumn="1" w:lastColumn="0" w:oddVBand="0" w:evenVBand="0" w:oddHBand="0" w:evenHBand="0" w:firstRowFirstColumn="0" w:firstRowLastColumn="0" w:lastRowFirstColumn="0" w:lastRowLastColumn="0"/>
            <w:tcW w:w="2706" w:type="pct"/>
            <w:tcBorders>
              <w:top w:val="single" w:sz="4" w:space="0" w:color="7EC333"/>
              <w:bottom w:val="single" w:sz="4" w:space="0" w:color="7EC333"/>
            </w:tcBorders>
            <w:vAlign w:val="center"/>
          </w:tcPr>
          <w:p w14:paraId="25EC3DFC" w14:textId="77777777" w:rsidR="000D694A" w:rsidRPr="000F7F34" w:rsidRDefault="000D694A" w:rsidP="000F7F34">
            <w:pPr>
              <w:pStyle w:val="TableHeadings"/>
              <w:rPr>
                <w:b/>
              </w:rPr>
            </w:pPr>
            <w:r w:rsidRPr="000F7F34">
              <w:rPr>
                <w:b/>
              </w:rPr>
              <w:t xml:space="preserve">Share information about current data systems, </w:t>
            </w:r>
            <w:proofErr w:type="gramStart"/>
            <w:r w:rsidRPr="000F7F34">
              <w:rPr>
                <w:b/>
              </w:rPr>
              <w:t>processes</w:t>
            </w:r>
            <w:proofErr w:type="gramEnd"/>
            <w:r w:rsidRPr="000F7F34">
              <w:rPr>
                <w:b/>
              </w:rPr>
              <w:t xml:space="preserve"> and guidelines to help inform solutions for data sharing</w:t>
            </w:r>
          </w:p>
        </w:tc>
        <w:tc>
          <w:tcPr>
            <w:tcW w:w="652" w:type="pct"/>
            <w:tcBorders>
              <w:top w:val="single" w:sz="4" w:space="0" w:color="7EC333"/>
              <w:bottom w:val="single" w:sz="4" w:space="0" w:color="7EC333"/>
            </w:tcBorders>
            <w:vAlign w:val="center"/>
          </w:tcPr>
          <w:p w14:paraId="7312AB42"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C.47.a</w:t>
            </w:r>
          </w:p>
        </w:tc>
        <w:tc>
          <w:tcPr>
            <w:tcW w:w="837" w:type="pct"/>
            <w:tcBorders>
              <w:top w:val="single" w:sz="4" w:space="0" w:color="7EC333"/>
              <w:bottom w:val="single" w:sz="4" w:space="0" w:color="7EC333"/>
              <w:right w:val="single" w:sz="4" w:space="0" w:color="7EC333"/>
            </w:tcBorders>
            <w:vAlign w:val="center"/>
          </w:tcPr>
          <w:p w14:paraId="2E410474"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p>
        </w:tc>
        <w:tc>
          <w:tcPr>
            <w:tcW w:w="204" w:type="pct"/>
            <w:tcBorders>
              <w:top w:val="single" w:sz="4" w:space="0" w:color="FFFFFF" w:themeColor="background1"/>
              <w:left w:val="single" w:sz="4" w:space="0" w:color="7EC333"/>
              <w:bottom w:val="single" w:sz="4" w:space="0" w:color="FFFFFF" w:themeColor="background1"/>
              <w:right w:val="single" w:sz="4" w:space="0" w:color="FFFFFF"/>
            </w:tcBorders>
            <w:shd w:val="clear" w:color="auto" w:fill="7EC333"/>
            <w:vAlign w:val="center"/>
          </w:tcPr>
          <w:p w14:paraId="0F54AB30"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2" w:type="pct"/>
            <w:tcBorders>
              <w:top w:val="single" w:sz="4" w:space="0" w:color="7EC333"/>
              <w:left w:val="single" w:sz="4" w:space="0" w:color="FFFFFF"/>
              <w:bottom w:val="single" w:sz="4" w:space="0" w:color="7EC333"/>
              <w:right w:val="single" w:sz="4" w:space="0" w:color="7EC333"/>
            </w:tcBorders>
            <w:shd w:val="clear" w:color="auto" w:fill="7EC333"/>
            <w:vAlign w:val="center"/>
          </w:tcPr>
          <w:p w14:paraId="3E380A22"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7EC333"/>
              <w:left w:val="single" w:sz="4" w:space="0" w:color="7EC333"/>
              <w:bottom w:val="single" w:sz="4" w:space="0" w:color="7EC333"/>
              <w:right w:val="single" w:sz="4" w:space="0" w:color="7EC333"/>
            </w:tcBorders>
            <w:vAlign w:val="center"/>
          </w:tcPr>
          <w:p w14:paraId="06E98EF3"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7EC333"/>
              <w:left w:val="single" w:sz="4" w:space="0" w:color="7EC333"/>
              <w:bottom w:val="single" w:sz="4" w:space="0" w:color="7EC333"/>
              <w:right w:val="single" w:sz="4" w:space="0" w:color="7EC333"/>
            </w:tcBorders>
            <w:vAlign w:val="center"/>
          </w:tcPr>
          <w:p w14:paraId="491DB686"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0201FAB6" w14:textId="77777777" w:rsidTr="009B3544">
        <w:trPr>
          <w:trHeight w:val="556"/>
        </w:trPr>
        <w:tc>
          <w:tcPr>
            <w:cnfStyle w:val="001000000000" w:firstRow="0" w:lastRow="0" w:firstColumn="1" w:lastColumn="0" w:oddVBand="0" w:evenVBand="0" w:oddHBand="0" w:evenHBand="0" w:firstRowFirstColumn="0" w:firstRowLastColumn="0" w:lastRowFirstColumn="0" w:lastRowLastColumn="0"/>
            <w:tcW w:w="2706" w:type="pct"/>
            <w:tcBorders>
              <w:top w:val="single" w:sz="4" w:space="0" w:color="7EC333"/>
              <w:bottom w:val="single" w:sz="4" w:space="0" w:color="7EC333"/>
            </w:tcBorders>
            <w:vAlign w:val="center"/>
          </w:tcPr>
          <w:p w14:paraId="7E087A5C" w14:textId="77777777" w:rsidR="000D694A" w:rsidRPr="000F7F34" w:rsidRDefault="000D694A" w:rsidP="000F7F34">
            <w:pPr>
              <w:pStyle w:val="TableHeadings"/>
              <w:rPr>
                <w:b/>
              </w:rPr>
            </w:pPr>
            <w:r w:rsidRPr="000F7F34">
              <w:rPr>
                <w:b/>
              </w:rPr>
              <w:t>Pilot projects for local implementation and feedback to all participants</w:t>
            </w:r>
          </w:p>
        </w:tc>
        <w:tc>
          <w:tcPr>
            <w:tcW w:w="652" w:type="pct"/>
            <w:tcBorders>
              <w:top w:val="single" w:sz="4" w:space="0" w:color="7EC333"/>
              <w:bottom w:val="single" w:sz="4" w:space="0" w:color="7EC333"/>
            </w:tcBorders>
            <w:vAlign w:val="center"/>
          </w:tcPr>
          <w:p w14:paraId="264B1DE0"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C.47.b</w:t>
            </w:r>
          </w:p>
        </w:tc>
        <w:tc>
          <w:tcPr>
            <w:tcW w:w="837" w:type="pct"/>
            <w:tcBorders>
              <w:top w:val="single" w:sz="4" w:space="0" w:color="7EC333"/>
              <w:bottom w:val="single" w:sz="4" w:space="0" w:color="7EC333"/>
              <w:right w:val="single" w:sz="4" w:space="0" w:color="7EC333"/>
            </w:tcBorders>
            <w:vAlign w:val="center"/>
          </w:tcPr>
          <w:p w14:paraId="2AC5D6FE"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p>
        </w:tc>
        <w:tc>
          <w:tcPr>
            <w:tcW w:w="204" w:type="pct"/>
            <w:tcBorders>
              <w:top w:val="single" w:sz="4" w:space="0" w:color="FFFFFF" w:themeColor="background1"/>
              <w:left w:val="single" w:sz="4" w:space="0" w:color="7EC333"/>
              <w:bottom w:val="single" w:sz="4" w:space="0" w:color="7EC333"/>
              <w:right w:val="single" w:sz="4" w:space="0" w:color="7EC333"/>
            </w:tcBorders>
            <w:shd w:val="clear" w:color="auto" w:fill="7EC333"/>
            <w:vAlign w:val="center"/>
          </w:tcPr>
          <w:p w14:paraId="02D5A618"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2" w:type="pct"/>
            <w:tcBorders>
              <w:top w:val="single" w:sz="4" w:space="0" w:color="7EC333"/>
              <w:left w:val="single" w:sz="4" w:space="0" w:color="7EC333"/>
              <w:bottom w:val="single" w:sz="4" w:space="0" w:color="7EC333"/>
              <w:right w:val="single" w:sz="4" w:space="0" w:color="7EC333"/>
            </w:tcBorders>
            <w:vAlign w:val="center"/>
          </w:tcPr>
          <w:p w14:paraId="3C90E7D2" w14:textId="77777777" w:rsid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p w14:paraId="595195B3" w14:textId="2BFA4E0C" w:rsidR="0091098C" w:rsidRPr="000A6724" w:rsidRDefault="0091098C"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7EC333"/>
              <w:left w:val="single" w:sz="4" w:space="0" w:color="7EC333"/>
              <w:bottom w:val="single" w:sz="4" w:space="0" w:color="7EC333"/>
              <w:right w:val="single" w:sz="4" w:space="0" w:color="7EC333"/>
            </w:tcBorders>
            <w:vAlign w:val="center"/>
          </w:tcPr>
          <w:p w14:paraId="29E8C999"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7EC333"/>
              <w:left w:val="single" w:sz="4" w:space="0" w:color="7EC333"/>
              <w:bottom w:val="single" w:sz="4" w:space="0" w:color="7EC333"/>
              <w:right w:val="single" w:sz="4" w:space="0" w:color="7EC333"/>
            </w:tcBorders>
            <w:vAlign w:val="center"/>
          </w:tcPr>
          <w:p w14:paraId="628ACDB1"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15C3ED24" w14:textId="77777777" w:rsidTr="009B3544">
        <w:trPr>
          <w:trHeight w:val="556"/>
        </w:trPr>
        <w:tc>
          <w:tcPr>
            <w:cnfStyle w:val="001000000000" w:firstRow="0" w:lastRow="0" w:firstColumn="1" w:lastColumn="0" w:oddVBand="0" w:evenVBand="0" w:oddHBand="0" w:evenHBand="0" w:firstRowFirstColumn="0" w:firstRowLastColumn="0" w:lastRowFirstColumn="0" w:lastRowLastColumn="0"/>
            <w:tcW w:w="2706" w:type="pct"/>
            <w:tcBorders>
              <w:top w:val="single" w:sz="4" w:space="0" w:color="7EC333"/>
              <w:bottom w:val="single" w:sz="4" w:space="0" w:color="7EC333"/>
            </w:tcBorders>
            <w:vAlign w:val="center"/>
          </w:tcPr>
          <w:p w14:paraId="20FBD1D0" w14:textId="77777777" w:rsidR="000D694A" w:rsidRPr="000F7F34" w:rsidRDefault="000D694A" w:rsidP="000F7F34">
            <w:pPr>
              <w:pStyle w:val="TableHeadings"/>
              <w:rPr>
                <w:b/>
              </w:rPr>
            </w:pPr>
            <w:r w:rsidRPr="000F7F34">
              <w:rPr>
                <w:b/>
              </w:rPr>
              <w:t xml:space="preserve">Scale up a national approach to data governance arrangements, </w:t>
            </w:r>
            <w:proofErr w:type="gramStart"/>
            <w:r w:rsidRPr="000F7F34">
              <w:rPr>
                <w:b/>
              </w:rPr>
              <w:t>structures</w:t>
            </w:r>
            <w:proofErr w:type="gramEnd"/>
            <w:r w:rsidRPr="000F7F34">
              <w:rPr>
                <w:b/>
              </w:rPr>
              <w:t xml:space="preserve"> and processes</w:t>
            </w:r>
          </w:p>
        </w:tc>
        <w:tc>
          <w:tcPr>
            <w:tcW w:w="652" w:type="pct"/>
            <w:tcBorders>
              <w:top w:val="single" w:sz="4" w:space="0" w:color="7EC333"/>
              <w:bottom w:val="single" w:sz="4" w:space="0" w:color="7EC333"/>
            </w:tcBorders>
            <w:vAlign w:val="center"/>
          </w:tcPr>
          <w:p w14:paraId="77ACED28"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C.46.a</w:t>
            </w:r>
          </w:p>
        </w:tc>
        <w:tc>
          <w:tcPr>
            <w:tcW w:w="837" w:type="pct"/>
            <w:tcBorders>
              <w:top w:val="single" w:sz="4" w:space="0" w:color="7EC333"/>
              <w:bottom w:val="single" w:sz="4" w:space="0" w:color="7EC333"/>
              <w:right w:val="single" w:sz="4" w:space="0" w:color="7EC333"/>
            </w:tcBorders>
            <w:vAlign w:val="center"/>
          </w:tcPr>
          <w:p w14:paraId="40130B25"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Approach document and implementation plan</w:t>
            </w:r>
          </w:p>
        </w:tc>
        <w:tc>
          <w:tcPr>
            <w:tcW w:w="204" w:type="pct"/>
            <w:vMerge w:val="restart"/>
            <w:tcBorders>
              <w:top w:val="single" w:sz="4" w:space="0" w:color="7EC333"/>
              <w:left w:val="single" w:sz="4" w:space="0" w:color="7EC333"/>
              <w:bottom w:val="single" w:sz="4" w:space="0" w:color="FFFFFF" w:themeColor="background1"/>
              <w:right w:val="single" w:sz="4" w:space="0" w:color="7EC333"/>
            </w:tcBorders>
            <w:textDirection w:val="btLr"/>
            <w:vAlign w:val="center"/>
          </w:tcPr>
          <w:p w14:paraId="359F6EC5" w14:textId="77777777" w:rsidR="000D694A" w:rsidRPr="000D694A" w:rsidRDefault="000D694A" w:rsidP="000D694A">
            <w:pPr>
              <w:spacing w:before="0" w:after="0"/>
              <w:ind w:left="113" w:right="113"/>
              <w:cnfStyle w:val="000000000000" w:firstRow="0" w:lastRow="0" w:firstColumn="0" w:lastColumn="0" w:oddVBand="0" w:evenVBand="0" w:oddHBand="0" w:evenHBand="0" w:firstRowFirstColumn="0" w:firstRowLastColumn="0" w:lastRowFirstColumn="0" w:lastRowLastColumn="0"/>
              <w:rPr>
                <w:rFonts w:cs="Arial"/>
                <w:sz w:val="15"/>
                <w:szCs w:val="15"/>
              </w:rPr>
            </w:pPr>
            <w:r w:rsidRPr="000D694A">
              <w:rPr>
                <w:rFonts w:cs="Arial"/>
                <w:sz w:val="15"/>
                <w:szCs w:val="15"/>
              </w:rPr>
              <w:t>Dependent on C.46.f</w:t>
            </w:r>
          </w:p>
        </w:tc>
        <w:tc>
          <w:tcPr>
            <w:tcW w:w="202" w:type="pct"/>
            <w:tcBorders>
              <w:top w:val="single" w:sz="4" w:space="0" w:color="7EC333"/>
              <w:left w:val="single" w:sz="4" w:space="0" w:color="7EC333"/>
              <w:bottom w:val="single" w:sz="4" w:space="0" w:color="FFFFFF" w:themeColor="background1"/>
              <w:right w:val="single" w:sz="4" w:space="0" w:color="FFFFFF" w:themeColor="background1"/>
            </w:tcBorders>
            <w:shd w:val="clear" w:color="auto" w:fill="7EC333"/>
            <w:vAlign w:val="center"/>
          </w:tcPr>
          <w:p w14:paraId="40695DB9" w14:textId="77777777" w:rsidR="000D694A" w:rsidRPr="000D694A" w:rsidRDefault="000D694A" w:rsidP="000D694A">
            <w:pPr>
              <w:spacing w:before="0" w:after="0"/>
              <w:cnfStyle w:val="000000000000" w:firstRow="0" w:lastRow="0" w:firstColumn="0" w:lastColumn="0" w:oddVBand="0" w:evenVBand="0" w:oddHBand="0" w:evenHBand="0" w:firstRowFirstColumn="0" w:firstRowLastColumn="0" w:lastRowFirstColumn="0" w:lastRowLastColumn="0"/>
              <w:rPr>
                <w:rFonts w:cs="Arial"/>
                <w:sz w:val="15"/>
                <w:szCs w:val="15"/>
              </w:rPr>
            </w:pPr>
          </w:p>
        </w:tc>
        <w:tc>
          <w:tcPr>
            <w:tcW w:w="200" w:type="pct"/>
            <w:tcBorders>
              <w:top w:val="single" w:sz="4" w:space="0" w:color="7EC333"/>
              <w:left w:val="single" w:sz="4" w:space="0" w:color="FFFFFF" w:themeColor="background1"/>
              <w:bottom w:val="single" w:sz="4" w:space="0" w:color="FFFFFF" w:themeColor="background1"/>
              <w:right w:val="single" w:sz="4" w:space="0" w:color="FFFFFF" w:themeColor="background1"/>
            </w:tcBorders>
            <w:shd w:val="clear" w:color="auto" w:fill="7EC333"/>
            <w:vAlign w:val="center"/>
          </w:tcPr>
          <w:p w14:paraId="253D5A1A"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7EC333"/>
              <w:left w:val="single" w:sz="4" w:space="0" w:color="FFFFFF" w:themeColor="background1"/>
              <w:bottom w:val="single" w:sz="4" w:space="0" w:color="FFFFFF" w:themeColor="background1"/>
              <w:right w:val="single" w:sz="4" w:space="0" w:color="7EC333"/>
            </w:tcBorders>
            <w:shd w:val="clear" w:color="auto" w:fill="7EC333"/>
            <w:vAlign w:val="center"/>
          </w:tcPr>
          <w:p w14:paraId="3DB64D65"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2116659A" w14:textId="77777777" w:rsidTr="009B3544">
        <w:tc>
          <w:tcPr>
            <w:cnfStyle w:val="001000000000" w:firstRow="0" w:lastRow="0" w:firstColumn="1" w:lastColumn="0" w:oddVBand="0" w:evenVBand="0" w:oddHBand="0" w:evenHBand="0" w:firstRowFirstColumn="0" w:firstRowLastColumn="0" w:lastRowFirstColumn="0" w:lastRowLastColumn="0"/>
            <w:tcW w:w="2706" w:type="pct"/>
            <w:tcBorders>
              <w:top w:val="single" w:sz="4" w:space="0" w:color="7EC333"/>
              <w:bottom w:val="single" w:sz="4" w:space="0" w:color="7EC333"/>
            </w:tcBorders>
            <w:vAlign w:val="center"/>
          </w:tcPr>
          <w:p w14:paraId="186D4291" w14:textId="77777777" w:rsidR="000D694A" w:rsidRPr="000F7F34" w:rsidRDefault="000D694A" w:rsidP="000F7F34">
            <w:pPr>
              <w:pStyle w:val="TableHeadings"/>
              <w:rPr>
                <w:b/>
              </w:rPr>
            </w:pPr>
            <w:r w:rsidRPr="000F7F34">
              <w:rPr>
                <w:b/>
              </w:rPr>
              <w:t>Develop a risk-based framework and standards for collection, sharing, and security of data</w:t>
            </w:r>
          </w:p>
        </w:tc>
        <w:tc>
          <w:tcPr>
            <w:tcW w:w="652" w:type="pct"/>
            <w:tcBorders>
              <w:top w:val="single" w:sz="4" w:space="0" w:color="7EC333"/>
              <w:bottom w:val="single" w:sz="4" w:space="0" w:color="7EC333"/>
            </w:tcBorders>
            <w:vAlign w:val="center"/>
          </w:tcPr>
          <w:p w14:paraId="329F68E7"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C.46.d</w:t>
            </w:r>
          </w:p>
        </w:tc>
        <w:tc>
          <w:tcPr>
            <w:tcW w:w="837" w:type="pct"/>
            <w:tcBorders>
              <w:top w:val="single" w:sz="4" w:space="0" w:color="7EC333"/>
              <w:bottom w:val="single" w:sz="4" w:space="0" w:color="7EC333"/>
              <w:right w:val="single" w:sz="4" w:space="0" w:color="7EC333"/>
            </w:tcBorders>
            <w:vAlign w:val="center"/>
          </w:tcPr>
          <w:p w14:paraId="2888308C"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Framework and standards</w:t>
            </w:r>
          </w:p>
        </w:tc>
        <w:tc>
          <w:tcPr>
            <w:tcW w:w="204" w:type="pct"/>
            <w:vMerge/>
            <w:tcBorders>
              <w:top w:val="single" w:sz="4" w:space="0" w:color="AB177E"/>
              <w:left w:val="single" w:sz="4" w:space="0" w:color="7EC333"/>
              <w:bottom w:val="single" w:sz="4" w:space="0" w:color="FFFFFF" w:themeColor="background1"/>
              <w:right w:val="single" w:sz="4" w:space="0" w:color="7EC333"/>
            </w:tcBorders>
            <w:vAlign w:val="center"/>
          </w:tcPr>
          <w:p w14:paraId="0BBB4168" w14:textId="77777777" w:rsidR="000D694A" w:rsidRPr="000D694A" w:rsidRDefault="000D694A" w:rsidP="000D694A">
            <w:pPr>
              <w:spacing w:before="0" w:after="0"/>
              <w:cnfStyle w:val="000000000000" w:firstRow="0" w:lastRow="0" w:firstColumn="0" w:lastColumn="0" w:oddVBand="0" w:evenVBand="0" w:oddHBand="0" w:evenHBand="0" w:firstRowFirstColumn="0" w:firstRowLastColumn="0" w:lastRowFirstColumn="0" w:lastRowLastColumn="0"/>
              <w:rPr>
                <w:rFonts w:cs="Arial"/>
                <w:sz w:val="15"/>
                <w:szCs w:val="15"/>
              </w:rPr>
            </w:pPr>
          </w:p>
        </w:tc>
        <w:tc>
          <w:tcPr>
            <w:tcW w:w="202" w:type="pct"/>
            <w:tcBorders>
              <w:top w:val="single" w:sz="4" w:space="0" w:color="FFFFFF" w:themeColor="background1"/>
              <w:left w:val="single" w:sz="4" w:space="0" w:color="7EC333"/>
              <w:bottom w:val="single" w:sz="4" w:space="0" w:color="FFFFFF" w:themeColor="background1"/>
              <w:right w:val="single" w:sz="4" w:space="0" w:color="FFFFFF" w:themeColor="background1"/>
            </w:tcBorders>
            <w:shd w:val="clear" w:color="auto" w:fill="7EC333"/>
            <w:vAlign w:val="center"/>
          </w:tcPr>
          <w:p w14:paraId="29C8DE64" w14:textId="77777777" w:rsidR="000D694A" w:rsidRPr="000D694A" w:rsidRDefault="000D694A" w:rsidP="000D694A">
            <w:pPr>
              <w:spacing w:before="0" w:after="0"/>
              <w:cnfStyle w:val="000000000000" w:firstRow="0" w:lastRow="0" w:firstColumn="0" w:lastColumn="0" w:oddVBand="0" w:evenVBand="0" w:oddHBand="0" w:evenHBand="0" w:firstRowFirstColumn="0" w:firstRowLastColumn="0" w:lastRowFirstColumn="0" w:lastRowLastColumn="0"/>
              <w:rPr>
                <w:rFonts w:cs="Arial"/>
                <w:sz w:val="15"/>
                <w:szCs w:val="15"/>
              </w:rPr>
            </w:pPr>
          </w:p>
        </w:tc>
        <w:tc>
          <w:tcPr>
            <w:tcW w:w="2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C333"/>
            <w:vAlign w:val="center"/>
          </w:tcPr>
          <w:p w14:paraId="1A08713B"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FFFFFF" w:themeColor="background1"/>
              <w:left w:val="single" w:sz="4" w:space="0" w:color="FFFFFF" w:themeColor="background1"/>
              <w:bottom w:val="single" w:sz="4" w:space="0" w:color="FFFFFF" w:themeColor="background1"/>
              <w:right w:val="single" w:sz="4" w:space="0" w:color="7EC333"/>
            </w:tcBorders>
            <w:shd w:val="clear" w:color="auto" w:fill="7EC333"/>
            <w:vAlign w:val="center"/>
          </w:tcPr>
          <w:p w14:paraId="50ECA22C"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7BA0898E" w14:textId="77777777" w:rsidTr="009B3544">
        <w:tc>
          <w:tcPr>
            <w:cnfStyle w:val="001000000000" w:firstRow="0" w:lastRow="0" w:firstColumn="1" w:lastColumn="0" w:oddVBand="0" w:evenVBand="0" w:oddHBand="0" w:evenHBand="0" w:firstRowFirstColumn="0" w:firstRowLastColumn="0" w:lastRowFirstColumn="0" w:lastRowLastColumn="0"/>
            <w:tcW w:w="2706" w:type="pct"/>
            <w:tcBorders>
              <w:top w:val="single" w:sz="4" w:space="0" w:color="7EC333"/>
              <w:bottom w:val="single" w:sz="4" w:space="0" w:color="7EC333"/>
            </w:tcBorders>
            <w:vAlign w:val="center"/>
          </w:tcPr>
          <w:p w14:paraId="734482D5" w14:textId="77777777" w:rsidR="000D694A" w:rsidRPr="000F7F34" w:rsidRDefault="000D694A" w:rsidP="000F7F34">
            <w:pPr>
              <w:pStyle w:val="TableHeadings"/>
              <w:rPr>
                <w:b/>
              </w:rPr>
            </w:pPr>
            <w:r w:rsidRPr="000F7F34">
              <w:rPr>
                <w:b/>
              </w:rPr>
              <w:t>Establish Commonwealth-state patient-level primary and community health care datasets</w:t>
            </w:r>
          </w:p>
        </w:tc>
        <w:tc>
          <w:tcPr>
            <w:tcW w:w="652" w:type="pct"/>
            <w:tcBorders>
              <w:top w:val="single" w:sz="4" w:space="0" w:color="7EC333"/>
              <w:bottom w:val="single" w:sz="4" w:space="0" w:color="7EC333"/>
            </w:tcBorders>
            <w:vAlign w:val="center"/>
          </w:tcPr>
          <w:p w14:paraId="265C26EF"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C.46.b</w:t>
            </w:r>
          </w:p>
        </w:tc>
        <w:tc>
          <w:tcPr>
            <w:tcW w:w="837" w:type="pct"/>
            <w:tcBorders>
              <w:top w:val="single" w:sz="4" w:space="0" w:color="7EC333"/>
              <w:bottom w:val="single" w:sz="4" w:space="0" w:color="7EC333"/>
              <w:right w:val="single" w:sz="4" w:space="0" w:color="7EC333"/>
            </w:tcBorders>
            <w:vAlign w:val="center"/>
          </w:tcPr>
          <w:p w14:paraId="384E548C"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Datasets</w:t>
            </w:r>
          </w:p>
        </w:tc>
        <w:tc>
          <w:tcPr>
            <w:tcW w:w="204" w:type="pct"/>
            <w:tcBorders>
              <w:top w:val="single" w:sz="4" w:space="0" w:color="FFFFFF" w:themeColor="background1"/>
              <w:left w:val="single" w:sz="4" w:space="0" w:color="7EC333"/>
              <w:bottom w:val="single" w:sz="4" w:space="0" w:color="FFFFFF" w:themeColor="background1"/>
              <w:right w:val="single" w:sz="4" w:space="0" w:color="FFFFFF" w:themeColor="background1"/>
            </w:tcBorders>
            <w:shd w:val="clear" w:color="auto" w:fill="7EC333"/>
            <w:vAlign w:val="center"/>
          </w:tcPr>
          <w:p w14:paraId="300E61C4"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C333"/>
            <w:vAlign w:val="center"/>
          </w:tcPr>
          <w:p w14:paraId="32C96D0D"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C333"/>
            <w:vAlign w:val="center"/>
          </w:tcPr>
          <w:p w14:paraId="7469652F"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FFFFFF" w:themeColor="background1"/>
              <w:left w:val="single" w:sz="4" w:space="0" w:color="FFFFFF" w:themeColor="background1"/>
              <w:bottom w:val="single" w:sz="4" w:space="0" w:color="FFFFFF" w:themeColor="background1"/>
              <w:right w:val="single" w:sz="4" w:space="0" w:color="7EC333"/>
            </w:tcBorders>
            <w:shd w:val="clear" w:color="auto" w:fill="7EC333"/>
            <w:vAlign w:val="center"/>
          </w:tcPr>
          <w:p w14:paraId="0A5BB7A2"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3921CBAB" w14:textId="77777777" w:rsidTr="009B3544">
        <w:tc>
          <w:tcPr>
            <w:cnfStyle w:val="001000000000" w:firstRow="0" w:lastRow="0" w:firstColumn="1" w:lastColumn="0" w:oddVBand="0" w:evenVBand="0" w:oddHBand="0" w:evenHBand="0" w:firstRowFirstColumn="0" w:firstRowLastColumn="0" w:lastRowFirstColumn="0" w:lastRowLastColumn="0"/>
            <w:tcW w:w="2706" w:type="pct"/>
            <w:tcBorders>
              <w:top w:val="single" w:sz="4" w:space="0" w:color="7EC333"/>
              <w:bottom w:val="single" w:sz="4" w:space="0" w:color="7EC333"/>
            </w:tcBorders>
            <w:vAlign w:val="center"/>
          </w:tcPr>
          <w:p w14:paraId="58CA0645" w14:textId="77777777" w:rsidR="000D694A" w:rsidRPr="000F7F34" w:rsidRDefault="000D694A" w:rsidP="000F7F34">
            <w:pPr>
              <w:pStyle w:val="TableHeadings"/>
              <w:rPr>
                <w:b/>
              </w:rPr>
            </w:pPr>
            <w:r w:rsidRPr="000F7F34">
              <w:rPr>
                <w:b/>
              </w:rPr>
              <w:t>Develop and implement a consistent approach to the collection and use of Patient Reported Measures</w:t>
            </w:r>
          </w:p>
        </w:tc>
        <w:tc>
          <w:tcPr>
            <w:tcW w:w="652" w:type="pct"/>
            <w:tcBorders>
              <w:top w:val="single" w:sz="4" w:space="0" w:color="7EC333"/>
              <w:bottom w:val="single" w:sz="4" w:space="0" w:color="7EC333"/>
            </w:tcBorders>
            <w:vAlign w:val="center"/>
          </w:tcPr>
          <w:p w14:paraId="595F5E4E"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C.46.e</w:t>
            </w:r>
          </w:p>
        </w:tc>
        <w:tc>
          <w:tcPr>
            <w:tcW w:w="837" w:type="pct"/>
            <w:tcBorders>
              <w:top w:val="single" w:sz="4" w:space="0" w:color="7EC333"/>
              <w:bottom w:val="single" w:sz="4" w:space="0" w:color="7EC333"/>
              <w:right w:val="single" w:sz="4" w:space="0" w:color="7EC333"/>
            </w:tcBorders>
            <w:vAlign w:val="center"/>
          </w:tcPr>
          <w:p w14:paraId="3AB1BCFD"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Approach document and implementation plan</w:t>
            </w:r>
          </w:p>
        </w:tc>
        <w:tc>
          <w:tcPr>
            <w:tcW w:w="204" w:type="pct"/>
            <w:tcBorders>
              <w:top w:val="single" w:sz="4" w:space="0" w:color="FFFFFF" w:themeColor="background1"/>
              <w:left w:val="single" w:sz="4" w:space="0" w:color="7EC333"/>
              <w:bottom w:val="single" w:sz="4" w:space="0" w:color="7EC333"/>
              <w:right w:val="single" w:sz="4" w:space="0" w:color="FFFFFF" w:themeColor="background1"/>
            </w:tcBorders>
            <w:shd w:val="clear" w:color="auto" w:fill="7EC333"/>
            <w:vAlign w:val="center"/>
          </w:tcPr>
          <w:p w14:paraId="4FAC09E7"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C333"/>
            <w:vAlign w:val="center"/>
          </w:tcPr>
          <w:p w14:paraId="1604D483"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C333"/>
            <w:vAlign w:val="center"/>
          </w:tcPr>
          <w:p w14:paraId="52596727"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FFFFFF" w:themeColor="background1"/>
              <w:left w:val="single" w:sz="4" w:space="0" w:color="FFFFFF" w:themeColor="background1"/>
              <w:bottom w:val="single" w:sz="4" w:space="0" w:color="7EC333"/>
              <w:right w:val="single" w:sz="4" w:space="0" w:color="7EC333"/>
            </w:tcBorders>
            <w:shd w:val="clear" w:color="auto" w:fill="7EC333"/>
            <w:vAlign w:val="center"/>
          </w:tcPr>
          <w:p w14:paraId="4AD71A89"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52E301B3" w14:textId="77777777" w:rsidTr="009B3544">
        <w:tc>
          <w:tcPr>
            <w:cnfStyle w:val="001000000000" w:firstRow="0" w:lastRow="0" w:firstColumn="1" w:lastColumn="0" w:oddVBand="0" w:evenVBand="0" w:oddHBand="0" w:evenHBand="0" w:firstRowFirstColumn="0" w:firstRowLastColumn="0" w:lastRowFirstColumn="0" w:lastRowLastColumn="0"/>
            <w:tcW w:w="2706" w:type="pct"/>
            <w:tcBorders>
              <w:top w:val="single" w:sz="4" w:space="0" w:color="7EC333"/>
              <w:bottom w:val="single" w:sz="4" w:space="0" w:color="7EC333"/>
            </w:tcBorders>
            <w:vAlign w:val="center"/>
          </w:tcPr>
          <w:p w14:paraId="608F270D" w14:textId="77777777" w:rsidR="000D694A" w:rsidRPr="000F7F34" w:rsidRDefault="000D694A" w:rsidP="000F7F34">
            <w:pPr>
              <w:pStyle w:val="TableHeadings"/>
              <w:rPr>
                <w:b/>
              </w:rPr>
            </w:pPr>
            <w:r w:rsidRPr="000F7F34">
              <w:rPr>
                <w:b/>
              </w:rPr>
              <w:t>Develop a health data workforce capability framework to define roles and standards, and identify necessary skills and capabilities</w:t>
            </w:r>
          </w:p>
        </w:tc>
        <w:tc>
          <w:tcPr>
            <w:tcW w:w="652" w:type="pct"/>
            <w:tcBorders>
              <w:top w:val="single" w:sz="4" w:space="0" w:color="7EC333"/>
              <w:bottom w:val="single" w:sz="4" w:space="0" w:color="7EC333"/>
            </w:tcBorders>
            <w:vAlign w:val="center"/>
          </w:tcPr>
          <w:p w14:paraId="6EDA05F2"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C.46.c</w:t>
            </w:r>
          </w:p>
        </w:tc>
        <w:tc>
          <w:tcPr>
            <w:tcW w:w="837" w:type="pct"/>
            <w:tcBorders>
              <w:top w:val="single" w:sz="4" w:space="0" w:color="7EC333"/>
              <w:bottom w:val="single" w:sz="4" w:space="0" w:color="7EC333"/>
              <w:right w:val="single" w:sz="4" w:space="0" w:color="7EC333"/>
            </w:tcBorders>
            <w:vAlign w:val="center"/>
          </w:tcPr>
          <w:p w14:paraId="3D230827"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Framework and implementation plan</w:t>
            </w:r>
          </w:p>
        </w:tc>
        <w:tc>
          <w:tcPr>
            <w:tcW w:w="204" w:type="pct"/>
            <w:tcBorders>
              <w:top w:val="single" w:sz="4" w:space="0" w:color="7EC333"/>
              <w:left w:val="single" w:sz="4" w:space="0" w:color="7EC333"/>
              <w:bottom w:val="single" w:sz="4" w:space="0" w:color="7EC333"/>
              <w:right w:val="single" w:sz="4" w:space="0" w:color="7EC333"/>
            </w:tcBorders>
            <w:vAlign w:val="center"/>
          </w:tcPr>
          <w:p w14:paraId="03FCA819"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2" w:type="pct"/>
            <w:tcBorders>
              <w:top w:val="single" w:sz="4" w:space="0" w:color="FFFFFF" w:themeColor="background1"/>
              <w:left w:val="single" w:sz="4" w:space="0" w:color="7EC333"/>
              <w:bottom w:val="single" w:sz="4" w:space="0" w:color="7EC333"/>
              <w:right w:val="single" w:sz="4" w:space="0" w:color="FFFFFF" w:themeColor="background1"/>
            </w:tcBorders>
            <w:shd w:val="clear" w:color="auto" w:fill="7EC333"/>
            <w:vAlign w:val="center"/>
          </w:tcPr>
          <w:p w14:paraId="0EC97817"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FFFFFF" w:themeColor="background1"/>
              <w:left w:val="single" w:sz="4" w:space="0" w:color="FFFFFF" w:themeColor="background1"/>
              <w:bottom w:val="single" w:sz="4" w:space="0" w:color="7EC333"/>
              <w:right w:val="single" w:sz="4" w:space="0" w:color="7EC333"/>
            </w:tcBorders>
            <w:shd w:val="clear" w:color="auto" w:fill="7EC333"/>
            <w:vAlign w:val="center"/>
          </w:tcPr>
          <w:p w14:paraId="6210B5E3"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7EC333"/>
              <w:left w:val="single" w:sz="4" w:space="0" w:color="7EC333"/>
              <w:bottom w:val="single" w:sz="4" w:space="0" w:color="7EC333"/>
              <w:right w:val="single" w:sz="4" w:space="0" w:color="7EC333"/>
            </w:tcBorders>
            <w:vAlign w:val="center"/>
          </w:tcPr>
          <w:p w14:paraId="361EB3C3"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212EA6DD" w14:textId="1F34E671" w:rsidR="00E2077D" w:rsidRDefault="009B4A90" w:rsidP="009E4463">
      <w:pPr>
        <w:ind w:left="-284"/>
      </w:pPr>
      <w:r>
        <w:br w:type="page"/>
      </w:r>
      <w:r w:rsidR="0091098C">
        <w:rPr>
          <w:noProof/>
          <w:lang w:eastAsia="en-AU"/>
        </w:rPr>
        <w:lastRenderedPageBreak/>
        <w:drawing>
          <wp:inline distT="0" distB="0" distL="0" distR="0" wp14:anchorId="435D56F5" wp14:editId="70417A70">
            <wp:extent cx="6351905" cy="8819515"/>
            <wp:effectExtent l="0" t="0" r="0" b="635"/>
            <wp:docPr id="12" name="Picture 12" descr="This image is shows the  Enhanced health data - Outcomes Map. All the information in this image can be read in the tables prior to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mage is shows the  Enhanced health data - Outcomes Map. All the information in this image can be read in the tables prior to this imag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1905" cy="8819515"/>
                    </a:xfrm>
                    <a:prstGeom prst="rect">
                      <a:avLst/>
                    </a:prstGeom>
                    <a:noFill/>
                  </pic:spPr>
                </pic:pic>
              </a:graphicData>
            </a:graphic>
          </wp:inline>
        </w:drawing>
      </w:r>
      <w:r w:rsidR="00E2077D">
        <w:br w:type="page"/>
      </w:r>
    </w:p>
    <w:tbl>
      <w:tblPr>
        <w:tblStyle w:val="DepartmentalTealstyle"/>
        <w:tblW w:w="5000" w:type="pct"/>
        <w:tblBorders>
          <w:top w:val="single" w:sz="4" w:space="0" w:color="A5A5A5" w:themeColor="accent3"/>
          <w:bottom w:val="single" w:sz="4" w:space="0" w:color="A5A5A5" w:themeColor="accent3"/>
          <w:insideH w:val="single" w:sz="4" w:space="0" w:color="A5A5A5" w:themeColor="accent3"/>
        </w:tblBorders>
        <w:tblCellMar>
          <w:left w:w="57" w:type="dxa"/>
          <w:right w:w="57" w:type="dxa"/>
        </w:tblCellMar>
        <w:tblLook w:val="04A0" w:firstRow="1" w:lastRow="0" w:firstColumn="1" w:lastColumn="0" w:noHBand="0" w:noVBand="1"/>
        <w:tblDescription w:val="This table is a list of the reform stream for the interface between health, disability and aged care systems"/>
      </w:tblPr>
      <w:tblGrid>
        <w:gridCol w:w="1923"/>
        <w:gridCol w:w="8275"/>
      </w:tblGrid>
      <w:tr w:rsidR="000D694A" w:rsidRPr="009B3544" w14:paraId="7B8C0B90" w14:textId="77777777" w:rsidTr="009B35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3" w:type="pct"/>
            <w:tcBorders>
              <w:top w:val="nil"/>
              <w:bottom w:val="nil"/>
            </w:tcBorders>
          </w:tcPr>
          <w:p w14:paraId="1AE4164D" w14:textId="77777777" w:rsidR="000D694A" w:rsidRPr="009B3544" w:rsidRDefault="000D694A" w:rsidP="009B3544">
            <w:r w:rsidRPr="009B3544">
              <w:lastRenderedPageBreak/>
              <w:br w:type="page"/>
              <w:t>Reform stream</w:t>
            </w:r>
          </w:p>
        </w:tc>
        <w:tc>
          <w:tcPr>
            <w:tcW w:w="4057" w:type="pct"/>
            <w:tcBorders>
              <w:top w:val="nil"/>
              <w:bottom w:val="nil"/>
            </w:tcBorders>
          </w:tcPr>
          <w:p w14:paraId="3B3857C6" w14:textId="5F2AEBE9" w:rsidR="000D694A" w:rsidRPr="009B3544" w:rsidRDefault="000D694A" w:rsidP="009B3544">
            <w:pPr>
              <w:cnfStyle w:val="100000000000" w:firstRow="1" w:lastRow="0" w:firstColumn="0" w:lastColumn="0" w:oddVBand="0" w:evenVBand="0" w:oddHBand="0" w:evenHBand="0" w:firstRowFirstColumn="0" w:firstRowLastColumn="0" w:lastRowFirstColumn="0" w:lastRowLastColumn="0"/>
            </w:pPr>
            <w:bookmarkStart w:id="31" w:name="_Toc75425929"/>
            <w:r w:rsidRPr="009B3544">
              <w:t xml:space="preserve">Interfaces between health, </w:t>
            </w:r>
            <w:proofErr w:type="gramStart"/>
            <w:r w:rsidRPr="009B3544">
              <w:t>disability</w:t>
            </w:r>
            <w:proofErr w:type="gramEnd"/>
            <w:r w:rsidRPr="009B3544">
              <w:t xml:space="preserve"> and aged care systems</w:t>
            </w:r>
            <w:bookmarkEnd w:id="31"/>
          </w:p>
        </w:tc>
      </w:tr>
      <w:tr w:rsidR="000D694A" w:rsidRPr="00236C2C" w14:paraId="5288FDEF" w14:textId="77777777" w:rsidTr="009B3544">
        <w:trPr>
          <w:trHeight w:val="664"/>
        </w:trPr>
        <w:tc>
          <w:tcPr>
            <w:cnfStyle w:val="001000000000" w:firstRow="0" w:lastRow="0" w:firstColumn="1" w:lastColumn="0" w:oddVBand="0" w:evenVBand="0" w:oddHBand="0" w:evenHBand="0" w:firstRowFirstColumn="0" w:firstRowLastColumn="0" w:lastRowFirstColumn="0" w:lastRowLastColumn="0"/>
            <w:tcW w:w="943" w:type="pct"/>
            <w:tcBorders>
              <w:top w:val="nil"/>
              <w:bottom w:val="single" w:sz="4" w:space="0" w:color="AB177E"/>
            </w:tcBorders>
            <w:vAlign w:val="center"/>
          </w:tcPr>
          <w:p w14:paraId="46A47BD6" w14:textId="77777777" w:rsidR="000D694A" w:rsidRPr="000F7F34" w:rsidRDefault="000D694A" w:rsidP="000F7F34">
            <w:pPr>
              <w:pStyle w:val="TableHeadings"/>
              <w:rPr>
                <w:b/>
              </w:rPr>
            </w:pPr>
            <w:r w:rsidRPr="000F7F34">
              <w:rPr>
                <w:b/>
              </w:rPr>
              <w:t>Vision</w:t>
            </w:r>
          </w:p>
        </w:tc>
        <w:tc>
          <w:tcPr>
            <w:tcW w:w="4057" w:type="pct"/>
            <w:tcBorders>
              <w:top w:val="nil"/>
              <w:bottom w:val="single" w:sz="4" w:space="0" w:color="AB177E"/>
            </w:tcBorders>
            <w:vAlign w:val="center"/>
          </w:tcPr>
          <w:p w14:paraId="2F2FA991" w14:textId="019935E3" w:rsidR="000D694A" w:rsidRPr="00044502" w:rsidRDefault="000D694A" w:rsidP="00044502">
            <w:pPr>
              <w:pStyle w:val="TableContent"/>
              <w:cnfStyle w:val="000000000000" w:firstRow="0" w:lastRow="0" w:firstColumn="0" w:lastColumn="0" w:oddVBand="0" w:evenVBand="0" w:oddHBand="0" w:evenHBand="0" w:firstRowFirstColumn="0" w:firstRowLastColumn="0" w:lastRowFirstColumn="0" w:lastRowLastColumn="0"/>
            </w:pPr>
            <w:r w:rsidRPr="00044502">
              <w:t xml:space="preserve">Better coordination between the health, primary care, aged </w:t>
            </w:r>
            <w:proofErr w:type="gramStart"/>
            <w:r w:rsidRPr="00044502">
              <w:t>care</w:t>
            </w:r>
            <w:proofErr w:type="gramEnd"/>
            <w:r w:rsidRPr="00044502">
              <w:t xml:space="preserve"> and disability systems will </w:t>
            </w:r>
            <w:r w:rsidR="00E75617">
              <w:br/>
            </w:r>
            <w:r w:rsidRPr="00044502">
              <w:t>ensure people can access the services they need, when they need them and improve care outcomes for people.</w:t>
            </w:r>
          </w:p>
        </w:tc>
      </w:tr>
      <w:tr w:rsidR="000D694A" w:rsidRPr="00236C2C" w14:paraId="102BB725" w14:textId="77777777" w:rsidTr="009B3544">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AB177E"/>
              <w:bottom w:val="single" w:sz="4" w:space="0" w:color="AB177E"/>
            </w:tcBorders>
            <w:vAlign w:val="center"/>
          </w:tcPr>
          <w:p w14:paraId="6C82A6FE" w14:textId="77777777" w:rsidR="000D694A" w:rsidRPr="000F7F34" w:rsidRDefault="000D694A" w:rsidP="000F7F34">
            <w:pPr>
              <w:pStyle w:val="TableHeadings"/>
              <w:rPr>
                <w:b/>
              </w:rPr>
            </w:pPr>
            <w:r w:rsidRPr="000F7F34">
              <w:rPr>
                <w:b/>
              </w:rPr>
              <w:t>Aim</w:t>
            </w:r>
          </w:p>
        </w:tc>
        <w:tc>
          <w:tcPr>
            <w:tcW w:w="4057" w:type="pct"/>
            <w:tcBorders>
              <w:top w:val="single" w:sz="4" w:space="0" w:color="AB177E"/>
              <w:bottom w:val="single" w:sz="4" w:space="0" w:color="AB177E"/>
            </w:tcBorders>
            <w:vAlign w:val="center"/>
          </w:tcPr>
          <w:p w14:paraId="6B4D5110" w14:textId="77777777" w:rsidR="000D694A" w:rsidRPr="00044502" w:rsidRDefault="000D694A" w:rsidP="00044502">
            <w:pPr>
              <w:pStyle w:val="TableContent"/>
              <w:cnfStyle w:val="000000000000" w:firstRow="0" w:lastRow="0" w:firstColumn="0" w:lastColumn="0" w:oddVBand="0" w:evenVBand="0" w:oddHBand="0" w:evenHBand="0" w:firstRowFirstColumn="0" w:firstRowLastColumn="0" w:lastRowFirstColumn="0" w:lastRowLastColumn="0"/>
            </w:pPr>
            <w:r w:rsidRPr="00044502">
              <w:t>People’s experiences of transferring and navigating between health and social service systems will be timely,</w:t>
            </w:r>
            <w:r w:rsidRPr="00044502" w:rsidDel="00A73250">
              <w:t xml:space="preserve"> </w:t>
            </w:r>
            <w:r w:rsidRPr="00044502">
              <w:t>well-coordinated and streamlined, particularly for people with complex and chronic conditions and disabilities.</w:t>
            </w:r>
          </w:p>
        </w:tc>
      </w:tr>
      <w:tr w:rsidR="000D694A" w:rsidRPr="00236C2C" w14:paraId="2391594B" w14:textId="77777777" w:rsidTr="009B3544">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AB177E"/>
              <w:bottom w:val="single" w:sz="4" w:space="0" w:color="AB177E"/>
            </w:tcBorders>
            <w:vAlign w:val="center"/>
          </w:tcPr>
          <w:p w14:paraId="781DC24E" w14:textId="77777777" w:rsidR="000D694A" w:rsidRPr="000F7F34" w:rsidRDefault="000D694A" w:rsidP="000F7F34">
            <w:pPr>
              <w:pStyle w:val="TableHeadings"/>
              <w:rPr>
                <w:b/>
              </w:rPr>
            </w:pPr>
            <w:r w:rsidRPr="000F7F34">
              <w:rPr>
                <w:b/>
              </w:rPr>
              <w:t>Case for change</w:t>
            </w:r>
          </w:p>
        </w:tc>
        <w:tc>
          <w:tcPr>
            <w:tcW w:w="4057" w:type="pct"/>
            <w:tcBorders>
              <w:top w:val="single" w:sz="4" w:space="0" w:color="AB177E"/>
              <w:bottom w:val="single" w:sz="4" w:space="0" w:color="AB177E"/>
            </w:tcBorders>
            <w:vAlign w:val="center"/>
          </w:tcPr>
          <w:p w14:paraId="28B42F8F" w14:textId="77777777" w:rsidR="000D694A" w:rsidRPr="00044502" w:rsidRDefault="000D694A" w:rsidP="00044502">
            <w:pPr>
              <w:pStyle w:val="TableContent"/>
              <w:cnfStyle w:val="000000000000" w:firstRow="0" w:lastRow="0" w:firstColumn="0" w:lastColumn="0" w:oddVBand="0" w:evenVBand="0" w:oddHBand="0" w:evenHBand="0" w:firstRowFirstColumn="0" w:firstRowLastColumn="0" w:lastRowFirstColumn="0" w:lastRowLastColumn="0"/>
            </w:pPr>
            <w:r w:rsidRPr="00044502">
              <w:t xml:space="preserve">The care needs of many Australians are becoming increasingly complex. Many people access multiple services across the health, primary care, </w:t>
            </w:r>
            <w:proofErr w:type="gramStart"/>
            <w:r w:rsidRPr="00044502">
              <w:t>disability</w:t>
            </w:r>
            <w:proofErr w:type="gramEnd"/>
            <w:r w:rsidRPr="00044502">
              <w:t xml:space="preserve"> and aged care systems. The Commonwealth, states and territories recognise they have a shared responsibility to better coordinate their services, particularly for people with chronic conditions and disability.</w:t>
            </w:r>
          </w:p>
        </w:tc>
      </w:tr>
      <w:tr w:rsidR="000D694A" w:rsidRPr="00236C2C" w14:paraId="60E81FE2" w14:textId="77777777" w:rsidTr="009B3544">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AB177E"/>
              <w:bottom w:val="single" w:sz="4" w:space="0" w:color="AB177E"/>
            </w:tcBorders>
            <w:vAlign w:val="center"/>
          </w:tcPr>
          <w:p w14:paraId="1A1B4BA5" w14:textId="77777777" w:rsidR="000D694A" w:rsidRPr="000F7F34" w:rsidRDefault="000D694A" w:rsidP="000F7F34">
            <w:pPr>
              <w:pStyle w:val="TableHeadings"/>
              <w:rPr>
                <w:b/>
              </w:rPr>
            </w:pPr>
            <w:r w:rsidRPr="000F7F34">
              <w:rPr>
                <w:b/>
              </w:rPr>
              <w:t>Links to other reforms</w:t>
            </w:r>
          </w:p>
        </w:tc>
        <w:tc>
          <w:tcPr>
            <w:tcW w:w="4057" w:type="pct"/>
            <w:tcBorders>
              <w:top w:val="single" w:sz="4" w:space="0" w:color="AB177E"/>
              <w:bottom w:val="single" w:sz="4" w:space="0" w:color="AB177E"/>
            </w:tcBorders>
            <w:vAlign w:val="center"/>
          </w:tcPr>
          <w:p w14:paraId="4F35E03B" w14:textId="0D84958A" w:rsidR="000D694A" w:rsidRPr="00044502" w:rsidRDefault="000D694A" w:rsidP="00044502">
            <w:pPr>
              <w:pStyle w:val="TableContent"/>
              <w:cnfStyle w:val="000000000000" w:firstRow="0" w:lastRow="0" w:firstColumn="0" w:lastColumn="0" w:oddVBand="0" w:evenVBand="0" w:oddHBand="0" w:evenHBand="0" w:firstRowFirstColumn="0" w:firstRowLastColumn="0" w:lastRowFirstColumn="0" w:lastRowLastColumn="0"/>
            </w:pPr>
            <w:r w:rsidRPr="00044502">
              <w:t>This reform supports the success of other NHRA long-term reforms, aligning with and expanding data projects underway by jurisdictions and the Commonwealth.</w:t>
            </w:r>
          </w:p>
        </w:tc>
      </w:tr>
      <w:tr w:rsidR="000D694A" w:rsidRPr="00236C2C" w14:paraId="5C1037B3" w14:textId="77777777" w:rsidTr="009B3544">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AB177E"/>
              <w:bottom w:val="single" w:sz="4" w:space="0" w:color="AB177E"/>
            </w:tcBorders>
            <w:vAlign w:val="center"/>
          </w:tcPr>
          <w:p w14:paraId="441C02E2" w14:textId="77777777" w:rsidR="000D694A" w:rsidRPr="000F7F34" w:rsidRDefault="000D694A" w:rsidP="000F7F34">
            <w:pPr>
              <w:pStyle w:val="TableHeadings"/>
              <w:rPr>
                <w:b/>
              </w:rPr>
            </w:pPr>
            <w:r w:rsidRPr="000F7F34">
              <w:rPr>
                <w:b/>
              </w:rPr>
              <w:t>Intended Outcomes</w:t>
            </w:r>
          </w:p>
        </w:tc>
        <w:tc>
          <w:tcPr>
            <w:tcW w:w="4057" w:type="pct"/>
            <w:tcBorders>
              <w:top w:val="single" w:sz="4" w:space="0" w:color="AB177E"/>
              <w:bottom w:val="single" w:sz="4" w:space="0" w:color="AB177E"/>
            </w:tcBorders>
            <w:vAlign w:val="center"/>
          </w:tcPr>
          <w:p w14:paraId="01A77385" w14:textId="77777777" w:rsidR="000D694A" w:rsidRPr="000F7F34" w:rsidRDefault="000D694A" w:rsidP="000F7F34">
            <w:pPr>
              <w:pStyle w:val="TableContent"/>
              <w:cnfStyle w:val="000000000000" w:firstRow="0" w:lastRow="0" w:firstColumn="0" w:lastColumn="0" w:oddVBand="0" w:evenVBand="0" w:oddHBand="0" w:evenHBand="0" w:firstRowFirstColumn="0" w:firstRowLastColumn="0" w:lastRowFirstColumn="0" w:lastRowLastColumn="0"/>
            </w:pPr>
            <w:r w:rsidRPr="000F7F34">
              <w:t>During the term of this Addendum, all parties will strive to:</w:t>
            </w:r>
          </w:p>
          <w:p w14:paraId="10075983" w14:textId="77777777" w:rsidR="000D694A" w:rsidRPr="000F7F34" w:rsidRDefault="000D694A" w:rsidP="00E434C9">
            <w:pPr>
              <w:pStyle w:val="Table-Bulletpoint"/>
              <w:cnfStyle w:val="000000000000" w:firstRow="0" w:lastRow="0" w:firstColumn="0" w:lastColumn="0" w:oddVBand="0" w:evenVBand="0" w:oddHBand="0" w:evenHBand="0" w:firstRowFirstColumn="0" w:firstRowLastColumn="0" w:lastRowFirstColumn="0" w:lastRowLastColumn="0"/>
            </w:pPr>
            <w:r w:rsidRPr="000F7F34">
              <w:t xml:space="preserve">resolve interface issues quickly, </w:t>
            </w:r>
            <w:proofErr w:type="gramStart"/>
            <w:r w:rsidRPr="000F7F34">
              <w:t>consistently</w:t>
            </w:r>
            <w:proofErr w:type="gramEnd"/>
            <w:r w:rsidRPr="000F7F34">
              <w:t xml:space="preserve"> and sustainably</w:t>
            </w:r>
          </w:p>
          <w:p w14:paraId="05019FCE" w14:textId="77777777" w:rsidR="000D694A" w:rsidRPr="000F7F34" w:rsidRDefault="000D694A" w:rsidP="00E434C9">
            <w:pPr>
              <w:pStyle w:val="Table-Bulletpoint"/>
              <w:cnfStyle w:val="000000000000" w:firstRow="0" w:lastRow="0" w:firstColumn="0" w:lastColumn="0" w:oddVBand="0" w:evenVBand="0" w:oddHBand="0" w:evenHBand="0" w:firstRowFirstColumn="0" w:firstRowLastColumn="0" w:lastRowFirstColumn="0" w:lastRowLastColumn="0"/>
            </w:pPr>
            <w:r w:rsidRPr="000F7F34">
              <w:t>identify and address service gaps within agreed timeframes</w:t>
            </w:r>
          </w:p>
          <w:p w14:paraId="2A5C5D12" w14:textId="77777777" w:rsidR="000D694A" w:rsidRPr="000F7F34" w:rsidRDefault="000D694A" w:rsidP="00E434C9">
            <w:pPr>
              <w:pStyle w:val="Table-Bulletpoint"/>
              <w:cnfStyle w:val="000000000000" w:firstRow="0" w:lastRow="0" w:firstColumn="0" w:lastColumn="0" w:oddVBand="0" w:evenVBand="0" w:oddHBand="0" w:evenHBand="0" w:firstRowFirstColumn="0" w:firstRowLastColumn="0" w:lastRowFirstColumn="0" w:lastRowLastColumn="0"/>
            </w:pPr>
            <w:r w:rsidRPr="000F7F34">
              <w:t>ensure better coordination between the health, primary care, disability and aged care systems with improved consumer access and care outcomes</w:t>
            </w:r>
          </w:p>
          <w:p w14:paraId="346B325A" w14:textId="77777777" w:rsidR="000D694A" w:rsidRPr="000F7F34" w:rsidRDefault="000D694A" w:rsidP="00E434C9">
            <w:pPr>
              <w:pStyle w:val="Table-Bulletpoint"/>
              <w:cnfStyle w:val="000000000000" w:firstRow="0" w:lastRow="0" w:firstColumn="0" w:lastColumn="0" w:oddVBand="0" w:evenVBand="0" w:oddHBand="0" w:evenHBand="0" w:firstRowFirstColumn="0" w:firstRowLastColumn="0" w:lastRowFirstColumn="0" w:lastRowLastColumn="0"/>
            </w:pPr>
            <w:r w:rsidRPr="000F7F34">
              <w:t>provide better access to the clinical and social care older people and people with disability need from the appropriate system at the appropriate time</w:t>
            </w:r>
          </w:p>
          <w:p w14:paraId="0F776860" w14:textId="77777777" w:rsidR="000D694A" w:rsidRPr="000F7F34" w:rsidRDefault="000D694A" w:rsidP="00E434C9">
            <w:pPr>
              <w:pStyle w:val="Table-Bulletpoint"/>
              <w:cnfStyle w:val="000000000000" w:firstRow="0" w:lastRow="0" w:firstColumn="0" w:lastColumn="0" w:oddVBand="0" w:evenVBand="0" w:oddHBand="0" w:evenHBand="0" w:firstRowFirstColumn="0" w:firstRowLastColumn="0" w:lastRowFirstColumn="0" w:lastRowLastColumn="0"/>
            </w:pPr>
            <w:r w:rsidRPr="000F7F34">
              <w:t xml:space="preserve">make it easier for consumers, carers and their families to navigate the health, primary care, aged </w:t>
            </w:r>
            <w:proofErr w:type="gramStart"/>
            <w:r w:rsidRPr="000F7F34">
              <w:t>care</w:t>
            </w:r>
            <w:proofErr w:type="gramEnd"/>
            <w:r w:rsidRPr="000F7F34">
              <w:t xml:space="preserve"> and disability support systems to receive optimal care and support</w:t>
            </w:r>
          </w:p>
          <w:p w14:paraId="72EBD325" w14:textId="77777777" w:rsidR="000D694A" w:rsidRPr="002E3FE3" w:rsidRDefault="000D694A" w:rsidP="00E434C9">
            <w:pPr>
              <w:pStyle w:val="Table-Bulletpoint"/>
              <w:cnfStyle w:val="000000000000" w:firstRow="0" w:lastRow="0" w:firstColumn="0" w:lastColumn="0" w:oddVBand="0" w:evenVBand="0" w:oddHBand="0" w:evenHBand="0" w:firstRowFirstColumn="0" w:firstRowLastColumn="0" w:lastRowFirstColumn="0" w:lastRowLastColumn="0"/>
              <w:rPr>
                <w:szCs w:val="20"/>
              </w:rPr>
            </w:pPr>
            <w:r w:rsidRPr="000F7F34">
              <w:t>reduce avoidable hospital presentations, time spent in hospital and discharge delays</w:t>
            </w:r>
          </w:p>
        </w:tc>
      </w:tr>
      <w:tr w:rsidR="000D694A" w:rsidRPr="00236C2C" w14:paraId="0816E559" w14:textId="77777777" w:rsidTr="009B3544">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AB177E"/>
              <w:bottom w:val="single" w:sz="4" w:space="0" w:color="AB177E"/>
            </w:tcBorders>
            <w:vAlign w:val="center"/>
          </w:tcPr>
          <w:p w14:paraId="7535BCFE" w14:textId="77777777" w:rsidR="000D694A" w:rsidRPr="000F7F34" w:rsidRDefault="000D694A" w:rsidP="000F7F34">
            <w:pPr>
              <w:pStyle w:val="TableHeadings"/>
              <w:rPr>
                <w:b/>
              </w:rPr>
            </w:pPr>
            <w:r w:rsidRPr="000F7F34">
              <w:rPr>
                <w:b/>
              </w:rPr>
              <w:t>Key concepts</w:t>
            </w:r>
          </w:p>
        </w:tc>
        <w:tc>
          <w:tcPr>
            <w:tcW w:w="4057" w:type="pct"/>
            <w:tcBorders>
              <w:top w:val="single" w:sz="4" w:space="0" w:color="AB177E"/>
              <w:bottom w:val="single" w:sz="4" w:space="0" w:color="AB177E"/>
            </w:tcBorders>
            <w:vAlign w:val="center"/>
          </w:tcPr>
          <w:p w14:paraId="29A05CDA" w14:textId="77777777" w:rsidR="000D694A" w:rsidRPr="000F7F34" w:rsidRDefault="000D694A"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The parties are committed to reducing barriers, </w:t>
            </w:r>
            <w:proofErr w:type="gramStart"/>
            <w:r w:rsidRPr="000F7F34">
              <w:t>inefficiencies</w:t>
            </w:r>
            <w:proofErr w:type="gramEnd"/>
            <w:r w:rsidRPr="000F7F34">
              <w:t xml:space="preserve"> and issues that impact patients who use both health and social service systems. The parties will address legislative, funding and policy issues that impede interface performance.</w:t>
            </w:r>
          </w:p>
        </w:tc>
      </w:tr>
      <w:tr w:rsidR="000D694A" w:rsidRPr="00236C2C" w14:paraId="7ED91937" w14:textId="77777777" w:rsidTr="009B3544">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AB177E"/>
              <w:bottom w:val="single" w:sz="4" w:space="0" w:color="AB177E"/>
            </w:tcBorders>
            <w:vAlign w:val="center"/>
          </w:tcPr>
          <w:p w14:paraId="71694C1D" w14:textId="77777777" w:rsidR="000D694A" w:rsidRPr="000F7F34" w:rsidRDefault="000D694A" w:rsidP="000F7F34">
            <w:pPr>
              <w:pStyle w:val="TableHeadings"/>
              <w:rPr>
                <w:b/>
              </w:rPr>
            </w:pPr>
            <w:r w:rsidRPr="000F7F34">
              <w:rPr>
                <w:b/>
              </w:rPr>
              <w:t>COVID-19 related</w:t>
            </w:r>
            <w:r w:rsidRPr="000F7F34">
              <w:rPr>
                <w:b/>
              </w:rPr>
              <w:br/>
              <w:t>developments</w:t>
            </w:r>
          </w:p>
        </w:tc>
        <w:tc>
          <w:tcPr>
            <w:tcW w:w="4057" w:type="pct"/>
            <w:tcBorders>
              <w:top w:val="single" w:sz="4" w:space="0" w:color="AB177E"/>
              <w:bottom w:val="single" w:sz="4" w:space="0" w:color="AB177E"/>
            </w:tcBorders>
            <w:vAlign w:val="center"/>
          </w:tcPr>
          <w:p w14:paraId="6F99EAFF" w14:textId="1909EE91" w:rsidR="000D694A" w:rsidRPr="000F7F34" w:rsidRDefault="000D694A"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This reform will build on COVID developments, including: National Disability Insurance Agency/state data sharing Memorandums of Understanding; continuing telehealth services; </w:t>
            </w:r>
            <w:r w:rsidR="008B6E10">
              <w:br/>
            </w:r>
            <w:r w:rsidRPr="000F7F34">
              <w:t>in-reach support services, accessible communications and improved engagement and collaboration with disability and aged care sectors.</w:t>
            </w:r>
          </w:p>
        </w:tc>
      </w:tr>
    </w:tbl>
    <w:p w14:paraId="60F25B16" w14:textId="568BE154" w:rsidR="009E4463" w:rsidRDefault="009E4463" w:rsidP="002C1A45">
      <w:r>
        <w:br w:type="page"/>
      </w:r>
    </w:p>
    <w:tbl>
      <w:tblPr>
        <w:tblStyle w:val="DepartmentalTealstyle"/>
        <w:tblW w:w="5000" w:type="pct"/>
        <w:tblBorders>
          <w:top w:val="single" w:sz="4" w:space="0" w:color="A5A5A5" w:themeColor="accent3"/>
          <w:bottom w:val="single" w:sz="4" w:space="0" w:color="A5A5A5" w:themeColor="accent3"/>
          <w:insideH w:val="single" w:sz="4" w:space="0" w:color="A5A5A5" w:themeColor="accent3"/>
        </w:tblBorders>
        <w:tblCellMar>
          <w:left w:w="57" w:type="dxa"/>
          <w:right w:w="57" w:type="dxa"/>
        </w:tblCellMar>
        <w:tblLook w:val="04A0" w:firstRow="1" w:lastRow="0" w:firstColumn="1" w:lastColumn="0" w:noHBand="0" w:noVBand="1"/>
        <w:tblDescription w:val="This table is a list of key components to the reform stream for the interface between health, disability and aged care systems"/>
      </w:tblPr>
      <w:tblGrid>
        <w:gridCol w:w="5514"/>
        <w:gridCol w:w="1321"/>
        <w:gridCol w:w="1691"/>
        <w:gridCol w:w="418"/>
        <w:gridCol w:w="418"/>
        <w:gridCol w:w="418"/>
        <w:gridCol w:w="418"/>
      </w:tblGrid>
      <w:tr w:rsidR="000D694A" w:rsidRPr="009B3544" w14:paraId="045A834C" w14:textId="77777777" w:rsidTr="009B3544">
        <w:trPr>
          <w:cnfStyle w:val="100000000000" w:firstRow="1" w:lastRow="0" w:firstColumn="0" w:lastColumn="0" w:oddVBand="0" w:evenVBand="0" w:oddHBand="0" w:evenHBand="0" w:firstRowFirstColumn="0" w:firstRowLastColumn="0" w:lastRowFirstColumn="0" w:lastRowLastColumn="0"/>
          <w:trHeight w:val="564"/>
          <w:tblHeader/>
        </w:trPr>
        <w:tc>
          <w:tcPr>
            <w:cnfStyle w:val="001000000000" w:firstRow="0" w:lastRow="0" w:firstColumn="1" w:lastColumn="0" w:oddVBand="0" w:evenVBand="0" w:oddHBand="0" w:evenHBand="0" w:firstRowFirstColumn="0" w:firstRowLastColumn="0" w:lastRowFirstColumn="0" w:lastRowLastColumn="0"/>
            <w:tcW w:w="2709" w:type="pct"/>
            <w:tcBorders>
              <w:top w:val="nil"/>
              <w:bottom w:val="single" w:sz="4" w:space="0" w:color="AB177E"/>
            </w:tcBorders>
            <w:vAlign w:val="center"/>
          </w:tcPr>
          <w:p w14:paraId="6A03BA12" w14:textId="11D38BF8" w:rsidR="000D694A" w:rsidRPr="009B3544" w:rsidRDefault="000D694A" w:rsidP="009B3544">
            <w:r w:rsidRPr="009B3544">
              <w:lastRenderedPageBreak/>
              <w:t>Key components</w:t>
            </w:r>
          </w:p>
        </w:tc>
        <w:tc>
          <w:tcPr>
            <w:tcW w:w="2291" w:type="pct"/>
            <w:gridSpan w:val="6"/>
            <w:tcBorders>
              <w:top w:val="nil"/>
              <w:bottom w:val="single" w:sz="4" w:space="0" w:color="AB177E"/>
            </w:tcBorders>
            <w:vAlign w:val="center"/>
          </w:tcPr>
          <w:p w14:paraId="2C062F8A" w14:textId="77777777" w:rsidR="000D694A" w:rsidRPr="009B3544" w:rsidRDefault="000D694A" w:rsidP="009B3544">
            <w:pPr>
              <w:cnfStyle w:val="100000000000" w:firstRow="1" w:lastRow="0" w:firstColumn="0" w:lastColumn="0" w:oddVBand="0" w:evenVBand="0" w:oddHBand="0" w:evenHBand="0" w:firstRowFirstColumn="0" w:firstRowLastColumn="0" w:lastRowFirstColumn="0" w:lastRowLastColumn="0"/>
            </w:pPr>
          </w:p>
        </w:tc>
      </w:tr>
      <w:tr w:rsidR="000D694A" w:rsidRPr="00236C2C" w14:paraId="44911C55" w14:textId="77777777" w:rsidTr="009B3544">
        <w:trPr>
          <w:trHeight w:val="564"/>
        </w:trPr>
        <w:tc>
          <w:tcPr>
            <w:cnfStyle w:val="001000000000" w:firstRow="0" w:lastRow="0" w:firstColumn="1" w:lastColumn="0" w:oddVBand="0" w:evenVBand="0" w:oddHBand="0" w:evenHBand="0" w:firstRowFirstColumn="0" w:firstRowLastColumn="0" w:lastRowFirstColumn="0" w:lastRowLastColumn="0"/>
            <w:tcW w:w="2709" w:type="pct"/>
            <w:vMerge w:val="restart"/>
            <w:tcBorders>
              <w:top w:val="single" w:sz="4" w:space="0" w:color="AB177E"/>
              <w:bottom w:val="single" w:sz="4" w:space="0" w:color="AB177E"/>
            </w:tcBorders>
            <w:shd w:val="clear" w:color="auto" w:fill="F2F2F2" w:themeFill="background1" w:themeFillShade="F2"/>
            <w:vAlign w:val="center"/>
          </w:tcPr>
          <w:p w14:paraId="27BD2A62" w14:textId="77777777" w:rsidR="000D694A" w:rsidRPr="00044502" w:rsidRDefault="000D694A" w:rsidP="00044502">
            <w:pPr>
              <w:pStyle w:val="TableHeadings"/>
              <w:rPr>
                <w:b/>
              </w:rPr>
            </w:pPr>
            <w:r w:rsidRPr="00044502">
              <w:rPr>
                <w:b/>
              </w:rPr>
              <w:t>National health reform agreement commitments</w:t>
            </w:r>
          </w:p>
        </w:tc>
        <w:tc>
          <w:tcPr>
            <w:tcW w:w="653" w:type="pct"/>
            <w:vMerge w:val="restart"/>
            <w:tcBorders>
              <w:top w:val="single" w:sz="4" w:space="0" w:color="AB177E"/>
              <w:bottom w:val="single" w:sz="4" w:space="0" w:color="AB177E"/>
            </w:tcBorders>
            <w:shd w:val="clear" w:color="auto" w:fill="F2F2F2" w:themeFill="background1" w:themeFillShade="F2"/>
            <w:vAlign w:val="center"/>
          </w:tcPr>
          <w:p w14:paraId="1F0FCA16" w14:textId="77777777" w:rsidR="000D694A" w:rsidRPr="00044502" w:rsidRDefault="000D694A" w:rsidP="00044502">
            <w:pPr>
              <w:pStyle w:val="TableHeadings"/>
              <w:cnfStyle w:val="000000000000" w:firstRow="0" w:lastRow="0" w:firstColumn="0" w:lastColumn="0" w:oddVBand="0" w:evenVBand="0" w:oddHBand="0" w:evenHBand="0" w:firstRowFirstColumn="0" w:firstRowLastColumn="0" w:lastRowFirstColumn="0" w:lastRowLastColumn="0"/>
            </w:pPr>
            <w:r w:rsidRPr="00044502">
              <w:t>NHRA clause</w:t>
            </w:r>
          </w:p>
        </w:tc>
        <w:tc>
          <w:tcPr>
            <w:tcW w:w="834" w:type="pct"/>
            <w:vMerge w:val="restart"/>
            <w:tcBorders>
              <w:top w:val="single" w:sz="4" w:space="0" w:color="AB177E"/>
              <w:bottom w:val="single" w:sz="4" w:space="0" w:color="AB177E"/>
            </w:tcBorders>
            <w:shd w:val="clear" w:color="auto" w:fill="F2F2F2" w:themeFill="background1" w:themeFillShade="F2"/>
            <w:vAlign w:val="center"/>
          </w:tcPr>
          <w:p w14:paraId="3BC86614" w14:textId="77777777" w:rsidR="000D694A" w:rsidRPr="00044502" w:rsidRDefault="000D694A" w:rsidP="00044502">
            <w:pPr>
              <w:pStyle w:val="TableHeadings"/>
              <w:cnfStyle w:val="000000000000" w:firstRow="0" w:lastRow="0" w:firstColumn="0" w:lastColumn="0" w:oddVBand="0" w:evenVBand="0" w:oddHBand="0" w:evenHBand="0" w:firstRowFirstColumn="0" w:firstRowLastColumn="0" w:lastRowFirstColumn="0" w:lastRowLastColumn="0"/>
            </w:pPr>
            <w:r w:rsidRPr="00044502">
              <w:t>Deliverable</w:t>
            </w:r>
          </w:p>
        </w:tc>
        <w:tc>
          <w:tcPr>
            <w:tcW w:w="805" w:type="pct"/>
            <w:gridSpan w:val="4"/>
            <w:tcBorders>
              <w:top w:val="single" w:sz="4" w:space="0" w:color="AB177E"/>
              <w:bottom w:val="single" w:sz="4" w:space="0" w:color="AB177E"/>
            </w:tcBorders>
            <w:shd w:val="clear" w:color="auto" w:fill="F2F2F2" w:themeFill="background1" w:themeFillShade="F2"/>
            <w:vAlign w:val="center"/>
          </w:tcPr>
          <w:p w14:paraId="1200D251" w14:textId="77777777" w:rsidR="000D694A" w:rsidRPr="00044502" w:rsidRDefault="000D694A" w:rsidP="00044502">
            <w:pPr>
              <w:pStyle w:val="TableHeadings"/>
              <w:cnfStyle w:val="000000000000" w:firstRow="0" w:lastRow="0" w:firstColumn="0" w:lastColumn="0" w:oddVBand="0" w:evenVBand="0" w:oddHBand="0" w:evenHBand="0" w:firstRowFirstColumn="0" w:firstRowLastColumn="0" w:lastRowFirstColumn="0" w:lastRowLastColumn="0"/>
            </w:pPr>
            <w:r w:rsidRPr="00044502">
              <w:t>Timeframes</w:t>
            </w:r>
          </w:p>
        </w:tc>
      </w:tr>
      <w:tr w:rsidR="000D694A" w:rsidRPr="00236C2C" w14:paraId="1C3F9C09" w14:textId="77777777" w:rsidTr="009B3544">
        <w:trPr>
          <w:trHeight w:val="564"/>
        </w:trPr>
        <w:tc>
          <w:tcPr>
            <w:cnfStyle w:val="001000000000" w:firstRow="0" w:lastRow="0" w:firstColumn="1" w:lastColumn="0" w:oddVBand="0" w:evenVBand="0" w:oddHBand="0" w:evenHBand="0" w:firstRowFirstColumn="0" w:firstRowLastColumn="0" w:lastRowFirstColumn="0" w:lastRowLastColumn="0"/>
            <w:tcW w:w="2709" w:type="pct"/>
            <w:vMerge/>
            <w:tcBorders>
              <w:top w:val="nil"/>
              <w:bottom w:val="single" w:sz="4" w:space="0" w:color="AB177E"/>
            </w:tcBorders>
            <w:vAlign w:val="center"/>
          </w:tcPr>
          <w:p w14:paraId="0DF8B77B" w14:textId="77777777" w:rsidR="000D694A" w:rsidRPr="00044502" w:rsidRDefault="000D694A" w:rsidP="00044502">
            <w:pPr>
              <w:pStyle w:val="TableHeadings"/>
              <w:rPr>
                <w:b/>
              </w:rPr>
            </w:pPr>
          </w:p>
        </w:tc>
        <w:tc>
          <w:tcPr>
            <w:tcW w:w="653" w:type="pct"/>
            <w:vMerge/>
            <w:tcBorders>
              <w:top w:val="nil"/>
              <w:bottom w:val="single" w:sz="4" w:space="0" w:color="AB177E"/>
            </w:tcBorders>
            <w:vAlign w:val="center"/>
          </w:tcPr>
          <w:p w14:paraId="19A3B1EB" w14:textId="77777777" w:rsidR="000D694A" w:rsidRPr="00C84DF4" w:rsidRDefault="000D694A" w:rsidP="00D55D40">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vMerge/>
            <w:tcBorders>
              <w:top w:val="nil"/>
              <w:bottom w:val="single" w:sz="4" w:space="0" w:color="AB177E"/>
              <w:right w:val="nil"/>
            </w:tcBorders>
            <w:vAlign w:val="center"/>
          </w:tcPr>
          <w:p w14:paraId="37ED3BBE" w14:textId="77777777" w:rsidR="000D694A" w:rsidRPr="000D694A" w:rsidRDefault="000D694A" w:rsidP="00D55D40">
            <w:pPr>
              <w:cnfStyle w:val="000000000000" w:firstRow="0" w:lastRow="0" w:firstColumn="0" w:lastColumn="0" w:oddVBand="0" w:evenVBand="0" w:oddHBand="0" w:evenHBand="0" w:firstRowFirstColumn="0" w:firstRowLastColumn="0" w:lastRowFirstColumn="0" w:lastRowLastColumn="0"/>
              <w:rPr>
                <w:szCs w:val="21"/>
              </w:rPr>
            </w:pPr>
          </w:p>
        </w:tc>
        <w:tc>
          <w:tcPr>
            <w:tcW w:w="202" w:type="pct"/>
            <w:tcBorders>
              <w:top w:val="single" w:sz="4" w:space="0" w:color="AB177E"/>
              <w:left w:val="nil"/>
              <w:bottom w:val="single" w:sz="4" w:space="0" w:color="AB177E"/>
              <w:right w:val="single" w:sz="4" w:space="0" w:color="AB177E"/>
            </w:tcBorders>
            <w:shd w:val="clear" w:color="auto" w:fill="F2F2F2" w:themeFill="background1" w:themeFillShade="F2"/>
            <w:vAlign w:val="center"/>
          </w:tcPr>
          <w:p w14:paraId="2319CAC8" w14:textId="77777777" w:rsidR="000D694A" w:rsidRPr="000D694A" w:rsidRDefault="000D694A" w:rsidP="00D55D4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21-22</w:t>
            </w:r>
          </w:p>
        </w:tc>
        <w:tc>
          <w:tcPr>
            <w:tcW w:w="202" w:type="pct"/>
            <w:tcBorders>
              <w:top w:val="single" w:sz="4" w:space="0" w:color="AB177E"/>
              <w:left w:val="single" w:sz="4" w:space="0" w:color="AB177E"/>
              <w:bottom w:val="single" w:sz="4" w:space="0" w:color="AB177E"/>
              <w:right w:val="single" w:sz="4" w:space="0" w:color="AB177E"/>
            </w:tcBorders>
            <w:shd w:val="clear" w:color="auto" w:fill="F2F2F2" w:themeFill="background1" w:themeFillShade="F2"/>
            <w:vAlign w:val="center"/>
          </w:tcPr>
          <w:p w14:paraId="2F851D92" w14:textId="77777777" w:rsidR="000D694A" w:rsidRPr="000D694A" w:rsidRDefault="000D694A" w:rsidP="00D55D4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22-23</w:t>
            </w:r>
          </w:p>
        </w:tc>
        <w:tc>
          <w:tcPr>
            <w:tcW w:w="200" w:type="pct"/>
            <w:tcBorders>
              <w:top w:val="single" w:sz="4" w:space="0" w:color="AB177E"/>
              <w:left w:val="single" w:sz="4" w:space="0" w:color="AB177E"/>
              <w:bottom w:val="single" w:sz="4" w:space="0" w:color="AB177E"/>
              <w:right w:val="single" w:sz="4" w:space="0" w:color="AB177E"/>
            </w:tcBorders>
            <w:shd w:val="clear" w:color="auto" w:fill="F2F2F2" w:themeFill="background1" w:themeFillShade="F2"/>
            <w:vAlign w:val="center"/>
          </w:tcPr>
          <w:p w14:paraId="20CC2562" w14:textId="77777777" w:rsidR="000D694A" w:rsidRPr="000D694A" w:rsidRDefault="000D694A" w:rsidP="00D55D4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23-24</w:t>
            </w:r>
          </w:p>
        </w:tc>
        <w:tc>
          <w:tcPr>
            <w:tcW w:w="200" w:type="pct"/>
            <w:tcBorders>
              <w:top w:val="single" w:sz="4" w:space="0" w:color="AB177E"/>
              <w:left w:val="single" w:sz="4" w:space="0" w:color="AB177E"/>
              <w:bottom w:val="single" w:sz="4" w:space="0" w:color="AB177E"/>
              <w:right w:val="single" w:sz="4" w:space="0" w:color="AB177E"/>
            </w:tcBorders>
            <w:shd w:val="clear" w:color="auto" w:fill="F2F2F2" w:themeFill="background1" w:themeFillShade="F2"/>
            <w:vAlign w:val="center"/>
          </w:tcPr>
          <w:p w14:paraId="52C2F50C" w14:textId="77777777" w:rsidR="000D694A" w:rsidRPr="000D694A" w:rsidRDefault="000D694A" w:rsidP="00D55D4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24-25</w:t>
            </w:r>
          </w:p>
        </w:tc>
      </w:tr>
      <w:tr w:rsidR="000D694A" w:rsidRPr="00236C2C" w14:paraId="06CF33A0" w14:textId="77777777" w:rsidTr="009B3544">
        <w:trPr>
          <w:trHeight w:val="556"/>
        </w:trPr>
        <w:tc>
          <w:tcPr>
            <w:cnfStyle w:val="001000000000" w:firstRow="0" w:lastRow="0" w:firstColumn="1" w:lastColumn="0" w:oddVBand="0" w:evenVBand="0" w:oddHBand="0" w:evenHBand="0" w:firstRowFirstColumn="0" w:firstRowLastColumn="0" w:lastRowFirstColumn="0" w:lastRowLastColumn="0"/>
            <w:tcW w:w="2709" w:type="pct"/>
            <w:tcBorders>
              <w:top w:val="single" w:sz="4" w:space="0" w:color="AB177E"/>
              <w:bottom w:val="single" w:sz="4" w:space="0" w:color="AB177E"/>
            </w:tcBorders>
            <w:vAlign w:val="center"/>
          </w:tcPr>
          <w:p w14:paraId="4F51D478" w14:textId="05893707" w:rsidR="000D694A" w:rsidRPr="00044502" w:rsidRDefault="000D694A" w:rsidP="00044502">
            <w:pPr>
              <w:pStyle w:val="TableHeadings"/>
              <w:rPr>
                <w:b/>
              </w:rPr>
            </w:pPr>
            <w:r w:rsidRPr="00044502">
              <w:rPr>
                <w:b/>
              </w:rPr>
              <w:t>Establish health, primary care, aged care and disability interface performance indicators and associated data collection and reporting</w:t>
            </w:r>
          </w:p>
        </w:tc>
        <w:tc>
          <w:tcPr>
            <w:tcW w:w="653" w:type="pct"/>
            <w:tcBorders>
              <w:top w:val="single" w:sz="4" w:space="0" w:color="AB177E"/>
              <w:bottom w:val="single" w:sz="4" w:space="0" w:color="AB177E"/>
            </w:tcBorders>
            <w:vAlign w:val="center"/>
          </w:tcPr>
          <w:p w14:paraId="1150D936"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szCs w:val="21"/>
              </w:rPr>
              <w:t>F.12</w:t>
            </w:r>
          </w:p>
        </w:tc>
        <w:tc>
          <w:tcPr>
            <w:tcW w:w="834" w:type="pct"/>
            <w:tcBorders>
              <w:top w:val="single" w:sz="4" w:space="0" w:color="AB177E"/>
              <w:bottom w:val="single" w:sz="4" w:space="0" w:color="AB177E"/>
              <w:right w:val="single" w:sz="4" w:space="0" w:color="AB177E"/>
            </w:tcBorders>
            <w:vAlign w:val="center"/>
          </w:tcPr>
          <w:p w14:paraId="65A9A962"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szCs w:val="21"/>
              </w:rPr>
              <w:t>New indicators and data collection</w:t>
            </w:r>
          </w:p>
        </w:tc>
        <w:tc>
          <w:tcPr>
            <w:tcW w:w="202" w:type="pct"/>
            <w:tcBorders>
              <w:top w:val="single" w:sz="4" w:space="0" w:color="AB177E"/>
              <w:left w:val="single" w:sz="4" w:space="0" w:color="AB177E"/>
              <w:bottom w:val="single" w:sz="4" w:space="0" w:color="AB177E"/>
              <w:right w:val="single" w:sz="4" w:space="0" w:color="FFFFFF" w:themeColor="background1"/>
            </w:tcBorders>
            <w:shd w:val="clear" w:color="auto" w:fill="AB177E"/>
            <w:vAlign w:val="center"/>
          </w:tcPr>
          <w:p w14:paraId="38D3FA5B"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2" w:type="pct"/>
            <w:tcBorders>
              <w:top w:val="single" w:sz="4" w:space="0" w:color="AB177E"/>
              <w:left w:val="single" w:sz="4" w:space="0" w:color="FFFFFF" w:themeColor="background1"/>
              <w:bottom w:val="single" w:sz="4" w:space="0" w:color="FFFFFF" w:themeColor="background1"/>
              <w:right w:val="single" w:sz="4" w:space="0" w:color="AB177E"/>
            </w:tcBorders>
            <w:shd w:val="clear" w:color="auto" w:fill="AB177E"/>
            <w:vAlign w:val="center"/>
          </w:tcPr>
          <w:p w14:paraId="37384229"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AB177E"/>
              <w:left w:val="single" w:sz="4" w:space="0" w:color="AB177E"/>
              <w:bottom w:val="single" w:sz="4" w:space="0" w:color="AB177E"/>
              <w:right w:val="single" w:sz="4" w:space="0" w:color="AB177E"/>
            </w:tcBorders>
            <w:vAlign w:val="center"/>
          </w:tcPr>
          <w:p w14:paraId="044EF537"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AB177E"/>
              <w:left w:val="single" w:sz="4" w:space="0" w:color="AB177E"/>
              <w:bottom w:val="single" w:sz="4" w:space="0" w:color="AB177E"/>
              <w:right w:val="single" w:sz="4" w:space="0" w:color="AB177E"/>
            </w:tcBorders>
            <w:vAlign w:val="center"/>
          </w:tcPr>
          <w:p w14:paraId="6421FC0C"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78546CA7" w14:textId="77777777" w:rsidTr="009B3544">
        <w:trPr>
          <w:trHeight w:val="556"/>
        </w:trPr>
        <w:tc>
          <w:tcPr>
            <w:cnfStyle w:val="001000000000" w:firstRow="0" w:lastRow="0" w:firstColumn="1" w:lastColumn="0" w:oddVBand="0" w:evenVBand="0" w:oddHBand="0" w:evenHBand="0" w:firstRowFirstColumn="0" w:firstRowLastColumn="0" w:lastRowFirstColumn="0" w:lastRowLastColumn="0"/>
            <w:tcW w:w="2709" w:type="pct"/>
            <w:tcBorders>
              <w:top w:val="single" w:sz="4" w:space="0" w:color="AB177E"/>
              <w:bottom w:val="single" w:sz="4" w:space="0" w:color="AB177E"/>
            </w:tcBorders>
            <w:vAlign w:val="center"/>
          </w:tcPr>
          <w:p w14:paraId="55FC3DBE" w14:textId="77777777" w:rsidR="000D694A" w:rsidRPr="00044502" w:rsidRDefault="000D694A" w:rsidP="00044502">
            <w:pPr>
              <w:pStyle w:val="TableHeadings"/>
              <w:rPr>
                <w:b/>
              </w:rPr>
            </w:pPr>
            <w:r w:rsidRPr="00044502">
              <w:rPr>
                <w:b/>
              </w:rPr>
              <w:t>Monitor and analyse interface performance and effectiveness of system and interface improvement strategies</w:t>
            </w:r>
          </w:p>
        </w:tc>
        <w:tc>
          <w:tcPr>
            <w:tcW w:w="653" w:type="pct"/>
            <w:tcBorders>
              <w:top w:val="single" w:sz="4" w:space="0" w:color="AB177E"/>
              <w:bottom w:val="single" w:sz="4" w:space="0" w:color="AB177E"/>
            </w:tcBorders>
            <w:vAlign w:val="center"/>
          </w:tcPr>
          <w:p w14:paraId="48D979D7"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szCs w:val="21"/>
              </w:rPr>
              <w:t>F.13.e</w:t>
            </w:r>
          </w:p>
        </w:tc>
        <w:tc>
          <w:tcPr>
            <w:tcW w:w="834" w:type="pct"/>
            <w:tcBorders>
              <w:top w:val="single" w:sz="4" w:space="0" w:color="AB177E"/>
              <w:bottom w:val="single" w:sz="4" w:space="0" w:color="AB177E"/>
              <w:right w:val="single" w:sz="4" w:space="0" w:color="AB177E"/>
            </w:tcBorders>
            <w:vAlign w:val="center"/>
          </w:tcPr>
          <w:p w14:paraId="5A240273"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Framework and regular reporting</w:t>
            </w:r>
          </w:p>
        </w:tc>
        <w:tc>
          <w:tcPr>
            <w:tcW w:w="202" w:type="pct"/>
            <w:tcBorders>
              <w:top w:val="single" w:sz="4" w:space="0" w:color="AB177E"/>
              <w:left w:val="single" w:sz="4" w:space="0" w:color="AB177E"/>
              <w:bottom w:val="single" w:sz="4" w:space="0" w:color="AB177E"/>
              <w:right w:val="single" w:sz="4" w:space="0" w:color="AB177E"/>
            </w:tcBorders>
            <w:shd w:val="clear" w:color="auto" w:fill="FFFFFF" w:themeFill="background1"/>
            <w:vAlign w:val="center"/>
          </w:tcPr>
          <w:p w14:paraId="327ECB59"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2" w:type="pct"/>
            <w:tcBorders>
              <w:top w:val="single" w:sz="4" w:space="0" w:color="FFFFFF" w:themeColor="background1"/>
              <w:left w:val="single" w:sz="4" w:space="0" w:color="AB177E"/>
              <w:bottom w:val="single" w:sz="4" w:space="0" w:color="FFFFFF" w:themeColor="background1"/>
              <w:right w:val="single" w:sz="4" w:space="0" w:color="FFFFFF" w:themeColor="background1"/>
            </w:tcBorders>
            <w:shd w:val="clear" w:color="auto" w:fill="AB177E"/>
            <w:vAlign w:val="center"/>
          </w:tcPr>
          <w:p w14:paraId="454BD971"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AB177E"/>
              <w:left w:val="single" w:sz="4" w:space="0" w:color="FFFFFF" w:themeColor="background1"/>
              <w:bottom w:val="single" w:sz="4" w:space="0" w:color="FFFFFF" w:themeColor="background1"/>
              <w:right w:val="single" w:sz="4" w:space="0" w:color="FFFFFF" w:themeColor="background1"/>
            </w:tcBorders>
            <w:shd w:val="clear" w:color="auto" w:fill="AB177E"/>
            <w:vAlign w:val="center"/>
          </w:tcPr>
          <w:p w14:paraId="09E1A22A"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AB177E"/>
              <w:left w:val="single" w:sz="4" w:space="0" w:color="FFFFFF" w:themeColor="background1"/>
              <w:bottom w:val="single" w:sz="4" w:space="0" w:color="FFFFFF" w:themeColor="background1"/>
              <w:right w:val="single" w:sz="4" w:space="0" w:color="AB177E"/>
            </w:tcBorders>
            <w:shd w:val="clear" w:color="auto" w:fill="AB177E"/>
            <w:vAlign w:val="center"/>
          </w:tcPr>
          <w:p w14:paraId="3016DE21"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26D22582" w14:textId="77777777" w:rsidTr="009B3544">
        <w:tc>
          <w:tcPr>
            <w:cnfStyle w:val="001000000000" w:firstRow="0" w:lastRow="0" w:firstColumn="1" w:lastColumn="0" w:oddVBand="0" w:evenVBand="0" w:oddHBand="0" w:evenHBand="0" w:firstRowFirstColumn="0" w:firstRowLastColumn="0" w:lastRowFirstColumn="0" w:lastRowLastColumn="0"/>
            <w:tcW w:w="2709" w:type="pct"/>
            <w:tcBorders>
              <w:top w:val="single" w:sz="4" w:space="0" w:color="AB177E"/>
              <w:bottom w:val="single" w:sz="4" w:space="0" w:color="AB177E"/>
            </w:tcBorders>
            <w:vAlign w:val="center"/>
          </w:tcPr>
          <w:p w14:paraId="59D94C9C" w14:textId="77777777" w:rsidR="000D694A" w:rsidRPr="00044502" w:rsidRDefault="000D694A" w:rsidP="00044502">
            <w:pPr>
              <w:pStyle w:val="TableHeadings"/>
              <w:rPr>
                <w:b/>
              </w:rPr>
            </w:pPr>
            <w:r w:rsidRPr="00044502">
              <w:rPr>
                <w:b/>
              </w:rPr>
              <w:t>Monitor, report on and address services gaps and the effect of policy or service changes across systems</w:t>
            </w:r>
          </w:p>
        </w:tc>
        <w:tc>
          <w:tcPr>
            <w:tcW w:w="653" w:type="pct"/>
            <w:tcBorders>
              <w:top w:val="single" w:sz="4" w:space="0" w:color="AB177E"/>
              <w:bottom w:val="single" w:sz="4" w:space="0" w:color="AB177E"/>
            </w:tcBorders>
            <w:vAlign w:val="center"/>
          </w:tcPr>
          <w:p w14:paraId="005CE5F3"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szCs w:val="21"/>
              </w:rPr>
              <w:t>F.13.a-d</w:t>
            </w:r>
          </w:p>
        </w:tc>
        <w:tc>
          <w:tcPr>
            <w:tcW w:w="834" w:type="pct"/>
            <w:tcBorders>
              <w:top w:val="single" w:sz="4" w:space="0" w:color="AB177E"/>
              <w:bottom w:val="single" w:sz="4" w:space="0" w:color="AB177E"/>
              <w:right w:val="single" w:sz="4" w:space="0" w:color="AB177E"/>
            </w:tcBorders>
            <w:vAlign w:val="center"/>
          </w:tcPr>
          <w:p w14:paraId="06EE56A0" w14:textId="77777777" w:rsidR="000D694A" w:rsidRPr="000D694A" w:rsidRDefault="000D694A" w:rsidP="00D55D40">
            <w:pPr>
              <w:spacing w:before="60"/>
              <w:cnfStyle w:val="000000000000" w:firstRow="0" w:lastRow="0" w:firstColumn="0" w:lastColumn="0" w:oddVBand="0" w:evenVBand="0" w:oddHBand="0" w:evenHBand="0" w:firstRowFirstColumn="0" w:firstRowLastColumn="0" w:lastRowFirstColumn="0" w:lastRowLastColumn="0"/>
              <w:rPr>
                <w:szCs w:val="21"/>
              </w:rPr>
            </w:pPr>
            <w:r w:rsidRPr="000D694A">
              <w:rPr>
                <w:szCs w:val="21"/>
              </w:rPr>
              <w:t>Regular reporting</w:t>
            </w:r>
          </w:p>
          <w:p w14:paraId="007DE636"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szCs w:val="21"/>
              </w:rPr>
              <w:t>Action plan</w:t>
            </w:r>
          </w:p>
        </w:tc>
        <w:tc>
          <w:tcPr>
            <w:tcW w:w="202" w:type="pct"/>
            <w:tcBorders>
              <w:top w:val="single" w:sz="4" w:space="0" w:color="AB177E"/>
              <w:left w:val="single" w:sz="4" w:space="0" w:color="AB177E"/>
              <w:bottom w:val="single" w:sz="4" w:space="0" w:color="FFFFFF" w:themeColor="background1"/>
              <w:right w:val="single" w:sz="4" w:space="0" w:color="FFFFFF" w:themeColor="background1"/>
            </w:tcBorders>
            <w:shd w:val="clear" w:color="auto" w:fill="AB177E"/>
            <w:vAlign w:val="center"/>
          </w:tcPr>
          <w:p w14:paraId="78F55C4D"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2" w:type="pct"/>
            <w:tcBorders>
              <w:top w:val="single" w:sz="4" w:space="0" w:color="FFFFFF" w:themeColor="background1"/>
              <w:left w:val="single" w:sz="4" w:space="0" w:color="FFFFFF" w:themeColor="background1"/>
              <w:bottom w:val="single" w:sz="4" w:space="0" w:color="AB177E"/>
              <w:right w:val="single" w:sz="4" w:space="0" w:color="FFFFFF" w:themeColor="background1"/>
            </w:tcBorders>
            <w:shd w:val="clear" w:color="auto" w:fill="AB177E"/>
            <w:vAlign w:val="center"/>
          </w:tcPr>
          <w:p w14:paraId="77E2FDD8"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FFFFFF" w:themeColor="background1"/>
              <w:left w:val="single" w:sz="4" w:space="0" w:color="FFFFFF" w:themeColor="background1"/>
              <w:bottom w:val="single" w:sz="4" w:space="0" w:color="AB177E"/>
              <w:right w:val="single" w:sz="4" w:space="0" w:color="FFFFFF" w:themeColor="background1"/>
            </w:tcBorders>
            <w:shd w:val="clear" w:color="auto" w:fill="AB177E"/>
            <w:vAlign w:val="center"/>
          </w:tcPr>
          <w:p w14:paraId="5A314054"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FFFFFF" w:themeColor="background1"/>
              <w:left w:val="single" w:sz="4" w:space="0" w:color="FFFFFF" w:themeColor="background1"/>
              <w:bottom w:val="single" w:sz="4" w:space="0" w:color="AB177E"/>
              <w:right w:val="single" w:sz="4" w:space="0" w:color="AB177E"/>
            </w:tcBorders>
            <w:shd w:val="clear" w:color="auto" w:fill="AB177E"/>
            <w:vAlign w:val="center"/>
          </w:tcPr>
          <w:p w14:paraId="2E7DAFE8"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4CD685A0" w14:textId="77777777" w:rsidTr="009B3544">
        <w:tc>
          <w:tcPr>
            <w:cnfStyle w:val="001000000000" w:firstRow="0" w:lastRow="0" w:firstColumn="1" w:lastColumn="0" w:oddVBand="0" w:evenVBand="0" w:oddHBand="0" w:evenHBand="0" w:firstRowFirstColumn="0" w:firstRowLastColumn="0" w:lastRowFirstColumn="0" w:lastRowLastColumn="0"/>
            <w:tcW w:w="2709" w:type="pct"/>
            <w:tcBorders>
              <w:top w:val="single" w:sz="4" w:space="0" w:color="AB177E"/>
              <w:bottom w:val="single" w:sz="4" w:space="0" w:color="AB177E"/>
            </w:tcBorders>
            <w:vAlign w:val="center"/>
          </w:tcPr>
          <w:p w14:paraId="66F5B7FA" w14:textId="77777777" w:rsidR="000D694A" w:rsidRPr="00044502" w:rsidRDefault="000D694A" w:rsidP="00044502">
            <w:pPr>
              <w:pStyle w:val="TableHeadings"/>
              <w:rPr>
                <w:b/>
              </w:rPr>
            </w:pPr>
            <w:r w:rsidRPr="00044502">
              <w:rPr>
                <w:b/>
              </w:rPr>
              <w:t xml:space="preserve">Clarify joint governance arrangements for monitoring and resolving issues between health, aged </w:t>
            </w:r>
            <w:proofErr w:type="gramStart"/>
            <w:r w:rsidRPr="00044502">
              <w:rPr>
                <w:b/>
              </w:rPr>
              <w:t>care</w:t>
            </w:r>
            <w:proofErr w:type="gramEnd"/>
            <w:r w:rsidRPr="00044502">
              <w:rPr>
                <w:b/>
              </w:rPr>
              <w:t xml:space="preserve"> and disability systems</w:t>
            </w:r>
          </w:p>
        </w:tc>
        <w:tc>
          <w:tcPr>
            <w:tcW w:w="653" w:type="pct"/>
            <w:tcBorders>
              <w:top w:val="single" w:sz="4" w:space="0" w:color="AB177E"/>
              <w:bottom w:val="single" w:sz="4" w:space="0" w:color="AB177E"/>
            </w:tcBorders>
            <w:vAlign w:val="center"/>
          </w:tcPr>
          <w:p w14:paraId="7B9FE428"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szCs w:val="21"/>
              </w:rPr>
            </w:pPr>
            <w:r w:rsidRPr="000D694A">
              <w:rPr>
                <w:szCs w:val="21"/>
              </w:rPr>
              <w:t>F.14</w:t>
            </w:r>
          </w:p>
        </w:tc>
        <w:tc>
          <w:tcPr>
            <w:tcW w:w="834" w:type="pct"/>
            <w:tcBorders>
              <w:top w:val="single" w:sz="4" w:space="0" w:color="AB177E"/>
              <w:bottom w:val="single" w:sz="4" w:space="0" w:color="AB177E"/>
              <w:right w:val="single" w:sz="4" w:space="0" w:color="AB177E"/>
            </w:tcBorders>
            <w:vAlign w:val="center"/>
          </w:tcPr>
          <w:p w14:paraId="4000D9C7"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szCs w:val="21"/>
              </w:rPr>
            </w:pPr>
            <w:r w:rsidRPr="000D694A">
              <w:rPr>
                <w:szCs w:val="21"/>
              </w:rPr>
              <w:t>Paper</w:t>
            </w:r>
          </w:p>
        </w:tc>
        <w:tc>
          <w:tcPr>
            <w:tcW w:w="202" w:type="pct"/>
            <w:tcBorders>
              <w:top w:val="single" w:sz="4" w:space="0" w:color="FFFFFF" w:themeColor="background1"/>
              <w:left w:val="single" w:sz="4" w:space="0" w:color="AB177E"/>
              <w:bottom w:val="single" w:sz="4" w:space="0" w:color="FFFFFF" w:themeColor="background1"/>
              <w:right w:val="single" w:sz="4" w:space="0" w:color="AB177E"/>
            </w:tcBorders>
            <w:shd w:val="clear" w:color="auto" w:fill="AB177E"/>
            <w:vAlign w:val="center"/>
          </w:tcPr>
          <w:p w14:paraId="7BAF7BE2"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2" w:type="pct"/>
            <w:tcBorders>
              <w:top w:val="single" w:sz="4" w:space="0" w:color="AB177E"/>
              <w:left w:val="single" w:sz="4" w:space="0" w:color="AB177E"/>
              <w:bottom w:val="single" w:sz="4" w:space="0" w:color="AB177E"/>
              <w:right w:val="single" w:sz="4" w:space="0" w:color="AB177E"/>
            </w:tcBorders>
            <w:vAlign w:val="center"/>
          </w:tcPr>
          <w:p w14:paraId="16309014"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AB177E"/>
              <w:left w:val="single" w:sz="4" w:space="0" w:color="AB177E"/>
              <w:bottom w:val="single" w:sz="4" w:space="0" w:color="AB177E"/>
              <w:right w:val="single" w:sz="4" w:space="0" w:color="AB177E"/>
            </w:tcBorders>
            <w:vAlign w:val="center"/>
          </w:tcPr>
          <w:p w14:paraId="60141639"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AB177E"/>
              <w:left w:val="single" w:sz="4" w:space="0" w:color="AB177E"/>
              <w:bottom w:val="single" w:sz="4" w:space="0" w:color="AB177E"/>
              <w:right w:val="single" w:sz="4" w:space="0" w:color="AB177E"/>
            </w:tcBorders>
            <w:vAlign w:val="center"/>
          </w:tcPr>
          <w:p w14:paraId="7DA56311"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5178D749" w14:textId="77777777" w:rsidTr="009B3544">
        <w:tc>
          <w:tcPr>
            <w:cnfStyle w:val="001000000000" w:firstRow="0" w:lastRow="0" w:firstColumn="1" w:lastColumn="0" w:oddVBand="0" w:evenVBand="0" w:oddHBand="0" w:evenHBand="0" w:firstRowFirstColumn="0" w:firstRowLastColumn="0" w:lastRowFirstColumn="0" w:lastRowLastColumn="0"/>
            <w:tcW w:w="2709" w:type="pct"/>
            <w:tcBorders>
              <w:top w:val="single" w:sz="4" w:space="0" w:color="AB177E"/>
              <w:bottom w:val="single" w:sz="4" w:space="0" w:color="AB177E"/>
            </w:tcBorders>
            <w:vAlign w:val="center"/>
          </w:tcPr>
          <w:p w14:paraId="5CD12E1B" w14:textId="77777777" w:rsidR="000D694A" w:rsidRPr="00044502" w:rsidRDefault="000D694A" w:rsidP="00044502">
            <w:pPr>
              <w:pStyle w:val="TableHeadings"/>
              <w:rPr>
                <w:b/>
              </w:rPr>
            </w:pPr>
            <w:r w:rsidRPr="00044502">
              <w:rPr>
                <w:b/>
              </w:rPr>
              <w:t xml:space="preserve">Explore the impact of housing security, </w:t>
            </w:r>
            <w:proofErr w:type="gramStart"/>
            <w:r w:rsidRPr="00044502">
              <w:rPr>
                <w:b/>
              </w:rPr>
              <w:t>provision</w:t>
            </w:r>
            <w:proofErr w:type="gramEnd"/>
            <w:r w:rsidRPr="00044502">
              <w:rPr>
                <w:b/>
              </w:rPr>
              <w:t xml:space="preserve"> and assistance on people’s health outcomes</w:t>
            </w:r>
          </w:p>
        </w:tc>
        <w:tc>
          <w:tcPr>
            <w:tcW w:w="653" w:type="pct"/>
            <w:tcBorders>
              <w:top w:val="single" w:sz="4" w:space="0" w:color="AB177E"/>
              <w:bottom w:val="single" w:sz="4" w:space="0" w:color="AB177E"/>
            </w:tcBorders>
            <w:vAlign w:val="center"/>
          </w:tcPr>
          <w:p w14:paraId="5FE2999F"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szCs w:val="21"/>
              </w:rPr>
            </w:pPr>
            <w:r w:rsidRPr="000D694A">
              <w:rPr>
                <w:szCs w:val="21"/>
              </w:rPr>
              <w:t>F.15</w:t>
            </w:r>
          </w:p>
        </w:tc>
        <w:tc>
          <w:tcPr>
            <w:tcW w:w="834" w:type="pct"/>
            <w:tcBorders>
              <w:top w:val="single" w:sz="4" w:space="0" w:color="AB177E"/>
              <w:bottom w:val="single" w:sz="4" w:space="0" w:color="AB177E"/>
              <w:right w:val="single" w:sz="4" w:space="0" w:color="AB177E"/>
            </w:tcBorders>
            <w:vAlign w:val="center"/>
          </w:tcPr>
          <w:p w14:paraId="132C6479"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szCs w:val="21"/>
              </w:rPr>
            </w:pPr>
            <w:r w:rsidRPr="000D694A">
              <w:rPr>
                <w:szCs w:val="21"/>
              </w:rPr>
              <w:t>Report</w:t>
            </w:r>
          </w:p>
        </w:tc>
        <w:tc>
          <w:tcPr>
            <w:tcW w:w="202" w:type="pct"/>
            <w:tcBorders>
              <w:top w:val="single" w:sz="4" w:space="0" w:color="FFFFFF" w:themeColor="background1"/>
              <w:left w:val="single" w:sz="4" w:space="0" w:color="AB177E"/>
              <w:bottom w:val="single" w:sz="4" w:space="0" w:color="AB177E"/>
              <w:right w:val="single" w:sz="4" w:space="0" w:color="AB177E"/>
            </w:tcBorders>
            <w:shd w:val="clear" w:color="auto" w:fill="AB177E"/>
            <w:vAlign w:val="center"/>
          </w:tcPr>
          <w:p w14:paraId="2917252A"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2" w:type="pct"/>
            <w:tcBorders>
              <w:top w:val="single" w:sz="4" w:space="0" w:color="AB177E"/>
              <w:left w:val="single" w:sz="4" w:space="0" w:color="AB177E"/>
              <w:bottom w:val="single" w:sz="4" w:space="0" w:color="AB177E"/>
              <w:right w:val="single" w:sz="4" w:space="0" w:color="AB177E"/>
            </w:tcBorders>
            <w:vAlign w:val="center"/>
          </w:tcPr>
          <w:p w14:paraId="77F9805D"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AB177E"/>
              <w:left w:val="single" w:sz="4" w:space="0" w:color="AB177E"/>
              <w:bottom w:val="single" w:sz="4" w:space="0" w:color="AB177E"/>
              <w:right w:val="single" w:sz="4" w:space="0" w:color="AB177E"/>
            </w:tcBorders>
            <w:vAlign w:val="center"/>
          </w:tcPr>
          <w:p w14:paraId="39BE7442"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AB177E"/>
              <w:left w:val="single" w:sz="4" w:space="0" w:color="AB177E"/>
              <w:bottom w:val="single" w:sz="4" w:space="0" w:color="AB177E"/>
              <w:right w:val="single" w:sz="4" w:space="0" w:color="AB177E"/>
            </w:tcBorders>
            <w:vAlign w:val="center"/>
          </w:tcPr>
          <w:p w14:paraId="5A7EE736"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63B33207" w14:textId="77777777" w:rsidTr="009B3544">
        <w:tc>
          <w:tcPr>
            <w:cnfStyle w:val="001000000000" w:firstRow="0" w:lastRow="0" w:firstColumn="1" w:lastColumn="0" w:oddVBand="0" w:evenVBand="0" w:oddHBand="0" w:evenHBand="0" w:firstRowFirstColumn="0" w:firstRowLastColumn="0" w:lastRowFirstColumn="0" w:lastRowLastColumn="0"/>
            <w:tcW w:w="2709" w:type="pct"/>
            <w:tcBorders>
              <w:top w:val="single" w:sz="4" w:space="0" w:color="AB177E"/>
              <w:bottom w:val="single" w:sz="4" w:space="0" w:color="AB177E"/>
            </w:tcBorders>
            <w:vAlign w:val="center"/>
          </w:tcPr>
          <w:p w14:paraId="23E7EF1A" w14:textId="77777777" w:rsidR="000D694A" w:rsidRPr="00044502" w:rsidRDefault="000D694A" w:rsidP="00044502">
            <w:pPr>
              <w:pStyle w:val="TableHeadings"/>
              <w:rPr>
                <w:b/>
              </w:rPr>
            </w:pPr>
            <w:r w:rsidRPr="00044502">
              <w:rPr>
                <w:b/>
              </w:rPr>
              <w:t>Work towards consistent application/interpretation of data across systems to assist understanding of linkages between data sets, establish sharing practices, explore viability of disability identifier in health data</w:t>
            </w:r>
          </w:p>
        </w:tc>
        <w:tc>
          <w:tcPr>
            <w:tcW w:w="653" w:type="pct"/>
            <w:tcBorders>
              <w:top w:val="single" w:sz="4" w:space="0" w:color="AB177E"/>
              <w:bottom w:val="single" w:sz="4" w:space="0" w:color="AB177E"/>
            </w:tcBorders>
            <w:vAlign w:val="center"/>
          </w:tcPr>
          <w:p w14:paraId="13CC7B49"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szCs w:val="21"/>
              </w:rPr>
            </w:pPr>
            <w:r w:rsidRPr="000D694A">
              <w:rPr>
                <w:szCs w:val="21"/>
              </w:rPr>
              <w:t>F.16.c</w:t>
            </w:r>
          </w:p>
        </w:tc>
        <w:tc>
          <w:tcPr>
            <w:tcW w:w="834" w:type="pct"/>
            <w:tcBorders>
              <w:top w:val="single" w:sz="4" w:space="0" w:color="AB177E"/>
              <w:bottom w:val="single" w:sz="4" w:space="0" w:color="AB177E"/>
              <w:right w:val="single" w:sz="4" w:space="0" w:color="AB177E"/>
            </w:tcBorders>
            <w:vAlign w:val="center"/>
          </w:tcPr>
          <w:p w14:paraId="26A253E5"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szCs w:val="21"/>
              </w:rPr>
            </w:pPr>
            <w:r w:rsidRPr="000D694A">
              <w:rPr>
                <w:szCs w:val="21"/>
              </w:rPr>
              <w:t>Framework and regular reporting</w:t>
            </w:r>
          </w:p>
        </w:tc>
        <w:tc>
          <w:tcPr>
            <w:tcW w:w="202" w:type="pct"/>
            <w:tcBorders>
              <w:top w:val="single" w:sz="4" w:space="0" w:color="AB177E"/>
              <w:left w:val="single" w:sz="4" w:space="0" w:color="AB177E"/>
              <w:bottom w:val="single" w:sz="4" w:space="0" w:color="AB177E"/>
              <w:right w:val="single" w:sz="4" w:space="0" w:color="AB177E"/>
            </w:tcBorders>
            <w:vAlign w:val="center"/>
          </w:tcPr>
          <w:p w14:paraId="3C7950C2"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2" w:type="pct"/>
            <w:tcBorders>
              <w:top w:val="single" w:sz="4" w:space="0" w:color="AB177E"/>
              <w:left w:val="single" w:sz="4" w:space="0" w:color="AB177E"/>
              <w:bottom w:val="single" w:sz="4" w:space="0" w:color="FFFFFF" w:themeColor="background1"/>
              <w:right w:val="single" w:sz="4" w:space="0" w:color="FFFFFF" w:themeColor="background1"/>
            </w:tcBorders>
            <w:shd w:val="clear" w:color="auto" w:fill="AB177E"/>
            <w:vAlign w:val="center"/>
          </w:tcPr>
          <w:p w14:paraId="151BF0C8"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AB177E"/>
              <w:left w:val="single" w:sz="4" w:space="0" w:color="FFFFFF" w:themeColor="background1"/>
              <w:bottom w:val="single" w:sz="4" w:space="0" w:color="FFFFFF" w:themeColor="background1"/>
              <w:right w:val="single" w:sz="4" w:space="0" w:color="FFFFFF" w:themeColor="background1"/>
            </w:tcBorders>
            <w:shd w:val="clear" w:color="auto" w:fill="AB177E"/>
            <w:vAlign w:val="center"/>
          </w:tcPr>
          <w:p w14:paraId="6BF0D503"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AB177E"/>
              <w:left w:val="single" w:sz="4" w:space="0" w:color="FFFFFF" w:themeColor="background1"/>
              <w:bottom w:val="single" w:sz="4" w:space="0" w:color="FFFFFF" w:themeColor="background1"/>
              <w:right w:val="single" w:sz="4" w:space="0" w:color="AB177E"/>
            </w:tcBorders>
            <w:shd w:val="clear" w:color="auto" w:fill="AB177E"/>
            <w:vAlign w:val="center"/>
          </w:tcPr>
          <w:p w14:paraId="1128C250"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1A46FBE8" w14:textId="77777777" w:rsidTr="009B3544">
        <w:tc>
          <w:tcPr>
            <w:cnfStyle w:val="001000000000" w:firstRow="0" w:lastRow="0" w:firstColumn="1" w:lastColumn="0" w:oddVBand="0" w:evenVBand="0" w:oddHBand="0" w:evenHBand="0" w:firstRowFirstColumn="0" w:firstRowLastColumn="0" w:lastRowFirstColumn="0" w:lastRowLastColumn="0"/>
            <w:tcW w:w="2709" w:type="pct"/>
            <w:tcBorders>
              <w:top w:val="single" w:sz="4" w:space="0" w:color="AB177E"/>
              <w:bottom w:val="single" w:sz="4" w:space="0" w:color="AB177E"/>
            </w:tcBorders>
            <w:vAlign w:val="center"/>
          </w:tcPr>
          <w:p w14:paraId="6C9334DF" w14:textId="7CECC251" w:rsidR="000D694A" w:rsidRPr="00044502" w:rsidRDefault="000D694A" w:rsidP="00044502">
            <w:pPr>
              <w:pStyle w:val="TableHeadings"/>
              <w:rPr>
                <w:b/>
              </w:rPr>
            </w:pPr>
            <w:r w:rsidRPr="00044502">
              <w:rPr>
                <w:b/>
              </w:rPr>
              <w:t>Improve data sharing for serious incident/missed care across systems to provide early warning flags for all regulators</w:t>
            </w:r>
          </w:p>
        </w:tc>
        <w:tc>
          <w:tcPr>
            <w:tcW w:w="653" w:type="pct"/>
            <w:tcBorders>
              <w:top w:val="single" w:sz="4" w:space="0" w:color="AB177E"/>
              <w:bottom w:val="single" w:sz="4" w:space="0" w:color="AB177E"/>
            </w:tcBorders>
            <w:vAlign w:val="center"/>
          </w:tcPr>
          <w:p w14:paraId="6660324A"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szCs w:val="21"/>
              </w:rPr>
              <w:t>F.16.d</w:t>
            </w:r>
          </w:p>
        </w:tc>
        <w:tc>
          <w:tcPr>
            <w:tcW w:w="834" w:type="pct"/>
            <w:tcBorders>
              <w:top w:val="single" w:sz="4" w:space="0" w:color="AB177E"/>
              <w:bottom w:val="single" w:sz="4" w:space="0" w:color="AB177E"/>
              <w:right w:val="single" w:sz="4" w:space="0" w:color="AB177E"/>
            </w:tcBorders>
            <w:vAlign w:val="center"/>
          </w:tcPr>
          <w:p w14:paraId="137634A6"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szCs w:val="21"/>
              </w:rPr>
              <w:t>Framework and regular reporting</w:t>
            </w:r>
          </w:p>
        </w:tc>
        <w:tc>
          <w:tcPr>
            <w:tcW w:w="202" w:type="pct"/>
            <w:tcBorders>
              <w:top w:val="single" w:sz="4" w:space="0" w:color="AB177E"/>
              <w:left w:val="single" w:sz="4" w:space="0" w:color="AB177E"/>
              <w:bottom w:val="single" w:sz="4" w:space="0" w:color="AB177E"/>
              <w:right w:val="single" w:sz="4" w:space="0" w:color="AB177E"/>
            </w:tcBorders>
            <w:vAlign w:val="center"/>
          </w:tcPr>
          <w:p w14:paraId="38CE9022"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2" w:type="pct"/>
            <w:tcBorders>
              <w:top w:val="single" w:sz="4" w:space="0" w:color="FFFFFF" w:themeColor="background1"/>
              <w:left w:val="single" w:sz="4" w:space="0" w:color="AB177E"/>
              <w:bottom w:val="single" w:sz="4" w:space="0" w:color="FFFFFF" w:themeColor="background1"/>
              <w:right w:val="single" w:sz="4" w:space="0" w:color="FFFFFF" w:themeColor="background1"/>
            </w:tcBorders>
            <w:shd w:val="clear" w:color="auto" w:fill="AB177E"/>
            <w:vAlign w:val="center"/>
          </w:tcPr>
          <w:p w14:paraId="677C3B4C"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177E"/>
            <w:vAlign w:val="center"/>
          </w:tcPr>
          <w:p w14:paraId="23FBAF5F"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FFFFFF" w:themeColor="background1"/>
              <w:left w:val="single" w:sz="4" w:space="0" w:color="FFFFFF" w:themeColor="background1"/>
              <w:bottom w:val="single" w:sz="4" w:space="0" w:color="FFFFFF" w:themeColor="background1"/>
              <w:right w:val="single" w:sz="4" w:space="0" w:color="AB177E"/>
            </w:tcBorders>
            <w:shd w:val="clear" w:color="auto" w:fill="AB177E"/>
            <w:vAlign w:val="center"/>
          </w:tcPr>
          <w:p w14:paraId="0983A469"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15A8BE52" w14:textId="77777777" w:rsidTr="009B3544">
        <w:tc>
          <w:tcPr>
            <w:cnfStyle w:val="001000000000" w:firstRow="0" w:lastRow="0" w:firstColumn="1" w:lastColumn="0" w:oddVBand="0" w:evenVBand="0" w:oddHBand="0" w:evenHBand="0" w:firstRowFirstColumn="0" w:firstRowLastColumn="0" w:lastRowFirstColumn="0" w:lastRowLastColumn="0"/>
            <w:tcW w:w="2709" w:type="pct"/>
            <w:tcBorders>
              <w:top w:val="single" w:sz="4" w:space="0" w:color="AB177E"/>
              <w:bottom w:val="single" w:sz="4" w:space="0" w:color="AB177E"/>
            </w:tcBorders>
            <w:vAlign w:val="center"/>
          </w:tcPr>
          <w:p w14:paraId="303AA9C1" w14:textId="77777777" w:rsidR="000D694A" w:rsidRPr="00044502" w:rsidRDefault="000D694A" w:rsidP="00044502">
            <w:pPr>
              <w:pStyle w:val="TableHeadings"/>
              <w:rPr>
                <w:b/>
              </w:rPr>
            </w:pPr>
            <w:r w:rsidRPr="00044502">
              <w:rPr>
                <w:b/>
              </w:rPr>
              <w:t xml:space="preserve">Work towards sustainability and improved coordination of health, primary health, aged </w:t>
            </w:r>
            <w:proofErr w:type="gramStart"/>
            <w:r w:rsidRPr="00044502">
              <w:rPr>
                <w:b/>
              </w:rPr>
              <w:t>care</w:t>
            </w:r>
            <w:proofErr w:type="gramEnd"/>
            <w:r w:rsidRPr="00044502">
              <w:rPr>
                <w:b/>
              </w:rPr>
              <w:t xml:space="preserve"> and disability services particularly in regional, rural and remote communities</w:t>
            </w:r>
          </w:p>
        </w:tc>
        <w:tc>
          <w:tcPr>
            <w:tcW w:w="653" w:type="pct"/>
            <w:tcBorders>
              <w:top w:val="single" w:sz="4" w:space="0" w:color="AB177E"/>
              <w:bottom w:val="single" w:sz="4" w:space="0" w:color="AB177E"/>
            </w:tcBorders>
            <w:vAlign w:val="center"/>
          </w:tcPr>
          <w:p w14:paraId="558F2CF9"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szCs w:val="21"/>
              </w:rPr>
              <w:t>F.16.e</w:t>
            </w:r>
          </w:p>
        </w:tc>
        <w:tc>
          <w:tcPr>
            <w:tcW w:w="834" w:type="pct"/>
            <w:tcBorders>
              <w:top w:val="single" w:sz="4" w:space="0" w:color="AB177E"/>
              <w:bottom w:val="single" w:sz="4" w:space="0" w:color="AB177E"/>
              <w:right w:val="single" w:sz="4" w:space="0" w:color="AB177E"/>
            </w:tcBorders>
            <w:vAlign w:val="center"/>
          </w:tcPr>
          <w:p w14:paraId="70BD40D1"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szCs w:val="21"/>
              </w:rPr>
              <w:t>Regular reporting</w:t>
            </w:r>
          </w:p>
        </w:tc>
        <w:tc>
          <w:tcPr>
            <w:tcW w:w="202" w:type="pct"/>
            <w:tcBorders>
              <w:top w:val="single" w:sz="4" w:space="0" w:color="AB177E"/>
              <w:left w:val="single" w:sz="4" w:space="0" w:color="AB177E"/>
              <w:bottom w:val="single" w:sz="4" w:space="0" w:color="AB177E"/>
              <w:right w:val="single" w:sz="4" w:space="0" w:color="AB177E"/>
            </w:tcBorders>
            <w:vAlign w:val="center"/>
          </w:tcPr>
          <w:p w14:paraId="276C9580"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2" w:type="pct"/>
            <w:tcBorders>
              <w:top w:val="single" w:sz="4" w:space="0" w:color="FFFFFF" w:themeColor="background1"/>
              <w:left w:val="single" w:sz="4" w:space="0" w:color="AB177E"/>
              <w:bottom w:val="single" w:sz="4" w:space="0" w:color="4E8347"/>
              <w:right w:val="single" w:sz="4" w:space="0" w:color="FFFFFF" w:themeColor="background1"/>
            </w:tcBorders>
            <w:shd w:val="clear" w:color="auto" w:fill="AB177E"/>
            <w:vAlign w:val="center"/>
          </w:tcPr>
          <w:p w14:paraId="0BB027D8"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FFFFFF" w:themeColor="background1"/>
              <w:left w:val="single" w:sz="4" w:space="0" w:color="FFFFFF" w:themeColor="background1"/>
              <w:bottom w:val="single" w:sz="4" w:space="0" w:color="4E8347"/>
              <w:right w:val="single" w:sz="4" w:space="0" w:color="FFFFFF" w:themeColor="background1"/>
            </w:tcBorders>
            <w:shd w:val="clear" w:color="auto" w:fill="AB177E"/>
            <w:vAlign w:val="center"/>
          </w:tcPr>
          <w:p w14:paraId="7FF542DC"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00" w:type="pct"/>
            <w:tcBorders>
              <w:top w:val="single" w:sz="4" w:space="0" w:color="FFFFFF" w:themeColor="background1"/>
              <w:left w:val="single" w:sz="4" w:space="0" w:color="FFFFFF" w:themeColor="background1"/>
              <w:bottom w:val="single" w:sz="4" w:space="0" w:color="4E8347"/>
              <w:right w:val="single" w:sz="4" w:space="0" w:color="AB177E"/>
            </w:tcBorders>
            <w:shd w:val="clear" w:color="auto" w:fill="AB177E"/>
            <w:vAlign w:val="center"/>
          </w:tcPr>
          <w:p w14:paraId="7F12F75E"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46206014" w14:textId="63D9FD68" w:rsidR="00495D10" w:rsidRPr="00122ACA" w:rsidRDefault="00495D10" w:rsidP="00122ACA">
      <w:pPr>
        <w:pStyle w:val="Heading1"/>
        <w:rPr>
          <w:shd w:val="clear" w:color="auto" w:fill="FFFFFF"/>
        </w:rPr>
      </w:pPr>
      <w:bookmarkStart w:id="32" w:name="_Appendix_A_-"/>
      <w:bookmarkStart w:id="33" w:name="_Toc86055102"/>
      <w:bookmarkEnd w:id="32"/>
      <w:r w:rsidRPr="00122ACA">
        <w:rPr>
          <w:shd w:val="clear" w:color="auto" w:fill="FFFFFF"/>
        </w:rPr>
        <w:lastRenderedPageBreak/>
        <w:t>A</w:t>
      </w:r>
      <w:r w:rsidR="00122ACA">
        <w:rPr>
          <w:shd w:val="clear" w:color="auto" w:fill="FFFFFF"/>
        </w:rPr>
        <w:t xml:space="preserve">ppendix </w:t>
      </w:r>
      <w:r w:rsidRPr="00122ACA">
        <w:rPr>
          <w:shd w:val="clear" w:color="auto" w:fill="FFFFFF"/>
        </w:rPr>
        <w:t>A</w:t>
      </w:r>
      <w:r w:rsidR="00122ACA">
        <w:rPr>
          <w:shd w:val="clear" w:color="auto" w:fill="FFFFFF"/>
        </w:rPr>
        <w:t xml:space="preserve"> </w:t>
      </w:r>
      <w:r w:rsidR="001D6304" w:rsidRPr="00760CFE">
        <w:t>–</w:t>
      </w:r>
      <w:r w:rsidR="00122ACA">
        <w:rPr>
          <w:shd w:val="clear" w:color="auto" w:fill="FFFFFF"/>
        </w:rPr>
        <w:t xml:space="preserve"> Governance</w:t>
      </w:r>
      <w:bookmarkEnd w:id="33"/>
    </w:p>
    <w:p w14:paraId="16CF28F3" w14:textId="3CAB1F32" w:rsidR="00DD42B0" w:rsidRPr="004930B0" w:rsidRDefault="00837888" w:rsidP="006D40BA">
      <w:pPr>
        <w:jc w:val="right"/>
        <w:rPr>
          <w:b/>
          <w:bCs/>
        </w:rPr>
      </w:pPr>
      <w:r>
        <w:rPr>
          <w:b/>
          <w:bCs/>
          <w:noProof/>
        </w:rPr>
        <w:drawing>
          <wp:inline distT="0" distB="0" distL="0" distR="0" wp14:anchorId="0BA9357B" wp14:editId="5B1EEFF7">
            <wp:extent cx="6245225" cy="8912285"/>
            <wp:effectExtent l="0" t="0" r="3175" b="3175"/>
            <wp:docPr id="3" name="Picture 3" descr="Appendix A image is a flowchart of the Governance - Reform Implementation Group (RIG) -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ppendix A image is a flowchart of the Governance - Reform Implementation Group (RIG) - Map.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5225" cy="8912285"/>
                    </a:xfrm>
                    <a:prstGeom prst="rect">
                      <a:avLst/>
                    </a:prstGeom>
                    <a:noFill/>
                  </pic:spPr>
                </pic:pic>
              </a:graphicData>
            </a:graphic>
          </wp:inline>
        </w:drawing>
      </w:r>
    </w:p>
    <w:sectPr w:rsidR="00DD42B0" w:rsidRPr="004930B0" w:rsidSect="006734D9">
      <w:headerReference w:type="default" r:id="rId24"/>
      <w:footerReference w:type="default" r:id="rId25"/>
      <w:pgSz w:w="11900" w:h="16840"/>
      <w:pgMar w:top="1134" w:right="851" w:bottom="851" w:left="851" w:header="425"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FFAE8A" w14:textId="77777777" w:rsidR="00917720" w:rsidRDefault="00917720" w:rsidP="002C1A45">
      <w:r>
        <w:separator/>
      </w:r>
    </w:p>
  </w:endnote>
  <w:endnote w:type="continuationSeparator" w:id="0">
    <w:p w14:paraId="7B020942" w14:textId="77777777" w:rsidR="00917720" w:rsidRDefault="00917720" w:rsidP="002C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4FF2A" w14:textId="77777777" w:rsidR="005A5C5E" w:rsidRDefault="005A5C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8B2B7" w14:textId="65640A55" w:rsidR="00917720" w:rsidRPr="00B138F7" w:rsidRDefault="00917720" w:rsidP="00B138F7">
    <w:pPr>
      <w:pStyle w:val="Footer"/>
    </w:pPr>
    <w:r w:rsidRPr="00B138F7">
      <w:t>National Health Reform Agreement (NHRA) – Long-term Health Reforms – Roadmap</w:t>
    </w:r>
    <w:r w:rsidRPr="00B138F7">
      <w:tab/>
      <w:t xml:space="preserve">pg. </w:t>
    </w:r>
    <w:r w:rsidRPr="00B138F7">
      <w:fldChar w:fldCharType="begin"/>
    </w:r>
    <w:r w:rsidRPr="00B138F7">
      <w:instrText xml:space="preserve"> PAGE  \* Arabic </w:instrText>
    </w:r>
    <w:r w:rsidRPr="00B138F7">
      <w:fldChar w:fldCharType="separate"/>
    </w:r>
    <w:r>
      <w:rPr>
        <w:noProof/>
      </w:rPr>
      <w:t>26</w:t>
    </w:r>
    <w:r w:rsidRPr="00B138F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A6AB7" w14:textId="77777777" w:rsidR="005A5C5E" w:rsidRDefault="005A5C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1962998"/>
      <w:docPartObj>
        <w:docPartGallery w:val="Page Numbers (Bottom of Page)"/>
        <w:docPartUnique/>
      </w:docPartObj>
    </w:sdtPr>
    <w:sdtEndPr>
      <w:rPr>
        <w:noProof/>
      </w:rPr>
    </w:sdtEndPr>
    <w:sdtContent>
      <w:p w14:paraId="0E803BD4" w14:textId="26044D94" w:rsidR="005A5C5E" w:rsidRDefault="005A5C5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C2306D" w14:textId="4818E5B9" w:rsidR="00917720" w:rsidRPr="00B138F7" w:rsidRDefault="00917720" w:rsidP="00B138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FBA009" w14:textId="77777777" w:rsidR="00917720" w:rsidRDefault="00917720" w:rsidP="002C1A45">
      <w:r>
        <w:separator/>
      </w:r>
    </w:p>
  </w:footnote>
  <w:footnote w:type="continuationSeparator" w:id="0">
    <w:p w14:paraId="210E98BE" w14:textId="77777777" w:rsidR="00917720" w:rsidRDefault="00917720" w:rsidP="002C1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B0714" w14:textId="77777777" w:rsidR="005A5C5E" w:rsidRDefault="005A5C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78B9A" w14:textId="77777777" w:rsidR="005A5C5E" w:rsidRDefault="005A5C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9843E" w14:textId="2EC4E4B1" w:rsidR="00917720" w:rsidRDefault="00917720" w:rsidP="002C1A45">
    <w:pPr>
      <w:pStyle w:val="Header"/>
    </w:pPr>
    <w:r>
      <w:rPr>
        <w:noProof/>
        <w:lang w:eastAsia="en-AU"/>
      </w:rPr>
      <w:drawing>
        <wp:anchor distT="0" distB="0" distL="114300" distR="114300" simplePos="0" relativeHeight="251657216" behindDoc="0" locked="0" layoutInCell="1" allowOverlap="1" wp14:anchorId="3627FDF1" wp14:editId="6663D711">
          <wp:simplePos x="0" y="0"/>
          <wp:positionH relativeFrom="page">
            <wp:posOffset>-19050</wp:posOffset>
          </wp:positionH>
          <wp:positionV relativeFrom="page">
            <wp:posOffset>1905</wp:posOffset>
          </wp:positionV>
          <wp:extent cx="7579360" cy="10720705"/>
          <wp:effectExtent l="0" t="0" r="2540" b="4445"/>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9360" cy="1072070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79C43" w14:textId="79346534" w:rsidR="00917720" w:rsidRDefault="009177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37AC9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ACB5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6868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4EBE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C2E4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D7C47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D02E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7875E6"/>
    <w:lvl w:ilvl="0">
      <w:start w:val="1"/>
      <w:numFmt w:val="decimal"/>
      <w:lvlText w:val="%1."/>
      <w:lvlJc w:val="left"/>
      <w:pPr>
        <w:ind w:left="360" w:hanging="360"/>
      </w:pPr>
      <w:rPr>
        <w:rFonts w:hint="default"/>
        <w:color w:val="005B9B"/>
      </w:rPr>
    </w:lvl>
  </w:abstractNum>
  <w:abstractNum w:abstractNumId="9"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10" w15:restartNumberingAfterBreak="0">
    <w:nsid w:val="14DE5011"/>
    <w:multiLevelType w:val="hybridMultilevel"/>
    <w:tmpl w:val="D0388ED8"/>
    <w:lvl w:ilvl="0" w:tplc="F2EE2D2C">
      <w:start w:val="1"/>
      <w:numFmt w:val="bullet"/>
      <w:lvlText w:val=""/>
      <w:lvlJc w:val="left"/>
      <w:pPr>
        <w:ind w:left="720" w:hanging="360"/>
      </w:pPr>
      <w:rPr>
        <w:rFonts w:ascii="Symbol" w:hAnsi="Symbol" w:hint="default"/>
        <w:color w:val="FFFFFF" w:themeColor="background1"/>
      </w:rPr>
    </w:lvl>
    <w:lvl w:ilvl="1" w:tplc="04D4BBCA" w:tentative="1">
      <w:start w:val="1"/>
      <w:numFmt w:val="bullet"/>
      <w:lvlText w:val=""/>
      <w:lvlJc w:val="left"/>
      <w:pPr>
        <w:tabs>
          <w:tab w:val="num" w:pos="1440"/>
        </w:tabs>
        <w:ind w:left="1440" w:hanging="360"/>
      </w:pPr>
      <w:rPr>
        <w:rFonts w:ascii="Symbol" w:hAnsi="Symbol" w:hint="default"/>
      </w:rPr>
    </w:lvl>
    <w:lvl w:ilvl="2" w:tplc="ADE47790" w:tentative="1">
      <w:start w:val="1"/>
      <w:numFmt w:val="bullet"/>
      <w:lvlText w:val=""/>
      <w:lvlJc w:val="left"/>
      <w:pPr>
        <w:tabs>
          <w:tab w:val="num" w:pos="2160"/>
        </w:tabs>
        <w:ind w:left="2160" w:hanging="360"/>
      </w:pPr>
      <w:rPr>
        <w:rFonts w:ascii="Symbol" w:hAnsi="Symbol" w:hint="default"/>
      </w:rPr>
    </w:lvl>
    <w:lvl w:ilvl="3" w:tplc="5FD4DA50" w:tentative="1">
      <w:start w:val="1"/>
      <w:numFmt w:val="bullet"/>
      <w:lvlText w:val=""/>
      <w:lvlJc w:val="left"/>
      <w:pPr>
        <w:tabs>
          <w:tab w:val="num" w:pos="2880"/>
        </w:tabs>
        <w:ind w:left="2880" w:hanging="360"/>
      </w:pPr>
      <w:rPr>
        <w:rFonts w:ascii="Symbol" w:hAnsi="Symbol" w:hint="default"/>
      </w:rPr>
    </w:lvl>
    <w:lvl w:ilvl="4" w:tplc="C2C2FEEC" w:tentative="1">
      <w:start w:val="1"/>
      <w:numFmt w:val="bullet"/>
      <w:lvlText w:val=""/>
      <w:lvlJc w:val="left"/>
      <w:pPr>
        <w:tabs>
          <w:tab w:val="num" w:pos="3600"/>
        </w:tabs>
        <w:ind w:left="3600" w:hanging="360"/>
      </w:pPr>
      <w:rPr>
        <w:rFonts w:ascii="Symbol" w:hAnsi="Symbol" w:hint="default"/>
      </w:rPr>
    </w:lvl>
    <w:lvl w:ilvl="5" w:tplc="3664F268" w:tentative="1">
      <w:start w:val="1"/>
      <w:numFmt w:val="bullet"/>
      <w:lvlText w:val=""/>
      <w:lvlJc w:val="left"/>
      <w:pPr>
        <w:tabs>
          <w:tab w:val="num" w:pos="4320"/>
        </w:tabs>
        <w:ind w:left="4320" w:hanging="360"/>
      </w:pPr>
      <w:rPr>
        <w:rFonts w:ascii="Symbol" w:hAnsi="Symbol" w:hint="default"/>
      </w:rPr>
    </w:lvl>
    <w:lvl w:ilvl="6" w:tplc="0ADA9DFA" w:tentative="1">
      <w:start w:val="1"/>
      <w:numFmt w:val="bullet"/>
      <w:lvlText w:val=""/>
      <w:lvlJc w:val="left"/>
      <w:pPr>
        <w:tabs>
          <w:tab w:val="num" w:pos="5040"/>
        </w:tabs>
        <w:ind w:left="5040" w:hanging="360"/>
      </w:pPr>
      <w:rPr>
        <w:rFonts w:ascii="Symbol" w:hAnsi="Symbol" w:hint="default"/>
      </w:rPr>
    </w:lvl>
    <w:lvl w:ilvl="7" w:tplc="ECA0679A" w:tentative="1">
      <w:start w:val="1"/>
      <w:numFmt w:val="bullet"/>
      <w:lvlText w:val=""/>
      <w:lvlJc w:val="left"/>
      <w:pPr>
        <w:tabs>
          <w:tab w:val="num" w:pos="5760"/>
        </w:tabs>
        <w:ind w:left="5760" w:hanging="360"/>
      </w:pPr>
      <w:rPr>
        <w:rFonts w:ascii="Symbol" w:hAnsi="Symbol" w:hint="default"/>
      </w:rPr>
    </w:lvl>
    <w:lvl w:ilvl="8" w:tplc="DEB8BC3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5170D"/>
    <w:multiLevelType w:val="hybridMultilevel"/>
    <w:tmpl w:val="A3E87FB4"/>
    <w:lvl w:ilvl="0" w:tplc="A202B0E8">
      <w:start w:val="1"/>
      <w:numFmt w:val="bullet"/>
      <w:pStyle w:val="Table-BulletPointGreen"/>
      <w:lvlText w:val=""/>
      <w:lvlJc w:val="left"/>
      <w:pPr>
        <w:ind w:left="720" w:hanging="360"/>
      </w:pPr>
      <w:rPr>
        <w:rFonts w:ascii="Symbol" w:hAnsi="Symbol" w:hint="default"/>
        <w:color w:val="4E834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EA73FC"/>
    <w:multiLevelType w:val="hybridMultilevel"/>
    <w:tmpl w:val="97F03758"/>
    <w:lvl w:ilvl="0" w:tplc="7C1E1434">
      <w:start w:val="1"/>
      <w:numFmt w:val="bullet"/>
      <w:lvlText w:val=""/>
      <w:lvlJc w:val="left"/>
      <w:pPr>
        <w:tabs>
          <w:tab w:val="num" w:pos="720"/>
        </w:tabs>
        <w:ind w:left="720" w:hanging="360"/>
      </w:pPr>
      <w:rPr>
        <w:rFonts w:ascii="Symbol" w:hAnsi="Symbol" w:hint="default"/>
      </w:rPr>
    </w:lvl>
    <w:lvl w:ilvl="1" w:tplc="7C402792" w:tentative="1">
      <w:start w:val="1"/>
      <w:numFmt w:val="bullet"/>
      <w:lvlText w:val=""/>
      <w:lvlJc w:val="left"/>
      <w:pPr>
        <w:tabs>
          <w:tab w:val="num" w:pos="1440"/>
        </w:tabs>
        <w:ind w:left="1440" w:hanging="360"/>
      </w:pPr>
      <w:rPr>
        <w:rFonts w:ascii="Symbol" w:hAnsi="Symbol" w:hint="default"/>
      </w:rPr>
    </w:lvl>
    <w:lvl w:ilvl="2" w:tplc="8FE029A4" w:tentative="1">
      <w:start w:val="1"/>
      <w:numFmt w:val="bullet"/>
      <w:lvlText w:val=""/>
      <w:lvlJc w:val="left"/>
      <w:pPr>
        <w:tabs>
          <w:tab w:val="num" w:pos="2160"/>
        </w:tabs>
        <w:ind w:left="2160" w:hanging="360"/>
      </w:pPr>
      <w:rPr>
        <w:rFonts w:ascii="Symbol" w:hAnsi="Symbol" w:hint="default"/>
      </w:rPr>
    </w:lvl>
    <w:lvl w:ilvl="3" w:tplc="C848E96C" w:tentative="1">
      <w:start w:val="1"/>
      <w:numFmt w:val="bullet"/>
      <w:lvlText w:val=""/>
      <w:lvlJc w:val="left"/>
      <w:pPr>
        <w:tabs>
          <w:tab w:val="num" w:pos="2880"/>
        </w:tabs>
        <w:ind w:left="2880" w:hanging="360"/>
      </w:pPr>
      <w:rPr>
        <w:rFonts w:ascii="Symbol" w:hAnsi="Symbol" w:hint="default"/>
      </w:rPr>
    </w:lvl>
    <w:lvl w:ilvl="4" w:tplc="8B9EA9A8" w:tentative="1">
      <w:start w:val="1"/>
      <w:numFmt w:val="bullet"/>
      <w:lvlText w:val=""/>
      <w:lvlJc w:val="left"/>
      <w:pPr>
        <w:tabs>
          <w:tab w:val="num" w:pos="3600"/>
        </w:tabs>
        <w:ind w:left="3600" w:hanging="360"/>
      </w:pPr>
      <w:rPr>
        <w:rFonts w:ascii="Symbol" w:hAnsi="Symbol" w:hint="default"/>
      </w:rPr>
    </w:lvl>
    <w:lvl w:ilvl="5" w:tplc="4426E55E" w:tentative="1">
      <w:start w:val="1"/>
      <w:numFmt w:val="bullet"/>
      <w:lvlText w:val=""/>
      <w:lvlJc w:val="left"/>
      <w:pPr>
        <w:tabs>
          <w:tab w:val="num" w:pos="4320"/>
        </w:tabs>
        <w:ind w:left="4320" w:hanging="360"/>
      </w:pPr>
      <w:rPr>
        <w:rFonts w:ascii="Symbol" w:hAnsi="Symbol" w:hint="default"/>
      </w:rPr>
    </w:lvl>
    <w:lvl w:ilvl="6" w:tplc="FAB80E82" w:tentative="1">
      <w:start w:val="1"/>
      <w:numFmt w:val="bullet"/>
      <w:lvlText w:val=""/>
      <w:lvlJc w:val="left"/>
      <w:pPr>
        <w:tabs>
          <w:tab w:val="num" w:pos="5040"/>
        </w:tabs>
        <w:ind w:left="5040" w:hanging="360"/>
      </w:pPr>
      <w:rPr>
        <w:rFonts w:ascii="Symbol" w:hAnsi="Symbol" w:hint="default"/>
      </w:rPr>
    </w:lvl>
    <w:lvl w:ilvl="7" w:tplc="E6468DCE" w:tentative="1">
      <w:start w:val="1"/>
      <w:numFmt w:val="bullet"/>
      <w:lvlText w:val=""/>
      <w:lvlJc w:val="left"/>
      <w:pPr>
        <w:tabs>
          <w:tab w:val="num" w:pos="5760"/>
        </w:tabs>
        <w:ind w:left="5760" w:hanging="360"/>
      </w:pPr>
      <w:rPr>
        <w:rFonts w:ascii="Symbol" w:hAnsi="Symbol" w:hint="default"/>
      </w:rPr>
    </w:lvl>
    <w:lvl w:ilvl="8" w:tplc="85E8786C"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2166F8D"/>
    <w:multiLevelType w:val="hybridMultilevel"/>
    <w:tmpl w:val="90DE0B42"/>
    <w:lvl w:ilvl="0" w:tplc="6DCEF128">
      <w:start w:val="1"/>
      <w:numFmt w:val="bullet"/>
      <w:pStyle w:val="Table-BulletPointOrange"/>
      <w:lvlText w:val=""/>
      <w:lvlJc w:val="left"/>
      <w:pPr>
        <w:ind w:left="720" w:hanging="360"/>
      </w:pPr>
      <w:rPr>
        <w:rFonts w:ascii="Symbol" w:hAnsi="Symbol" w:hint="default"/>
        <w:color w:val="B3612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3F72A1"/>
    <w:multiLevelType w:val="hybridMultilevel"/>
    <w:tmpl w:val="9BD4833A"/>
    <w:lvl w:ilvl="0" w:tplc="D9845BC6">
      <w:start w:val="1"/>
      <w:numFmt w:val="bullet"/>
      <w:lvlText w:val=""/>
      <w:lvlJc w:val="left"/>
      <w:pPr>
        <w:tabs>
          <w:tab w:val="num" w:pos="720"/>
        </w:tabs>
        <w:ind w:left="720" w:hanging="360"/>
      </w:pPr>
      <w:rPr>
        <w:rFonts w:ascii="Symbol" w:hAnsi="Symbol" w:hint="default"/>
      </w:rPr>
    </w:lvl>
    <w:lvl w:ilvl="1" w:tplc="4380FC08" w:tentative="1">
      <w:start w:val="1"/>
      <w:numFmt w:val="bullet"/>
      <w:lvlText w:val=""/>
      <w:lvlJc w:val="left"/>
      <w:pPr>
        <w:tabs>
          <w:tab w:val="num" w:pos="1440"/>
        </w:tabs>
        <w:ind w:left="1440" w:hanging="360"/>
      </w:pPr>
      <w:rPr>
        <w:rFonts w:ascii="Symbol" w:hAnsi="Symbol" w:hint="default"/>
      </w:rPr>
    </w:lvl>
    <w:lvl w:ilvl="2" w:tplc="46162078" w:tentative="1">
      <w:start w:val="1"/>
      <w:numFmt w:val="bullet"/>
      <w:lvlText w:val=""/>
      <w:lvlJc w:val="left"/>
      <w:pPr>
        <w:tabs>
          <w:tab w:val="num" w:pos="2160"/>
        </w:tabs>
        <w:ind w:left="2160" w:hanging="360"/>
      </w:pPr>
      <w:rPr>
        <w:rFonts w:ascii="Symbol" w:hAnsi="Symbol" w:hint="default"/>
      </w:rPr>
    </w:lvl>
    <w:lvl w:ilvl="3" w:tplc="F008FE10" w:tentative="1">
      <w:start w:val="1"/>
      <w:numFmt w:val="bullet"/>
      <w:lvlText w:val=""/>
      <w:lvlJc w:val="left"/>
      <w:pPr>
        <w:tabs>
          <w:tab w:val="num" w:pos="2880"/>
        </w:tabs>
        <w:ind w:left="2880" w:hanging="360"/>
      </w:pPr>
      <w:rPr>
        <w:rFonts w:ascii="Symbol" w:hAnsi="Symbol" w:hint="default"/>
      </w:rPr>
    </w:lvl>
    <w:lvl w:ilvl="4" w:tplc="6264F0C0" w:tentative="1">
      <w:start w:val="1"/>
      <w:numFmt w:val="bullet"/>
      <w:lvlText w:val=""/>
      <w:lvlJc w:val="left"/>
      <w:pPr>
        <w:tabs>
          <w:tab w:val="num" w:pos="3600"/>
        </w:tabs>
        <w:ind w:left="3600" w:hanging="360"/>
      </w:pPr>
      <w:rPr>
        <w:rFonts w:ascii="Symbol" w:hAnsi="Symbol" w:hint="default"/>
      </w:rPr>
    </w:lvl>
    <w:lvl w:ilvl="5" w:tplc="B62C2D38" w:tentative="1">
      <w:start w:val="1"/>
      <w:numFmt w:val="bullet"/>
      <w:lvlText w:val=""/>
      <w:lvlJc w:val="left"/>
      <w:pPr>
        <w:tabs>
          <w:tab w:val="num" w:pos="4320"/>
        </w:tabs>
        <w:ind w:left="4320" w:hanging="360"/>
      </w:pPr>
      <w:rPr>
        <w:rFonts w:ascii="Symbol" w:hAnsi="Symbol" w:hint="default"/>
      </w:rPr>
    </w:lvl>
    <w:lvl w:ilvl="6" w:tplc="1BCE36F0" w:tentative="1">
      <w:start w:val="1"/>
      <w:numFmt w:val="bullet"/>
      <w:lvlText w:val=""/>
      <w:lvlJc w:val="left"/>
      <w:pPr>
        <w:tabs>
          <w:tab w:val="num" w:pos="5040"/>
        </w:tabs>
        <w:ind w:left="5040" w:hanging="360"/>
      </w:pPr>
      <w:rPr>
        <w:rFonts w:ascii="Symbol" w:hAnsi="Symbol" w:hint="default"/>
      </w:rPr>
    </w:lvl>
    <w:lvl w:ilvl="7" w:tplc="0EB6D51A" w:tentative="1">
      <w:start w:val="1"/>
      <w:numFmt w:val="bullet"/>
      <w:lvlText w:val=""/>
      <w:lvlJc w:val="left"/>
      <w:pPr>
        <w:tabs>
          <w:tab w:val="num" w:pos="5760"/>
        </w:tabs>
        <w:ind w:left="5760" w:hanging="360"/>
      </w:pPr>
      <w:rPr>
        <w:rFonts w:ascii="Symbol" w:hAnsi="Symbol" w:hint="default"/>
      </w:rPr>
    </w:lvl>
    <w:lvl w:ilvl="8" w:tplc="D44848C8"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4E22427"/>
    <w:multiLevelType w:val="hybridMultilevel"/>
    <w:tmpl w:val="916ECD7C"/>
    <w:lvl w:ilvl="0" w:tplc="890058C8">
      <w:start w:val="1"/>
      <w:numFmt w:val="bullet"/>
      <w:pStyle w:val="BulletPoint1"/>
      <w:lvlText w:val=""/>
      <w:lvlJc w:val="left"/>
      <w:pPr>
        <w:ind w:left="360" w:hanging="360"/>
      </w:pPr>
      <w:rPr>
        <w:rFonts w:ascii="Symbol" w:hAnsi="Symbol" w:hint="default"/>
        <w:color w:val="AA187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137C50"/>
    <w:multiLevelType w:val="hybridMultilevel"/>
    <w:tmpl w:val="D7206EE8"/>
    <w:lvl w:ilvl="0" w:tplc="BB88C7CA">
      <w:start w:val="1"/>
      <w:numFmt w:val="bullet"/>
      <w:pStyle w:val="Table-BulletPointLightGreen"/>
      <w:lvlText w:val=""/>
      <w:lvlJc w:val="left"/>
      <w:pPr>
        <w:ind w:left="720" w:hanging="360"/>
      </w:pPr>
      <w:rPr>
        <w:rFonts w:ascii="Symbol" w:hAnsi="Symbol" w:hint="default"/>
        <w:color w:val="7EC33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6811E6"/>
    <w:multiLevelType w:val="hybridMultilevel"/>
    <w:tmpl w:val="B7AA648E"/>
    <w:lvl w:ilvl="0" w:tplc="F2EE2D2C">
      <w:start w:val="1"/>
      <w:numFmt w:val="bullet"/>
      <w:lvlText w:val=""/>
      <w:lvlJc w:val="left"/>
      <w:pPr>
        <w:ind w:left="720" w:hanging="360"/>
      </w:pPr>
      <w:rPr>
        <w:rFonts w:ascii="Symbol" w:hAnsi="Symbol" w:hint="default"/>
        <w:color w:val="FFFFFF" w:themeColor="background1"/>
      </w:rPr>
    </w:lvl>
    <w:lvl w:ilvl="1" w:tplc="7C402792" w:tentative="1">
      <w:start w:val="1"/>
      <w:numFmt w:val="bullet"/>
      <w:lvlText w:val=""/>
      <w:lvlJc w:val="left"/>
      <w:pPr>
        <w:tabs>
          <w:tab w:val="num" w:pos="1440"/>
        </w:tabs>
        <w:ind w:left="1440" w:hanging="360"/>
      </w:pPr>
      <w:rPr>
        <w:rFonts w:ascii="Symbol" w:hAnsi="Symbol" w:hint="default"/>
      </w:rPr>
    </w:lvl>
    <w:lvl w:ilvl="2" w:tplc="8FE029A4" w:tentative="1">
      <w:start w:val="1"/>
      <w:numFmt w:val="bullet"/>
      <w:lvlText w:val=""/>
      <w:lvlJc w:val="left"/>
      <w:pPr>
        <w:tabs>
          <w:tab w:val="num" w:pos="2160"/>
        </w:tabs>
        <w:ind w:left="2160" w:hanging="360"/>
      </w:pPr>
      <w:rPr>
        <w:rFonts w:ascii="Symbol" w:hAnsi="Symbol" w:hint="default"/>
      </w:rPr>
    </w:lvl>
    <w:lvl w:ilvl="3" w:tplc="C848E96C" w:tentative="1">
      <w:start w:val="1"/>
      <w:numFmt w:val="bullet"/>
      <w:lvlText w:val=""/>
      <w:lvlJc w:val="left"/>
      <w:pPr>
        <w:tabs>
          <w:tab w:val="num" w:pos="2880"/>
        </w:tabs>
        <w:ind w:left="2880" w:hanging="360"/>
      </w:pPr>
      <w:rPr>
        <w:rFonts w:ascii="Symbol" w:hAnsi="Symbol" w:hint="default"/>
      </w:rPr>
    </w:lvl>
    <w:lvl w:ilvl="4" w:tplc="8B9EA9A8" w:tentative="1">
      <w:start w:val="1"/>
      <w:numFmt w:val="bullet"/>
      <w:lvlText w:val=""/>
      <w:lvlJc w:val="left"/>
      <w:pPr>
        <w:tabs>
          <w:tab w:val="num" w:pos="3600"/>
        </w:tabs>
        <w:ind w:left="3600" w:hanging="360"/>
      </w:pPr>
      <w:rPr>
        <w:rFonts w:ascii="Symbol" w:hAnsi="Symbol" w:hint="default"/>
      </w:rPr>
    </w:lvl>
    <w:lvl w:ilvl="5" w:tplc="4426E55E" w:tentative="1">
      <w:start w:val="1"/>
      <w:numFmt w:val="bullet"/>
      <w:lvlText w:val=""/>
      <w:lvlJc w:val="left"/>
      <w:pPr>
        <w:tabs>
          <w:tab w:val="num" w:pos="4320"/>
        </w:tabs>
        <w:ind w:left="4320" w:hanging="360"/>
      </w:pPr>
      <w:rPr>
        <w:rFonts w:ascii="Symbol" w:hAnsi="Symbol" w:hint="default"/>
      </w:rPr>
    </w:lvl>
    <w:lvl w:ilvl="6" w:tplc="FAB80E82" w:tentative="1">
      <w:start w:val="1"/>
      <w:numFmt w:val="bullet"/>
      <w:lvlText w:val=""/>
      <w:lvlJc w:val="left"/>
      <w:pPr>
        <w:tabs>
          <w:tab w:val="num" w:pos="5040"/>
        </w:tabs>
        <w:ind w:left="5040" w:hanging="360"/>
      </w:pPr>
      <w:rPr>
        <w:rFonts w:ascii="Symbol" w:hAnsi="Symbol" w:hint="default"/>
      </w:rPr>
    </w:lvl>
    <w:lvl w:ilvl="7" w:tplc="E6468DCE" w:tentative="1">
      <w:start w:val="1"/>
      <w:numFmt w:val="bullet"/>
      <w:lvlText w:val=""/>
      <w:lvlJc w:val="left"/>
      <w:pPr>
        <w:tabs>
          <w:tab w:val="num" w:pos="5760"/>
        </w:tabs>
        <w:ind w:left="5760" w:hanging="360"/>
      </w:pPr>
      <w:rPr>
        <w:rFonts w:ascii="Symbol" w:hAnsi="Symbol" w:hint="default"/>
      </w:rPr>
    </w:lvl>
    <w:lvl w:ilvl="8" w:tplc="85E8786C"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D3762C2"/>
    <w:multiLevelType w:val="hybridMultilevel"/>
    <w:tmpl w:val="E34EA2A2"/>
    <w:lvl w:ilvl="0" w:tplc="F2EE2D2C">
      <w:start w:val="1"/>
      <w:numFmt w:val="bullet"/>
      <w:lvlText w:val=""/>
      <w:lvlJc w:val="left"/>
      <w:pPr>
        <w:ind w:left="720" w:hanging="360"/>
      </w:pPr>
      <w:rPr>
        <w:rFonts w:ascii="Symbol" w:hAnsi="Symbol" w:hint="default"/>
        <w:color w:val="FFFFFF" w:themeColor="background1"/>
      </w:rPr>
    </w:lvl>
    <w:lvl w:ilvl="1" w:tplc="4380FC08" w:tentative="1">
      <w:start w:val="1"/>
      <w:numFmt w:val="bullet"/>
      <w:lvlText w:val=""/>
      <w:lvlJc w:val="left"/>
      <w:pPr>
        <w:tabs>
          <w:tab w:val="num" w:pos="1440"/>
        </w:tabs>
        <w:ind w:left="1440" w:hanging="360"/>
      </w:pPr>
      <w:rPr>
        <w:rFonts w:ascii="Symbol" w:hAnsi="Symbol" w:hint="default"/>
      </w:rPr>
    </w:lvl>
    <w:lvl w:ilvl="2" w:tplc="46162078" w:tentative="1">
      <w:start w:val="1"/>
      <w:numFmt w:val="bullet"/>
      <w:lvlText w:val=""/>
      <w:lvlJc w:val="left"/>
      <w:pPr>
        <w:tabs>
          <w:tab w:val="num" w:pos="2160"/>
        </w:tabs>
        <w:ind w:left="2160" w:hanging="360"/>
      </w:pPr>
      <w:rPr>
        <w:rFonts w:ascii="Symbol" w:hAnsi="Symbol" w:hint="default"/>
      </w:rPr>
    </w:lvl>
    <w:lvl w:ilvl="3" w:tplc="F008FE10" w:tentative="1">
      <w:start w:val="1"/>
      <w:numFmt w:val="bullet"/>
      <w:lvlText w:val=""/>
      <w:lvlJc w:val="left"/>
      <w:pPr>
        <w:tabs>
          <w:tab w:val="num" w:pos="2880"/>
        </w:tabs>
        <w:ind w:left="2880" w:hanging="360"/>
      </w:pPr>
      <w:rPr>
        <w:rFonts w:ascii="Symbol" w:hAnsi="Symbol" w:hint="default"/>
      </w:rPr>
    </w:lvl>
    <w:lvl w:ilvl="4" w:tplc="6264F0C0" w:tentative="1">
      <w:start w:val="1"/>
      <w:numFmt w:val="bullet"/>
      <w:lvlText w:val=""/>
      <w:lvlJc w:val="left"/>
      <w:pPr>
        <w:tabs>
          <w:tab w:val="num" w:pos="3600"/>
        </w:tabs>
        <w:ind w:left="3600" w:hanging="360"/>
      </w:pPr>
      <w:rPr>
        <w:rFonts w:ascii="Symbol" w:hAnsi="Symbol" w:hint="default"/>
      </w:rPr>
    </w:lvl>
    <w:lvl w:ilvl="5" w:tplc="B62C2D38" w:tentative="1">
      <w:start w:val="1"/>
      <w:numFmt w:val="bullet"/>
      <w:lvlText w:val=""/>
      <w:lvlJc w:val="left"/>
      <w:pPr>
        <w:tabs>
          <w:tab w:val="num" w:pos="4320"/>
        </w:tabs>
        <w:ind w:left="4320" w:hanging="360"/>
      </w:pPr>
      <w:rPr>
        <w:rFonts w:ascii="Symbol" w:hAnsi="Symbol" w:hint="default"/>
      </w:rPr>
    </w:lvl>
    <w:lvl w:ilvl="6" w:tplc="1BCE36F0" w:tentative="1">
      <w:start w:val="1"/>
      <w:numFmt w:val="bullet"/>
      <w:lvlText w:val=""/>
      <w:lvlJc w:val="left"/>
      <w:pPr>
        <w:tabs>
          <w:tab w:val="num" w:pos="5040"/>
        </w:tabs>
        <w:ind w:left="5040" w:hanging="360"/>
      </w:pPr>
      <w:rPr>
        <w:rFonts w:ascii="Symbol" w:hAnsi="Symbol" w:hint="default"/>
      </w:rPr>
    </w:lvl>
    <w:lvl w:ilvl="7" w:tplc="0EB6D51A" w:tentative="1">
      <w:start w:val="1"/>
      <w:numFmt w:val="bullet"/>
      <w:lvlText w:val=""/>
      <w:lvlJc w:val="left"/>
      <w:pPr>
        <w:tabs>
          <w:tab w:val="num" w:pos="5760"/>
        </w:tabs>
        <w:ind w:left="5760" w:hanging="360"/>
      </w:pPr>
      <w:rPr>
        <w:rFonts w:ascii="Symbol" w:hAnsi="Symbol" w:hint="default"/>
      </w:rPr>
    </w:lvl>
    <w:lvl w:ilvl="8" w:tplc="D44848C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E47217D"/>
    <w:multiLevelType w:val="hybridMultilevel"/>
    <w:tmpl w:val="DD941508"/>
    <w:lvl w:ilvl="0" w:tplc="40323378">
      <w:start w:val="1"/>
      <w:numFmt w:val="bullet"/>
      <w:lvlText w:val="•"/>
      <w:lvlJc w:val="left"/>
      <w:pPr>
        <w:tabs>
          <w:tab w:val="num" w:pos="720"/>
        </w:tabs>
        <w:ind w:left="720" w:hanging="360"/>
      </w:pPr>
      <w:rPr>
        <w:rFonts w:ascii="Arial" w:hAnsi="Arial" w:hint="default"/>
      </w:rPr>
    </w:lvl>
    <w:lvl w:ilvl="1" w:tplc="ED6E5144" w:tentative="1">
      <w:start w:val="1"/>
      <w:numFmt w:val="bullet"/>
      <w:lvlText w:val="•"/>
      <w:lvlJc w:val="left"/>
      <w:pPr>
        <w:tabs>
          <w:tab w:val="num" w:pos="1440"/>
        </w:tabs>
        <w:ind w:left="1440" w:hanging="360"/>
      </w:pPr>
      <w:rPr>
        <w:rFonts w:ascii="Arial" w:hAnsi="Arial" w:hint="default"/>
      </w:rPr>
    </w:lvl>
    <w:lvl w:ilvl="2" w:tplc="16F87776" w:tentative="1">
      <w:start w:val="1"/>
      <w:numFmt w:val="bullet"/>
      <w:lvlText w:val="•"/>
      <w:lvlJc w:val="left"/>
      <w:pPr>
        <w:tabs>
          <w:tab w:val="num" w:pos="2160"/>
        </w:tabs>
        <w:ind w:left="2160" w:hanging="360"/>
      </w:pPr>
      <w:rPr>
        <w:rFonts w:ascii="Arial" w:hAnsi="Arial" w:hint="default"/>
      </w:rPr>
    </w:lvl>
    <w:lvl w:ilvl="3" w:tplc="792AB884" w:tentative="1">
      <w:start w:val="1"/>
      <w:numFmt w:val="bullet"/>
      <w:lvlText w:val="•"/>
      <w:lvlJc w:val="left"/>
      <w:pPr>
        <w:tabs>
          <w:tab w:val="num" w:pos="2880"/>
        </w:tabs>
        <w:ind w:left="2880" w:hanging="360"/>
      </w:pPr>
      <w:rPr>
        <w:rFonts w:ascii="Arial" w:hAnsi="Arial" w:hint="default"/>
      </w:rPr>
    </w:lvl>
    <w:lvl w:ilvl="4" w:tplc="57665B5A" w:tentative="1">
      <w:start w:val="1"/>
      <w:numFmt w:val="bullet"/>
      <w:lvlText w:val="•"/>
      <w:lvlJc w:val="left"/>
      <w:pPr>
        <w:tabs>
          <w:tab w:val="num" w:pos="3600"/>
        </w:tabs>
        <w:ind w:left="3600" w:hanging="360"/>
      </w:pPr>
      <w:rPr>
        <w:rFonts w:ascii="Arial" w:hAnsi="Arial" w:hint="default"/>
      </w:rPr>
    </w:lvl>
    <w:lvl w:ilvl="5" w:tplc="ED580B40" w:tentative="1">
      <w:start w:val="1"/>
      <w:numFmt w:val="bullet"/>
      <w:lvlText w:val="•"/>
      <w:lvlJc w:val="left"/>
      <w:pPr>
        <w:tabs>
          <w:tab w:val="num" w:pos="4320"/>
        </w:tabs>
        <w:ind w:left="4320" w:hanging="360"/>
      </w:pPr>
      <w:rPr>
        <w:rFonts w:ascii="Arial" w:hAnsi="Arial" w:hint="default"/>
      </w:rPr>
    </w:lvl>
    <w:lvl w:ilvl="6" w:tplc="F3967022" w:tentative="1">
      <w:start w:val="1"/>
      <w:numFmt w:val="bullet"/>
      <w:lvlText w:val="•"/>
      <w:lvlJc w:val="left"/>
      <w:pPr>
        <w:tabs>
          <w:tab w:val="num" w:pos="5040"/>
        </w:tabs>
        <w:ind w:left="5040" w:hanging="360"/>
      </w:pPr>
      <w:rPr>
        <w:rFonts w:ascii="Arial" w:hAnsi="Arial" w:hint="default"/>
      </w:rPr>
    </w:lvl>
    <w:lvl w:ilvl="7" w:tplc="213090AC" w:tentative="1">
      <w:start w:val="1"/>
      <w:numFmt w:val="bullet"/>
      <w:lvlText w:val="•"/>
      <w:lvlJc w:val="left"/>
      <w:pPr>
        <w:tabs>
          <w:tab w:val="num" w:pos="5760"/>
        </w:tabs>
        <w:ind w:left="5760" w:hanging="360"/>
      </w:pPr>
      <w:rPr>
        <w:rFonts w:ascii="Arial" w:hAnsi="Arial" w:hint="default"/>
      </w:rPr>
    </w:lvl>
    <w:lvl w:ilvl="8" w:tplc="8D66E8A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353996"/>
    <w:multiLevelType w:val="hybridMultilevel"/>
    <w:tmpl w:val="BEAC662E"/>
    <w:lvl w:ilvl="0" w:tplc="477267DC">
      <w:start w:val="1"/>
      <w:numFmt w:val="bullet"/>
      <w:lvlText w:val=""/>
      <w:lvlJc w:val="left"/>
      <w:pPr>
        <w:tabs>
          <w:tab w:val="num" w:pos="720"/>
        </w:tabs>
        <w:ind w:left="720" w:hanging="360"/>
      </w:pPr>
      <w:rPr>
        <w:rFonts w:ascii="Symbol" w:hAnsi="Symbol" w:hint="default"/>
      </w:rPr>
    </w:lvl>
    <w:lvl w:ilvl="1" w:tplc="04D4BBCA" w:tentative="1">
      <w:start w:val="1"/>
      <w:numFmt w:val="bullet"/>
      <w:lvlText w:val=""/>
      <w:lvlJc w:val="left"/>
      <w:pPr>
        <w:tabs>
          <w:tab w:val="num" w:pos="1440"/>
        </w:tabs>
        <w:ind w:left="1440" w:hanging="360"/>
      </w:pPr>
      <w:rPr>
        <w:rFonts w:ascii="Symbol" w:hAnsi="Symbol" w:hint="default"/>
      </w:rPr>
    </w:lvl>
    <w:lvl w:ilvl="2" w:tplc="ADE47790" w:tentative="1">
      <w:start w:val="1"/>
      <w:numFmt w:val="bullet"/>
      <w:lvlText w:val=""/>
      <w:lvlJc w:val="left"/>
      <w:pPr>
        <w:tabs>
          <w:tab w:val="num" w:pos="2160"/>
        </w:tabs>
        <w:ind w:left="2160" w:hanging="360"/>
      </w:pPr>
      <w:rPr>
        <w:rFonts w:ascii="Symbol" w:hAnsi="Symbol" w:hint="default"/>
      </w:rPr>
    </w:lvl>
    <w:lvl w:ilvl="3" w:tplc="5FD4DA50" w:tentative="1">
      <w:start w:val="1"/>
      <w:numFmt w:val="bullet"/>
      <w:lvlText w:val=""/>
      <w:lvlJc w:val="left"/>
      <w:pPr>
        <w:tabs>
          <w:tab w:val="num" w:pos="2880"/>
        </w:tabs>
        <w:ind w:left="2880" w:hanging="360"/>
      </w:pPr>
      <w:rPr>
        <w:rFonts w:ascii="Symbol" w:hAnsi="Symbol" w:hint="default"/>
      </w:rPr>
    </w:lvl>
    <w:lvl w:ilvl="4" w:tplc="C2C2FEEC" w:tentative="1">
      <w:start w:val="1"/>
      <w:numFmt w:val="bullet"/>
      <w:lvlText w:val=""/>
      <w:lvlJc w:val="left"/>
      <w:pPr>
        <w:tabs>
          <w:tab w:val="num" w:pos="3600"/>
        </w:tabs>
        <w:ind w:left="3600" w:hanging="360"/>
      </w:pPr>
      <w:rPr>
        <w:rFonts w:ascii="Symbol" w:hAnsi="Symbol" w:hint="default"/>
      </w:rPr>
    </w:lvl>
    <w:lvl w:ilvl="5" w:tplc="3664F268" w:tentative="1">
      <w:start w:val="1"/>
      <w:numFmt w:val="bullet"/>
      <w:lvlText w:val=""/>
      <w:lvlJc w:val="left"/>
      <w:pPr>
        <w:tabs>
          <w:tab w:val="num" w:pos="4320"/>
        </w:tabs>
        <w:ind w:left="4320" w:hanging="360"/>
      </w:pPr>
      <w:rPr>
        <w:rFonts w:ascii="Symbol" w:hAnsi="Symbol" w:hint="default"/>
      </w:rPr>
    </w:lvl>
    <w:lvl w:ilvl="6" w:tplc="0ADA9DFA" w:tentative="1">
      <w:start w:val="1"/>
      <w:numFmt w:val="bullet"/>
      <w:lvlText w:val=""/>
      <w:lvlJc w:val="left"/>
      <w:pPr>
        <w:tabs>
          <w:tab w:val="num" w:pos="5040"/>
        </w:tabs>
        <w:ind w:left="5040" w:hanging="360"/>
      </w:pPr>
      <w:rPr>
        <w:rFonts w:ascii="Symbol" w:hAnsi="Symbol" w:hint="default"/>
      </w:rPr>
    </w:lvl>
    <w:lvl w:ilvl="7" w:tplc="ECA0679A" w:tentative="1">
      <w:start w:val="1"/>
      <w:numFmt w:val="bullet"/>
      <w:lvlText w:val=""/>
      <w:lvlJc w:val="left"/>
      <w:pPr>
        <w:tabs>
          <w:tab w:val="num" w:pos="5760"/>
        </w:tabs>
        <w:ind w:left="5760" w:hanging="360"/>
      </w:pPr>
      <w:rPr>
        <w:rFonts w:ascii="Symbol" w:hAnsi="Symbol" w:hint="default"/>
      </w:rPr>
    </w:lvl>
    <w:lvl w:ilvl="8" w:tplc="DEB8BC3E"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460029A"/>
    <w:multiLevelType w:val="hybridMultilevel"/>
    <w:tmpl w:val="03E24B04"/>
    <w:lvl w:ilvl="0" w:tplc="F33A7C14">
      <w:start w:val="1"/>
      <w:numFmt w:val="lowerLetter"/>
      <w:pStyle w:val="ListContinue"/>
      <w:lvlText w:val="%1)"/>
      <w:lvlJc w:val="left"/>
      <w:pPr>
        <w:ind w:left="1003" w:hanging="360"/>
      </w:p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23" w15:restartNumberingAfterBreak="0">
    <w:nsid w:val="37AB5AED"/>
    <w:multiLevelType w:val="multilevel"/>
    <w:tmpl w:val="E2EAD356"/>
    <w:styleLink w:val="CurrentList1"/>
    <w:lvl w:ilvl="0">
      <w:start w:val="1"/>
      <w:numFmt w:val="bullet"/>
      <w:lvlText w:val=""/>
      <w:lvlJc w:val="left"/>
      <w:pPr>
        <w:ind w:left="360" w:hanging="360"/>
      </w:pPr>
      <w:rPr>
        <w:rFonts w:ascii="Symbol" w:hAnsi="Symbol" w:hint="default"/>
        <w:color w:val="35818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FB120B5"/>
    <w:multiLevelType w:val="hybridMultilevel"/>
    <w:tmpl w:val="E68C3C8A"/>
    <w:lvl w:ilvl="0" w:tplc="F2EE2D2C">
      <w:start w:val="1"/>
      <w:numFmt w:val="bullet"/>
      <w:lvlText w:val=""/>
      <w:lvlJc w:val="left"/>
      <w:pPr>
        <w:tabs>
          <w:tab w:val="num" w:pos="720"/>
        </w:tabs>
        <w:ind w:left="720" w:hanging="360"/>
      </w:pPr>
      <w:rPr>
        <w:rFonts w:ascii="Symbol" w:hAnsi="Symbol" w:hint="default"/>
        <w:color w:val="FFFFFF" w:themeColor="background1"/>
      </w:rPr>
    </w:lvl>
    <w:lvl w:ilvl="1" w:tplc="74D476AA" w:tentative="1">
      <w:start w:val="1"/>
      <w:numFmt w:val="bullet"/>
      <w:lvlText w:val=""/>
      <w:lvlJc w:val="left"/>
      <w:pPr>
        <w:tabs>
          <w:tab w:val="num" w:pos="1440"/>
        </w:tabs>
        <w:ind w:left="1440" w:hanging="360"/>
      </w:pPr>
      <w:rPr>
        <w:rFonts w:ascii="Symbol" w:hAnsi="Symbol" w:hint="default"/>
      </w:rPr>
    </w:lvl>
    <w:lvl w:ilvl="2" w:tplc="D938D254" w:tentative="1">
      <w:start w:val="1"/>
      <w:numFmt w:val="bullet"/>
      <w:lvlText w:val=""/>
      <w:lvlJc w:val="left"/>
      <w:pPr>
        <w:tabs>
          <w:tab w:val="num" w:pos="2160"/>
        </w:tabs>
        <w:ind w:left="2160" w:hanging="360"/>
      </w:pPr>
      <w:rPr>
        <w:rFonts w:ascii="Symbol" w:hAnsi="Symbol" w:hint="default"/>
      </w:rPr>
    </w:lvl>
    <w:lvl w:ilvl="3" w:tplc="84E6E1B2" w:tentative="1">
      <w:start w:val="1"/>
      <w:numFmt w:val="bullet"/>
      <w:lvlText w:val=""/>
      <w:lvlJc w:val="left"/>
      <w:pPr>
        <w:tabs>
          <w:tab w:val="num" w:pos="2880"/>
        </w:tabs>
        <w:ind w:left="2880" w:hanging="360"/>
      </w:pPr>
      <w:rPr>
        <w:rFonts w:ascii="Symbol" w:hAnsi="Symbol" w:hint="default"/>
      </w:rPr>
    </w:lvl>
    <w:lvl w:ilvl="4" w:tplc="148ECB6C" w:tentative="1">
      <w:start w:val="1"/>
      <w:numFmt w:val="bullet"/>
      <w:lvlText w:val=""/>
      <w:lvlJc w:val="left"/>
      <w:pPr>
        <w:tabs>
          <w:tab w:val="num" w:pos="3600"/>
        </w:tabs>
        <w:ind w:left="3600" w:hanging="360"/>
      </w:pPr>
      <w:rPr>
        <w:rFonts w:ascii="Symbol" w:hAnsi="Symbol" w:hint="default"/>
      </w:rPr>
    </w:lvl>
    <w:lvl w:ilvl="5" w:tplc="A9D49B28" w:tentative="1">
      <w:start w:val="1"/>
      <w:numFmt w:val="bullet"/>
      <w:lvlText w:val=""/>
      <w:lvlJc w:val="left"/>
      <w:pPr>
        <w:tabs>
          <w:tab w:val="num" w:pos="4320"/>
        </w:tabs>
        <w:ind w:left="4320" w:hanging="360"/>
      </w:pPr>
      <w:rPr>
        <w:rFonts w:ascii="Symbol" w:hAnsi="Symbol" w:hint="default"/>
      </w:rPr>
    </w:lvl>
    <w:lvl w:ilvl="6" w:tplc="FCAA8BEA" w:tentative="1">
      <w:start w:val="1"/>
      <w:numFmt w:val="bullet"/>
      <w:lvlText w:val=""/>
      <w:lvlJc w:val="left"/>
      <w:pPr>
        <w:tabs>
          <w:tab w:val="num" w:pos="5040"/>
        </w:tabs>
        <w:ind w:left="5040" w:hanging="360"/>
      </w:pPr>
      <w:rPr>
        <w:rFonts w:ascii="Symbol" w:hAnsi="Symbol" w:hint="default"/>
      </w:rPr>
    </w:lvl>
    <w:lvl w:ilvl="7" w:tplc="04D47CCA" w:tentative="1">
      <w:start w:val="1"/>
      <w:numFmt w:val="bullet"/>
      <w:lvlText w:val=""/>
      <w:lvlJc w:val="left"/>
      <w:pPr>
        <w:tabs>
          <w:tab w:val="num" w:pos="5760"/>
        </w:tabs>
        <w:ind w:left="5760" w:hanging="360"/>
      </w:pPr>
      <w:rPr>
        <w:rFonts w:ascii="Symbol" w:hAnsi="Symbol" w:hint="default"/>
      </w:rPr>
    </w:lvl>
    <w:lvl w:ilvl="8" w:tplc="C22808DC"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8D25A22"/>
    <w:multiLevelType w:val="hybridMultilevel"/>
    <w:tmpl w:val="059EE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137FFD"/>
    <w:multiLevelType w:val="hybridMultilevel"/>
    <w:tmpl w:val="C302DD42"/>
    <w:lvl w:ilvl="0" w:tplc="F2EE2D2C">
      <w:start w:val="1"/>
      <w:numFmt w:val="bullet"/>
      <w:lvlText w:val=""/>
      <w:lvlJc w:val="left"/>
      <w:pPr>
        <w:ind w:left="720" w:hanging="360"/>
      </w:pPr>
      <w:rPr>
        <w:rFonts w:ascii="Symbol" w:hAnsi="Symbol" w:hint="default"/>
        <w:color w:val="FFFFFF" w:themeColor="background1"/>
      </w:rPr>
    </w:lvl>
    <w:lvl w:ilvl="1" w:tplc="39700E1A" w:tentative="1">
      <w:start w:val="1"/>
      <w:numFmt w:val="bullet"/>
      <w:lvlText w:val=""/>
      <w:lvlJc w:val="left"/>
      <w:pPr>
        <w:tabs>
          <w:tab w:val="num" w:pos="1440"/>
        </w:tabs>
        <w:ind w:left="1440" w:hanging="360"/>
      </w:pPr>
      <w:rPr>
        <w:rFonts w:ascii="Symbol" w:hAnsi="Symbol" w:hint="default"/>
      </w:rPr>
    </w:lvl>
    <w:lvl w:ilvl="2" w:tplc="50EE18EA" w:tentative="1">
      <w:start w:val="1"/>
      <w:numFmt w:val="bullet"/>
      <w:lvlText w:val=""/>
      <w:lvlJc w:val="left"/>
      <w:pPr>
        <w:tabs>
          <w:tab w:val="num" w:pos="2160"/>
        </w:tabs>
        <w:ind w:left="2160" w:hanging="360"/>
      </w:pPr>
      <w:rPr>
        <w:rFonts w:ascii="Symbol" w:hAnsi="Symbol" w:hint="default"/>
      </w:rPr>
    </w:lvl>
    <w:lvl w:ilvl="3" w:tplc="2F96F408" w:tentative="1">
      <w:start w:val="1"/>
      <w:numFmt w:val="bullet"/>
      <w:lvlText w:val=""/>
      <w:lvlJc w:val="left"/>
      <w:pPr>
        <w:tabs>
          <w:tab w:val="num" w:pos="2880"/>
        </w:tabs>
        <w:ind w:left="2880" w:hanging="360"/>
      </w:pPr>
      <w:rPr>
        <w:rFonts w:ascii="Symbol" w:hAnsi="Symbol" w:hint="default"/>
      </w:rPr>
    </w:lvl>
    <w:lvl w:ilvl="4" w:tplc="912002B8" w:tentative="1">
      <w:start w:val="1"/>
      <w:numFmt w:val="bullet"/>
      <w:lvlText w:val=""/>
      <w:lvlJc w:val="left"/>
      <w:pPr>
        <w:tabs>
          <w:tab w:val="num" w:pos="3600"/>
        </w:tabs>
        <w:ind w:left="3600" w:hanging="360"/>
      </w:pPr>
      <w:rPr>
        <w:rFonts w:ascii="Symbol" w:hAnsi="Symbol" w:hint="default"/>
      </w:rPr>
    </w:lvl>
    <w:lvl w:ilvl="5" w:tplc="8FBE0D78" w:tentative="1">
      <w:start w:val="1"/>
      <w:numFmt w:val="bullet"/>
      <w:lvlText w:val=""/>
      <w:lvlJc w:val="left"/>
      <w:pPr>
        <w:tabs>
          <w:tab w:val="num" w:pos="4320"/>
        </w:tabs>
        <w:ind w:left="4320" w:hanging="360"/>
      </w:pPr>
      <w:rPr>
        <w:rFonts w:ascii="Symbol" w:hAnsi="Symbol" w:hint="default"/>
      </w:rPr>
    </w:lvl>
    <w:lvl w:ilvl="6" w:tplc="2F2E7606" w:tentative="1">
      <w:start w:val="1"/>
      <w:numFmt w:val="bullet"/>
      <w:lvlText w:val=""/>
      <w:lvlJc w:val="left"/>
      <w:pPr>
        <w:tabs>
          <w:tab w:val="num" w:pos="5040"/>
        </w:tabs>
        <w:ind w:left="5040" w:hanging="360"/>
      </w:pPr>
      <w:rPr>
        <w:rFonts w:ascii="Symbol" w:hAnsi="Symbol" w:hint="default"/>
      </w:rPr>
    </w:lvl>
    <w:lvl w:ilvl="7" w:tplc="66B6D118" w:tentative="1">
      <w:start w:val="1"/>
      <w:numFmt w:val="bullet"/>
      <w:lvlText w:val=""/>
      <w:lvlJc w:val="left"/>
      <w:pPr>
        <w:tabs>
          <w:tab w:val="num" w:pos="5760"/>
        </w:tabs>
        <w:ind w:left="5760" w:hanging="360"/>
      </w:pPr>
      <w:rPr>
        <w:rFonts w:ascii="Symbol" w:hAnsi="Symbol" w:hint="default"/>
      </w:rPr>
    </w:lvl>
    <w:lvl w:ilvl="8" w:tplc="164EF586"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FE313D"/>
    <w:multiLevelType w:val="hybridMultilevel"/>
    <w:tmpl w:val="4C141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3B4FB8"/>
    <w:multiLevelType w:val="hybridMultilevel"/>
    <w:tmpl w:val="2F9601DA"/>
    <w:lvl w:ilvl="0" w:tplc="F2EE2D2C">
      <w:start w:val="1"/>
      <w:numFmt w:val="bullet"/>
      <w:lvlText w:val=""/>
      <w:lvlJc w:val="left"/>
      <w:pPr>
        <w:ind w:left="720" w:hanging="360"/>
      </w:pPr>
      <w:rPr>
        <w:rFonts w:ascii="Symbol" w:hAnsi="Symbol" w:hint="default"/>
        <w:color w:val="FFFFFF" w:themeColor="background1"/>
      </w:rPr>
    </w:lvl>
    <w:lvl w:ilvl="1" w:tplc="ED6E5144" w:tentative="1">
      <w:start w:val="1"/>
      <w:numFmt w:val="bullet"/>
      <w:lvlText w:val="•"/>
      <w:lvlJc w:val="left"/>
      <w:pPr>
        <w:tabs>
          <w:tab w:val="num" w:pos="1440"/>
        </w:tabs>
        <w:ind w:left="1440" w:hanging="360"/>
      </w:pPr>
      <w:rPr>
        <w:rFonts w:ascii="Arial" w:hAnsi="Arial" w:hint="default"/>
      </w:rPr>
    </w:lvl>
    <w:lvl w:ilvl="2" w:tplc="16F87776" w:tentative="1">
      <w:start w:val="1"/>
      <w:numFmt w:val="bullet"/>
      <w:lvlText w:val="•"/>
      <w:lvlJc w:val="left"/>
      <w:pPr>
        <w:tabs>
          <w:tab w:val="num" w:pos="2160"/>
        </w:tabs>
        <w:ind w:left="2160" w:hanging="360"/>
      </w:pPr>
      <w:rPr>
        <w:rFonts w:ascii="Arial" w:hAnsi="Arial" w:hint="default"/>
      </w:rPr>
    </w:lvl>
    <w:lvl w:ilvl="3" w:tplc="792AB884" w:tentative="1">
      <w:start w:val="1"/>
      <w:numFmt w:val="bullet"/>
      <w:lvlText w:val="•"/>
      <w:lvlJc w:val="left"/>
      <w:pPr>
        <w:tabs>
          <w:tab w:val="num" w:pos="2880"/>
        </w:tabs>
        <w:ind w:left="2880" w:hanging="360"/>
      </w:pPr>
      <w:rPr>
        <w:rFonts w:ascii="Arial" w:hAnsi="Arial" w:hint="default"/>
      </w:rPr>
    </w:lvl>
    <w:lvl w:ilvl="4" w:tplc="57665B5A" w:tentative="1">
      <w:start w:val="1"/>
      <w:numFmt w:val="bullet"/>
      <w:lvlText w:val="•"/>
      <w:lvlJc w:val="left"/>
      <w:pPr>
        <w:tabs>
          <w:tab w:val="num" w:pos="3600"/>
        </w:tabs>
        <w:ind w:left="3600" w:hanging="360"/>
      </w:pPr>
      <w:rPr>
        <w:rFonts w:ascii="Arial" w:hAnsi="Arial" w:hint="default"/>
      </w:rPr>
    </w:lvl>
    <w:lvl w:ilvl="5" w:tplc="ED580B40" w:tentative="1">
      <w:start w:val="1"/>
      <w:numFmt w:val="bullet"/>
      <w:lvlText w:val="•"/>
      <w:lvlJc w:val="left"/>
      <w:pPr>
        <w:tabs>
          <w:tab w:val="num" w:pos="4320"/>
        </w:tabs>
        <w:ind w:left="4320" w:hanging="360"/>
      </w:pPr>
      <w:rPr>
        <w:rFonts w:ascii="Arial" w:hAnsi="Arial" w:hint="default"/>
      </w:rPr>
    </w:lvl>
    <w:lvl w:ilvl="6" w:tplc="F3967022" w:tentative="1">
      <w:start w:val="1"/>
      <w:numFmt w:val="bullet"/>
      <w:lvlText w:val="•"/>
      <w:lvlJc w:val="left"/>
      <w:pPr>
        <w:tabs>
          <w:tab w:val="num" w:pos="5040"/>
        </w:tabs>
        <w:ind w:left="5040" w:hanging="360"/>
      </w:pPr>
      <w:rPr>
        <w:rFonts w:ascii="Arial" w:hAnsi="Arial" w:hint="default"/>
      </w:rPr>
    </w:lvl>
    <w:lvl w:ilvl="7" w:tplc="213090AC" w:tentative="1">
      <w:start w:val="1"/>
      <w:numFmt w:val="bullet"/>
      <w:lvlText w:val="•"/>
      <w:lvlJc w:val="left"/>
      <w:pPr>
        <w:tabs>
          <w:tab w:val="num" w:pos="5760"/>
        </w:tabs>
        <w:ind w:left="5760" w:hanging="360"/>
      </w:pPr>
      <w:rPr>
        <w:rFonts w:ascii="Arial" w:hAnsi="Arial" w:hint="default"/>
      </w:rPr>
    </w:lvl>
    <w:lvl w:ilvl="8" w:tplc="8D66E8A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3200AE9"/>
    <w:multiLevelType w:val="hybridMultilevel"/>
    <w:tmpl w:val="896C9FD4"/>
    <w:lvl w:ilvl="0" w:tplc="6C9AF20E">
      <w:start w:val="1"/>
      <w:numFmt w:val="bullet"/>
      <w:pStyle w:val="Table-BulletPointBlue"/>
      <w:lvlText w:val=""/>
      <w:lvlJc w:val="left"/>
      <w:pPr>
        <w:ind w:left="720" w:hanging="360"/>
      </w:pPr>
      <w:rPr>
        <w:rFonts w:ascii="Symbol" w:hAnsi="Symbol" w:hint="default"/>
        <w:color w:val="2E77D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C704A2"/>
    <w:multiLevelType w:val="hybridMultilevel"/>
    <w:tmpl w:val="EFAE85E0"/>
    <w:lvl w:ilvl="0" w:tplc="F4E0BC64">
      <w:start w:val="1"/>
      <w:numFmt w:val="bullet"/>
      <w:pStyle w:val="Tabl-BulletPointRed"/>
      <w:lvlText w:val=""/>
      <w:lvlJc w:val="left"/>
      <w:pPr>
        <w:ind w:left="720" w:hanging="360"/>
      </w:pPr>
      <w:rPr>
        <w:rFonts w:ascii="Symbol" w:hAnsi="Symbol" w:hint="default"/>
        <w:color w:val="AB1D1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2073F2D"/>
    <w:multiLevelType w:val="hybridMultilevel"/>
    <w:tmpl w:val="BE684780"/>
    <w:lvl w:ilvl="0" w:tplc="4A5AD05E">
      <w:start w:val="1"/>
      <w:numFmt w:val="bullet"/>
      <w:lvlText w:val=""/>
      <w:lvlJc w:val="left"/>
      <w:pPr>
        <w:tabs>
          <w:tab w:val="num" w:pos="720"/>
        </w:tabs>
        <w:ind w:left="720" w:hanging="360"/>
      </w:pPr>
      <w:rPr>
        <w:rFonts w:ascii="Symbol" w:hAnsi="Symbol" w:hint="default"/>
      </w:rPr>
    </w:lvl>
    <w:lvl w:ilvl="1" w:tplc="39700E1A" w:tentative="1">
      <w:start w:val="1"/>
      <w:numFmt w:val="bullet"/>
      <w:lvlText w:val=""/>
      <w:lvlJc w:val="left"/>
      <w:pPr>
        <w:tabs>
          <w:tab w:val="num" w:pos="1440"/>
        </w:tabs>
        <w:ind w:left="1440" w:hanging="360"/>
      </w:pPr>
      <w:rPr>
        <w:rFonts w:ascii="Symbol" w:hAnsi="Symbol" w:hint="default"/>
      </w:rPr>
    </w:lvl>
    <w:lvl w:ilvl="2" w:tplc="50EE18EA" w:tentative="1">
      <w:start w:val="1"/>
      <w:numFmt w:val="bullet"/>
      <w:lvlText w:val=""/>
      <w:lvlJc w:val="left"/>
      <w:pPr>
        <w:tabs>
          <w:tab w:val="num" w:pos="2160"/>
        </w:tabs>
        <w:ind w:left="2160" w:hanging="360"/>
      </w:pPr>
      <w:rPr>
        <w:rFonts w:ascii="Symbol" w:hAnsi="Symbol" w:hint="default"/>
      </w:rPr>
    </w:lvl>
    <w:lvl w:ilvl="3" w:tplc="2F96F408" w:tentative="1">
      <w:start w:val="1"/>
      <w:numFmt w:val="bullet"/>
      <w:lvlText w:val=""/>
      <w:lvlJc w:val="left"/>
      <w:pPr>
        <w:tabs>
          <w:tab w:val="num" w:pos="2880"/>
        </w:tabs>
        <w:ind w:left="2880" w:hanging="360"/>
      </w:pPr>
      <w:rPr>
        <w:rFonts w:ascii="Symbol" w:hAnsi="Symbol" w:hint="default"/>
      </w:rPr>
    </w:lvl>
    <w:lvl w:ilvl="4" w:tplc="912002B8" w:tentative="1">
      <w:start w:val="1"/>
      <w:numFmt w:val="bullet"/>
      <w:lvlText w:val=""/>
      <w:lvlJc w:val="left"/>
      <w:pPr>
        <w:tabs>
          <w:tab w:val="num" w:pos="3600"/>
        </w:tabs>
        <w:ind w:left="3600" w:hanging="360"/>
      </w:pPr>
      <w:rPr>
        <w:rFonts w:ascii="Symbol" w:hAnsi="Symbol" w:hint="default"/>
      </w:rPr>
    </w:lvl>
    <w:lvl w:ilvl="5" w:tplc="8FBE0D78" w:tentative="1">
      <w:start w:val="1"/>
      <w:numFmt w:val="bullet"/>
      <w:lvlText w:val=""/>
      <w:lvlJc w:val="left"/>
      <w:pPr>
        <w:tabs>
          <w:tab w:val="num" w:pos="4320"/>
        </w:tabs>
        <w:ind w:left="4320" w:hanging="360"/>
      </w:pPr>
      <w:rPr>
        <w:rFonts w:ascii="Symbol" w:hAnsi="Symbol" w:hint="default"/>
      </w:rPr>
    </w:lvl>
    <w:lvl w:ilvl="6" w:tplc="2F2E7606" w:tentative="1">
      <w:start w:val="1"/>
      <w:numFmt w:val="bullet"/>
      <w:lvlText w:val=""/>
      <w:lvlJc w:val="left"/>
      <w:pPr>
        <w:tabs>
          <w:tab w:val="num" w:pos="5040"/>
        </w:tabs>
        <w:ind w:left="5040" w:hanging="360"/>
      </w:pPr>
      <w:rPr>
        <w:rFonts w:ascii="Symbol" w:hAnsi="Symbol" w:hint="default"/>
      </w:rPr>
    </w:lvl>
    <w:lvl w:ilvl="7" w:tplc="66B6D118" w:tentative="1">
      <w:start w:val="1"/>
      <w:numFmt w:val="bullet"/>
      <w:lvlText w:val=""/>
      <w:lvlJc w:val="left"/>
      <w:pPr>
        <w:tabs>
          <w:tab w:val="num" w:pos="5760"/>
        </w:tabs>
        <w:ind w:left="5760" w:hanging="360"/>
      </w:pPr>
      <w:rPr>
        <w:rFonts w:ascii="Symbol" w:hAnsi="Symbol" w:hint="default"/>
      </w:rPr>
    </w:lvl>
    <w:lvl w:ilvl="8" w:tplc="164EF586"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73C34827"/>
    <w:multiLevelType w:val="hybridMultilevel"/>
    <w:tmpl w:val="CF66F0B2"/>
    <w:lvl w:ilvl="0" w:tplc="E0DABF2E">
      <w:start w:val="1"/>
      <w:numFmt w:val="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B340A0"/>
    <w:multiLevelType w:val="hybridMultilevel"/>
    <w:tmpl w:val="E89071FC"/>
    <w:lvl w:ilvl="0" w:tplc="5BF8B970">
      <w:start w:val="1"/>
      <w:numFmt w:val="bullet"/>
      <w:lvlText w:val=""/>
      <w:lvlJc w:val="left"/>
      <w:pPr>
        <w:tabs>
          <w:tab w:val="num" w:pos="720"/>
        </w:tabs>
        <w:ind w:left="720" w:hanging="360"/>
      </w:pPr>
      <w:rPr>
        <w:rFonts w:ascii="Symbol" w:hAnsi="Symbol" w:hint="default"/>
      </w:rPr>
    </w:lvl>
    <w:lvl w:ilvl="1" w:tplc="74D476AA" w:tentative="1">
      <w:start w:val="1"/>
      <w:numFmt w:val="bullet"/>
      <w:lvlText w:val=""/>
      <w:lvlJc w:val="left"/>
      <w:pPr>
        <w:tabs>
          <w:tab w:val="num" w:pos="1440"/>
        </w:tabs>
        <w:ind w:left="1440" w:hanging="360"/>
      </w:pPr>
      <w:rPr>
        <w:rFonts w:ascii="Symbol" w:hAnsi="Symbol" w:hint="default"/>
      </w:rPr>
    </w:lvl>
    <w:lvl w:ilvl="2" w:tplc="D938D254" w:tentative="1">
      <w:start w:val="1"/>
      <w:numFmt w:val="bullet"/>
      <w:lvlText w:val=""/>
      <w:lvlJc w:val="left"/>
      <w:pPr>
        <w:tabs>
          <w:tab w:val="num" w:pos="2160"/>
        </w:tabs>
        <w:ind w:left="2160" w:hanging="360"/>
      </w:pPr>
      <w:rPr>
        <w:rFonts w:ascii="Symbol" w:hAnsi="Symbol" w:hint="default"/>
      </w:rPr>
    </w:lvl>
    <w:lvl w:ilvl="3" w:tplc="84E6E1B2" w:tentative="1">
      <w:start w:val="1"/>
      <w:numFmt w:val="bullet"/>
      <w:lvlText w:val=""/>
      <w:lvlJc w:val="left"/>
      <w:pPr>
        <w:tabs>
          <w:tab w:val="num" w:pos="2880"/>
        </w:tabs>
        <w:ind w:left="2880" w:hanging="360"/>
      </w:pPr>
      <w:rPr>
        <w:rFonts w:ascii="Symbol" w:hAnsi="Symbol" w:hint="default"/>
      </w:rPr>
    </w:lvl>
    <w:lvl w:ilvl="4" w:tplc="148ECB6C" w:tentative="1">
      <w:start w:val="1"/>
      <w:numFmt w:val="bullet"/>
      <w:lvlText w:val=""/>
      <w:lvlJc w:val="left"/>
      <w:pPr>
        <w:tabs>
          <w:tab w:val="num" w:pos="3600"/>
        </w:tabs>
        <w:ind w:left="3600" w:hanging="360"/>
      </w:pPr>
      <w:rPr>
        <w:rFonts w:ascii="Symbol" w:hAnsi="Symbol" w:hint="default"/>
      </w:rPr>
    </w:lvl>
    <w:lvl w:ilvl="5" w:tplc="A9D49B28" w:tentative="1">
      <w:start w:val="1"/>
      <w:numFmt w:val="bullet"/>
      <w:lvlText w:val=""/>
      <w:lvlJc w:val="left"/>
      <w:pPr>
        <w:tabs>
          <w:tab w:val="num" w:pos="4320"/>
        </w:tabs>
        <w:ind w:left="4320" w:hanging="360"/>
      </w:pPr>
      <w:rPr>
        <w:rFonts w:ascii="Symbol" w:hAnsi="Symbol" w:hint="default"/>
      </w:rPr>
    </w:lvl>
    <w:lvl w:ilvl="6" w:tplc="FCAA8BEA" w:tentative="1">
      <w:start w:val="1"/>
      <w:numFmt w:val="bullet"/>
      <w:lvlText w:val=""/>
      <w:lvlJc w:val="left"/>
      <w:pPr>
        <w:tabs>
          <w:tab w:val="num" w:pos="5040"/>
        </w:tabs>
        <w:ind w:left="5040" w:hanging="360"/>
      </w:pPr>
      <w:rPr>
        <w:rFonts w:ascii="Symbol" w:hAnsi="Symbol" w:hint="default"/>
      </w:rPr>
    </w:lvl>
    <w:lvl w:ilvl="7" w:tplc="04D47CCA" w:tentative="1">
      <w:start w:val="1"/>
      <w:numFmt w:val="bullet"/>
      <w:lvlText w:val=""/>
      <w:lvlJc w:val="left"/>
      <w:pPr>
        <w:tabs>
          <w:tab w:val="num" w:pos="5760"/>
        </w:tabs>
        <w:ind w:left="5760" w:hanging="360"/>
      </w:pPr>
      <w:rPr>
        <w:rFonts w:ascii="Symbol" w:hAnsi="Symbol" w:hint="default"/>
      </w:rPr>
    </w:lvl>
    <w:lvl w:ilvl="8" w:tplc="C22808DC"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D4B041E"/>
    <w:multiLevelType w:val="hybridMultilevel"/>
    <w:tmpl w:val="7F2C5A70"/>
    <w:lvl w:ilvl="0" w:tplc="88C8C8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8"/>
  </w:num>
  <w:num w:numId="4">
    <w:abstractNumId w:val="8"/>
  </w:num>
  <w:num w:numId="5">
    <w:abstractNumId w:val="3"/>
  </w:num>
  <w:num w:numId="6">
    <w:abstractNumId w:val="27"/>
  </w:num>
  <w:num w:numId="7">
    <w:abstractNumId w:val="34"/>
  </w:num>
  <w:num w:numId="8">
    <w:abstractNumId w:val="11"/>
  </w:num>
  <w:num w:numId="9">
    <w:abstractNumId w:val="16"/>
  </w:num>
  <w:num w:numId="10">
    <w:abstractNumId w:val="32"/>
  </w:num>
  <w:num w:numId="11">
    <w:abstractNumId w:val="37"/>
  </w:num>
  <w:num w:numId="12">
    <w:abstractNumId w:val="25"/>
  </w:num>
  <w:num w:numId="13">
    <w:abstractNumId w:val="28"/>
  </w:num>
  <w:num w:numId="14">
    <w:abstractNumId w:val="13"/>
  </w:num>
  <w:num w:numId="15">
    <w:abstractNumId w:val="35"/>
  </w:num>
  <w:num w:numId="16">
    <w:abstractNumId w:val="21"/>
  </w:num>
  <w:num w:numId="17">
    <w:abstractNumId w:val="15"/>
  </w:num>
  <w:num w:numId="18">
    <w:abstractNumId w:val="33"/>
  </w:num>
  <w:num w:numId="19">
    <w:abstractNumId w:val="20"/>
  </w:num>
  <w:num w:numId="20">
    <w:abstractNumId w:val="23"/>
  </w:num>
  <w:num w:numId="21">
    <w:abstractNumId w:val="24"/>
  </w:num>
  <w:num w:numId="22">
    <w:abstractNumId w:val="18"/>
  </w:num>
  <w:num w:numId="23">
    <w:abstractNumId w:val="10"/>
  </w:num>
  <w:num w:numId="24">
    <w:abstractNumId w:val="19"/>
  </w:num>
  <w:num w:numId="25">
    <w:abstractNumId w:val="26"/>
  </w:num>
  <w:num w:numId="26">
    <w:abstractNumId w:val="29"/>
  </w:num>
  <w:num w:numId="27">
    <w:abstractNumId w:val="12"/>
  </w:num>
  <w:num w:numId="28">
    <w:abstractNumId w:val="31"/>
  </w:num>
  <w:num w:numId="29">
    <w:abstractNumId w:val="30"/>
  </w:num>
  <w:num w:numId="30">
    <w:abstractNumId w:val="14"/>
  </w:num>
  <w:num w:numId="31">
    <w:abstractNumId w:val="17"/>
  </w:num>
  <w:num w:numId="32">
    <w:abstractNumId w:val="36"/>
  </w:num>
  <w:num w:numId="33">
    <w:abstractNumId w:val="7"/>
  </w:num>
  <w:num w:numId="34">
    <w:abstractNumId w:val="6"/>
  </w:num>
  <w:num w:numId="35">
    <w:abstractNumId w:val="5"/>
  </w:num>
  <w:num w:numId="36">
    <w:abstractNumId w:val="4"/>
  </w:num>
  <w:num w:numId="37">
    <w:abstractNumId w:val="2"/>
  </w:num>
  <w:num w:numId="38">
    <w:abstractNumId w:val="1"/>
  </w:num>
  <w:num w:numId="39">
    <w:abstractNumId w:val="0"/>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LightList-Accent1"/>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1CAD"/>
    <w:rsid w:val="000115DD"/>
    <w:rsid w:val="00015F19"/>
    <w:rsid w:val="000271C8"/>
    <w:rsid w:val="00030C5F"/>
    <w:rsid w:val="00036C59"/>
    <w:rsid w:val="000375F2"/>
    <w:rsid w:val="00044502"/>
    <w:rsid w:val="000469BD"/>
    <w:rsid w:val="000478FB"/>
    <w:rsid w:val="00050D70"/>
    <w:rsid w:val="00051695"/>
    <w:rsid w:val="00056EE3"/>
    <w:rsid w:val="000747EA"/>
    <w:rsid w:val="0008333A"/>
    <w:rsid w:val="000867FE"/>
    <w:rsid w:val="000A6724"/>
    <w:rsid w:val="000B516C"/>
    <w:rsid w:val="000D694A"/>
    <w:rsid w:val="000D7BC3"/>
    <w:rsid w:val="000E2030"/>
    <w:rsid w:val="000E7A1F"/>
    <w:rsid w:val="000F714E"/>
    <w:rsid w:val="000F7F34"/>
    <w:rsid w:val="001108B0"/>
    <w:rsid w:val="00122ACA"/>
    <w:rsid w:val="0014684C"/>
    <w:rsid w:val="0015282E"/>
    <w:rsid w:val="00154BE0"/>
    <w:rsid w:val="001611D8"/>
    <w:rsid w:val="00163F91"/>
    <w:rsid w:val="00167F16"/>
    <w:rsid w:val="001707F4"/>
    <w:rsid w:val="00177330"/>
    <w:rsid w:val="00185754"/>
    <w:rsid w:val="001877CE"/>
    <w:rsid w:val="001878FD"/>
    <w:rsid w:val="00191709"/>
    <w:rsid w:val="001C72F0"/>
    <w:rsid w:val="001D3B66"/>
    <w:rsid w:val="001D6304"/>
    <w:rsid w:val="001D7B04"/>
    <w:rsid w:val="00206493"/>
    <w:rsid w:val="002113FC"/>
    <w:rsid w:val="00220AB3"/>
    <w:rsid w:val="00236C2C"/>
    <w:rsid w:val="00242AE2"/>
    <w:rsid w:val="00253327"/>
    <w:rsid w:val="00273262"/>
    <w:rsid w:val="002733B8"/>
    <w:rsid w:val="00277EC3"/>
    <w:rsid w:val="00280458"/>
    <w:rsid w:val="0028138A"/>
    <w:rsid w:val="002A4E7A"/>
    <w:rsid w:val="002A71B0"/>
    <w:rsid w:val="002A79A5"/>
    <w:rsid w:val="002B2143"/>
    <w:rsid w:val="002C1A45"/>
    <w:rsid w:val="002C7C21"/>
    <w:rsid w:val="002D1684"/>
    <w:rsid w:val="002E28C3"/>
    <w:rsid w:val="002E57C6"/>
    <w:rsid w:val="002E5EA1"/>
    <w:rsid w:val="00305AA3"/>
    <w:rsid w:val="00320196"/>
    <w:rsid w:val="00326CE3"/>
    <w:rsid w:val="00330BC8"/>
    <w:rsid w:val="0033600D"/>
    <w:rsid w:val="00340D8E"/>
    <w:rsid w:val="003443EF"/>
    <w:rsid w:val="003571BE"/>
    <w:rsid w:val="00375734"/>
    <w:rsid w:val="00375A0E"/>
    <w:rsid w:val="00376F65"/>
    <w:rsid w:val="003874C4"/>
    <w:rsid w:val="003B702C"/>
    <w:rsid w:val="003C33B2"/>
    <w:rsid w:val="00405D1E"/>
    <w:rsid w:val="0041384D"/>
    <w:rsid w:val="00423B3E"/>
    <w:rsid w:val="00427C80"/>
    <w:rsid w:val="00427E16"/>
    <w:rsid w:val="00437569"/>
    <w:rsid w:val="004408DF"/>
    <w:rsid w:val="004415AE"/>
    <w:rsid w:val="00441C2B"/>
    <w:rsid w:val="00452D6A"/>
    <w:rsid w:val="0048373F"/>
    <w:rsid w:val="004930B0"/>
    <w:rsid w:val="004937AB"/>
    <w:rsid w:val="00495D10"/>
    <w:rsid w:val="004A7CBB"/>
    <w:rsid w:val="004B2185"/>
    <w:rsid w:val="004B402B"/>
    <w:rsid w:val="004B6B96"/>
    <w:rsid w:val="004C0529"/>
    <w:rsid w:val="00511D12"/>
    <w:rsid w:val="005305AD"/>
    <w:rsid w:val="00542DC7"/>
    <w:rsid w:val="00557B05"/>
    <w:rsid w:val="0056770A"/>
    <w:rsid w:val="005A5C5E"/>
    <w:rsid w:val="005A6F4E"/>
    <w:rsid w:val="005C15FF"/>
    <w:rsid w:val="005C3443"/>
    <w:rsid w:val="005C6116"/>
    <w:rsid w:val="005E1BD0"/>
    <w:rsid w:val="005F587F"/>
    <w:rsid w:val="005F662C"/>
    <w:rsid w:val="00616171"/>
    <w:rsid w:val="00616F1B"/>
    <w:rsid w:val="00625BFA"/>
    <w:rsid w:val="006339A2"/>
    <w:rsid w:val="00643318"/>
    <w:rsid w:val="0064700C"/>
    <w:rsid w:val="00655D98"/>
    <w:rsid w:val="006611BB"/>
    <w:rsid w:val="006655F6"/>
    <w:rsid w:val="006734D9"/>
    <w:rsid w:val="006743DA"/>
    <w:rsid w:val="006D1A93"/>
    <w:rsid w:val="006D40BA"/>
    <w:rsid w:val="006D7A99"/>
    <w:rsid w:val="006E1C57"/>
    <w:rsid w:val="007006A0"/>
    <w:rsid w:val="007047F9"/>
    <w:rsid w:val="00710FA3"/>
    <w:rsid w:val="0075034E"/>
    <w:rsid w:val="00750DA7"/>
    <w:rsid w:val="00760CFE"/>
    <w:rsid w:val="00767B07"/>
    <w:rsid w:val="00792522"/>
    <w:rsid w:val="007A071A"/>
    <w:rsid w:val="007A211F"/>
    <w:rsid w:val="007B229E"/>
    <w:rsid w:val="007B22DA"/>
    <w:rsid w:val="007C105F"/>
    <w:rsid w:val="007C5745"/>
    <w:rsid w:val="007D2324"/>
    <w:rsid w:val="007D6575"/>
    <w:rsid w:val="007F136F"/>
    <w:rsid w:val="008074D9"/>
    <w:rsid w:val="00830113"/>
    <w:rsid w:val="00831DE0"/>
    <w:rsid w:val="00835F05"/>
    <w:rsid w:val="00837888"/>
    <w:rsid w:val="00843974"/>
    <w:rsid w:val="0085099B"/>
    <w:rsid w:val="008603CF"/>
    <w:rsid w:val="00875912"/>
    <w:rsid w:val="008870EE"/>
    <w:rsid w:val="00892291"/>
    <w:rsid w:val="008B6E10"/>
    <w:rsid w:val="008D549B"/>
    <w:rsid w:val="008E6E4F"/>
    <w:rsid w:val="008F7D99"/>
    <w:rsid w:val="00901C8D"/>
    <w:rsid w:val="0091098C"/>
    <w:rsid w:val="00913432"/>
    <w:rsid w:val="00917720"/>
    <w:rsid w:val="00935D18"/>
    <w:rsid w:val="0094077E"/>
    <w:rsid w:val="00952FE7"/>
    <w:rsid w:val="0095327E"/>
    <w:rsid w:val="00957386"/>
    <w:rsid w:val="009823BB"/>
    <w:rsid w:val="00992D4D"/>
    <w:rsid w:val="00994AAC"/>
    <w:rsid w:val="009B3544"/>
    <w:rsid w:val="009B4A90"/>
    <w:rsid w:val="009D23A0"/>
    <w:rsid w:val="009D28F6"/>
    <w:rsid w:val="009E4463"/>
    <w:rsid w:val="009E65CF"/>
    <w:rsid w:val="009E6AC0"/>
    <w:rsid w:val="009F57F5"/>
    <w:rsid w:val="00A11ED7"/>
    <w:rsid w:val="00A326A8"/>
    <w:rsid w:val="00A41839"/>
    <w:rsid w:val="00A53B1B"/>
    <w:rsid w:val="00A6597A"/>
    <w:rsid w:val="00A8353D"/>
    <w:rsid w:val="00A9382A"/>
    <w:rsid w:val="00A972E0"/>
    <w:rsid w:val="00AA21C9"/>
    <w:rsid w:val="00AA29B3"/>
    <w:rsid w:val="00AA4670"/>
    <w:rsid w:val="00AA662B"/>
    <w:rsid w:val="00AB5CE6"/>
    <w:rsid w:val="00AB7FA0"/>
    <w:rsid w:val="00AE00D9"/>
    <w:rsid w:val="00AE2D7D"/>
    <w:rsid w:val="00AE57C3"/>
    <w:rsid w:val="00AE722F"/>
    <w:rsid w:val="00B0551E"/>
    <w:rsid w:val="00B138F7"/>
    <w:rsid w:val="00B25D6D"/>
    <w:rsid w:val="00B51561"/>
    <w:rsid w:val="00B53650"/>
    <w:rsid w:val="00B65A82"/>
    <w:rsid w:val="00B80CBA"/>
    <w:rsid w:val="00B94A3A"/>
    <w:rsid w:val="00B97C7B"/>
    <w:rsid w:val="00BB1699"/>
    <w:rsid w:val="00BB56CF"/>
    <w:rsid w:val="00BC25F8"/>
    <w:rsid w:val="00BC7031"/>
    <w:rsid w:val="00BD719D"/>
    <w:rsid w:val="00BE4356"/>
    <w:rsid w:val="00BE5951"/>
    <w:rsid w:val="00BF099F"/>
    <w:rsid w:val="00BF16AB"/>
    <w:rsid w:val="00BF1D00"/>
    <w:rsid w:val="00C07F20"/>
    <w:rsid w:val="00C348D4"/>
    <w:rsid w:val="00C41EE3"/>
    <w:rsid w:val="00C5600F"/>
    <w:rsid w:val="00C71275"/>
    <w:rsid w:val="00C74007"/>
    <w:rsid w:val="00C80987"/>
    <w:rsid w:val="00C84DF4"/>
    <w:rsid w:val="00CB5FD7"/>
    <w:rsid w:val="00CB692F"/>
    <w:rsid w:val="00CB7B49"/>
    <w:rsid w:val="00D050A9"/>
    <w:rsid w:val="00D10069"/>
    <w:rsid w:val="00D157D9"/>
    <w:rsid w:val="00D230DB"/>
    <w:rsid w:val="00D23193"/>
    <w:rsid w:val="00D265AF"/>
    <w:rsid w:val="00D2712A"/>
    <w:rsid w:val="00D50443"/>
    <w:rsid w:val="00D52370"/>
    <w:rsid w:val="00D55D40"/>
    <w:rsid w:val="00D75349"/>
    <w:rsid w:val="00D75445"/>
    <w:rsid w:val="00D86B69"/>
    <w:rsid w:val="00D95D2F"/>
    <w:rsid w:val="00D96E3A"/>
    <w:rsid w:val="00DA429F"/>
    <w:rsid w:val="00DA4DF3"/>
    <w:rsid w:val="00DB216B"/>
    <w:rsid w:val="00DB45F7"/>
    <w:rsid w:val="00DB7C0B"/>
    <w:rsid w:val="00DB7FAF"/>
    <w:rsid w:val="00DD42B0"/>
    <w:rsid w:val="00DE45C1"/>
    <w:rsid w:val="00DE7C03"/>
    <w:rsid w:val="00E000A7"/>
    <w:rsid w:val="00E02E97"/>
    <w:rsid w:val="00E04571"/>
    <w:rsid w:val="00E131C3"/>
    <w:rsid w:val="00E16BE2"/>
    <w:rsid w:val="00E16E90"/>
    <w:rsid w:val="00E2077D"/>
    <w:rsid w:val="00E23A13"/>
    <w:rsid w:val="00E434C9"/>
    <w:rsid w:val="00E44711"/>
    <w:rsid w:val="00E458B9"/>
    <w:rsid w:val="00E50D26"/>
    <w:rsid w:val="00E542CB"/>
    <w:rsid w:val="00E605D9"/>
    <w:rsid w:val="00E75617"/>
    <w:rsid w:val="00E770A9"/>
    <w:rsid w:val="00EB0E4F"/>
    <w:rsid w:val="00EB4719"/>
    <w:rsid w:val="00EC34BE"/>
    <w:rsid w:val="00EC6561"/>
    <w:rsid w:val="00ED0DC6"/>
    <w:rsid w:val="00ED136A"/>
    <w:rsid w:val="00EE6AE2"/>
    <w:rsid w:val="00F04A38"/>
    <w:rsid w:val="00F053B7"/>
    <w:rsid w:val="00F06C43"/>
    <w:rsid w:val="00F15E50"/>
    <w:rsid w:val="00F24468"/>
    <w:rsid w:val="00F33CEE"/>
    <w:rsid w:val="00F5034A"/>
    <w:rsid w:val="00F62ED4"/>
    <w:rsid w:val="00F65D6C"/>
    <w:rsid w:val="00F70DA1"/>
    <w:rsid w:val="00F71068"/>
    <w:rsid w:val="00F71E8F"/>
    <w:rsid w:val="00F73B84"/>
    <w:rsid w:val="00F7581A"/>
    <w:rsid w:val="00F81571"/>
    <w:rsid w:val="00F90DD6"/>
    <w:rsid w:val="00F956B7"/>
    <w:rsid w:val="00FA62E3"/>
    <w:rsid w:val="00FA6ACB"/>
    <w:rsid w:val="00FC6E53"/>
    <w:rsid w:val="00FE2CE0"/>
    <w:rsid w:val="00FF0471"/>
    <w:rsid w:val="00FF381B"/>
    <w:rsid w:val="00FF60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9C7AAD2"/>
  <w14:defaultImageDpi w14:val="32767"/>
  <w15:docId w15:val="{B9B2B3BC-1FEA-D04C-8D72-9B8BAD5A9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19D"/>
    <w:pPr>
      <w:spacing w:before="120" w:after="120"/>
    </w:pPr>
    <w:rPr>
      <w:rFonts w:ascii="Arial" w:eastAsia="Times New Roman" w:hAnsi="Arial" w:cs="Times New Roman"/>
      <w:sz w:val="21"/>
      <w:lang w:val="en-AU"/>
    </w:rPr>
  </w:style>
  <w:style w:type="paragraph" w:styleId="Heading1">
    <w:name w:val="heading 1"/>
    <w:next w:val="Normal"/>
    <w:link w:val="Heading1Char"/>
    <w:qFormat/>
    <w:rsid w:val="00792522"/>
    <w:pPr>
      <w:keepNext/>
      <w:keepLines/>
      <w:spacing w:before="120" w:after="120"/>
      <w:outlineLvl w:val="0"/>
    </w:pPr>
    <w:rPr>
      <w:rFonts w:ascii="Arial" w:eastAsia="MS Gothic" w:hAnsi="Arial" w:cstheme="majorBidi"/>
      <w:color w:val="AB177E"/>
      <w:sz w:val="40"/>
      <w:szCs w:val="36"/>
      <w:lang w:val="en-US" w:eastAsia="en-AU"/>
    </w:rPr>
  </w:style>
  <w:style w:type="paragraph" w:styleId="Heading2">
    <w:name w:val="heading 2"/>
    <w:basedOn w:val="Heading1"/>
    <w:next w:val="Normal"/>
    <w:link w:val="Heading2Char"/>
    <w:uiPriority w:val="9"/>
    <w:unhideWhenUsed/>
    <w:qFormat/>
    <w:rsid w:val="006E1C57"/>
    <w:pPr>
      <w:outlineLvl w:val="1"/>
    </w:pPr>
    <w:rPr>
      <w:bCs/>
      <w:sz w:val="24"/>
      <w:szCs w:val="26"/>
    </w:rPr>
  </w:style>
  <w:style w:type="paragraph" w:styleId="Heading3">
    <w:name w:val="heading 3"/>
    <w:basedOn w:val="Normal"/>
    <w:next w:val="Normal"/>
    <w:link w:val="Heading3Char"/>
    <w:uiPriority w:val="9"/>
    <w:unhideWhenUsed/>
    <w:qFormat/>
    <w:rsid w:val="007006A0"/>
    <w:pPr>
      <w:keepNext/>
      <w:keepLines/>
      <w:spacing w:before="360" w:line="271" w:lineRule="auto"/>
      <w:outlineLvl w:val="2"/>
    </w:pPr>
    <w:rPr>
      <w:rFonts w:eastAsia="MS Gothic"/>
      <w:b/>
      <w:color w:val="AB177E"/>
      <w:sz w:val="22"/>
      <w:lang w:val="en-US"/>
    </w:rPr>
  </w:style>
  <w:style w:type="paragraph" w:styleId="Heading4">
    <w:name w:val="heading 4"/>
    <w:basedOn w:val="Normal"/>
    <w:next w:val="Normal"/>
    <w:link w:val="Heading4Char"/>
    <w:uiPriority w:val="9"/>
    <w:unhideWhenUsed/>
    <w:qFormat/>
    <w:rsid w:val="004B6B96"/>
    <w:pPr>
      <w:outlineLvl w:val="3"/>
    </w:pPr>
    <w:rPr>
      <w:bCs/>
      <w:color w:val="FFFFFF" w:themeColor="background1"/>
      <w:sz w:val="24"/>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2522"/>
    <w:rPr>
      <w:rFonts w:ascii="Arial" w:eastAsia="MS Gothic" w:hAnsi="Arial" w:cstheme="majorBidi"/>
      <w:color w:val="AB177E"/>
      <w:sz w:val="40"/>
      <w:szCs w:val="36"/>
      <w:lang w:val="en-US" w:eastAsia="en-AU"/>
    </w:rPr>
  </w:style>
  <w:style w:type="character" w:customStyle="1" w:styleId="Heading2Char">
    <w:name w:val="Heading 2 Char"/>
    <w:basedOn w:val="DefaultParagraphFont"/>
    <w:link w:val="Heading2"/>
    <w:uiPriority w:val="9"/>
    <w:rsid w:val="006E1C57"/>
    <w:rPr>
      <w:rFonts w:ascii="Arial" w:eastAsia="MS Gothic" w:hAnsi="Arial" w:cstheme="majorBidi"/>
      <w:bCs/>
      <w:color w:val="AB177E"/>
      <w:szCs w:val="26"/>
      <w:lang w:val="en-US" w:eastAsia="en-AU"/>
    </w:rPr>
  </w:style>
  <w:style w:type="character" w:customStyle="1" w:styleId="Heading3Char">
    <w:name w:val="Heading 3 Char"/>
    <w:basedOn w:val="DefaultParagraphFont"/>
    <w:link w:val="Heading3"/>
    <w:uiPriority w:val="9"/>
    <w:rsid w:val="007006A0"/>
    <w:rPr>
      <w:rFonts w:ascii="Arial" w:eastAsia="MS Gothic" w:hAnsi="Arial" w:cs="Times New Roman"/>
      <w:b/>
      <w:color w:val="AB177E"/>
      <w:sz w:val="22"/>
      <w:lang w:val="en-US"/>
    </w:rPr>
  </w:style>
  <w:style w:type="character" w:customStyle="1" w:styleId="Heading4Char">
    <w:name w:val="Heading 4 Char"/>
    <w:basedOn w:val="DefaultParagraphFont"/>
    <w:link w:val="Heading4"/>
    <w:uiPriority w:val="9"/>
    <w:rsid w:val="004B6B96"/>
    <w:rPr>
      <w:rFonts w:ascii="Arial" w:eastAsia="Times New Roman" w:hAnsi="Arial" w:cs="Times New Roman"/>
      <w:bCs/>
      <w:color w:val="FFFFFF" w:themeColor="background1"/>
      <w:lang w:val="en-AU"/>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character" w:styleId="Hyperlink">
    <w:name w:val="Hyperlink"/>
    <w:basedOn w:val="DefaultParagraphFont"/>
    <w:uiPriority w:val="99"/>
    <w:unhideWhenUsed/>
    <w:rsid w:val="006E1C57"/>
    <w:rPr>
      <w:color w:val="0563C1" w:themeColor="hyperlink"/>
      <w:u w:val="single"/>
    </w:rPr>
  </w:style>
  <w:style w:type="paragraph" w:styleId="ListBullet">
    <w:name w:val="List Bullet"/>
    <w:basedOn w:val="Normal"/>
    <w:uiPriority w:val="99"/>
    <w:unhideWhenUsed/>
    <w:qFormat/>
    <w:rsid w:val="002E28C3"/>
    <w:pPr>
      <w:spacing w:line="271" w:lineRule="auto"/>
      <w:ind w:left="357" w:hanging="357"/>
    </w:pPr>
    <w:rPr>
      <w:szCs w:val="21"/>
    </w:rPr>
  </w:style>
  <w:style w:type="paragraph" w:styleId="ListNumber">
    <w:name w:val="List Number"/>
    <w:basedOn w:val="Normal"/>
    <w:uiPriority w:val="99"/>
    <w:unhideWhenUsed/>
    <w:qFormat/>
    <w:rsid w:val="002E28C3"/>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1,List Paragraph11,Recommendation,First level bullet point,Bullet point,Body Text1,Body Text2,standard lewis,NAST Quote,Bullets,CV text,Dot pt,F5 List Paragraph,FooterText,L,List Paragraph111,List Paragraph2,列,Table text,列出"/>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C74007"/>
    <w:pPr>
      <w:spacing w:before="480" w:after="240" w:line="400" w:lineRule="exact"/>
      <w:ind w:right="1134"/>
    </w:pPr>
    <w:rPr>
      <w:iCs/>
      <w:color w:val="358189"/>
      <w:sz w:val="28"/>
    </w:rPr>
  </w:style>
  <w:style w:type="character" w:customStyle="1" w:styleId="IntenseQuoteChar">
    <w:name w:val="Intense Quote Char"/>
    <w:basedOn w:val="DefaultParagraphFont"/>
    <w:link w:val="IntenseQuote"/>
    <w:uiPriority w:val="30"/>
    <w:rsid w:val="00C74007"/>
    <w:rPr>
      <w:rFonts w:ascii="Arial" w:eastAsia="Times New Roman" w:hAnsi="Arial" w:cs="Times New Roman"/>
      <w:iCs/>
      <w:color w:val="358189"/>
      <w:sz w:val="28"/>
      <w:lang w:val="en-AU"/>
    </w:rPr>
  </w:style>
  <w:style w:type="character" w:styleId="UnresolvedMention">
    <w:name w:val="Unresolved Mention"/>
    <w:basedOn w:val="DefaultParagraphFont"/>
    <w:uiPriority w:val="99"/>
    <w:semiHidden/>
    <w:unhideWhenUsed/>
    <w:rsid w:val="006E1C57"/>
    <w:rPr>
      <w:color w:val="605E5C"/>
      <w:shd w:val="clear" w:color="auto" w:fill="E1DFDD"/>
    </w:rPr>
  </w:style>
  <w:style w:type="paragraph" w:customStyle="1" w:styleId="VisionBox">
    <w:name w:val="VisionBox"/>
    <w:basedOn w:val="Normal"/>
    <w:qFormat/>
    <w:rsid w:val="000747EA"/>
    <w:pPr>
      <w:pBdr>
        <w:top w:val="single" w:sz="4" w:space="15" w:color="AB177E"/>
        <w:bottom w:val="single" w:sz="4" w:space="10" w:color="AB177E"/>
      </w:pBdr>
      <w:spacing w:before="360" w:after="360" w:line="340" w:lineRule="exact"/>
    </w:pPr>
    <w:rPr>
      <w:rFonts w:eastAsiaTheme="minorHAnsi"/>
      <w:color w:val="AB177E"/>
      <w:sz w:val="22"/>
    </w:rPr>
  </w:style>
  <w:style w:type="paragraph" w:styleId="TOAHeading">
    <w:name w:val="toa heading"/>
    <w:basedOn w:val="Normal"/>
    <w:next w:val="Normal"/>
    <w:uiPriority w:val="99"/>
    <w:unhideWhenUsed/>
    <w:rsid w:val="006D40BA"/>
    <w:rPr>
      <w:rFonts w:eastAsiaTheme="majorEastAsia" w:cstheme="majorBidi"/>
      <w:b/>
      <w:bCs/>
      <w:sz w:val="24"/>
    </w:rPr>
  </w:style>
  <w:style w:type="paragraph" w:customStyle="1" w:styleId="Style1">
    <w:name w:val="Style1"/>
    <w:next w:val="Normal"/>
    <w:qFormat/>
    <w:rsid w:val="00557B05"/>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A8353D"/>
    <w:rPr>
      <w:b/>
      <w:caps/>
      <w:smallCaps w:val="0"/>
      <w:color w:val="AB177E"/>
      <w:bdr w:val="none" w:sz="0" w:space="0" w:color="auto"/>
    </w:rPr>
  </w:style>
  <w:style w:type="paragraph" w:customStyle="1" w:styleId="BulletPoint1">
    <w:name w:val="Bullet Point 1"/>
    <w:basedOn w:val="Normal"/>
    <w:qFormat/>
    <w:rsid w:val="006E1C57"/>
    <w:pPr>
      <w:numPr>
        <w:numId w:val="9"/>
      </w:numPr>
      <w:spacing w:before="0"/>
      <w:ind w:left="357" w:hanging="357"/>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B138F7"/>
    <w:pPr>
      <w:tabs>
        <w:tab w:val="center" w:pos="4513"/>
        <w:tab w:val="right" w:pos="9026"/>
      </w:tabs>
      <w:spacing w:before="0"/>
    </w:pPr>
    <w:rPr>
      <w:color w:val="767171" w:themeColor="background2" w:themeShade="80"/>
      <w:sz w:val="18"/>
    </w:rPr>
  </w:style>
  <w:style w:type="character" w:customStyle="1" w:styleId="FooterChar">
    <w:name w:val="Footer Char"/>
    <w:basedOn w:val="DefaultParagraphFont"/>
    <w:link w:val="Footer"/>
    <w:uiPriority w:val="99"/>
    <w:rsid w:val="00B138F7"/>
    <w:rPr>
      <w:rFonts w:ascii="Arial" w:eastAsia="Times New Roman" w:hAnsi="Arial" w:cs="Times New Roman"/>
      <w:color w:val="767171" w:themeColor="background2" w:themeShade="80"/>
      <w:sz w:val="18"/>
      <w:lang w:val="en-AU"/>
    </w:rPr>
  </w:style>
  <w:style w:type="paragraph" w:styleId="BalloonText">
    <w:name w:val="Balloon Text"/>
    <w:basedOn w:val="Normal"/>
    <w:link w:val="BalloonTextChar"/>
    <w:uiPriority w:val="99"/>
    <w:semiHidden/>
    <w:unhideWhenUsed/>
    <w:rsid w:val="00C74007"/>
    <w:pPr>
      <w:spacing w:before="0"/>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paragraph" w:styleId="TOC1">
    <w:name w:val="toc 1"/>
    <w:basedOn w:val="Normal"/>
    <w:next w:val="Normal"/>
    <w:autoRedefine/>
    <w:uiPriority w:val="39"/>
    <w:unhideWhenUsed/>
    <w:rsid w:val="00AE57C3"/>
  </w:style>
  <w:style w:type="paragraph" w:styleId="TOC2">
    <w:name w:val="toc 2"/>
    <w:basedOn w:val="Normal"/>
    <w:next w:val="Normal"/>
    <w:autoRedefine/>
    <w:uiPriority w:val="39"/>
    <w:unhideWhenUsed/>
    <w:rsid w:val="00AE57C3"/>
    <w:pPr>
      <w:ind w:left="210"/>
    </w:pPr>
  </w:style>
  <w:style w:type="paragraph" w:styleId="TOC3">
    <w:name w:val="toc 3"/>
    <w:basedOn w:val="Normal"/>
    <w:next w:val="Normal"/>
    <w:autoRedefine/>
    <w:uiPriority w:val="39"/>
    <w:unhideWhenUsed/>
    <w:rsid w:val="00AE57C3"/>
    <w:pPr>
      <w:ind w:left="420"/>
    </w:pPr>
  </w:style>
  <w:style w:type="paragraph" w:styleId="TOC4">
    <w:name w:val="toc 4"/>
    <w:basedOn w:val="Normal"/>
    <w:next w:val="Normal"/>
    <w:autoRedefine/>
    <w:uiPriority w:val="39"/>
    <w:unhideWhenUsed/>
    <w:rsid w:val="00AE57C3"/>
    <w:pPr>
      <w:ind w:left="630"/>
    </w:pPr>
  </w:style>
  <w:style w:type="paragraph" w:styleId="TOC5">
    <w:name w:val="toc 5"/>
    <w:basedOn w:val="Normal"/>
    <w:next w:val="Normal"/>
    <w:autoRedefine/>
    <w:uiPriority w:val="39"/>
    <w:unhideWhenUsed/>
    <w:rsid w:val="00AE57C3"/>
    <w:pPr>
      <w:ind w:left="840"/>
    </w:pPr>
  </w:style>
  <w:style w:type="paragraph" w:styleId="TOC6">
    <w:name w:val="toc 6"/>
    <w:basedOn w:val="Normal"/>
    <w:next w:val="Normal"/>
    <w:autoRedefine/>
    <w:uiPriority w:val="39"/>
    <w:unhideWhenUsed/>
    <w:rsid w:val="00AE57C3"/>
    <w:pPr>
      <w:ind w:left="1050"/>
    </w:pPr>
  </w:style>
  <w:style w:type="paragraph" w:styleId="TOC7">
    <w:name w:val="toc 7"/>
    <w:basedOn w:val="Normal"/>
    <w:next w:val="Normal"/>
    <w:autoRedefine/>
    <w:uiPriority w:val="39"/>
    <w:unhideWhenUsed/>
    <w:rsid w:val="00AE57C3"/>
    <w:pPr>
      <w:ind w:left="1260"/>
    </w:pPr>
  </w:style>
  <w:style w:type="paragraph" w:styleId="TOC8">
    <w:name w:val="toc 8"/>
    <w:basedOn w:val="Normal"/>
    <w:next w:val="Normal"/>
    <w:autoRedefine/>
    <w:uiPriority w:val="39"/>
    <w:unhideWhenUsed/>
    <w:rsid w:val="00AE57C3"/>
    <w:pPr>
      <w:ind w:left="1470"/>
    </w:pPr>
  </w:style>
  <w:style w:type="paragraph" w:styleId="TOC9">
    <w:name w:val="toc 9"/>
    <w:basedOn w:val="Normal"/>
    <w:next w:val="Normal"/>
    <w:autoRedefine/>
    <w:uiPriority w:val="39"/>
    <w:unhideWhenUsed/>
    <w:rsid w:val="00AE57C3"/>
    <w:pPr>
      <w:ind w:left="1680"/>
    </w:pPr>
  </w:style>
  <w:style w:type="table" w:styleId="TableGrid">
    <w:name w:val="Table Grid"/>
    <w:basedOn w:val="TableNormal"/>
    <w:uiPriority w:val="59"/>
    <w:rsid w:val="004C05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4C0529"/>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1">
    <w:name w:val="Light List Accent 1"/>
    <w:aliases w:val="VISUAL BRAND"/>
    <w:basedOn w:val="TableNormal"/>
    <w:uiPriority w:val="61"/>
    <w:rsid w:val="004C0529"/>
    <w:rPr>
      <w:rFonts w:ascii="Arial" w:hAnsi="Arial"/>
      <w:sz w:val="22"/>
    </w:rPr>
    <w:tblPr>
      <w:tblStyleRowBandSize w:val="1"/>
      <w:tblStyleColBandSize w:val="1"/>
      <w:tblBorders>
        <w:top w:val="single" w:sz="2" w:space="0" w:color="008A96"/>
        <w:left w:val="single" w:sz="2" w:space="0" w:color="008A96"/>
        <w:bottom w:val="single" w:sz="2" w:space="0" w:color="008A96"/>
        <w:right w:val="single" w:sz="2" w:space="0" w:color="008A96"/>
        <w:insideH w:val="single" w:sz="2" w:space="0" w:color="008A96"/>
        <w:insideV w:val="single" w:sz="2" w:space="0" w:color="008A96"/>
      </w:tblBorders>
    </w:tblPr>
    <w:tblStylePr w:type="firstRow">
      <w:pPr>
        <w:spacing w:before="0" w:after="0" w:line="240" w:lineRule="auto"/>
      </w:pPr>
      <w:rPr>
        <w:b/>
        <w:bCs/>
        <w:color w:val="FFFFFF" w:themeColor="background1"/>
      </w:rPr>
      <w:tblPr/>
      <w:tcPr>
        <w:shd w:val="clear" w:color="auto" w:fill="008A96"/>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2" w:space="0" w:color="008A96"/>
          <w:left w:val="single" w:sz="2" w:space="0" w:color="008A96"/>
          <w:bottom w:val="single" w:sz="2" w:space="0" w:color="008A96"/>
          <w:right w:val="single" w:sz="2" w:space="0" w:color="008A96"/>
          <w:insideH w:val="single" w:sz="2" w:space="0" w:color="008A96"/>
          <w:insideV w:val="single" w:sz="2" w:space="0" w:color="008A96"/>
          <w:tl2br w:val="nil"/>
          <w:tr2bl w:val="nil"/>
        </w:tcBorders>
      </w:tcPr>
    </w:tblStylePr>
  </w:style>
  <w:style w:type="character" w:customStyle="1" w:styleId="ListParagraphChar">
    <w:name w:val="List Paragraph Char"/>
    <w:aliases w:val="List Paragraph1 Char,List Paragraph11 Char,Recommendation Char,First level bullet point Char,Bullet point Char,Body Text1 Char,Body Text2 Char,standard lewis Char,NAST Quote Char,Bullets Char,CV text Char,Dot pt Char,FooterText Char"/>
    <w:basedOn w:val="DefaultParagraphFont"/>
    <w:link w:val="ListParagraph"/>
    <w:uiPriority w:val="34"/>
    <w:locked/>
    <w:rsid w:val="00760CFE"/>
    <w:rPr>
      <w:rFonts w:ascii="Arial" w:eastAsia="Times New Roman" w:hAnsi="Arial" w:cs="Times New Roman"/>
      <w:sz w:val="21"/>
      <w:lang w:val="en-AU"/>
    </w:rPr>
  </w:style>
  <w:style w:type="table" w:customStyle="1" w:styleId="DepartmentalTealstyle">
    <w:name w:val="Departmental 'Teal' style"/>
    <w:basedOn w:val="TableNormal"/>
    <w:uiPriority w:val="99"/>
    <w:rsid w:val="00792522"/>
    <w:pPr>
      <w:spacing w:before="80" w:after="80"/>
    </w:pPr>
    <w:rPr>
      <w:rFonts w:ascii="Arial" w:hAnsi="Arial"/>
      <w:sz w:val="20"/>
    </w:rPr>
    <w:tblPr>
      <w:tblBorders>
        <w:top w:val="single" w:sz="4" w:space="0" w:color="AB177E"/>
        <w:bottom w:val="single" w:sz="4" w:space="0" w:color="AB177E"/>
        <w:insideH w:val="single" w:sz="4" w:space="0" w:color="AB177E"/>
      </w:tblBorders>
    </w:tblPr>
    <w:tcPr>
      <w:shd w:val="clear" w:color="auto" w:fill="auto"/>
    </w:tcPr>
    <w:tblStylePr w:type="firstRow">
      <w:rPr>
        <w:rFonts w:ascii="Arial" w:hAnsi="Arial"/>
        <w:b/>
        <w:color w:val="FFFFFF" w:themeColor="background1"/>
        <w:sz w:val="32"/>
      </w:rPr>
      <w:tblPr/>
      <w:tcPr>
        <w:shd w:val="clear" w:color="auto" w:fill="AB177E"/>
      </w:tcPr>
    </w:tblStylePr>
    <w:tblStylePr w:type="lastRow">
      <w:tblPr/>
      <w:tcPr>
        <w:tcBorders>
          <w:top w:val="nil"/>
          <w:left w:val="nil"/>
          <w:bottom w:val="single" w:sz="4" w:space="0" w:color="AB177E"/>
          <w:right w:val="nil"/>
          <w:insideH w:val="nil"/>
          <w:insideV w:val="nil"/>
          <w:tl2br w:val="nil"/>
          <w:tr2bl w:val="nil"/>
        </w:tcBorders>
        <w:shd w:val="clear" w:color="auto" w:fill="auto"/>
      </w:tcPr>
    </w:tblStylePr>
    <w:tblStylePr w:type="firstCol">
      <w:rPr>
        <w:rFonts w:ascii="Arial" w:hAnsi="Arial"/>
        <w:b/>
        <w:color w:val="000000" w:themeColor="text1"/>
        <w:sz w:val="20"/>
      </w:rPr>
    </w:tblStylePr>
  </w:style>
  <w:style w:type="paragraph" w:styleId="NormalWeb">
    <w:name w:val="Normal (Web)"/>
    <w:basedOn w:val="Normal"/>
    <w:uiPriority w:val="99"/>
    <w:unhideWhenUsed/>
    <w:rsid w:val="00191709"/>
    <w:pPr>
      <w:spacing w:before="100" w:beforeAutospacing="1" w:after="100" w:afterAutospacing="1"/>
    </w:pPr>
    <w:rPr>
      <w:rFonts w:ascii="Times New Roman" w:eastAsiaTheme="minorEastAsia" w:hAnsi="Times New Roman"/>
      <w:sz w:val="24"/>
      <w:lang w:eastAsia="en-AU"/>
    </w:rPr>
  </w:style>
  <w:style w:type="numbering" w:customStyle="1" w:styleId="CurrentList1">
    <w:name w:val="Current List1"/>
    <w:uiPriority w:val="99"/>
    <w:rsid w:val="00A9382A"/>
    <w:pPr>
      <w:numPr>
        <w:numId w:val="20"/>
      </w:numPr>
    </w:pPr>
  </w:style>
  <w:style w:type="paragraph" w:customStyle="1" w:styleId="TableContent">
    <w:name w:val="Table Content"/>
    <w:basedOn w:val="Normal"/>
    <w:qFormat/>
    <w:rsid w:val="00792522"/>
    <w:pPr>
      <w:spacing w:after="0"/>
    </w:pPr>
    <w:rPr>
      <w:sz w:val="19"/>
    </w:rPr>
  </w:style>
  <w:style w:type="paragraph" w:customStyle="1" w:styleId="Table-Bulletpoint">
    <w:name w:val="Table - Bullet point"/>
    <w:basedOn w:val="BulletPoint1"/>
    <w:qFormat/>
    <w:rsid w:val="00154BE0"/>
    <w:pPr>
      <w:spacing w:before="80"/>
      <w:contextualSpacing/>
    </w:pPr>
    <w:rPr>
      <w:sz w:val="19"/>
    </w:rPr>
  </w:style>
  <w:style w:type="paragraph" w:customStyle="1" w:styleId="TableHeadings">
    <w:name w:val="Table Headings"/>
    <w:basedOn w:val="Normal"/>
    <w:qFormat/>
    <w:rsid w:val="00154BE0"/>
    <w:rPr>
      <w:b/>
      <w:color w:val="000000" w:themeColor="text1"/>
    </w:rPr>
  </w:style>
  <w:style w:type="paragraph" w:customStyle="1" w:styleId="TableHeading-White">
    <w:name w:val="Table Heading - White"/>
    <w:basedOn w:val="Normal"/>
    <w:qFormat/>
    <w:rsid w:val="000F7F34"/>
    <w:pPr>
      <w:spacing w:before="0" w:after="0"/>
    </w:pPr>
    <w:rPr>
      <w:b/>
      <w:color w:val="FFFFFF" w:themeColor="background1"/>
      <w:sz w:val="24"/>
    </w:rPr>
  </w:style>
  <w:style w:type="paragraph" w:customStyle="1" w:styleId="Table-BulletPointGreen">
    <w:name w:val="Table - Bullet Point (Green)"/>
    <w:basedOn w:val="Table-Bulletpoint"/>
    <w:qFormat/>
    <w:rsid w:val="00DB7FAF"/>
    <w:pPr>
      <w:numPr>
        <w:numId w:val="27"/>
      </w:numPr>
      <w:ind w:left="357" w:hanging="357"/>
    </w:pPr>
    <w:rPr>
      <w:color w:val="000000" w:themeColor="text1"/>
    </w:rPr>
  </w:style>
  <w:style w:type="paragraph" w:customStyle="1" w:styleId="Tabl-BulletPointRed">
    <w:name w:val="Tabl - Bullet Point (Red)"/>
    <w:basedOn w:val="Table-Bulletpoint"/>
    <w:qFormat/>
    <w:rsid w:val="00437569"/>
    <w:pPr>
      <w:numPr>
        <w:numId w:val="28"/>
      </w:numPr>
      <w:ind w:left="357" w:hanging="357"/>
    </w:pPr>
  </w:style>
  <w:style w:type="paragraph" w:customStyle="1" w:styleId="Table-BulletPointBlue">
    <w:name w:val="Table - Bullet Point (Blue)"/>
    <w:basedOn w:val="Table-Bulletpoint"/>
    <w:qFormat/>
    <w:rsid w:val="00DA4DF3"/>
    <w:pPr>
      <w:numPr>
        <w:numId w:val="29"/>
      </w:numPr>
      <w:ind w:left="357" w:hanging="357"/>
    </w:pPr>
  </w:style>
  <w:style w:type="paragraph" w:customStyle="1" w:styleId="Table-BulletPointOrange">
    <w:name w:val="Table - Bullet Point (Orange)"/>
    <w:basedOn w:val="Table-Bulletpoint"/>
    <w:qFormat/>
    <w:rsid w:val="00DA4DF3"/>
    <w:pPr>
      <w:numPr>
        <w:numId w:val="30"/>
      </w:numPr>
      <w:ind w:left="357" w:hanging="357"/>
    </w:pPr>
  </w:style>
  <w:style w:type="character" w:styleId="CommentReference">
    <w:name w:val="annotation reference"/>
    <w:basedOn w:val="DefaultParagraphFont"/>
    <w:uiPriority w:val="99"/>
    <w:semiHidden/>
    <w:unhideWhenUsed/>
    <w:rsid w:val="00D75445"/>
    <w:rPr>
      <w:sz w:val="16"/>
      <w:szCs w:val="16"/>
    </w:rPr>
  </w:style>
  <w:style w:type="paragraph" w:styleId="CommentText">
    <w:name w:val="annotation text"/>
    <w:basedOn w:val="Normal"/>
    <w:link w:val="CommentTextChar"/>
    <w:uiPriority w:val="99"/>
    <w:unhideWhenUsed/>
    <w:rsid w:val="00D75445"/>
    <w:rPr>
      <w:sz w:val="20"/>
      <w:szCs w:val="20"/>
    </w:rPr>
  </w:style>
  <w:style w:type="character" w:customStyle="1" w:styleId="CommentTextChar">
    <w:name w:val="Comment Text Char"/>
    <w:basedOn w:val="DefaultParagraphFont"/>
    <w:link w:val="CommentText"/>
    <w:uiPriority w:val="99"/>
    <w:rsid w:val="00D75445"/>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F70DA1"/>
    <w:rPr>
      <w:b/>
      <w:bCs/>
    </w:rPr>
  </w:style>
  <w:style w:type="character" w:customStyle="1" w:styleId="CommentSubjectChar">
    <w:name w:val="Comment Subject Char"/>
    <w:basedOn w:val="CommentTextChar"/>
    <w:link w:val="CommentSubject"/>
    <w:uiPriority w:val="99"/>
    <w:semiHidden/>
    <w:rsid w:val="00F70DA1"/>
    <w:rPr>
      <w:rFonts w:ascii="Arial" w:eastAsia="Times New Roman" w:hAnsi="Arial" w:cs="Times New Roman"/>
      <w:b/>
      <w:bCs/>
      <w:sz w:val="20"/>
      <w:szCs w:val="20"/>
      <w:lang w:val="en-AU"/>
    </w:rPr>
  </w:style>
  <w:style w:type="paragraph" w:customStyle="1" w:styleId="Table-BulletPointLightGreen">
    <w:name w:val="Table - Bullet Point (Light Green)"/>
    <w:basedOn w:val="Table-BulletPointGreen"/>
    <w:qFormat/>
    <w:rsid w:val="00452D6A"/>
    <w:pPr>
      <w:numPr>
        <w:numId w:val="31"/>
      </w:numPr>
      <w:ind w:left="357" w:hanging="357"/>
    </w:pPr>
  </w:style>
  <w:style w:type="character" w:styleId="Emphasis">
    <w:name w:val="Emphasis"/>
    <w:basedOn w:val="DefaultParagraphFont"/>
    <w:uiPriority w:val="20"/>
    <w:qFormat/>
    <w:rsid w:val="00511D12"/>
    <w:rPr>
      <w:i/>
      <w:iCs/>
    </w:rPr>
  </w:style>
  <w:style w:type="paragraph" w:styleId="ListContinue">
    <w:name w:val="List Continue"/>
    <w:basedOn w:val="Normal"/>
    <w:uiPriority w:val="99"/>
    <w:unhideWhenUsed/>
    <w:rsid w:val="00792522"/>
    <w:pPr>
      <w:numPr>
        <w:numId w:val="40"/>
      </w:numPr>
      <w:spacing w:after="0"/>
      <w:ind w:left="584" w:hanging="357"/>
    </w:pPr>
  </w:style>
  <w:style w:type="character" w:styleId="SubtleEmphasis">
    <w:name w:val="Subtle Emphasis"/>
    <w:basedOn w:val="DefaultParagraphFont"/>
    <w:uiPriority w:val="19"/>
    <w:qFormat/>
    <w:rsid w:val="0079252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478518">
      <w:bodyDiv w:val="1"/>
      <w:marLeft w:val="0"/>
      <w:marRight w:val="0"/>
      <w:marTop w:val="0"/>
      <w:marBottom w:val="0"/>
      <w:divBdr>
        <w:top w:val="none" w:sz="0" w:space="0" w:color="auto"/>
        <w:left w:val="none" w:sz="0" w:space="0" w:color="auto"/>
        <w:bottom w:val="none" w:sz="0" w:space="0" w:color="auto"/>
        <w:right w:val="none" w:sz="0" w:space="0" w:color="auto"/>
      </w:divBdr>
    </w:div>
    <w:div w:id="933242648">
      <w:bodyDiv w:val="1"/>
      <w:marLeft w:val="0"/>
      <w:marRight w:val="0"/>
      <w:marTop w:val="0"/>
      <w:marBottom w:val="0"/>
      <w:divBdr>
        <w:top w:val="none" w:sz="0" w:space="0" w:color="auto"/>
        <w:left w:val="none" w:sz="0" w:space="0" w:color="auto"/>
        <w:bottom w:val="none" w:sz="0" w:space="0" w:color="auto"/>
        <w:right w:val="none" w:sz="0" w:space="0" w:color="auto"/>
      </w:divBdr>
    </w:div>
    <w:div w:id="1308316851">
      <w:bodyDiv w:val="1"/>
      <w:marLeft w:val="0"/>
      <w:marRight w:val="0"/>
      <w:marTop w:val="0"/>
      <w:marBottom w:val="0"/>
      <w:divBdr>
        <w:top w:val="none" w:sz="0" w:space="0" w:color="auto"/>
        <w:left w:val="none" w:sz="0" w:space="0" w:color="auto"/>
        <w:bottom w:val="none" w:sz="0" w:space="0" w:color="auto"/>
        <w:right w:val="none" w:sz="0" w:space="0" w:color="auto"/>
      </w:divBdr>
    </w:div>
    <w:div w:id="190081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rello xmlns="3e9090f6-0245-48e3-bd19-46cc0b4d31f0">
      <Url xsi:nil="true"/>
      <Description xsi:nil="true"/>
    </Trello>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3B0B12D2F0A044930B7F0ED9CD8462" ma:contentTypeVersion="14" ma:contentTypeDescription="Create a new document." ma:contentTypeScope="" ma:versionID="2feff9cad94a37fc578a6ee90c03765b">
  <xsd:schema xmlns:xsd="http://www.w3.org/2001/XMLSchema" xmlns:xs="http://www.w3.org/2001/XMLSchema" xmlns:p="http://schemas.microsoft.com/office/2006/metadata/properties" xmlns:ns2="66b98d56-25b7-479b-bf58-c8a0702ccf2c" xmlns:ns3="3e9090f6-0245-48e3-bd19-46cc0b4d31f0" targetNamespace="http://schemas.microsoft.com/office/2006/metadata/properties" ma:root="true" ma:fieldsID="cc58c0ec5d1e855e0eed02dd8a604173" ns2:_="" ns3:_="">
    <xsd:import namespace="66b98d56-25b7-479b-bf58-c8a0702ccf2c"/>
    <xsd:import namespace="3e9090f6-0245-48e3-bd19-46cc0b4d31f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Trello"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98d56-25b7-479b-bf58-c8a0702cc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9090f6-0245-48e3-bd19-46cc0b4d31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Trello" ma:index="20" nillable="true" ma:displayName="Trello" ma:description="Link to Trello ticket" ma:format="Hyperlink" ma:internalName="Trell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81E3DE-4603-447F-9BB0-E0B585DA4043}">
  <ds:schemaRefs>
    <ds:schemaRef ds:uri="http://schemas.microsoft.com/sharepoint/v3/contenttype/forms"/>
  </ds:schemaRefs>
</ds:datastoreItem>
</file>

<file path=customXml/itemProps2.xml><?xml version="1.0" encoding="utf-8"?>
<ds:datastoreItem xmlns:ds="http://schemas.openxmlformats.org/officeDocument/2006/customXml" ds:itemID="{C1E391E6-EDF6-4A33-BAC7-2EBB54ADA321}">
  <ds:schemaRefs>
    <ds:schemaRef ds:uri="http://schemas.microsoft.com/office/2006/metadata/properties"/>
    <ds:schemaRef ds:uri="http://schemas.microsoft.com/office/infopath/2007/PartnerControls"/>
    <ds:schemaRef ds:uri="3e9090f6-0245-48e3-bd19-46cc0b4d31f0"/>
  </ds:schemaRefs>
</ds:datastoreItem>
</file>

<file path=customXml/itemProps3.xml><?xml version="1.0" encoding="utf-8"?>
<ds:datastoreItem xmlns:ds="http://schemas.openxmlformats.org/officeDocument/2006/customXml" ds:itemID="{E7EF0307-2587-4ABB-9E56-6EDF3E7F85BF}">
  <ds:schemaRefs>
    <ds:schemaRef ds:uri="http://schemas.openxmlformats.org/officeDocument/2006/bibliography"/>
  </ds:schemaRefs>
</ds:datastoreItem>
</file>

<file path=customXml/itemProps4.xml><?xml version="1.0" encoding="utf-8"?>
<ds:datastoreItem xmlns:ds="http://schemas.openxmlformats.org/officeDocument/2006/customXml" ds:itemID="{86358205-5907-4825-834D-98712D640C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98d56-25b7-479b-bf58-c8a0702ccf2c"/>
    <ds:schemaRef ds:uri="3e9090f6-0245-48e3-bd19-46cc0b4d3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6219</Words>
  <Characters>35454</Characters>
  <Application>Microsoft Office Word</Application>
  <DocSecurity>4</DocSecurity>
  <Lines>295</Lines>
  <Paragraphs>83</Paragraphs>
  <ScaleCrop>false</ScaleCrop>
  <HeadingPairs>
    <vt:vector size="2" baseType="variant">
      <vt:variant>
        <vt:lpstr>Title</vt:lpstr>
      </vt:variant>
      <vt:variant>
        <vt:i4>1</vt:i4>
      </vt:variant>
    </vt:vector>
  </HeadingPairs>
  <TitlesOfParts>
    <vt:vector size="1" baseType="lpstr">
      <vt:lpstr>NHRA long-term reform roadmap</vt:lpstr>
    </vt:vector>
  </TitlesOfParts>
  <Company/>
  <LinksUpToDate>false</LinksUpToDate>
  <CharactersWithSpaces>41590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Health Reform Agreement (NHRA) – Long-term Health Reforms – Roadmap</dc:title>
  <dc:subject>Funding reforms</dc:subject>
  <dc:creator>Australian Government Department of Health</dc:creator>
  <cp:keywords>Funding reforms; Roadmap; NHRA;health system reform; health data reform’</cp:keywords>
  <dc:description/>
  <cp:lastModifiedBy>MASCHKE, Elvia</cp:lastModifiedBy>
  <cp:revision>2</cp:revision>
  <cp:lastPrinted>2021-06-28T00:26:00Z</cp:lastPrinted>
  <dcterms:created xsi:type="dcterms:W3CDTF">2021-10-27T00:03:00Z</dcterms:created>
  <dcterms:modified xsi:type="dcterms:W3CDTF">2021-10-27T00:03:00Z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0x010100AA3B0B12D2F0A044930B7F0ED9CD8462</vt:lpwstr>
  </property>
</Properties>
</file>