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DBCD90" w14:textId="26996E8A" w:rsidR="00C62484" w:rsidRPr="000A0A4F" w:rsidRDefault="0015492E" w:rsidP="00207AAD">
      <w:pPr>
        <w:pStyle w:val="Covertitle"/>
        <w:rPr>
          <w:rFonts w:cs="Source Sans Pro"/>
          <w:b/>
          <w:color w:val="00264D"/>
          <w:sz w:val="64"/>
          <w:szCs w:val="64"/>
        </w:rPr>
      </w:pPr>
      <w:r w:rsidRPr="00742AFF">
        <w:rPr>
          <w:noProof/>
          <w:color w:val="00264D" w:themeColor="background2"/>
        </w:rPr>
        <w:drawing>
          <wp:anchor distT="0" distB="0" distL="114300" distR="114300" simplePos="0" relativeHeight="251658244" behindDoc="1" locked="0" layoutInCell="1" allowOverlap="1" wp14:anchorId="0DE87EBD" wp14:editId="2B9DDB03">
            <wp:simplePos x="0" y="0"/>
            <wp:positionH relativeFrom="margin">
              <wp:posOffset>-981075</wp:posOffset>
            </wp:positionH>
            <wp:positionV relativeFrom="margin">
              <wp:posOffset>-3048305</wp:posOffset>
            </wp:positionV>
            <wp:extent cx="7546340" cy="106743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cover_blue murmuration1.png"/>
                    <pic:cNvPicPr/>
                  </pic:nvPicPr>
                  <pic:blipFill>
                    <a:blip r:embed="rId12">
                      <a:extLst>
                        <a:ext uri="{28A0092B-C50C-407E-A947-70E740481C1C}">
                          <a14:useLocalDpi xmlns:a14="http://schemas.microsoft.com/office/drawing/2010/main" val="0"/>
                        </a:ext>
                      </a:extLst>
                    </a:blip>
                    <a:stretch>
                      <a:fillRect/>
                    </a:stretch>
                  </pic:blipFill>
                  <pic:spPr>
                    <a:xfrm>
                      <a:off x="0" y="0"/>
                      <a:ext cx="7546340" cy="10674350"/>
                    </a:xfrm>
                    <a:prstGeom prst="rect">
                      <a:avLst/>
                    </a:prstGeom>
                  </pic:spPr>
                </pic:pic>
              </a:graphicData>
            </a:graphic>
            <wp14:sizeRelH relativeFrom="page">
              <wp14:pctWidth>0</wp14:pctWidth>
            </wp14:sizeRelH>
            <wp14:sizeRelV relativeFrom="page">
              <wp14:pctHeight>0</wp14:pctHeight>
            </wp14:sizeRelV>
          </wp:anchor>
        </w:drawing>
      </w:r>
      <w:sdt>
        <w:sdtPr>
          <w:rPr>
            <w:rFonts w:cs="Source Sans Pro"/>
            <w:b/>
            <w:color w:val="FFFFFF" w:themeColor="background1"/>
            <w:sz w:val="64"/>
            <w:szCs w:val="64"/>
          </w:rPr>
          <w:id w:val="803730555"/>
          <w:docPartObj>
            <w:docPartGallery w:val="Cover Pages"/>
            <w:docPartUnique/>
          </w:docPartObj>
        </w:sdtPr>
        <w:sdtEndPr>
          <w:rPr>
            <w:color w:val="00264D"/>
            <w:sz w:val="36"/>
            <w:szCs w:val="36"/>
          </w:rPr>
        </w:sdtEndPr>
        <w:sdtContent>
          <w:r w:rsidR="00465C9B" w:rsidRPr="000A0A4F">
            <w:rPr>
              <w:rFonts w:cs="Source Sans Pro"/>
              <w:b/>
              <w:color w:val="00264D" w:themeColor="background2"/>
              <w:sz w:val="64"/>
              <w:szCs w:val="64"/>
            </w:rPr>
            <w:t xml:space="preserve">Literature review </w:t>
          </w:r>
          <w:r w:rsidR="00592899">
            <w:rPr>
              <w:rFonts w:cs="Source Sans Pro"/>
              <w:b/>
              <w:color w:val="00264D" w:themeColor="background2"/>
              <w:sz w:val="64"/>
              <w:szCs w:val="64"/>
            </w:rPr>
            <w:t xml:space="preserve">summary report - </w:t>
          </w:r>
          <w:r w:rsidR="009948CA">
            <w:rPr>
              <w:rFonts w:cs="Source Sans Pro"/>
              <w:b/>
              <w:color w:val="00264D" w:themeColor="background2"/>
              <w:sz w:val="64"/>
              <w:szCs w:val="64"/>
            </w:rPr>
            <w:t>National Evaluation of the Comprehensive Palliative Care in Aged Care Measure</w:t>
          </w:r>
        </w:sdtContent>
      </w:sdt>
    </w:p>
    <w:p w14:paraId="6B6A0186" w14:textId="3B9B65C9" w:rsidR="00C62484" w:rsidRPr="000A0A4F" w:rsidRDefault="009164D2" w:rsidP="00F75386">
      <w:pPr>
        <w:pStyle w:val="CoverPage-Client"/>
        <w:spacing w:before="360"/>
        <w:rPr>
          <w:rFonts w:cs="Source Sans Pro"/>
          <w:color w:val="F8981D" w:themeColor="accent3"/>
        </w:rPr>
      </w:pPr>
      <w:sdt>
        <w:sdtPr>
          <w:rPr>
            <w:rStyle w:val="CoverPage-ClientChar"/>
            <w:rFonts w:cs="Source Sans Pro"/>
            <w:color w:val="F8981D" w:themeColor="accent3"/>
          </w:rPr>
          <w:alias w:val="Subject"/>
          <w:tag w:val=""/>
          <w:id w:val="-1755584571"/>
          <w:dataBinding w:prefixMappings="xmlns:ns0='http://purl.org/dc/elements/1.1/' xmlns:ns1='http://schemas.openxmlformats.org/package/2006/metadata/core-properties' " w:xpath="/ns1:coreProperties[1]/ns0:subject[1]" w:storeItemID="{6C3C8BC8-F283-45AE-878A-BAB7291924A1}"/>
          <w:text/>
        </w:sdtPr>
        <w:sdtEndPr>
          <w:rPr>
            <w:rStyle w:val="CoverPage-ClientChar"/>
          </w:rPr>
        </w:sdtEndPr>
        <w:sdtContent>
          <w:r w:rsidR="004C7E2A" w:rsidRPr="000A0A4F">
            <w:rPr>
              <w:rStyle w:val="CoverPage-ClientChar"/>
              <w:rFonts w:cs="Source Sans Pro"/>
              <w:color w:val="F8981D" w:themeColor="accent3"/>
            </w:rPr>
            <w:t>Department of Health</w:t>
          </w:r>
        </w:sdtContent>
      </w:sdt>
    </w:p>
    <w:p w14:paraId="358D6F02" w14:textId="06AC99EB" w:rsidR="00C62484" w:rsidRPr="000A0A4F" w:rsidRDefault="009164D2" w:rsidP="00C62484">
      <w:pPr>
        <w:pStyle w:val="CoverPage-Date"/>
        <w:spacing w:before="240"/>
        <w:sectPr w:rsidR="00C62484" w:rsidRPr="000A0A4F" w:rsidSect="00F74943">
          <w:headerReference w:type="default" r:id="rId13"/>
          <w:footerReference w:type="default" r:id="rId14"/>
          <w:headerReference w:type="first" r:id="rId15"/>
          <w:pgSz w:w="11907" w:h="16839" w:code="9"/>
          <w:pgMar w:top="4820" w:right="1418" w:bottom="1701" w:left="1559" w:header="737" w:footer="567" w:gutter="0"/>
          <w:pgNumType w:start="0"/>
          <w:cols w:space="720"/>
          <w:titlePg/>
          <w:docGrid w:linePitch="360"/>
        </w:sectPr>
      </w:pPr>
      <w:sdt>
        <w:sdtPr>
          <w:rPr>
            <w:rStyle w:val="CoverPage-DateChar"/>
            <w:rFonts w:cs="Source Sans Pro"/>
            <w:sz w:val="20"/>
            <w:szCs w:val="20"/>
          </w:rPr>
          <w:alias w:val="Publish Date"/>
          <w:tag w:val=""/>
          <w:id w:val="-443608997"/>
          <w:dataBinding w:prefixMappings="xmlns:ns0='http://schemas.microsoft.com/office/2006/coverPageProps' " w:xpath="/ns0:CoverPageProperties[1]/ns0:PublishDate[1]" w:storeItemID="{55AF091B-3C7A-41E3-B477-F2FDAA23CFDA}"/>
          <w:date w:fullDate="2020-11-30T00:00:00Z">
            <w:dateFormat w:val="d MMMM yyyy"/>
            <w:lid w:val="en-AU"/>
            <w:storeMappedDataAs w:val="dateTime"/>
            <w:calendar w:val="gregorian"/>
          </w:date>
        </w:sdtPr>
        <w:sdtEndPr>
          <w:rPr>
            <w:rStyle w:val="DefaultParagraphFont"/>
            <w:rFonts w:cs="Times New Roman"/>
            <w:sz w:val="24"/>
            <w:szCs w:val="19"/>
          </w:rPr>
        </w:sdtEndPr>
        <w:sdtContent>
          <w:r w:rsidR="00FE58E5">
            <w:rPr>
              <w:rStyle w:val="CoverPage-DateChar"/>
              <w:rFonts w:cs="Source Sans Pro"/>
              <w:sz w:val="20"/>
              <w:szCs w:val="20"/>
            </w:rPr>
            <w:t>30 November 2020</w:t>
          </w:r>
        </w:sdtContent>
      </w:sdt>
    </w:p>
    <w:p w14:paraId="34C2C194" w14:textId="2A718547" w:rsidR="00E26925" w:rsidRDefault="00E26925" w:rsidP="00501290"/>
    <w:p w14:paraId="4AFA797E" w14:textId="787B979A" w:rsidR="00C3044A" w:rsidRPr="006C6932" w:rsidRDefault="00C3044A" w:rsidP="00C3044A">
      <w:pPr>
        <w:ind w:right="-1"/>
        <w:rPr>
          <w:rFonts w:ascii="Segoe UI Semibold" w:hAnsi="Segoe UI Semibold" w:cs="Segoe UI Semibold"/>
          <w:i/>
          <w:sz w:val="16"/>
          <w:szCs w:val="16"/>
        </w:rPr>
      </w:pPr>
      <w:r w:rsidRPr="006C6932">
        <w:rPr>
          <w:rFonts w:ascii="Segoe UI Semibold" w:hAnsi="Segoe UI Semibold" w:cs="Segoe UI Semibold"/>
          <w:i/>
          <w:sz w:val="16"/>
          <w:szCs w:val="16"/>
        </w:rPr>
        <w:t>Disclaimer:</w:t>
      </w:r>
    </w:p>
    <w:p w14:paraId="0613B5DC" w14:textId="20BD3EB5" w:rsidR="00C3044A" w:rsidRPr="00130FFF" w:rsidRDefault="00C3044A" w:rsidP="00C3044A">
      <w:pPr>
        <w:ind w:right="-1"/>
        <w:rPr>
          <w:i/>
          <w:sz w:val="16"/>
          <w:szCs w:val="16"/>
        </w:rPr>
      </w:pPr>
      <w:r w:rsidRPr="00130FFF">
        <w:rPr>
          <w:noProof/>
          <w:sz w:val="16"/>
          <w:szCs w:val="16"/>
          <w:lang w:eastAsia="en-AU"/>
        </w:rPr>
        <mc:AlternateContent>
          <mc:Choice Requires="wps">
            <w:drawing>
              <wp:anchor distT="0" distB="0" distL="114300" distR="114300" simplePos="0" relativeHeight="251658245" behindDoc="0" locked="0" layoutInCell="0" allowOverlap="1" wp14:anchorId="2ACF44DD" wp14:editId="6C918DB3">
                <wp:simplePos x="0" y="0"/>
                <wp:positionH relativeFrom="margin">
                  <wp:posOffset>0</wp:posOffset>
                </wp:positionH>
                <wp:positionV relativeFrom="bottomMargin">
                  <wp:posOffset>0</wp:posOffset>
                </wp:positionV>
                <wp:extent cx="1720800" cy="3132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720800" cy="31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99D39A" w14:textId="77777777" w:rsidR="00E844D4" w:rsidRPr="00FD4AB1" w:rsidRDefault="00E844D4" w:rsidP="00C3044A">
                            <w:pPr>
                              <w:rPr>
                                <w:color w:val="A5A5A5"/>
                              </w:rPr>
                            </w:pPr>
                            <w:r w:rsidRPr="00FD4AB1">
                              <w:rPr>
                                <w:color w:val="A5A5A5"/>
                              </w:rPr>
                              <w:t>© Nous Group</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CF44DD" id="_x0000_t202" coordsize="21600,21600" o:spt="202" path="m,l,21600r21600,l21600,xe">
                <v:stroke joinstyle="miter"/>
                <v:path gradientshapeok="t" o:connecttype="rect"/>
              </v:shapetype>
              <v:shape id="Text Box 2" o:spid="_x0000_s1026" type="#_x0000_t202" style="position:absolute;margin-left:0;margin-top:0;width:135.5pt;height:24.6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" o:allowincell="f" fillcolor="white [3201]" stroked="f" strokeweight=".5pt">
                <v:textbox inset="0">
                  <w:txbxContent>
                    <w:p w14:paraId="1E99D39A" w14:textId="77777777" w:rsidR="00E844D4" w:rsidRPr="00FD4AB1" w:rsidRDefault="00E844D4" w:rsidP="00C3044A">
                      <w:pPr>
                        <w:rPr>
                          <w:color w:val="A5A5A5"/>
                        </w:rPr>
                      </w:pPr>
                      <w:r w:rsidRPr="00FD4AB1">
                        <w:rPr>
                          <w:color w:val="A5A5A5"/>
                        </w:rPr>
                        <w:t>© Nous Group</w:t>
                      </w:r>
                    </w:p>
                  </w:txbxContent>
                </v:textbox>
                <w10:wrap anchorx="margin" anchory="margin"/>
              </v:shape>
            </w:pict>
          </mc:Fallback>
        </mc:AlternateContent>
      </w:r>
      <w:r w:rsidRPr="00130FFF">
        <w:rPr>
          <w:i/>
          <w:sz w:val="16"/>
          <w:szCs w:val="16"/>
        </w:rPr>
        <w:t>Nous Group (</w:t>
      </w:r>
      <w:r w:rsidRPr="00130FFF">
        <w:rPr>
          <w:b/>
          <w:i/>
          <w:sz w:val="16"/>
          <w:szCs w:val="16"/>
        </w:rPr>
        <w:t>Nous</w:t>
      </w:r>
      <w:r w:rsidRPr="00130FFF">
        <w:rPr>
          <w:i/>
          <w:sz w:val="16"/>
          <w:szCs w:val="16"/>
        </w:rPr>
        <w:t>) has prepared this report for the benefit of</w:t>
      </w:r>
      <w:r w:rsidR="009C06D8">
        <w:rPr>
          <w:i/>
          <w:sz w:val="16"/>
          <w:szCs w:val="16"/>
        </w:rPr>
        <w:t xml:space="preserve"> </w:t>
      </w:r>
      <w:r w:rsidR="009C06D8" w:rsidRPr="009C06D8">
        <w:rPr>
          <w:i/>
          <w:sz w:val="16"/>
          <w:szCs w:val="16"/>
        </w:rPr>
        <w:t xml:space="preserve">the Department of Health </w:t>
      </w:r>
      <w:r w:rsidRPr="009C06D8">
        <w:rPr>
          <w:i/>
          <w:sz w:val="16"/>
          <w:szCs w:val="16"/>
        </w:rPr>
        <w:t>(</w:t>
      </w:r>
      <w:r w:rsidRPr="00130FFF">
        <w:rPr>
          <w:i/>
          <w:sz w:val="16"/>
          <w:szCs w:val="16"/>
        </w:rPr>
        <w:t xml:space="preserve">the </w:t>
      </w:r>
      <w:r w:rsidRPr="00130FFF">
        <w:rPr>
          <w:b/>
          <w:i/>
          <w:sz w:val="16"/>
          <w:szCs w:val="16"/>
        </w:rPr>
        <w:t>Client</w:t>
      </w:r>
      <w:r w:rsidRPr="00130FFF">
        <w:rPr>
          <w:i/>
          <w:sz w:val="16"/>
          <w:szCs w:val="16"/>
        </w:rPr>
        <w:t>).</w:t>
      </w:r>
    </w:p>
    <w:p w14:paraId="3D347FA8" w14:textId="77777777" w:rsidR="00C3044A" w:rsidRPr="000970F6" w:rsidRDefault="00C3044A" w:rsidP="00C3044A">
      <w:pPr>
        <w:rPr>
          <w:i/>
          <w:sz w:val="16"/>
          <w:szCs w:val="16"/>
        </w:rPr>
      </w:pPr>
      <w:r w:rsidRPr="000970F6">
        <w:rPr>
          <w:i/>
          <w:sz w:val="16"/>
          <w:szCs w:val="16"/>
        </w:rPr>
        <w:t>The report should not be used or relied upon for any purpose other than as an expression of the conclusions and recommendations of Nous to the Client as to the matters within the scope of the report. Nous and its officers and employees expressly disclaim any liability to any person other than the Client who relies or purports to rely on the report for any other purpose.</w:t>
      </w:r>
    </w:p>
    <w:p w14:paraId="0388073C" w14:textId="40506387" w:rsidR="00706069" w:rsidRPr="000A0A4F" w:rsidRDefault="00C3044A" w:rsidP="00501290">
      <w:pPr>
        <w:sectPr w:rsidR="00706069" w:rsidRPr="000A0A4F" w:rsidSect="00F12C12">
          <w:headerReference w:type="default" r:id="rId16"/>
          <w:footerReference w:type="default" r:id="rId17"/>
          <w:headerReference w:type="first" r:id="rId18"/>
          <w:footerReference w:type="first" r:id="rId19"/>
          <w:pgSz w:w="11907" w:h="16839" w:code="9"/>
          <w:pgMar w:top="1418" w:right="1418" w:bottom="1701" w:left="1559" w:header="737" w:footer="567" w:gutter="0"/>
          <w:pgNumType w:fmt="lowerRoman" w:start="1"/>
          <w:cols w:space="720"/>
          <w:vAlign w:val="bottom"/>
          <w:titlePg/>
          <w:docGrid w:linePitch="360"/>
        </w:sectPr>
      </w:pPr>
      <w:r w:rsidRPr="000970F6">
        <w:rPr>
          <w:i/>
          <w:sz w:val="16"/>
          <w:szCs w:val="16"/>
        </w:rPr>
        <w:t>Nous has prepared the report with care and diligence. The conclusions and recommendations given by Nous in the report are given in good faith and in the reasonable belief that they are correct and not misleading. The report has been prepared by Nous based on information provided by the Client and by other persons. Nous has relied on that information and has not independently verified or audited that informatio</w:t>
      </w:r>
      <w:r w:rsidR="009C06D8">
        <w:rPr>
          <w:i/>
          <w:sz w:val="16"/>
          <w:szCs w:val="16"/>
        </w:rPr>
        <w:t>n</w:t>
      </w:r>
    </w:p>
    <w:p w14:paraId="73603A3A" w14:textId="44CECEC2" w:rsidR="00CF7BA0" w:rsidRPr="000A0A4F" w:rsidRDefault="00CF7BA0" w:rsidP="00CF7BA0">
      <w:pPr>
        <w:pStyle w:val="ContentsHeading"/>
      </w:pPr>
      <w:r w:rsidRPr="000A0A4F">
        <w:lastRenderedPageBreak/>
        <w:t>Contents</w:t>
      </w:r>
    </w:p>
    <w:p w14:paraId="6B589E9D" w14:textId="0517B904" w:rsidR="00836E40" w:rsidRDefault="00836E40">
      <w:pPr>
        <w:pStyle w:val="TOC1"/>
        <w:rPr>
          <w:rFonts w:asciiTheme="minorHAnsi" w:eastAsiaTheme="minorEastAsia" w:hAnsiTheme="minorHAnsi"/>
          <w:sz w:val="22"/>
        </w:rPr>
      </w:pPr>
      <w:r>
        <w:rPr>
          <w:lang w:eastAsia="en-AU"/>
        </w:rPr>
        <w:fldChar w:fldCharType="begin"/>
      </w:r>
      <w:r>
        <w:rPr>
          <w:lang w:eastAsia="en-AU"/>
        </w:rPr>
        <w:instrText xml:space="preserve"> TOC \o "1-3" \h \z \u </w:instrText>
      </w:r>
      <w:r>
        <w:rPr>
          <w:lang w:eastAsia="en-AU"/>
        </w:rPr>
        <w:fldChar w:fldCharType="separate"/>
      </w:r>
      <w:hyperlink w:anchor="_Toc82767255" w:history="1">
        <w:r w:rsidRPr="00C04B13">
          <w:rPr>
            <w:rStyle w:val="Hyperlink"/>
          </w:rPr>
          <w:t>Executive summary</w:t>
        </w:r>
        <w:r>
          <w:rPr>
            <w:webHidden/>
          </w:rPr>
          <w:tab/>
        </w:r>
        <w:r>
          <w:rPr>
            <w:webHidden/>
          </w:rPr>
          <w:fldChar w:fldCharType="begin"/>
        </w:r>
        <w:r>
          <w:rPr>
            <w:webHidden/>
          </w:rPr>
          <w:instrText xml:space="preserve"> PAGEREF _Toc82767255 \h </w:instrText>
        </w:r>
        <w:r>
          <w:rPr>
            <w:webHidden/>
          </w:rPr>
        </w:r>
        <w:r>
          <w:rPr>
            <w:webHidden/>
          </w:rPr>
          <w:fldChar w:fldCharType="separate"/>
        </w:r>
        <w:r>
          <w:rPr>
            <w:webHidden/>
          </w:rPr>
          <w:t>1</w:t>
        </w:r>
        <w:r>
          <w:rPr>
            <w:webHidden/>
          </w:rPr>
          <w:fldChar w:fldCharType="end"/>
        </w:r>
      </w:hyperlink>
    </w:p>
    <w:p w14:paraId="41C9D7F5" w14:textId="714FD02B" w:rsidR="00836E40" w:rsidRDefault="009164D2">
      <w:pPr>
        <w:pStyle w:val="TOC1"/>
        <w:rPr>
          <w:rFonts w:asciiTheme="minorHAnsi" w:eastAsiaTheme="minorEastAsia" w:hAnsiTheme="minorHAnsi"/>
          <w:sz w:val="22"/>
        </w:rPr>
      </w:pPr>
      <w:hyperlink w:anchor="_Toc82767256" w:history="1">
        <w:r w:rsidR="00836E40" w:rsidRPr="00C04B13">
          <w:rPr>
            <w:rStyle w:val="Hyperlink"/>
          </w:rPr>
          <w:t>1</w:t>
        </w:r>
        <w:r w:rsidR="00836E40">
          <w:rPr>
            <w:rFonts w:asciiTheme="minorHAnsi" w:eastAsiaTheme="minorEastAsia" w:hAnsiTheme="minorHAnsi"/>
            <w:sz w:val="22"/>
          </w:rPr>
          <w:tab/>
        </w:r>
        <w:r w:rsidR="00836E40" w:rsidRPr="00C04B13">
          <w:rPr>
            <w:rStyle w:val="Hyperlink"/>
          </w:rPr>
          <w:t>Background and context</w:t>
        </w:r>
        <w:r w:rsidR="00836E40">
          <w:rPr>
            <w:webHidden/>
          </w:rPr>
          <w:tab/>
        </w:r>
        <w:r w:rsidR="00836E40">
          <w:rPr>
            <w:webHidden/>
          </w:rPr>
          <w:fldChar w:fldCharType="begin"/>
        </w:r>
        <w:r w:rsidR="00836E40">
          <w:rPr>
            <w:webHidden/>
          </w:rPr>
          <w:instrText xml:space="preserve"> PAGEREF _Toc82767256 \h </w:instrText>
        </w:r>
        <w:r w:rsidR="00836E40">
          <w:rPr>
            <w:webHidden/>
          </w:rPr>
        </w:r>
        <w:r w:rsidR="00836E40">
          <w:rPr>
            <w:webHidden/>
          </w:rPr>
          <w:fldChar w:fldCharType="separate"/>
        </w:r>
        <w:r w:rsidR="00836E40">
          <w:rPr>
            <w:webHidden/>
          </w:rPr>
          <w:t>6</w:t>
        </w:r>
        <w:r w:rsidR="00836E40">
          <w:rPr>
            <w:webHidden/>
          </w:rPr>
          <w:fldChar w:fldCharType="end"/>
        </w:r>
      </w:hyperlink>
    </w:p>
    <w:p w14:paraId="776EB3A2" w14:textId="48A97E22" w:rsidR="00836E40" w:rsidRDefault="009164D2">
      <w:pPr>
        <w:pStyle w:val="TOC1"/>
        <w:rPr>
          <w:rFonts w:asciiTheme="minorHAnsi" w:eastAsiaTheme="minorEastAsia" w:hAnsiTheme="minorHAnsi"/>
          <w:sz w:val="22"/>
        </w:rPr>
      </w:pPr>
      <w:hyperlink w:anchor="_Toc82767257" w:history="1">
        <w:r w:rsidR="00836E40" w:rsidRPr="00C04B13">
          <w:rPr>
            <w:rStyle w:val="Hyperlink"/>
          </w:rPr>
          <w:t>2</w:t>
        </w:r>
        <w:r w:rsidR="00836E40">
          <w:rPr>
            <w:rFonts w:asciiTheme="minorHAnsi" w:eastAsiaTheme="minorEastAsia" w:hAnsiTheme="minorHAnsi"/>
            <w:sz w:val="22"/>
          </w:rPr>
          <w:tab/>
        </w:r>
        <w:r w:rsidR="00836E40" w:rsidRPr="00C04B13">
          <w:rPr>
            <w:rStyle w:val="Hyperlink"/>
          </w:rPr>
          <w:t>Methodology</w:t>
        </w:r>
        <w:r w:rsidR="00836E40">
          <w:rPr>
            <w:webHidden/>
          </w:rPr>
          <w:tab/>
        </w:r>
        <w:r w:rsidR="00836E40">
          <w:rPr>
            <w:webHidden/>
          </w:rPr>
          <w:fldChar w:fldCharType="begin"/>
        </w:r>
        <w:r w:rsidR="00836E40">
          <w:rPr>
            <w:webHidden/>
          </w:rPr>
          <w:instrText xml:space="preserve"> PAGEREF _Toc82767257 \h </w:instrText>
        </w:r>
        <w:r w:rsidR="00836E40">
          <w:rPr>
            <w:webHidden/>
          </w:rPr>
        </w:r>
        <w:r w:rsidR="00836E40">
          <w:rPr>
            <w:webHidden/>
          </w:rPr>
          <w:fldChar w:fldCharType="separate"/>
        </w:r>
        <w:r w:rsidR="00836E40">
          <w:rPr>
            <w:webHidden/>
          </w:rPr>
          <w:t>7</w:t>
        </w:r>
        <w:r w:rsidR="00836E40">
          <w:rPr>
            <w:webHidden/>
          </w:rPr>
          <w:fldChar w:fldCharType="end"/>
        </w:r>
      </w:hyperlink>
    </w:p>
    <w:p w14:paraId="6CEE41B0" w14:textId="6CD2101D" w:rsidR="00836E40" w:rsidRDefault="009164D2">
      <w:pPr>
        <w:pStyle w:val="TOC1"/>
        <w:rPr>
          <w:rFonts w:asciiTheme="minorHAnsi" w:eastAsiaTheme="minorEastAsia" w:hAnsiTheme="minorHAnsi"/>
          <w:sz w:val="22"/>
        </w:rPr>
      </w:pPr>
      <w:hyperlink w:anchor="_Toc82767258" w:history="1">
        <w:r w:rsidR="00836E40" w:rsidRPr="00C04B13">
          <w:rPr>
            <w:rStyle w:val="Hyperlink"/>
          </w:rPr>
          <w:t>3</w:t>
        </w:r>
        <w:r w:rsidR="00836E40">
          <w:rPr>
            <w:rFonts w:asciiTheme="minorHAnsi" w:eastAsiaTheme="minorEastAsia" w:hAnsiTheme="minorHAnsi"/>
            <w:sz w:val="22"/>
          </w:rPr>
          <w:tab/>
        </w:r>
        <w:r w:rsidR="00836E40" w:rsidRPr="00C04B13">
          <w:rPr>
            <w:rStyle w:val="Hyperlink"/>
          </w:rPr>
          <w:t>Findings</w:t>
        </w:r>
        <w:r w:rsidR="00836E40">
          <w:rPr>
            <w:webHidden/>
          </w:rPr>
          <w:tab/>
        </w:r>
        <w:r w:rsidR="00F12339">
          <w:rPr>
            <w:webHidden/>
          </w:rPr>
          <w:tab/>
        </w:r>
        <w:r w:rsidR="00836E40">
          <w:rPr>
            <w:webHidden/>
          </w:rPr>
          <w:fldChar w:fldCharType="begin"/>
        </w:r>
        <w:r w:rsidR="00836E40">
          <w:rPr>
            <w:webHidden/>
          </w:rPr>
          <w:instrText xml:space="preserve"> PAGEREF _Toc82767258 \h </w:instrText>
        </w:r>
        <w:r w:rsidR="00836E40">
          <w:rPr>
            <w:webHidden/>
          </w:rPr>
        </w:r>
        <w:r w:rsidR="00836E40">
          <w:rPr>
            <w:webHidden/>
          </w:rPr>
          <w:fldChar w:fldCharType="separate"/>
        </w:r>
        <w:r w:rsidR="00836E40">
          <w:rPr>
            <w:webHidden/>
          </w:rPr>
          <w:t>8</w:t>
        </w:r>
        <w:r w:rsidR="00836E40">
          <w:rPr>
            <w:webHidden/>
          </w:rPr>
          <w:fldChar w:fldCharType="end"/>
        </w:r>
      </w:hyperlink>
    </w:p>
    <w:p w14:paraId="0B5AF640" w14:textId="08B9C181" w:rsidR="00836E40" w:rsidRDefault="009164D2">
      <w:pPr>
        <w:pStyle w:val="TOC2"/>
        <w:rPr>
          <w:rFonts w:asciiTheme="minorHAnsi" w:eastAsiaTheme="minorEastAsia" w:hAnsiTheme="minorHAnsi"/>
          <w:noProof/>
          <w:sz w:val="22"/>
        </w:rPr>
      </w:pPr>
      <w:hyperlink w:anchor="_Toc82767259" w:history="1">
        <w:r w:rsidR="00836E40" w:rsidRPr="00C04B13">
          <w:rPr>
            <w:rStyle w:val="Hyperlink"/>
            <w:noProof/>
          </w:rPr>
          <w:t>3.1</w:t>
        </w:r>
        <w:r w:rsidR="00836E40">
          <w:rPr>
            <w:rFonts w:asciiTheme="minorHAnsi" w:eastAsiaTheme="minorEastAsia" w:hAnsiTheme="minorHAnsi"/>
            <w:noProof/>
            <w:sz w:val="22"/>
          </w:rPr>
          <w:tab/>
        </w:r>
        <w:r w:rsidR="00836E40" w:rsidRPr="00C04B13">
          <w:rPr>
            <w:rStyle w:val="Hyperlink"/>
            <w:noProof/>
          </w:rPr>
          <w:t>What are the palliative care needs of residents, families/carers, staff and the system in RACFs?</w:t>
        </w:r>
        <w:r w:rsidR="00836E40">
          <w:rPr>
            <w:noProof/>
            <w:webHidden/>
          </w:rPr>
          <w:tab/>
        </w:r>
        <w:r w:rsidR="00836E40">
          <w:rPr>
            <w:noProof/>
            <w:webHidden/>
          </w:rPr>
          <w:fldChar w:fldCharType="begin"/>
        </w:r>
        <w:r w:rsidR="00836E40">
          <w:rPr>
            <w:noProof/>
            <w:webHidden/>
          </w:rPr>
          <w:instrText xml:space="preserve"> PAGEREF _Toc82767259 \h </w:instrText>
        </w:r>
        <w:r w:rsidR="00836E40">
          <w:rPr>
            <w:noProof/>
            <w:webHidden/>
          </w:rPr>
        </w:r>
        <w:r w:rsidR="00836E40">
          <w:rPr>
            <w:noProof/>
            <w:webHidden/>
          </w:rPr>
          <w:fldChar w:fldCharType="separate"/>
        </w:r>
        <w:r w:rsidR="00836E40">
          <w:rPr>
            <w:noProof/>
            <w:webHidden/>
          </w:rPr>
          <w:t>8</w:t>
        </w:r>
        <w:r w:rsidR="00836E40">
          <w:rPr>
            <w:noProof/>
            <w:webHidden/>
          </w:rPr>
          <w:fldChar w:fldCharType="end"/>
        </w:r>
      </w:hyperlink>
    </w:p>
    <w:p w14:paraId="3BA5ABB9" w14:textId="4509244D" w:rsidR="00836E40" w:rsidRDefault="009164D2">
      <w:pPr>
        <w:pStyle w:val="TOC3"/>
        <w:tabs>
          <w:tab w:val="left" w:pos="1100"/>
          <w:tab w:val="right" w:leader="dot" w:pos="8920"/>
        </w:tabs>
        <w:rPr>
          <w:rFonts w:asciiTheme="minorHAnsi" w:eastAsiaTheme="minorEastAsia" w:hAnsiTheme="minorHAnsi"/>
          <w:noProof/>
          <w:sz w:val="22"/>
          <w:lang w:val="en-US"/>
        </w:rPr>
      </w:pPr>
      <w:hyperlink w:anchor="_Toc82767260" w:history="1">
        <w:r w:rsidR="00836E40" w:rsidRPr="00C04B13">
          <w:rPr>
            <w:rStyle w:val="Hyperlink"/>
            <w:noProof/>
          </w:rPr>
          <w:t>3.1.1</w:t>
        </w:r>
        <w:r w:rsidR="00836E40">
          <w:rPr>
            <w:rFonts w:asciiTheme="minorHAnsi" w:eastAsiaTheme="minorEastAsia" w:hAnsiTheme="minorHAnsi"/>
            <w:noProof/>
            <w:sz w:val="22"/>
            <w:lang w:val="en-US"/>
          </w:rPr>
          <w:tab/>
        </w:r>
        <w:r w:rsidR="00836E40" w:rsidRPr="00C04B13">
          <w:rPr>
            <w:rStyle w:val="Hyperlink"/>
            <w:noProof/>
          </w:rPr>
          <w:t>What is the definition of quality palliative care in RACFs?</w:t>
        </w:r>
        <w:r w:rsidR="00836E40">
          <w:rPr>
            <w:noProof/>
            <w:webHidden/>
          </w:rPr>
          <w:tab/>
        </w:r>
        <w:r w:rsidR="00836E40">
          <w:rPr>
            <w:noProof/>
            <w:webHidden/>
          </w:rPr>
          <w:fldChar w:fldCharType="begin"/>
        </w:r>
        <w:r w:rsidR="00836E40">
          <w:rPr>
            <w:noProof/>
            <w:webHidden/>
          </w:rPr>
          <w:instrText xml:space="preserve"> PAGEREF _Toc82767260 \h </w:instrText>
        </w:r>
        <w:r w:rsidR="00836E40">
          <w:rPr>
            <w:noProof/>
            <w:webHidden/>
          </w:rPr>
        </w:r>
        <w:r w:rsidR="00836E40">
          <w:rPr>
            <w:noProof/>
            <w:webHidden/>
          </w:rPr>
          <w:fldChar w:fldCharType="separate"/>
        </w:r>
        <w:r w:rsidR="00836E40">
          <w:rPr>
            <w:noProof/>
            <w:webHidden/>
          </w:rPr>
          <w:t>9</w:t>
        </w:r>
        <w:r w:rsidR="00836E40">
          <w:rPr>
            <w:noProof/>
            <w:webHidden/>
          </w:rPr>
          <w:fldChar w:fldCharType="end"/>
        </w:r>
      </w:hyperlink>
    </w:p>
    <w:p w14:paraId="5DB9B411" w14:textId="20DE9232" w:rsidR="00836E40" w:rsidRDefault="009164D2">
      <w:pPr>
        <w:pStyle w:val="TOC3"/>
        <w:tabs>
          <w:tab w:val="left" w:pos="1100"/>
          <w:tab w:val="right" w:leader="dot" w:pos="8920"/>
        </w:tabs>
        <w:rPr>
          <w:rFonts w:asciiTheme="minorHAnsi" w:eastAsiaTheme="minorEastAsia" w:hAnsiTheme="minorHAnsi"/>
          <w:noProof/>
          <w:sz w:val="22"/>
          <w:lang w:val="en-US"/>
        </w:rPr>
      </w:pPr>
      <w:hyperlink w:anchor="_Toc82767261" w:history="1">
        <w:r w:rsidR="00836E40" w:rsidRPr="00C04B13">
          <w:rPr>
            <w:rStyle w:val="Hyperlink"/>
            <w:noProof/>
          </w:rPr>
          <w:t>3.1.2</w:t>
        </w:r>
        <w:r w:rsidR="00836E40">
          <w:rPr>
            <w:rFonts w:asciiTheme="minorHAnsi" w:eastAsiaTheme="minorEastAsia" w:hAnsiTheme="minorHAnsi"/>
            <w:noProof/>
            <w:sz w:val="22"/>
            <w:lang w:val="en-US"/>
          </w:rPr>
          <w:tab/>
        </w:r>
        <w:r w:rsidR="00836E40" w:rsidRPr="00C04B13">
          <w:rPr>
            <w:rStyle w:val="Hyperlink"/>
            <w:noProof/>
          </w:rPr>
          <w:t>What are the needs of residents?</w:t>
        </w:r>
        <w:r w:rsidR="00836E40">
          <w:rPr>
            <w:noProof/>
            <w:webHidden/>
          </w:rPr>
          <w:tab/>
        </w:r>
        <w:r w:rsidR="00836E40">
          <w:rPr>
            <w:noProof/>
            <w:webHidden/>
          </w:rPr>
          <w:fldChar w:fldCharType="begin"/>
        </w:r>
        <w:r w:rsidR="00836E40">
          <w:rPr>
            <w:noProof/>
            <w:webHidden/>
          </w:rPr>
          <w:instrText xml:space="preserve"> PAGEREF _Toc82767261 \h </w:instrText>
        </w:r>
        <w:r w:rsidR="00836E40">
          <w:rPr>
            <w:noProof/>
            <w:webHidden/>
          </w:rPr>
        </w:r>
        <w:r w:rsidR="00836E40">
          <w:rPr>
            <w:noProof/>
            <w:webHidden/>
          </w:rPr>
          <w:fldChar w:fldCharType="separate"/>
        </w:r>
        <w:r w:rsidR="00836E40">
          <w:rPr>
            <w:noProof/>
            <w:webHidden/>
          </w:rPr>
          <w:t>12</w:t>
        </w:r>
        <w:r w:rsidR="00836E40">
          <w:rPr>
            <w:noProof/>
            <w:webHidden/>
          </w:rPr>
          <w:fldChar w:fldCharType="end"/>
        </w:r>
      </w:hyperlink>
    </w:p>
    <w:p w14:paraId="383DE48A" w14:textId="314D2408" w:rsidR="00836E40" w:rsidRDefault="009164D2">
      <w:pPr>
        <w:pStyle w:val="TOC3"/>
        <w:tabs>
          <w:tab w:val="left" w:pos="1100"/>
          <w:tab w:val="right" w:leader="dot" w:pos="8920"/>
        </w:tabs>
        <w:rPr>
          <w:rFonts w:asciiTheme="minorHAnsi" w:eastAsiaTheme="minorEastAsia" w:hAnsiTheme="minorHAnsi"/>
          <w:noProof/>
          <w:sz w:val="22"/>
          <w:lang w:val="en-US"/>
        </w:rPr>
      </w:pPr>
      <w:hyperlink w:anchor="_Toc82767262" w:history="1">
        <w:r w:rsidR="00836E40" w:rsidRPr="00C04B13">
          <w:rPr>
            <w:rStyle w:val="Hyperlink"/>
            <w:noProof/>
          </w:rPr>
          <w:t>3.1.3</w:t>
        </w:r>
        <w:r w:rsidR="00836E40">
          <w:rPr>
            <w:rFonts w:asciiTheme="minorHAnsi" w:eastAsiaTheme="minorEastAsia" w:hAnsiTheme="minorHAnsi"/>
            <w:noProof/>
            <w:sz w:val="22"/>
            <w:lang w:val="en-US"/>
          </w:rPr>
          <w:tab/>
        </w:r>
        <w:r w:rsidR="00836E40" w:rsidRPr="00C04B13">
          <w:rPr>
            <w:rStyle w:val="Hyperlink"/>
            <w:noProof/>
          </w:rPr>
          <w:t>What are the needs of families and carers?</w:t>
        </w:r>
        <w:r w:rsidR="00836E40">
          <w:rPr>
            <w:noProof/>
            <w:webHidden/>
          </w:rPr>
          <w:tab/>
        </w:r>
        <w:r w:rsidR="00836E40">
          <w:rPr>
            <w:noProof/>
            <w:webHidden/>
          </w:rPr>
          <w:fldChar w:fldCharType="begin"/>
        </w:r>
        <w:r w:rsidR="00836E40">
          <w:rPr>
            <w:noProof/>
            <w:webHidden/>
          </w:rPr>
          <w:instrText xml:space="preserve"> PAGEREF _Toc82767262 \h </w:instrText>
        </w:r>
        <w:r w:rsidR="00836E40">
          <w:rPr>
            <w:noProof/>
            <w:webHidden/>
          </w:rPr>
        </w:r>
        <w:r w:rsidR="00836E40">
          <w:rPr>
            <w:noProof/>
            <w:webHidden/>
          </w:rPr>
          <w:fldChar w:fldCharType="separate"/>
        </w:r>
        <w:r w:rsidR="00836E40">
          <w:rPr>
            <w:noProof/>
            <w:webHidden/>
          </w:rPr>
          <w:t>13</w:t>
        </w:r>
        <w:r w:rsidR="00836E40">
          <w:rPr>
            <w:noProof/>
            <w:webHidden/>
          </w:rPr>
          <w:fldChar w:fldCharType="end"/>
        </w:r>
      </w:hyperlink>
    </w:p>
    <w:p w14:paraId="39755F58" w14:textId="31DA1B63" w:rsidR="00836E40" w:rsidRDefault="009164D2">
      <w:pPr>
        <w:pStyle w:val="TOC3"/>
        <w:tabs>
          <w:tab w:val="left" w:pos="1100"/>
          <w:tab w:val="right" w:leader="dot" w:pos="8920"/>
        </w:tabs>
        <w:rPr>
          <w:rFonts w:asciiTheme="minorHAnsi" w:eastAsiaTheme="minorEastAsia" w:hAnsiTheme="minorHAnsi"/>
          <w:noProof/>
          <w:sz w:val="22"/>
          <w:lang w:val="en-US"/>
        </w:rPr>
      </w:pPr>
      <w:hyperlink w:anchor="_Toc82767263" w:history="1">
        <w:r w:rsidR="00836E40" w:rsidRPr="00C04B13">
          <w:rPr>
            <w:rStyle w:val="Hyperlink"/>
            <w:noProof/>
          </w:rPr>
          <w:t>3.1.4</w:t>
        </w:r>
        <w:r w:rsidR="00836E40">
          <w:rPr>
            <w:rFonts w:asciiTheme="minorHAnsi" w:eastAsiaTheme="minorEastAsia" w:hAnsiTheme="minorHAnsi"/>
            <w:noProof/>
            <w:sz w:val="22"/>
            <w:lang w:val="en-US"/>
          </w:rPr>
          <w:tab/>
        </w:r>
        <w:r w:rsidR="00836E40" w:rsidRPr="00C04B13">
          <w:rPr>
            <w:rStyle w:val="Hyperlink"/>
            <w:noProof/>
          </w:rPr>
          <w:t>What are the needs of RACF staff, other clinical personnel and the system?</w:t>
        </w:r>
        <w:r w:rsidR="00836E40">
          <w:rPr>
            <w:noProof/>
            <w:webHidden/>
          </w:rPr>
          <w:tab/>
        </w:r>
        <w:r w:rsidR="00836E40">
          <w:rPr>
            <w:noProof/>
            <w:webHidden/>
          </w:rPr>
          <w:fldChar w:fldCharType="begin"/>
        </w:r>
        <w:r w:rsidR="00836E40">
          <w:rPr>
            <w:noProof/>
            <w:webHidden/>
          </w:rPr>
          <w:instrText xml:space="preserve"> PAGEREF _Toc82767263 \h </w:instrText>
        </w:r>
        <w:r w:rsidR="00836E40">
          <w:rPr>
            <w:noProof/>
            <w:webHidden/>
          </w:rPr>
        </w:r>
        <w:r w:rsidR="00836E40">
          <w:rPr>
            <w:noProof/>
            <w:webHidden/>
          </w:rPr>
          <w:fldChar w:fldCharType="separate"/>
        </w:r>
        <w:r w:rsidR="00836E40">
          <w:rPr>
            <w:noProof/>
            <w:webHidden/>
          </w:rPr>
          <w:t>14</w:t>
        </w:r>
        <w:r w:rsidR="00836E40">
          <w:rPr>
            <w:noProof/>
            <w:webHidden/>
          </w:rPr>
          <w:fldChar w:fldCharType="end"/>
        </w:r>
      </w:hyperlink>
    </w:p>
    <w:p w14:paraId="66D78B4F" w14:textId="1032FFEB" w:rsidR="00836E40" w:rsidRDefault="009164D2">
      <w:pPr>
        <w:pStyle w:val="TOC3"/>
        <w:tabs>
          <w:tab w:val="left" w:pos="1100"/>
          <w:tab w:val="right" w:leader="dot" w:pos="8920"/>
        </w:tabs>
        <w:rPr>
          <w:rFonts w:asciiTheme="minorHAnsi" w:eastAsiaTheme="minorEastAsia" w:hAnsiTheme="minorHAnsi"/>
          <w:noProof/>
          <w:sz w:val="22"/>
          <w:lang w:val="en-US"/>
        </w:rPr>
      </w:pPr>
      <w:hyperlink w:anchor="_Toc82767264" w:history="1">
        <w:r w:rsidR="00836E40" w:rsidRPr="00C04B13">
          <w:rPr>
            <w:rStyle w:val="Hyperlink"/>
            <w:noProof/>
          </w:rPr>
          <w:t>3.1.5</w:t>
        </w:r>
        <w:r w:rsidR="00836E40">
          <w:rPr>
            <w:rFonts w:asciiTheme="minorHAnsi" w:eastAsiaTheme="minorEastAsia" w:hAnsiTheme="minorHAnsi"/>
            <w:noProof/>
            <w:sz w:val="22"/>
            <w:lang w:val="en-US"/>
          </w:rPr>
          <w:tab/>
        </w:r>
        <w:r w:rsidR="00836E40" w:rsidRPr="00C04B13">
          <w:rPr>
            <w:rStyle w:val="Hyperlink"/>
            <w:noProof/>
          </w:rPr>
          <w:t>What are the service gaps from the perspective of residents, families, carers and staff?</w:t>
        </w:r>
        <w:r w:rsidR="00836E40">
          <w:rPr>
            <w:noProof/>
            <w:webHidden/>
          </w:rPr>
          <w:tab/>
        </w:r>
        <w:r w:rsidR="00836E40">
          <w:rPr>
            <w:noProof/>
            <w:webHidden/>
          </w:rPr>
          <w:fldChar w:fldCharType="begin"/>
        </w:r>
        <w:r w:rsidR="00836E40">
          <w:rPr>
            <w:noProof/>
            <w:webHidden/>
          </w:rPr>
          <w:instrText xml:space="preserve"> PAGEREF _Toc82767264 \h </w:instrText>
        </w:r>
        <w:r w:rsidR="00836E40">
          <w:rPr>
            <w:noProof/>
            <w:webHidden/>
          </w:rPr>
        </w:r>
        <w:r w:rsidR="00836E40">
          <w:rPr>
            <w:noProof/>
            <w:webHidden/>
          </w:rPr>
          <w:fldChar w:fldCharType="separate"/>
        </w:r>
        <w:r w:rsidR="00836E40">
          <w:rPr>
            <w:noProof/>
            <w:webHidden/>
          </w:rPr>
          <w:t>16</w:t>
        </w:r>
        <w:r w:rsidR="00836E40">
          <w:rPr>
            <w:noProof/>
            <w:webHidden/>
          </w:rPr>
          <w:fldChar w:fldCharType="end"/>
        </w:r>
      </w:hyperlink>
    </w:p>
    <w:p w14:paraId="76083574" w14:textId="5B46FE6D" w:rsidR="00836E40" w:rsidRDefault="009164D2">
      <w:pPr>
        <w:pStyle w:val="TOC2"/>
        <w:rPr>
          <w:rFonts w:asciiTheme="minorHAnsi" w:eastAsiaTheme="minorEastAsia" w:hAnsiTheme="minorHAnsi"/>
          <w:noProof/>
          <w:sz w:val="22"/>
        </w:rPr>
      </w:pPr>
      <w:hyperlink w:anchor="_Toc82767265" w:history="1">
        <w:r w:rsidR="00836E40" w:rsidRPr="00C04B13">
          <w:rPr>
            <w:rStyle w:val="Hyperlink"/>
            <w:noProof/>
          </w:rPr>
          <w:t>3.2</w:t>
        </w:r>
        <w:r w:rsidR="00836E40">
          <w:rPr>
            <w:rFonts w:asciiTheme="minorHAnsi" w:eastAsiaTheme="minorEastAsia" w:hAnsiTheme="minorHAnsi"/>
            <w:noProof/>
            <w:sz w:val="22"/>
          </w:rPr>
          <w:tab/>
        </w:r>
        <w:r w:rsidR="00836E40" w:rsidRPr="00C04B13">
          <w:rPr>
            <w:rStyle w:val="Hyperlink"/>
            <w:noProof/>
          </w:rPr>
          <w:t>What models of care exist that have proven successful?</w:t>
        </w:r>
        <w:r w:rsidR="00836E40">
          <w:rPr>
            <w:noProof/>
            <w:webHidden/>
          </w:rPr>
          <w:tab/>
        </w:r>
        <w:r w:rsidR="00836E40">
          <w:rPr>
            <w:noProof/>
            <w:webHidden/>
          </w:rPr>
          <w:fldChar w:fldCharType="begin"/>
        </w:r>
        <w:r w:rsidR="00836E40">
          <w:rPr>
            <w:noProof/>
            <w:webHidden/>
          </w:rPr>
          <w:instrText xml:space="preserve"> PAGEREF _Toc82767265 \h </w:instrText>
        </w:r>
        <w:r w:rsidR="00836E40">
          <w:rPr>
            <w:noProof/>
            <w:webHidden/>
          </w:rPr>
        </w:r>
        <w:r w:rsidR="00836E40">
          <w:rPr>
            <w:noProof/>
            <w:webHidden/>
          </w:rPr>
          <w:fldChar w:fldCharType="separate"/>
        </w:r>
        <w:r w:rsidR="00836E40">
          <w:rPr>
            <w:noProof/>
            <w:webHidden/>
          </w:rPr>
          <w:t>19</w:t>
        </w:r>
        <w:r w:rsidR="00836E40">
          <w:rPr>
            <w:noProof/>
            <w:webHidden/>
          </w:rPr>
          <w:fldChar w:fldCharType="end"/>
        </w:r>
      </w:hyperlink>
    </w:p>
    <w:p w14:paraId="33F7A897" w14:textId="3ACAF586" w:rsidR="00836E40" w:rsidRDefault="009164D2">
      <w:pPr>
        <w:pStyle w:val="TOC3"/>
        <w:tabs>
          <w:tab w:val="left" w:pos="1100"/>
          <w:tab w:val="right" w:leader="dot" w:pos="8920"/>
        </w:tabs>
        <w:rPr>
          <w:rFonts w:asciiTheme="minorHAnsi" w:eastAsiaTheme="minorEastAsia" w:hAnsiTheme="minorHAnsi"/>
          <w:noProof/>
          <w:sz w:val="22"/>
          <w:lang w:val="en-US"/>
        </w:rPr>
      </w:pPr>
      <w:hyperlink w:anchor="_Toc82767266" w:history="1">
        <w:r w:rsidR="00836E40" w:rsidRPr="00C04B13">
          <w:rPr>
            <w:rStyle w:val="Hyperlink"/>
            <w:noProof/>
          </w:rPr>
          <w:t>3.2.2</w:t>
        </w:r>
        <w:r w:rsidR="00057D0F">
          <w:rPr>
            <w:rFonts w:asciiTheme="minorHAnsi" w:eastAsiaTheme="minorEastAsia" w:hAnsiTheme="minorHAnsi"/>
            <w:noProof/>
            <w:sz w:val="22"/>
            <w:lang w:val="en-US"/>
          </w:rPr>
          <w:t xml:space="preserve">  </w:t>
        </w:r>
        <w:r w:rsidR="0084788B">
          <w:rPr>
            <w:rFonts w:asciiTheme="minorHAnsi" w:eastAsiaTheme="minorEastAsia" w:hAnsiTheme="minorHAnsi"/>
            <w:noProof/>
            <w:sz w:val="22"/>
            <w:lang w:val="en-US"/>
          </w:rPr>
          <w:t xml:space="preserve"> </w:t>
        </w:r>
        <w:r w:rsidR="00057D0F">
          <w:rPr>
            <w:rFonts w:asciiTheme="minorHAnsi" w:eastAsiaTheme="minorEastAsia" w:hAnsiTheme="minorHAnsi"/>
            <w:noProof/>
            <w:sz w:val="22"/>
            <w:lang w:val="en-US"/>
          </w:rPr>
          <w:t xml:space="preserve"> </w:t>
        </w:r>
        <w:r w:rsidR="00836E40" w:rsidRPr="00C04B13">
          <w:rPr>
            <w:rStyle w:val="Hyperlink"/>
            <w:noProof/>
          </w:rPr>
          <w:t>What examples exist of good practice palliative care in RACFs in Australia or internationally?</w:t>
        </w:r>
        <w:r w:rsidR="0084788B">
          <w:rPr>
            <w:rStyle w:val="Hyperlink"/>
            <w:noProof/>
          </w:rPr>
          <w:t xml:space="preserve"> </w:t>
        </w:r>
        <w:r w:rsidR="00836E40">
          <w:rPr>
            <w:noProof/>
            <w:webHidden/>
          </w:rPr>
          <w:fldChar w:fldCharType="begin"/>
        </w:r>
        <w:r w:rsidR="00836E40">
          <w:rPr>
            <w:noProof/>
            <w:webHidden/>
          </w:rPr>
          <w:instrText xml:space="preserve"> PAGEREF _Toc82767266 \h </w:instrText>
        </w:r>
        <w:r w:rsidR="00836E40">
          <w:rPr>
            <w:noProof/>
            <w:webHidden/>
          </w:rPr>
        </w:r>
        <w:r w:rsidR="00836E40">
          <w:rPr>
            <w:noProof/>
            <w:webHidden/>
          </w:rPr>
          <w:fldChar w:fldCharType="separate"/>
        </w:r>
        <w:r w:rsidR="00836E40">
          <w:rPr>
            <w:noProof/>
            <w:webHidden/>
          </w:rPr>
          <w:t>21</w:t>
        </w:r>
        <w:r w:rsidR="00836E40">
          <w:rPr>
            <w:noProof/>
            <w:webHidden/>
          </w:rPr>
          <w:fldChar w:fldCharType="end"/>
        </w:r>
      </w:hyperlink>
    </w:p>
    <w:p w14:paraId="3F0B6FAA" w14:textId="16A202DA" w:rsidR="00836E40" w:rsidRDefault="009164D2">
      <w:pPr>
        <w:pStyle w:val="TOC3"/>
        <w:tabs>
          <w:tab w:val="left" w:pos="1100"/>
          <w:tab w:val="right" w:leader="dot" w:pos="8920"/>
        </w:tabs>
        <w:rPr>
          <w:rFonts w:asciiTheme="minorHAnsi" w:eastAsiaTheme="minorEastAsia" w:hAnsiTheme="minorHAnsi"/>
          <w:noProof/>
          <w:sz w:val="22"/>
          <w:lang w:val="en-US"/>
        </w:rPr>
      </w:pPr>
      <w:hyperlink w:anchor="_Toc82767267" w:history="1">
        <w:r w:rsidR="00836E40" w:rsidRPr="00C04B13">
          <w:rPr>
            <w:rStyle w:val="Hyperlink"/>
            <w:noProof/>
          </w:rPr>
          <w:t>3.2.3</w:t>
        </w:r>
        <w:r w:rsidR="00057D0F">
          <w:rPr>
            <w:rFonts w:asciiTheme="minorHAnsi" w:eastAsiaTheme="minorEastAsia" w:hAnsiTheme="minorHAnsi"/>
            <w:noProof/>
            <w:sz w:val="22"/>
            <w:lang w:val="en-US"/>
          </w:rPr>
          <w:t xml:space="preserve">   </w:t>
        </w:r>
        <w:r w:rsidR="0084788B">
          <w:rPr>
            <w:rFonts w:asciiTheme="minorHAnsi" w:eastAsiaTheme="minorEastAsia" w:hAnsiTheme="minorHAnsi"/>
            <w:noProof/>
            <w:sz w:val="22"/>
            <w:lang w:val="en-US"/>
          </w:rPr>
          <w:t xml:space="preserve"> </w:t>
        </w:r>
        <w:r w:rsidR="00836E40" w:rsidRPr="00C04B13">
          <w:rPr>
            <w:rStyle w:val="Hyperlink"/>
            <w:noProof/>
          </w:rPr>
          <w:t>What is required for success?</w:t>
        </w:r>
        <w:r w:rsidR="00836E40">
          <w:rPr>
            <w:noProof/>
            <w:webHidden/>
          </w:rPr>
          <w:tab/>
        </w:r>
        <w:r w:rsidR="00836E40">
          <w:rPr>
            <w:noProof/>
            <w:webHidden/>
          </w:rPr>
          <w:fldChar w:fldCharType="begin"/>
        </w:r>
        <w:r w:rsidR="00836E40">
          <w:rPr>
            <w:noProof/>
            <w:webHidden/>
          </w:rPr>
          <w:instrText xml:space="preserve"> PAGEREF _Toc82767267 \h </w:instrText>
        </w:r>
        <w:r w:rsidR="00836E40">
          <w:rPr>
            <w:noProof/>
            <w:webHidden/>
          </w:rPr>
        </w:r>
        <w:r w:rsidR="00836E40">
          <w:rPr>
            <w:noProof/>
            <w:webHidden/>
          </w:rPr>
          <w:fldChar w:fldCharType="separate"/>
        </w:r>
        <w:r w:rsidR="00836E40">
          <w:rPr>
            <w:noProof/>
            <w:webHidden/>
          </w:rPr>
          <w:t>29</w:t>
        </w:r>
        <w:r w:rsidR="00836E40">
          <w:rPr>
            <w:noProof/>
            <w:webHidden/>
          </w:rPr>
          <w:fldChar w:fldCharType="end"/>
        </w:r>
      </w:hyperlink>
    </w:p>
    <w:p w14:paraId="34C79930" w14:textId="38C8DADF" w:rsidR="00836E40" w:rsidRDefault="009164D2">
      <w:pPr>
        <w:pStyle w:val="TOC2"/>
        <w:rPr>
          <w:rFonts w:asciiTheme="minorHAnsi" w:eastAsiaTheme="minorEastAsia" w:hAnsiTheme="minorHAnsi"/>
          <w:noProof/>
          <w:sz w:val="22"/>
        </w:rPr>
      </w:pPr>
      <w:hyperlink w:anchor="_Toc82767268" w:history="1">
        <w:r w:rsidR="00836E40" w:rsidRPr="00C04B13">
          <w:rPr>
            <w:rStyle w:val="Hyperlink"/>
            <w:noProof/>
          </w:rPr>
          <w:t>3.3</w:t>
        </w:r>
        <w:r w:rsidR="00836E40">
          <w:rPr>
            <w:rFonts w:asciiTheme="minorHAnsi" w:eastAsiaTheme="minorEastAsia" w:hAnsiTheme="minorHAnsi"/>
            <w:noProof/>
            <w:sz w:val="22"/>
          </w:rPr>
          <w:tab/>
        </w:r>
        <w:r w:rsidR="00836E40" w:rsidRPr="00C04B13">
          <w:rPr>
            <w:rStyle w:val="Hyperlink"/>
            <w:noProof/>
          </w:rPr>
          <w:t>What evidence exists on best practice approaches to funding and delivery arrangements?</w:t>
        </w:r>
        <w:r w:rsidR="00836E40">
          <w:rPr>
            <w:noProof/>
            <w:webHidden/>
          </w:rPr>
          <w:tab/>
        </w:r>
        <w:r w:rsidR="00836E40">
          <w:rPr>
            <w:noProof/>
            <w:webHidden/>
          </w:rPr>
          <w:fldChar w:fldCharType="begin"/>
        </w:r>
        <w:r w:rsidR="00836E40">
          <w:rPr>
            <w:noProof/>
            <w:webHidden/>
          </w:rPr>
          <w:instrText xml:space="preserve"> PAGEREF _Toc82767268 \h </w:instrText>
        </w:r>
        <w:r w:rsidR="00836E40">
          <w:rPr>
            <w:noProof/>
            <w:webHidden/>
          </w:rPr>
        </w:r>
        <w:r w:rsidR="00836E40">
          <w:rPr>
            <w:noProof/>
            <w:webHidden/>
          </w:rPr>
          <w:fldChar w:fldCharType="separate"/>
        </w:r>
        <w:r w:rsidR="00836E40">
          <w:rPr>
            <w:noProof/>
            <w:webHidden/>
          </w:rPr>
          <w:t>31</w:t>
        </w:r>
        <w:r w:rsidR="00836E40">
          <w:rPr>
            <w:noProof/>
            <w:webHidden/>
          </w:rPr>
          <w:fldChar w:fldCharType="end"/>
        </w:r>
      </w:hyperlink>
    </w:p>
    <w:p w14:paraId="684C8467" w14:textId="5E3ECF9A" w:rsidR="00836E40" w:rsidRDefault="009164D2">
      <w:pPr>
        <w:pStyle w:val="TOC2"/>
        <w:rPr>
          <w:rFonts w:asciiTheme="minorHAnsi" w:eastAsiaTheme="minorEastAsia" w:hAnsiTheme="minorHAnsi"/>
          <w:noProof/>
          <w:sz w:val="22"/>
        </w:rPr>
      </w:pPr>
      <w:hyperlink w:anchor="_Toc82767269" w:history="1">
        <w:r w:rsidR="00836E40" w:rsidRPr="00C04B13">
          <w:rPr>
            <w:rStyle w:val="Hyperlink"/>
            <w:noProof/>
          </w:rPr>
          <w:t>3.4</w:t>
        </w:r>
        <w:r w:rsidR="00836E40">
          <w:rPr>
            <w:rFonts w:asciiTheme="minorHAnsi" w:eastAsiaTheme="minorEastAsia" w:hAnsiTheme="minorHAnsi"/>
            <w:noProof/>
            <w:sz w:val="22"/>
          </w:rPr>
          <w:tab/>
        </w:r>
        <w:r w:rsidR="00836E40" w:rsidRPr="00C04B13">
          <w:rPr>
            <w:rStyle w:val="Hyperlink"/>
            <w:noProof/>
          </w:rPr>
          <w:t>How have palliative care in RACF initiatives sought to address health interface issues?</w:t>
        </w:r>
        <w:r w:rsidR="00836E40">
          <w:rPr>
            <w:noProof/>
            <w:webHidden/>
          </w:rPr>
          <w:tab/>
        </w:r>
        <w:r w:rsidR="00836E40">
          <w:rPr>
            <w:noProof/>
            <w:webHidden/>
          </w:rPr>
          <w:fldChar w:fldCharType="begin"/>
        </w:r>
        <w:r w:rsidR="00836E40">
          <w:rPr>
            <w:noProof/>
            <w:webHidden/>
          </w:rPr>
          <w:instrText xml:space="preserve"> PAGEREF _Toc82767269 \h </w:instrText>
        </w:r>
        <w:r w:rsidR="00836E40">
          <w:rPr>
            <w:noProof/>
            <w:webHidden/>
          </w:rPr>
        </w:r>
        <w:r w:rsidR="00836E40">
          <w:rPr>
            <w:noProof/>
            <w:webHidden/>
          </w:rPr>
          <w:fldChar w:fldCharType="separate"/>
        </w:r>
        <w:r w:rsidR="00836E40">
          <w:rPr>
            <w:noProof/>
            <w:webHidden/>
          </w:rPr>
          <w:t>37</w:t>
        </w:r>
        <w:r w:rsidR="00836E40">
          <w:rPr>
            <w:noProof/>
            <w:webHidden/>
          </w:rPr>
          <w:fldChar w:fldCharType="end"/>
        </w:r>
      </w:hyperlink>
    </w:p>
    <w:p w14:paraId="5A804593" w14:textId="3D02D6DC" w:rsidR="00836E40" w:rsidRDefault="009164D2">
      <w:pPr>
        <w:pStyle w:val="TOC3"/>
        <w:tabs>
          <w:tab w:val="left" w:pos="1100"/>
          <w:tab w:val="right" w:leader="dot" w:pos="8920"/>
        </w:tabs>
        <w:rPr>
          <w:rFonts w:asciiTheme="minorHAnsi" w:eastAsiaTheme="minorEastAsia" w:hAnsiTheme="minorHAnsi"/>
          <w:noProof/>
          <w:sz w:val="22"/>
          <w:lang w:val="en-US"/>
        </w:rPr>
      </w:pPr>
      <w:hyperlink w:anchor="_Toc82767270" w:history="1">
        <w:r w:rsidR="00836E40" w:rsidRPr="00C04B13">
          <w:rPr>
            <w:rStyle w:val="Hyperlink"/>
            <w:noProof/>
          </w:rPr>
          <w:t>3.4.2</w:t>
        </w:r>
        <w:r w:rsidR="00836E40">
          <w:rPr>
            <w:rFonts w:asciiTheme="minorHAnsi" w:eastAsiaTheme="minorEastAsia" w:hAnsiTheme="minorHAnsi"/>
            <w:noProof/>
            <w:sz w:val="22"/>
            <w:lang w:val="en-US"/>
          </w:rPr>
          <w:tab/>
        </w:r>
        <w:r w:rsidR="00836E40" w:rsidRPr="00C04B13">
          <w:rPr>
            <w:rStyle w:val="Hyperlink"/>
            <w:noProof/>
          </w:rPr>
          <w:t>How have RACF initiatives addressed health system interface issues?</w:t>
        </w:r>
        <w:r w:rsidR="00836E40">
          <w:rPr>
            <w:noProof/>
            <w:webHidden/>
          </w:rPr>
          <w:tab/>
        </w:r>
        <w:r w:rsidR="00836E40">
          <w:rPr>
            <w:noProof/>
            <w:webHidden/>
          </w:rPr>
          <w:fldChar w:fldCharType="begin"/>
        </w:r>
        <w:r w:rsidR="00836E40">
          <w:rPr>
            <w:noProof/>
            <w:webHidden/>
          </w:rPr>
          <w:instrText xml:space="preserve"> PAGEREF _Toc82767270 \h </w:instrText>
        </w:r>
        <w:r w:rsidR="00836E40">
          <w:rPr>
            <w:noProof/>
            <w:webHidden/>
          </w:rPr>
        </w:r>
        <w:r w:rsidR="00836E40">
          <w:rPr>
            <w:noProof/>
            <w:webHidden/>
          </w:rPr>
          <w:fldChar w:fldCharType="separate"/>
        </w:r>
        <w:r w:rsidR="00836E40">
          <w:rPr>
            <w:noProof/>
            <w:webHidden/>
          </w:rPr>
          <w:t>39</w:t>
        </w:r>
        <w:r w:rsidR="00836E40">
          <w:rPr>
            <w:noProof/>
            <w:webHidden/>
          </w:rPr>
          <w:fldChar w:fldCharType="end"/>
        </w:r>
      </w:hyperlink>
    </w:p>
    <w:p w14:paraId="05F9F04C" w14:textId="2F0D11BA" w:rsidR="00836E40" w:rsidRDefault="009164D2">
      <w:pPr>
        <w:pStyle w:val="TOC3"/>
        <w:tabs>
          <w:tab w:val="left" w:pos="1100"/>
          <w:tab w:val="right" w:leader="dot" w:pos="8920"/>
        </w:tabs>
        <w:rPr>
          <w:rFonts w:asciiTheme="minorHAnsi" w:eastAsiaTheme="minorEastAsia" w:hAnsiTheme="minorHAnsi"/>
          <w:noProof/>
          <w:sz w:val="22"/>
          <w:lang w:val="en-US"/>
        </w:rPr>
      </w:pPr>
      <w:hyperlink w:anchor="_Toc82767271" w:history="1">
        <w:r w:rsidR="00836E40" w:rsidRPr="00C04B13">
          <w:rPr>
            <w:rStyle w:val="Hyperlink"/>
            <w:noProof/>
          </w:rPr>
          <w:t>3.4.3</w:t>
        </w:r>
        <w:r w:rsidR="00836E40">
          <w:rPr>
            <w:rFonts w:asciiTheme="minorHAnsi" w:eastAsiaTheme="minorEastAsia" w:hAnsiTheme="minorHAnsi"/>
            <w:noProof/>
            <w:sz w:val="22"/>
            <w:lang w:val="en-US"/>
          </w:rPr>
          <w:tab/>
        </w:r>
        <w:r w:rsidR="00836E40" w:rsidRPr="00C04B13">
          <w:rPr>
            <w:rStyle w:val="Hyperlink"/>
            <w:noProof/>
          </w:rPr>
          <w:t>What has worked well and not as well?</w:t>
        </w:r>
        <w:r w:rsidR="00836E40">
          <w:rPr>
            <w:noProof/>
            <w:webHidden/>
          </w:rPr>
          <w:tab/>
        </w:r>
        <w:r w:rsidR="00836E40">
          <w:rPr>
            <w:noProof/>
            <w:webHidden/>
          </w:rPr>
          <w:fldChar w:fldCharType="begin"/>
        </w:r>
        <w:r w:rsidR="00836E40">
          <w:rPr>
            <w:noProof/>
            <w:webHidden/>
          </w:rPr>
          <w:instrText xml:space="preserve"> PAGEREF _Toc82767271 \h </w:instrText>
        </w:r>
        <w:r w:rsidR="00836E40">
          <w:rPr>
            <w:noProof/>
            <w:webHidden/>
          </w:rPr>
        </w:r>
        <w:r w:rsidR="00836E40">
          <w:rPr>
            <w:noProof/>
            <w:webHidden/>
          </w:rPr>
          <w:fldChar w:fldCharType="separate"/>
        </w:r>
        <w:r w:rsidR="00836E40">
          <w:rPr>
            <w:noProof/>
            <w:webHidden/>
          </w:rPr>
          <w:t>41</w:t>
        </w:r>
        <w:r w:rsidR="00836E40">
          <w:rPr>
            <w:noProof/>
            <w:webHidden/>
          </w:rPr>
          <w:fldChar w:fldCharType="end"/>
        </w:r>
      </w:hyperlink>
    </w:p>
    <w:p w14:paraId="6084498E" w14:textId="05CA5AEB" w:rsidR="00836E40" w:rsidRDefault="009164D2">
      <w:pPr>
        <w:pStyle w:val="TOC1"/>
        <w:rPr>
          <w:rFonts w:asciiTheme="minorHAnsi" w:eastAsiaTheme="minorEastAsia" w:hAnsiTheme="minorHAnsi"/>
          <w:sz w:val="22"/>
        </w:rPr>
      </w:pPr>
      <w:hyperlink w:anchor="_Toc82767272" w:history="1">
        <w:r w:rsidR="00836E40" w:rsidRPr="00C04B13">
          <w:rPr>
            <w:rStyle w:val="Hyperlink"/>
          </w:rPr>
          <w:t>4</w:t>
        </w:r>
        <w:r w:rsidR="00836E40">
          <w:rPr>
            <w:rFonts w:asciiTheme="minorHAnsi" w:eastAsiaTheme="minorEastAsia" w:hAnsiTheme="minorHAnsi"/>
            <w:sz w:val="22"/>
          </w:rPr>
          <w:tab/>
        </w:r>
        <w:r w:rsidR="00836E40" w:rsidRPr="00C04B13">
          <w:rPr>
            <w:rStyle w:val="Hyperlink"/>
            <w:rFonts w:cs="Segoe UI"/>
          </w:rPr>
          <w:t>Conclusions</w:t>
        </w:r>
        <w:r w:rsidR="00836E40">
          <w:rPr>
            <w:webHidden/>
          </w:rPr>
          <w:tab/>
        </w:r>
        <w:r w:rsidR="00836E40">
          <w:rPr>
            <w:webHidden/>
          </w:rPr>
          <w:fldChar w:fldCharType="begin"/>
        </w:r>
        <w:r w:rsidR="00836E40">
          <w:rPr>
            <w:webHidden/>
          </w:rPr>
          <w:instrText xml:space="preserve"> PAGEREF _Toc82767272 \h </w:instrText>
        </w:r>
        <w:r w:rsidR="00836E40">
          <w:rPr>
            <w:webHidden/>
          </w:rPr>
        </w:r>
        <w:r w:rsidR="00836E40">
          <w:rPr>
            <w:webHidden/>
          </w:rPr>
          <w:fldChar w:fldCharType="separate"/>
        </w:r>
        <w:r w:rsidR="00836E40">
          <w:rPr>
            <w:webHidden/>
          </w:rPr>
          <w:t>43</w:t>
        </w:r>
        <w:r w:rsidR="00836E40">
          <w:rPr>
            <w:webHidden/>
          </w:rPr>
          <w:fldChar w:fldCharType="end"/>
        </w:r>
      </w:hyperlink>
    </w:p>
    <w:p w14:paraId="4E06C465" w14:textId="576CD77A" w:rsidR="00836E40" w:rsidRDefault="009164D2">
      <w:pPr>
        <w:pStyle w:val="TOC1"/>
        <w:rPr>
          <w:rFonts w:asciiTheme="minorHAnsi" w:eastAsiaTheme="minorEastAsia" w:hAnsiTheme="minorHAnsi"/>
          <w:sz w:val="22"/>
        </w:rPr>
      </w:pPr>
      <w:hyperlink w:anchor="_Toc82767273" w:history="1">
        <w:r w:rsidR="00836E40" w:rsidRPr="00C04B13">
          <w:rPr>
            <w:rStyle w:val="Hyperlink"/>
          </w:rPr>
          <w:t>Appendix A</w:t>
        </w:r>
        <w:r w:rsidR="00836E40">
          <w:rPr>
            <w:rFonts w:asciiTheme="minorHAnsi" w:eastAsiaTheme="minorEastAsia" w:hAnsiTheme="minorHAnsi"/>
            <w:sz w:val="22"/>
          </w:rPr>
          <w:tab/>
        </w:r>
        <w:r w:rsidR="00836E40" w:rsidRPr="00C04B13">
          <w:rPr>
            <w:rStyle w:val="Hyperlink"/>
          </w:rPr>
          <w:t>Detailed models of care</w:t>
        </w:r>
        <w:r w:rsidR="00836E40">
          <w:rPr>
            <w:webHidden/>
          </w:rPr>
          <w:tab/>
        </w:r>
        <w:r w:rsidR="00836E40">
          <w:rPr>
            <w:webHidden/>
          </w:rPr>
          <w:fldChar w:fldCharType="begin"/>
        </w:r>
        <w:r w:rsidR="00836E40">
          <w:rPr>
            <w:webHidden/>
          </w:rPr>
          <w:instrText xml:space="preserve"> PAGEREF _Toc82767273 \h </w:instrText>
        </w:r>
        <w:r w:rsidR="00836E40">
          <w:rPr>
            <w:webHidden/>
          </w:rPr>
        </w:r>
        <w:r w:rsidR="00836E40">
          <w:rPr>
            <w:webHidden/>
          </w:rPr>
          <w:fldChar w:fldCharType="separate"/>
        </w:r>
        <w:r w:rsidR="00836E40">
          <w:rPr>
            <w:webHidden/>
          </w:rPr>
          <w:t>44</w:t>
        </w:r>
        <w:r w:rsidR="00836E40">
          <w:rPr>
            <w:webHidden/>
          </w:rPr>
          <w:fldChar w:fldCharType="end"/>
        </w:r>
      </w:hyperlink>
    </w:p>
    <w:p w14:paraId="74A94189" w14:textId="0948C921" w:rsidR="00836E40" w:rsidRDefault="009164D2">
      <w:pPr>
        <w:pStyle w:val="TOC1"/>
        <w:rPr>
          <w:rFonts w:asciiTheme="minorHAnsi" w:eastAsiaTheme="minorEastAsia" w:hAnsiTheme="minorHAnsi"/>
          <w:sz w:val="22"/>
        </w:rPr>
      </w:pPr>
      <w:hyperlink w:anchor="_Toc82767274" w:history="1">
        <w:r w:rsidR="00836E40" w:rsidRPr="00C04B13">
          <w:rPr>
            <w:rStyle w:val="Hyperlink"/>
          </w:rPr>
          <w:t>Appendix B</w:t>
        </w:r>
        <w:r w:rsidR="00836E40">
          <w:rPr>
            <w:rFonts w:asciiTheme="minorHAnsi" w:eastAsiaTheme="minorEastAsia" w:hAnsiTheme="minorHAnsi"/>
            <w:sz w:val="22"/>
          </w:rPr>
          <w:tab/>
        </w:r>
        <w:r w:rsidR="00836E40" w:rsidRPr="00C04B13">
          <w:rPr>
            <w:rStyle w:val="Hyperlink"/>
          </w:rPr>
          <w:t>Funding and delivery arrangements</w:t>
        </w:r>
        <w:r w:rsidR="00836E40">
          <w:rPr>
            <w:webHidden/>
          </w:rPr>
          <w:tab/>
        </w:r>
        <w:r w:rsidR="00836E40">
          <w:rPr>
            <w:webHidden/>
          </w:rPr>
          <w:fldChar w:fldCharType="begin"/>
        </w:r>
        <w:r w:rsidR="00836E40">
          <w:rPr>
            <w:webHidden/>
          </w:rPr>
          <w:instrText xml:space="preserve"> PAGEREF _Toc82767274 \h </w:instrText>
        </w:r>
        <w:r w:rsidR="00836E40">
          <w:rPr>
            <w:webHidden/>
          </w:rPr>
        </w:r>
        <w:r w:rsidR="00836E40">
          <w:rPr>
            <w:webHidden/>
          </w:rPr>
          <w:fldChar w:fldCharType="separate"/>
        </w:r>
        <w:r w:rsidR="00836E40">
          <w:rPr>
            <w:webHidden/>
          </w:rPr>
          <w:t>53</w:t>
        </w:r>
        <w:r w:rsidR="00836E40">
          <w:rPr>
            <w:webHidden/>
          </w:rPr>
          <w:fldChar w:fldCharType="end"/>
        </w:r>
      </w:hyperlink>
    </w:p>
    <w:p w14:paraId="1C4425B9" w14:textId="44434A67" w:rsidR="00836E40" w:rsidRDefault="009164D2">
      <w:pPr>
        <w:pStyle w:val="TOC1"/>
        <w:rPr>
          <w:rFonts w:asciiTheme="minorHAnsi" w:eastAsiaTheme="minorEastAsia" w:hAnsiTheme="minorHAnsi"/>
          <w:sz w:val="22"/>
        </w:rPr>
      </w:pPr>
      <w:hyperlink w:anchor="_Toc82767275" w:history="1">
        <w:r w:rsidR="00836E40" w:rsidRPr="00C04B13">
          <w:rPr>
            <w:rStyle w:val="Hyperlink"/>
          </w:rPr>
          <w:t>Appendix C</w:t>
        </w:r>
        <w:r w:rsidR="00836E40">
          <w:rPr>
            <w:rFonts w:asciiTheme="minorHAnsi" w:eastAsiaTheme="minorEastAsia" w:hAnsiTheme="minorHAnsi"/>
            <w:sz w:val="22"/>
          </w:rPr>
          <w:tab/>
        </w:r>
        <w:r w:rsidR="00836E40" w:rsidRPr="00C04B13">
          <w:rPr>
            <w:rStyle w:val="Hyperlink"/>
          </w:rPr>
          <w:t>National Partnership Agreements and Project Agreements</w:t>
        </w:r>
        <w:r w:rsidR="00836E40">
          <w:rPr>
            <w:webHidden/>
          </w:rPr>
          <w:tab/>
        </w:r>
        <w:r w:rsidR="00836E40">
          <w:rPr>
            <w:webHidden/>
          </w:rPr>
          <w:fldChar w:fldCharType="begin"/>
        </w:r>
        <w:r w:rsidR="00836E40">
          <w:rPr>
            <w:webHidden/>
          </w:rPr>
          <w:instrText xml:space="preserve"> PAGEREF _Toc82767275 \h </w:instrText>
        </w:r>
        <w:r w:rsidR="00836E40">
          <w:rPr>
            <w:webHidden/>
          </w:rPr>
        </w:r>
        <w:r w:rsidR="00836E40">
          <w:rPr>
            <w:webHidden/>
          </w:rPr>
          <w:fldChar w:fldCharType="separate"/>
        </w:r>
        <w:r w:rsidR="00836E40">
          <w:rPr>
            <w:webHidden/>
          </w:rPr>
          <w:t>54</w:t>
        </w:r>
        <w:r w:rsidR="00836E40">
          <w:rPr>
            <w:webHidden/>
          </w:rPr>
          <w:fldChar w:fldCharType="end"/>
        </w:r>
      </w:hyperlink>
    </w:p>
    <w:p w14:paraId="73603A46" w14:textId="7D67F4E8" w:rsidR="000D5CE3" w:rsidRPr="000A0A4F" w:rsidRDefault="00836E40" w:rsidP="000D5CE3">
      <w:pPr>
        <w:rPr>
          <w:lang w:eastAsia="en-AU"/>
        </w:rPr>
      </w:pPr>
      <w:r>
        <w:rPr>
          <w:noProof/>
          <w:lang w:val="en-US" w:eastAsia="en-AU"/>
        </w:rPr>
        <w:fldChar w:fldCharType="end"/>
      </w:r>
    </w:p>
    <w:p w14:paraId="73603A48" w14:textId="77777777" w:rsidR="00347671" w:rsidRPr="000A0A4F" w:rsidRDefault="00347671" w:rsidP="000D5CE3">
      <w:pPr>
        <w:rPr>
          <w:lang w:eastAsia="en-AU"/>
        </w:rPr>
      </w:pPr>
    </w:p>
    <w:p w14:paraId="0424CBBC" w14:textId="673124E3" w:rsidR="00010FC3" w:rsidRPr="000A0A4F" w:rsidRDefault="00010FC3" w:rsidP="00A52D78">
      <w:pPr>
        <w:pStyle w:val="Bullet"/>
        <w:numPr>
          <w:ilvl w:val="0"/>
          <w:numId w:val="0"/>
        </w:numPr>
        <w:sectPr w:rsidR="00010FC3" w:rsidRPr="000A0A4F" w:rsidSect="00313635">
          <w:pgSz w:w="11907" w:h="16839" w:code="9"/>
          <w:pgMar w:top="1418" w:right="1418" w:bottom="1701" w:left="1559" w:header="720" w:footer="720" w:gutter="0"/>
          <w:pgNumType w:fmt="numberInDash"/>
          <w:cols w:space="720"/>
          <w:docGrid w:linePitch="360"/>
        </w:sectPr>
      </w:pPr>
    </w:p>
    <w:p w14:paraId="26CBED6A" w14:textId="2F86D4B4" w:rsidR="009B0EA2" w:rsidRDefault="009B0EA2" w:rsidP="007E4279">
      <w:pPr>
        <w:pStyle w:val="Heading1"/>
        <w:numPr>
          <w:ilvl w:val="0"/>
          <w:numId w:val="0"/>
        </w:numPr>
        <w:ind w:left="357" w:hanging="357"/>
      </w:pPr>
      <w:bookmarkStart w:id="0" w:name="_Toc57644813"/>
      <w:bookmarkStart w:id="1" w:name="_Toc82767255"/>
      <w:bookmarkStart w:id="2" w:name="_Toc506553181"/>
      <w:bookmarkStart w:id="3" w:name="_Toc507150429"/>
      <w:bookmarkStart w:id="4" w:name="_Toc507159887"/>
      <w:bookmarkStart w:id="5" w:name="_Toc507163588"/>
      <w:bookmarkStart w:id="6" w:name="_Toc507597967"/>
      <w:bookmarkStart w:id="7" w:name="_Toc51571042"/>
      <w:r>
        <w:lastRenderedPageBreak/>
        <w:t>Executive summary</w:t>
      </w:r>
      <w:bookmarkEnd w:id="0"/>
      <w:bookmarkEnd w:id="1"/>
    </w:p>
    <w:p w14:paraId="6AC6DB3F" w14:textId="46BEE740" w:rsidR="007E4279" w:rsidRPr="007E4279" w:rsidRDefault="007E4279" w:rsidP="005F1A94">
      <w:pPr>
        <w:pStyle w:val="Heading4"/>
      </w:pPr>
      <w:r>
        <w:t xml:space="preserve">Introduction </w:t>
      </w:r>
    </w:p>
    <w:p w14:paraId="22969CD4" w14:textId="5DFD8BFD" w:rsidR="00F85625" w:rsidRDefault="00F85625" w:rsidP="00F85625">
      <w:pPr>
        <w:rPr>
          <w:lang w:eastAsia="en-AU"/>
        </w:rPr>
      </w:pPr>
      <w:r>
        <w:rPr>
          <w:lang w:eastAsia="en-AU"/>
        </w:rPr>
        <w:t xml:space="preserve">Nous Group (Nous) has been engaged by the Australian Government Department of Health (the Department) to undertake a national evaluation of the </w:t>
      </w:r>
      <w:r w:rsidRPr="00A9033D">
        <w:rPr>
          <w:i/>
          <w:lang w:eastAsia="en-AU"/>
        </w:rPr>
        <w:t>Comprehensive Palliative Care in Aged Care Measure</w:t>
      </w:r>
      <w:r>
        <w:rPr>
          <w:lang w:eastAsia="en-AU"/>
        </w:rPr>
        <w:t xml:space="preserve"> (the Measure). The national evaluation will determine the extent to which the aims and objectives of the Measure have been achieved. </w:t>
      </w:r>
    </w:p>
    <w:p w14:paraId="57EA1E64" w14:textId="24BA6A7A" w:rsidR="00F85625" w:rsidRDefault="00F85625" w:rsidP="00F85625">
      <w:pPr>
        <w:rPr>
          <w:lang w:eastAsia="en-AU"/>
        </w:rPr>
      </w:pPr>
      <w:r>
        <w:rPr>
          <w:lang w:eastAsia="en-AU"/>
        </w:rPr>
        <w:t xml:space="preserve">This Literature Review Report summarises the outcomes of a review of peer-reviewed and grey literature on international and domestic approaches to palliative care in residential aged care facilities (RACFs). It draws on the principles of </w:t>
      </w:r>
      <w:r w:rsidRPr="00CE7CB1">
        <w:rPr>
          <w:lang w:eastAsia="en-AU"/>
        </w:rPr>
        <w:t>Rapid Evidence Assessment (REA</w:t>
      </w:r>
      <w:r>
        <w:rPr>
          <w:lang w:eastAsia="en-AU"/>
        </w:rPr>
        <w:t>) to provide</w:t>
      </w:r>
      <w:r w:rsidRPr="00CE7CB1">
        <w:rPr>
          <w:lang w:eastAsia="en-AU"/>
        </w:rPr>
        <w:t xml:space="preserve"> a balanced assessment of what is known (and not known) in the literature by using a </w:t>
      </w:r>
      <w:r>
        <w:rPr>
          <w:lang w:eastAsia="en-AU"/>
        </w:rPr>
        <w:t xml:space="preserve">rapid but </w:t>
      </w:r>
      <w:r w:rsidRPr="00CE7CB1">
        <w:rPr>
          <w:lang w:eastAsia="en-AU"/>
        </w:rPr>
        <w:t>systematic methodology to search for empirical studies</w:t>
      </w:r>
      <w:r>
        <w:rPr>
          <w:lang w:eastAsia="en-AU"/>
        </w:rPr>
        <w:t>.</w:t>
      </w:r>
    </w:p>
    <w:p w14:paraId="1E939733" w14:textId="7E3F49DA" w:rsidR="007E4279" w:rsidRDefault="007E4279" w:rsidP="005F1A94">
      <w:pPr>
        <w:pStyle w:val="Heading4"/>
      </w:pPr>
      <w:r>
        <w:t>Summary of key findings</w:t>
      </w:r>
    </w:p>
    <w:p w14:paraId="5D0129CD" w14:textId="70866559" w:rsidR="009275A8" w:rsidRDefault="009275A8" w:rsidP="009275A8">
      <w:pPr>
        <w:rPr>
          <w:lang w:eastAsia="en-AU"/>
        </w:rPr>
      </w:pPr>
      <w:r>
        <w:rPr>
          <w:lang w:eastAsia="en-AU"/>
        </w:rPr>
        <w:t xml:space="preserve">Four key questions guided the literature review and structure of this report: </w:t>
      </w:r>
    </w:p>
    <w:p w14:paraId="0CB83AA7" w14:textId="77777777" w:rsidR="009275A8" w:rsidRDefault="009275A8" w:rsidP="009275A8">
      <w:pPr>
        <w:pStyle w:val="Listnumbered"/>
        <w:rPr>
          <w:lang w:eastAsia="en-AU"/>
        </w:rPr>
      </w:pPr>
      <w:r>
        <w:rPr>
          <w:lang w:eastAsia="en-AU"/>
        </w:rPr>
        <w:t xml:space="preserve">What are the palliative care needs of residents, families/carers, </w:t>
      </w:r>
      <w:proofErr w:type="gramStart"/>
      <w:r>
        <w:rPr>
          <w:lang w:eastAsia="en-AU"/>
        </w:rPr>
        <w:t>staff</w:t>
      </w:r>
      <w:proofErr w:type="gramEnd"/>
      <w:r>
        <w:rPr>
          <w:lang w:eastAsia="en-AU"/>
        </w:rPr>
        <w:t xml:space="preserve"> and the system in RACFs?</w:t>
      </w:r>
    </w:p>
    <w:p w14:paraId="12AEC52E" w14:textId="77777777" w:rsidR="009275A8" w:rsidRDefault="009275A8" w:rsidP="009275A8">
      <w:pPr>
        <w:pStyle w:val="Listnumbered"/>
        <w:rPr>
          <w:lang w:eastAsia="en-AU"/>
        </w:rPr>
      </w:pPr>
      <w:r>
        <w:rPr>
          <w:lang w:eastAsia="en-AU"/>
        </w:rPr>
        <w:t>What models of care exist that have proven successful?</w:t>
      </w:r>
    </w:p>
    <w:p w14:paraId="55CF2524" w14:textId="77777777" w:rsidR="009275A8" w:rsidRDefault="009275A8" w:rsidP="009275A8">
      <w:pPr>
        <w:pStyle w:val="Listnumbered"/>
        <w:rPr>
          <w:lang w:eastAsia="en-AU"/>
        </w:rPr>
      </w:pPr>
      <w:r>
        <w:rPr>
          <w:lang w:eastAsia="en-AU"/>
        </w:rPr>
        <w:t>What evidence exists on best practice approaches to funding and delivery arrangements?</w:t>
      </w:r>
    </w:p>
    <w:p w14:paraId="6EEAEAC2" w14:textId="6019D0F5" w:rsidR="009275A8" w:rsidRDefault="009275A8" w:rsidP="009275A8">
      <w:pPr>
        <w:pStyle w:val="Listnumbered"/>
        <w:rPr>
          <w:lang w:eastAsia="en-AU"/>
        </w:rPr>
      </w:pPr>
      <w:r>
        <w:rPr>
          <w:lang w:eastAsia="en-AU"/>
        </w:rPr>
        <w:t>How have palliative care in RACF initiatives sought to address health interface issues?</w:t>
      </w:r>
    </w:p>
    <w:p w14:paraId="5972397E" w14:textId="277496B0" w:rsidR="009275A8" w:rsidRDefault="009275A8" w:rsidP="009275A8">
      <w:pPr>
        <w:pStyle w:val="Listnumbered"/>
        <w:numPr>
          <w:ilvl w:val="0"/>
          <w:numId w:val="0"/>
        </w:numPr>
        <w:ind w:left="340" w:hanging="340"/>
        <w:rPr>
          <w:lang w:eastAsia="en-AU"/>
        </w:rPr>
      </w:pPr>
      <w:r>
        <w:rPr>
          <w:lang w:eastAsia="en-AU"/>
        </w:rPr>
        <w:t xml:space="preserve">Below is a summary of key findings from the literature review, structured against these four questions. </w:t>
      </w:r>
    </w:p>
    <w:p w14:paraId="3EC5B767" w14:textId="77777777" w:rsidR="00D216FB" w:rsidRDefault="00D216FB" w:rsidP="009275A8">
      <w:pPr>
        <w:pStyle w:val="Listnumbered"/>
        <w:numPr>
          <w:ilvl w:val="0"/>
          <w:numId w:val="0"/>
        </w:numPr>
        <w:ind w:left="340" w:hanging="340"/>
        <w:rPr>
          <w:lang w:eastAsia="en-AU"/>
        </w:rPr>
      </w:pPr>
    </w:p>
    <w:tbl>
      <w:tblPr>
        <w:tblStyle w:val="DPSTableGrid3"/>
        <w:tblW w:w="9016" w:type="dxa"/>
        <w:tblBorders>
          <w:top w:val="none" w:sz="0" w:space="0" w:color="auto"/>
          <w:bottom w:val="none" w:sz="0" w:space="0" w:color="auto"/>
          <w:insideH w:val="none" w:sz="0" w:space="0" w:color="auto"/>
        </w:tblBorders>
        <w:shd w:val="clear" w:color="auto" w:fill="F2F2F2"/>
        <w:tblCellMar>
          <w:top w:w="85" w:type="dxa"/>
        </w:tblCellMar>
        <w:tblLook w:val="0400" w:firstRow="0" w:lastRow="0" w:firstColumn="0" w:lastColumn="0" w:noHBand="0" w:noVBand="1"/>
        <w:tblCaption w:val="What are the palliative care needs of residents, families/carers, staff and the system in RACFs?"/>
      </w:tblPr>
      <w:tblGrid>
        <w:gridCol w:w="1219"/>
        <w:gridCol w:w="7797"/>
      </w:tblGrid>
      <w:tr w:rsidR="00AE4859" w:rsidRPr="00AE4859" w14:paraId="69001FD4" w14:textId="77777777" w:rsidTr="22C19DAE">
        <w:trPr>
          <w:cnfStyle w:val="000000100000" w:firstRow="0" w:lastRow="0" w:firstColumn="0" w:lastColumn="0" w:oddVBand="0" w:evenVBand="0" w:oddHBand="1" w:evenHBand="0" w:firstRowFirstColumn="0" w:firstRowLastColumn="0" w:lastRowFirstColumn="0" w:lastRowLastColumn="0"/>
          <w:trHeight w:val="624"/>
        </w:trPr>
        <w:tc>
          <w:tcPr>
            <w:tcW w:w="1219" w:type="dxa"/>
            <w:shd w:val="clear" w:color="auto" w:fill="00264D" w:themeFill="background2"/>
          </w:tcPr>
          <w:p w14:paraId="3E9F5326" w14:textId="77777777" w:rsidR="00AE4859" w:rsidRPr="00AE4859" w:rsidRDefault="00AE4859" w:rsidP="00AE4859">
            <w:pPr>
              <w:spacing w:after="0" w:line="257" w:lineRule="auto"/>
              <w:jc w:val="center"/>
              <w:rPr>
                <w:rFonts w:ascii="Segoe UI Semibold" w:eastAsia="Segoe UI" w:hAnsi="Segoe UI Semibold" w:cs="Segoe UI Semibold"/>
                <w:color w:val="FFFFFF"/>
              </w:rPr>
            </w:pPr>
            <w:r w:rsidRPr="00AE4859">
              <w:rPr>
                <w:rFonts w:ascii="Segoe UI Semibold" w:eastAsia="Segoe UI" w:hAnsi="Segoe UI Semibold" w:cs="Segoe UI Semibold"/>
                <w:noProof/>
                <w:color w:val="FFFFFF"/>
                <w:lang w:eastAsia="en-AU"/>
              </w:rPr>
              <mc:AlternateContent>
                <mc:Choice Requires="wpg">
                  <w:drawing>
                    <wp:inline distT="0" distB="0" distL="0" distR="0" wp14:anchorId="44D1F410" wp14:editId="49B7A2EF">
                      <wp:extent cx="360000" cy="360000"/>
                      <wp:effectExtent l="0" t="0" r="2540" b="2540"/>
                      <wp:docPr id="38" name="Group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60000" cy="360000"/>
                                <a:chOff x="0" y="0"/>
                                <a:chExt cx="539750" cy="539750"/>
                              </a:xfrm>
                              <a:solidFill>
                                <a:sysClr val="window" lastClr="FFFFFF"/>
                              </a:solidFill>
                            </wpg:grpSpPr>
                            <wps:wsp>
                              <wps:cNvPr id="40" name="Freeform 103"/>
                              <wps:cNvSpPr>
                                <a:spLocks noChangeAspect="1" noEditPoints="1"/>
                              </wps:cNvSpPr>
                              <wps:spPr bwMode="auto">
                                <a:xfrm>
                                  <a:off x="0" y="0"/>
                                  <a:ext cx="539750" cy="539750"/>
                                </a:xfrm>
                                <a:custGeom>
                                  <a:avLst/>
                                  <a:gdLst>
                                    <a:gd name="T0" fmla="*/ 168 w 169"/>
                                    <a:gd name="T1" fmla="*/ 164 h 169"/>
                                    <a:gd name="T2" fmla="*/ 127 w 169"/>
                                    <a:gd name="T3" fmla="*/ 122 h 169"/>
                                    <a:gd name="T4" fmla="*/ 127 w 169"/>
                                    <a:gd name="T5" fmla="*/ 122 h 169"/>
                                    <a:gd name="T6" fmla="*/ 146 w 169"/>
                                    <a:gd name="T7" fmla="*/ 73 h 169"/>
                                    <a:gd name="T8" fmla="*/ 73 w 169"/>
                                    <a:gd name="T9" fmla="*/ 0 h 169"/>
                                    <a:gd name="T10" fmla="*/ 0 w 169"/>
                                    <a:gd name="T11" fmla="*/ 73 h 169"/>
                                    <a:gd name="T12" fmla="*/ 73 w 169"/>
                                    <a:gd name="T13" fmla="*/ 146 h 169"/>
                                    <a:gd name="T14" fmla="*/ 122 w 169"/>
                                    <a:gd name="T15" fmla="*/ 128 h 169"/>
                                    <a:gd name="T16" fmla="*/ 122 w 169"/>
                                    <a:gd name="T17" fmla="*/ 127 h 169"/>
                                    <a:gd name="T18" fmla="*/ 122 w 169"/>
                                    <a:gd name="T19" fmla="*/ 128 h 169"/>
                                    <a:gd name="T20" fmla="*/ 163 w 169"/>
                                    <a:gd name="T21" fmla="*/ 168 h 169"/>
                                    <a:gd name="T22" fmla="*/ 166 w 169"/>
                                    <a:gd name="T23" fmla="*/ 169 h 169"/>
                                    <a:gd name="T24" fmla="*/ 169 w 169"/>
                                    <a:gd name="T25" fmla="*/ 166 h 169"/>
                                    <a:gd name="T26" fmla="*/ 168 w 169"/>
                                    <a:gd name="T27" fmla="*/ 164 h 169"/>
                                    <a:gd name="T28" fmla="*/ 73 w 169"/>
                                    <a:gd name="T29" fmla="*/ 140 h 169"/>
                                    <a:gd name="T30" fmla="*/ 7 w 169"/>
                                    <a:gd name="T31" fmla="*/ 73 h 169"/>
                                    <a:gd name="T32" fmla="*/ 73 w 169"/>
                                    <a:gd name="T33" fmla="*/ 7 h 169"/>
                                    <a:gd name="T34" fmla="*/ 139 w 169"/>
                                    <a:gd name="T35" fmla="*/ 73 h 169"/>
                                    <a:gd name="T36" fmla="*/ 73 w 169"/>
                                    <a:gd name="T37" fmla="*/ 140 h 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69" h="169">
                                      <a:moveTo>
                                        <a:pt x="168" y="164"/>
                                      </a:moveTo>
                                      <a:cubicBezTo>
                                        <a:pt x="127" y="122"/>
                                        <a:pt x="127" y="122"/>
                                        <a:pt x="127" y="122"/>
                                      </a:cubicBezTo>
                                      <a:cubicBezTo>
                                        <a:pt x="127" y="122"/>
                                        <a:pt x="127" y="122"/>
                                        <a:pt x="127" y="122"/>
                                      </a:cubicBezTo>
                                      <a:cubicBezTo>
                                        <a:pt x="139" y="109"/>
                                        <a:pt x="146" y="91"/>
                                        <a:pt x="146" y="73"/>
                                      </a:cubicBezTo>
                                      <a:cubicBezTo>
                                        <a:pt x="146" y="33"/>
                                        <a:pt x="113" y="0"/>
                                        <a:pt x="73" y="0"/>
                                      </a:cubicBezTo>
                                      <a:cubicBezTo>
                                        <a:pt x="33" y="0"/>
                                        <a:pt x="0" y="33"/>
                                        <a:pt x="0" y="73"/>
                                      </a:cubicBezTo>
                                      <a:cubicBezTo>
                                        <a:pt x="0" y="114"/>
                                        <a:pt x="33" y="146"/>
                                        <a:pt x="73" y="146"/>
                                      </a:cubicBezTo>
                                      <a:cubicBezTo>
                                        <a:pt x="91" y="146"/>
                                        <a:pt x="108" y="140"/>
                                        <a:pt x="122" y="128"/>
                                      </a:cubicBezTo>
                                      <a:cubicBezTo>
                                        <a:pt x="122" y="127"/>
                                        <a:pt x="122" y="127"/>
                                        <a:pt x="122" y="127"/>
                                      </a:cubicBezTo>
                                      <a:cubicBezTo>
                                        <a:pt x="122" y="128"/>
                                        <a:pt x="122" y="128"/>
                                        <a:pt x="122" y="128"/>
                                      </a:cubicBezTo>
                                      <a:cubicBezTo>
                                        <a:pt x="163" y="168"/>
                                        <a:pt x="163" y="168"/>
                                        <a:pt x="163" y="168"/>
                                      </a:cubicBezTo>
                                      <a:cubicBezTo>
                                        <a:pt x="164" y="169"/>
                                        <a:pt x="165" y="169"/>
                                        <a:pt x="166" y="169"/>
                                      </a:cubicBezTo>
                                      <a:cubicBezTo>
                                        <a:pt x="168" y="169"/>
                                        <a:pt x="169" y="168"/>
                                        <a:pt x="169" y="166"/>
                                      </a:cubicBezTo>
                                      <a:cubicBezTo>
                                        <a:pt x="169" y="165"/>
                                        <a:pt x="169" y="164"/>
                                        <a:pt x="168" y="164"/>
                                      </a:cubicBezTo>
                                      <a:close/>
                                      <a:moveTo>
                                        <a:pt x="73" y="140"/>
                                      </a:moveTo>
                                      <a:cubicBezTo>
                                        <a:pt x="37" y="140"/>
                                        <a:pt x="7" y="110"/>
                                        <a:pt x="7" y="73"/>
                                      </a:cubicBezTo>
                                      <a:cubicBezTo>
                                        <a:pt x="7" y="37"/>
                                        <a:pt x="37" y="7"/>
                                        <a:pt x="73" y="7"/>
                                      </a:cubicBezTo>
                                      <a:cubicBezTo>
                                        <a:pt x="110" y="7"/>
                                        <a:pt x="139" y="37"/>
                                        <a:pt x="139" y="73"/>
                                      </a:cubicBezTo>
                                      <a:cubicBezTo>
                                        <a:pt x="139" y="110"/>
                                        <a:pt x="110" y="140"/>
                                        <a:pt x="73" y="140"/>
                                      </a:cubicBezTo>
                                      <a:close/>
                                    </a:path>
                                  </a:pathLst>
                                </a:custGeom>
                                <a:grpFill/>
                                <a:ln>
                                  <a:noFill/>
                                </a:ln>
                              </wps:spPr>
                              <wps:bodyPr vert="horz" wrap="square" lIns="91440" tIns="45720" rIns="91440" bIns="45720" numCol="1" anchor="t" anchorCtr="0" compatLnSpc="1">
                                <a:prstTxWarp prst="textNoShape">
                                  <a:avLst/>
                                </a:prstTxWarp>
                              </wps:bodyPr>
                            </wps:wsp>
                            <wpg:grpSp>
                              <wpg:cNvPr id="41" name="Group 41"/>
                              <wpg:cNvGrpSpPr/>
                              <wpg:grpSpPr>
                                <a:xfrm>
                                  <a:off x="185109" y="112004"/>
                                  <a:ext cx="92075" cy="244475"/>
                                  <a:chOff x="185109" y="112004"/>
                                  <a:chExt cx="92075" cy="244475"/>
                                </a:xfrm>
                                <a:grpFill/>
                              </wpg:grpSpPr>
                              <wps:wsp>
                                <wps:cNvPr id="42" name="Freeform 7"/>
                                <wps:cNvSpPr>
                                  <a:spLocks/>
                                </wps:cNvSpPr>
                                <wps:spPr bwMode="auto">
                                  <a:xfrm>
                                    <a:off x="204159" y="112004"/>
                                    <a:ext cx="53975" cy="57150"/>
                                  </a:xfrm>
                                  <a:custGeom>
                                    <a:avLst/>
                                    <a:gdLst>
                                      <a:gd name="T0" fmla="*/ 8 w 17"/>
                                      <a:gd name="T1" fmla="*/ 0 h 18"/>
                                      <a:gd name="T2" fmla="*/ 2 w 17"/>
                                      <a:gd name="T3" fmla="*/ 3 h 18"/>
                                      <a:gd name="T4" fmla="*/ 0 w 17"/>
                                      <a:gd name="T5" fmla="*/ 9 h 18"/>
                                      <a:gd name="T6" fmla="*/ 2 w 17"/>
                                      <a:gd name="T7" fmla="*/ 16 h 18"/>
                                      <a:gd name="T8" fmla="*/ 8 w 17"/>
                                      <a:gd name="T9" fmla="*/ 18 h 18"/>
                                      <a:gd name="T10" fmla="*/ 15 w 17"/>
                                      <a:gd name="T11" fmla="*/ 16 h 18"/>
                                      <a:gd name="T12" fmla="*/ 17 w 17"/>
                                      <a:gd name="T13" fmla="*/ 9 h 18"/>
                                      <a:gd name="T14" fmla="*/ 15 w 17"/>
                                      <a:gd name="T15" fmla="*/ 3 h 18"/>
                                      <a:gd name="T16" fmla="*/ 8 w 17"/>
                                      <a:gd name="T17"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8">
                                        <a:moveTo>
                                          <a:pt x="8" y="0"/>
                                        </a:moveTo>
                                        <a:cubicBezTo>
                                          <a:pt x="6" y="0"/>
                                          <a:pt x="4" y="1"/>
                                          <a:pt x="2" y="3"/>
                                        </a:cubicBezTo>
                                        <a:cubicBezTo>
                                          <a:pt x="1" y="5"/>
                                          <a:pt x="0" y="7"/>
                                          <a:pt x="0" y="9"/>
                                        </a:cubicBezTo>
                                        <a:cubicBezTo>
                                          <a:pt x="0" y="12"/>
                                          <a:pt x="1" y="14"/>
                                          <a:pt x="2" y="16"/>
                                        </a:cubicBezTo>
                                        <a:cubicBezTo>
                                          <a:pt x="4" y="17"/>
                                          <a:pt x="6" y="18"/>
                                          <a:pt x="8" y="18"/>
                                        </a:cubicBezTo>
                                        <a:cubicBezTo>
                                          <a:pt x="11" y="18"/>
                                          <a:pt x="13" y="17"/>
                                          <a:pt x="15" y="16"/>
                                        </a:cubicBezTo>
                                        <a:cubicBezTo>
                                          <a:pt x="16" y="14"/>
                                          <a:pt x="17" y="12"/>
                                          <a:pt x="17" y="9"/>
                                        </a:cubicBezTo>
                                        <a:cubicBezTo>
                                          <a:pt x="17" y="7"/>
                                          <a:pt x="16" y="5"/>
                                          <a:pt x="15" y="3"/>
                                        </a:cubicBezTo>
                                        <a:cubicBezTo>
                                          <a:pt x="13" y="1"/>
                                          <a:pt x="11" y="0"/>
                                          <a:pt x="8"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3" name="Freeform 8"/>
                                <wps:cNvSpPr>
                                  <a:spLocks/>
                                </wps:cNvSpPr>
                                <wps:spPr bwMode="auto">
                                  <a:xfrm>
                                    <a:off x="185109" y="194554"/>
                                    <a:ext cx="92075" cy="161925"/>
                                  </a:xfrm>
                                  <a:custGeom>
                                    <a:avLst/>
                                    <a:gdLst>
                                      <a:gd name="T0" fmla="*/ 24 w 29"/>
                                      <a:gd name="T1" fmla="*/ 44 h 51"/>
                                      <a:gd name="T2" fmla="*/ 20 w 29"/>
                                      <a:gd name="T3" fmla="*/ 43 h 51"/>
                                      <a:gd name="T4" fmla="*/ 19 w 29"/>
                                      <a:gd name="T5" fmla="*/ 40 h 51"/>
                                      <a:gd name="T6" fmla="*/ 19 w 29"/>
                                      <a:gd name="T7" fmla="*/ 36 h 51"/>
                                      <a:gd name="T8" fmla="*/ 20 w 29"/>
                                      <a:gd name="T9" fmla="*/ 32 h 51"/>
                                      <a:gd name="T10" fmla="*/ 24 w 29"/>
                                      <a:gd name="T11" fmla="*/ 18 h 51"/>
                                      <a:gd name="T12" fmla="*/ 24 w 29"/>
                                      <a:gd name="T13" fmla="*/ 14 h 51"/>
                                      <a:gd name="T14" fmla="*/ 25 w 29"/>
                                      <a:gd name="T15" fmla="*/ 11 h 51"/>
                                      <a:gd name="T16" fmla="*/ 22 w 29"/>
                                      <a:gd name="T17" fmla="*/ 3 h 51"/>
                                      <a:gd name="T18" fmla="*/ 14 w 29"/>
                                      <a:gd name="T19" fmla="*/ 0 h 51"/>
                                      <a:gd name="T20" fmla="*/ 7 w 29"/>
                                      <a:gd name="T21" fmla="*/ 2 h 51"/>
                                      <a:gd name="T22" fmla="*/ 1 w 29"/>
                                      <a:gd name="T23" fmla="*/ 4 h 51"/>
                                      <a:gd name="T24" fmla="*/ 0 w 29"/>
                                      <a:gd name="T25" fmla="*/ 9 h 51"/>
                                      <a:gd name="T26" fmla="*/ 2 w 29"/>
                                      <a:gd name="T27" fmla="*/ 8 h 51"/>
                                      <a:gd name="T28" fmla="*/ 5 w 29"/>
                                      <a:gd name="T29" fmla="*/ 7 h 51"/>
                                      <a:gd name="T30" fmla="*/ 9 w 29"/>
                                      <a:gd name="T31" fmla="*/ 8 h 51"/>
                                      <a:gd name="T32" fmla="*/ 10 w 29"/>
                                      <a:gd name="T33" fmla="*/ 12 h 51"/>
                                      <a:gd name="T34" fmla="*/ 10 w 29"/>
                                      <a:gd name="T35" fmla="*/ 16 h 51"/>
                                      <a:gd name="T36" fmla="*/ 9 w 29"/>
                                      <a:gd name="T37" fmla="*/ 19 h 51"/>
                                      <a:gd name="T38" fmla="*/ 5 w 29"/>
                                      <a:gd name="T39" fmla="*/ 34 h 51"/>
                                      <a:gd name="T40" fmla="*/ 4 w 29"/>
                                      <a:gd name="T41" fmla="*/ 38 h 51"/>
                                      <a:gd name="T42" fmla="*/ 4 w 29"/>
                                      <a:gd name="T43" fmla="*/ 41 h 51"/>
                                      <a:gd name="T44" fmla="*/ 7 w 29"/>
                                      <a:gd name="T45" fmla="*/ 48 h 51"/>
                                      <a:gd name="T46" fmla="*/ 15 w 29"/>
                                      <a:gd name="T47" fmla="*/ 51 h 51"/>
                                      <a:gd name="T48" fmla="*/ 21 w 29"/>
                                      <a:gd name="T49" fmla="*/ 50 h 51"/>
                                      <a:gd name="T50" fmla="*/ 28 w 29"/>
                                      <a:gd name="T51" fmla="*/ 47 h 51"/>
                                      <a:gd name="T52" fmla="*/ 29 w 29"/>
                                      <a:gd name="T53" fmla="*/ 43 h 51"/>
                                      <a:gd name="T54" fmla="*/ 27 w 29"/>
                                      <a:gd name="T55" fmla="*/ 44 h 51"/>
                                      <a:gd name="T56" fmla="*/ 24 w 29"/>
                                      <a:gd name="T57" fmla="*/ 44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9" h="51">
                                        <a:moveTo>
                                          <a:pt x="24" y="44"/>
                                        </a:moveTo>
                                        <a:cubicBezTo>
                                          <a:pt x="22" y="44"/>
                                          <a:pt x="21" y="44"/>
                                          <a:pt x="20" y="43"/>
                                        </a:cubicBezTo>
                                        <a:cubicBezTo>
                                          <a:pt x="19" y="43"/>
                                          <a:pt x="19" y="41"/>
                                          <a:pt x="19" y="40"/>
                                        </a:cubicBezTo>
                                        <a:cubicBezTo>
                                          <a:pt x="19" y="39"/>
                                          <a:pt x="19" y="38"/>
                                          <a:pt x="19" y="36"/>
                                        </a:cubicBezTo>
                                        <a:cubicBezTo>
                                          <a:pt x="19" y="35"/>
                                          <a:pt x="20" y="33"/>
                                          <a:pt x="20" y="32"/>
                                        </a:cubicBezTo>
                                        <a:cubicBezTo>
                                          <a:pt x="24" y="18"/>
                                          <a:pt x="24" y="18"/>
                                          <a:pt x="24" y="18"/>
                                        </a:cubicBezTo>
                                        <a:cubicBezTo>
                                          <a:pt x="24" y="17"/>
                                          <a:pt x="24" y="15"/>
                                          <a:pt x="24" y="14"/>
                                        </a:cubicBezTo>
                                        <a:cubicBezTo>
                                          <a:pt x="24" y="12"/>
                                          <a:pt x="25" y="11"/>
                                          <a:pt x="25" y="11"/>
                                        </a:cubicBezTo>
                                        <a:cubicBezTo>
                                          <a:pt x="25" y="8"/>
                                          <a:pt x="24" y="5"/>
                                          <a:pt x="22" y="3"/>
                                        </a:cubicBezTo>
                                        <a:cubicBezTo>
                                          <a:pt x="20" y="1"/>
                                          <a:pt x="17" y="0"/>
                                          <a:pt x="14" y="0"/>
                                        </a:cubicBezTo>
                                        <a:cubicBezTo>
                                          <a:pt x="12" y="0"/>
                                          <a:pt x="10" y="1"/>
                                          <a:pt x="7" y="2"/>
                                        </a:cubicBezTo>
                                        <a:cubicBezTo>
                                          <a:pt x="5" y="2"/>
                                          <a:pt x="3" y="3"/>
                                          <a:pt x="1" y="4"/>
                                        </a:cubicBezTo>
                                        <a:cubicBezTo>
                                          <a:pt x="0" y="9"/>
                                          <a:pt x="0" y="9"/>
                                          <a:pt x="0" y="9"/>
                                        </a:cubicBezTo>
                                        <a:cubicBezTo>
                                          <a:pt x="0" y="8"/>
                                          <a:pt x="1" y="8"/>
                                          <a:pt x="2" y="8"/>
                                        </a:cubicBezTo>
                                        <a:cubicBezTo>
                                          <a:pt x="3" y="8"/>
                                          <a:pt x="4" y="7"/>
                                          <a:pt x="5" y="7"/>
                                        </a:cubicBezTo>
                                        <a:cubicBezTo>
                                          <a:pt x="7" y="7"/>
                                          <a:pt x="8" y="8"/>
                                          <a:pt x="9" y="8"/>
                                        </a:cubicBezTo>
                                        <a:cubicBezTo>
                                          <a:pt x="10" y="9"/>
                                          <a:pt x="10" y="10"/>
                                          <a:pt x="10" y="12"/>
                                        </a:cubicBezTo>
                                        <a:cubicBezTo>
                                          <a:pt x="10" y="13"/>
                                          <a:pt x="10" y="14"/>
                                          <a:pt x="10" y="16"/>
                                        </a:cubicBezTo>
                                        <a:cubicBezTo>
                                          <a:pt x="9" y="17"/>
                                          <a:pt x="9" y="18"/>
                                          <a:pt x="9" y="19"/>
                                        </a:cubicBezTo>
                                        <a:cubicBezTo>
                                          <a:pt x="5" y="34"/>
                                          <a:pt x="5" y="34"/>
                                          <a:pt x="5" y="34"/>
                                        </a:cubicBezTo>
                                        <a:cubicBezTo>
                                          <a:pt x="5" y="35"/>
                                          <a:pt x="5" y="37"/>
                                          <a:pt x="4" y="38"/>
                                        </a:cubicBezTo>
                                        <a:cubicBezTo>
                                          <a:pt x="4" y="39"/>
                                          <a:pt x="4" y="40"/>
                                          <a:pt x="4" y="41"/>
                                        </a:cubicBezTo>
                                        <a:cubicBezTo>
                                          <a:pt x="4" y="44"/>
                                          <a:pt x="5" y="47"/>
                                          <a:pt x="7" y="48"/>
                                        </a:cubicBezTo>
                                        <a:cubicBezTo>
                                          <a:pt x="9" y="50"/>
                                          <a:pt x="12" y="51"/>
                                          <a:pt x="15" y="51"/>
                                        </a:cubicBezTo>
                                        <a:cubicBezTo>
                                          <a:pt x="18" y="51"/>
                                          <a:pt x="20" y="51"/>
                                          <a:pt x="21" y="50"/>
                                        </a:cubicBezTo>
                                        <a:cubicBezTo>
                                          <a:pt x="23" y="50"/>
                                          <a:pt x="25" y="49"/>
                                          <a:pt x="28" y="47"/>
                                        </a:cubicBezTo>
                                        <a:cubicBezTo>
                                          <a:pt x="29" y="43"/>
                                          <a:pt x="29" y="43"/>
                                          <a:pt x="29" y="43"/>
                                        </a:cubicBezTo>
                                        <a:cubicBezTo>
                                          <a:pt x="29" y="43"/>
                                          <a:pt x="28" y="44"/>
                                          <a:pt x="27" y="44"/>
                                        </a:cubicBezTo>
                                        <a:cubicBezTo>
                                          <a:pt x="26" y="44"/>
                                          <a:pt x="25" y="44"/>
                                          <a:pt x="24" y="44"/>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wgp>
                        </a:graphicData>
                      </a:graphic>
                    </wp:inline>
                  </w:drawing>
                </mc:Choice>
                <mc:Fallback xmlns:w16sdtdh="http://schemas.microsoft.com/office/word/2020/wordml/sdtdatahash">
                  <w:pict>
                    <v:group w14:anchorId="094EEAD1" id="Group 54" o:spid="_x0000_s1026" alt="&quot;&quot;" style="width:28.35pt;height:28.35pt;mso-position-horizontal-relative:char;mso-position-vertical-relative:line" coordsize="5397,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">
                      <o:lock v:ext="edit" aspectratio="t"/>
                      <v:shape id="Freeform 103" o:spid="_x0000_s1027" style="position:absolute;width:5397;height:5397;visibility:visible;mso-wrap-style:square;v-text-anchor:top" coordsize="16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" path="m168,164c127,122,127,122,127,122v,,,,,c139,109,146,91,146,73,146,33,113,,73,,33,,,33,,73v,41,33,73,73,73c91,146,108,140,122,128v,-1,,-1,,-1c122,128,122,128,122,128v41,40,41,40,41,40c164,169,165,169,166,169v2,,3,-1,3,-3c169,165,169,164,168,164xm73,140c37,140,7,110,7,73,7,37,37,7,73,7v37,,66,30,66,66c139,110,110,140,73,140xe" filled="f" stroked="f">
                        <v:path arrowok="t" o:connecttype="custom" o:connectlocs="536556,523781;405611,389642;405611,389642;466293,233146;233146,0;0,233146;233146,466293;389642,408805;389642,405611;389642,408805;520587,536556;530169,539750;539750,530169;536556,523781;233146,447130;22357,233146;233146,22357;443936,233146;233146,447130" o:connectangles="0,0,0,0,0,0,0,0,0,0,0,0,0,0,0,0,0,0,0"/>
                        <o:lock v:ext="edit" aspectratio="t" verticies="t"/>
                      </v:shape>
                      <v:group id="Group 41" o:spid="_x0000_s1028" style="position:absolute;left:1851;top:1120;width:920;height:2444" coordorigin="185109,112004" coordsize="92075,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7" o:spid="_x0000_s1029" style="position:absolute;left:204159;top:112004;width:53975;height:57150;visibility:visible;mso-wrap-style:square;v-text-anchor:top" coordsize="1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" path="m8,c6,,4,1,2,3,1,5,,7,,9v,3,1,5,2,7c4,17,6,18,8,18v3,,5,-1,7,-2c16,14,17,12,17,9,17,7,16,5,15,3,13,1,11,,8,e" filled="f" stroked="f">
                          <v:path arrowok="t" o:connecttype="custom" o:connectlocs="25400,0;6350,9525;0,28575;6350,50800;25400,57150;47625,50800;53975,28575;47625,9525;25400,0" o:connectangles="0,0,0,0,0,0,0,0,0"/>
                        </v:shape>
                        <v:shape id="Freeform 8" o:spid="_x0000_s1030" style="position:absolute;left:185109;top:194554;width:92075;height:161925;visibility:visible;mso-wrap-style:square;v-text-anchor:top" coordsize="2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" path="m24,44v-2,,-3,,-4,-1c19,43,19,41,19,40v,-1,,-2,,-4c19,35,20,33,20,32,24,18,24,18,24,18v,-1,,-3,,-4c24,12,25,11,25,11,25,8,24,5,22,3,20,1,17,,14,,12,,10,1,7,2,5,2,3,3,1,4,,9,,9,,9,,8,1,8,2,8,3,8,4,7,5,7v2,,3,1,4,1c10,9,10,10,10,12v,1,,2,,4c9,17,9,18,9,19,5,34,5,34,5,34v,1,,3,-1,4c4,39,4,40,4,41v,3,1,6,3,7c9,50,12,51,15,51v3,,5,,6,-1c23,50,25,49,28,47v1,-4,1,-4,1,-4c29,43,28,44,27,44v-1,,-2,,-3,e" filled="f" stroked="f">
                          <v:path arrowok="t" o:connecttype="custom" o:connectlocs="76200,139700;63500,136525;60325,127000;60325,114300;63500,101600;76200,57150;76200,44450;79375,34925;69850,9525;44450,0;22225,6350;3175,12700;0,28575;6350,25400;15875,22225;28575,25400;31750,38100;31750,50800;28575,60325;15875,107950;12700,120650;12700,130175;22225,152400;47625,161925;66675,158750;88900,149225;92075,136525;85725,139700;76200,139700" o:connectangles="0,0,0,0,0,0,0,0,0,0,0,0,0,0,0,0,0,0,0,0,0,0,0,0,0,0,0,0,0"/>
                        </v:shape>
                      </v:group>
                      <w10:anchorlock/>
                    </v:group>
                  </w:pict>
                </mc:Fallback>
              </mc:AlternateContent>
            </w:r>
          </w:p>
        </w:tc>
        <w:tc>
          <w:tcPr>
            <w:tcW w:w="7797" w:type="dxa"/>
            <w:shd w:val="clear" w:color="auto" w:fill="00264D" w:themeFill="background2"/>
          </w:tcPr>
          <w:p w14:paraId="0145ACBB" w14:textId="77777777" w:rsidR="00AE4859" w:rsidRPr="00AE4859" w:rsidRDefault="00AE4859" w:rsidP="00AE4859">
            <w:pPr>
              <w:spacing w:after="0" w:line="257" w:lineRule="auto"/>
              <w:rPr>
                <w:rFonts w:ascii="Segoe UI Semibold" w:eastAsia="Segoe UI" w:hAnsi="Segoe UI Semibold" w:cs="Segoe UI Semibold"/>
                <w:color w:val="FFFFFF"/>
              </w:rPr>
            </w:pPr>
            <w:r w:rsidRPr="00AE4859">
              <w:rPr>
                <w:rFonts w:ascii="Segoe UI Semibold" w:eastAsia="Segoe UI" w:hAnsi="Segoe UI Semibold" w:cs="Segoe UI Semibold"/>
                <w:color w:val="FFFFFF"/>
                <w:szCs w:val="19"/>
              </w:rPr>
              <w:t xml:space="preserve">What are the palliative care needs of residents, families/carers, </w:t>
            </w:r>
            <w:proofErr w:type="gramStart"/>
            <w:r w:rsidRPr="00AE4859">
              <w:rPr>
                <w:rFonts w:ascii="Segoe UI Semibold" w:eastAsia="Segoe UI" w:hAnsi="Segoe UI Semibold" w:cs="Segoe UI Semibold"/>
                <w:color w:val="FFFFFF"/>
                <w:szCs w:val="19"/>
              </w:rPr>
              <w:t>staff</w:t>
            </w:r>
            <w:proofErr w:type="gramEnd"/>
            <w:r w:rsidRPr="00AE4859">
              <w:rPr>
                <w:rFonts w:ascii="Segoe UI Semibold" w:eastAsia="Segoe UI" w:hAnsi="Segoe UI Semibold" w:cs="Segoe UI Semibold"/>
                <w:color w:val="FFFFFF"/>
                <w:szCs w:val="19"/>
              </w:rPr>
              <w:t xml:space="preserve"> and the system in RACFs?</w:t>
            </w:r>
          </w:p>
        </w:tc>
      </w:tr>
    </w:tbl>
    <w:p w14:paraId="67F1603E" w14:textId="77777777" w:rsidR="002A21E9" w:rsidRDefault="00F85625" w:rsidP="00F85625">
      <w:pPr>
        <w:rPr>
          <w:lang w:eastAsia="en-AU"/>
        </w:rPr>
      </w:pPr>
      <w:r>
        <w:rPr>
          <w:lang w:eastAsia="en-AU"/>
        </w:rPr>
        <w:t xml:space="preserve">Palliative care helps people live their life as fully and as comfortably as possible when living with a life-limiting or terminal illness, including the provision of general and specialist care to meet patient needs. It is distinct from end of life care, which is often described as a component of palliative care. </w:t>
      </w:r>
    </w:p>
    <w:p w14:paraId="153F35BC" w14:textId="0FA5D537" w:rsidR="00F85625" w:rsidRPr="002E1FBE" w:rsidRDefault="00F85625" w:rsidP="00F85625">
      <w:r>
        <w:rPr>
          <w:lang w:eastAsia="en-AU"/>
        </w:rPr>
        <w:t>Evidence indicates that q</w:t>
      </w:r>
      <w:r w:rsidRPr="002F0671">
        <w:rPr>
          <w:szCs w:val="19"/>
        </w:rPr>
        <w:t xml:space="preserve">uality palliative care in RACFs is </w:t>
      </w:r>
      <w:r>
        <w:rPr>
          <w:szCs w:val="19"/>
        </w:rPr>
        <w:t>characterised</w:t>
      </w:r>
      <w:r w:rsidRPr="002F0671">
        <w:rPr>
          <w:szCs w:val="19"/>
        </w:rPr>
        <w:t xml:space="preserve"> by a respectful, </w:t>
      </w:r>
      <w:proofErr w:type="gramStart"/>
      <w:r w:rsidRPr="002F0671">
        <w:rPr>
          <w:szCs w:val="19"/>
        </w:rPr>
        <w:t>person-centred</w:t>
      </w:r>
      <w:proofErr w:type="gramEnd"/>
      <w:r w:rsidRPr="002F0671">
        <w:rPr>
          <w:szCs w:val="19"/>
        </w:rPr>
        <w:t xml:space="preserve"> and integrated approach</w:t>
      </w:r>
      <w:r>
        <w:rPr>
          <w:szCs w:val="19"/>
        </w:rPr>
        <w:t>. Direct measures of quality palliative care have been delivered by the Palliative Care Outcomes Collaboration (PCOC), while proxy m</w:t>
      </w:r>
      <w:r w:rsidRPr="002F0671">
        <w:rPr>
          <w:szCs w:val="19"/>
        </w:rPr>
        <w:t xml:space="preserve">arkers of quality palliative care in RACFs </w:t>
      </w:r>
      <w:r>
        <w:rPr>
          <w:szCs w:val="19"/>
        </w:rPr>
        <w:t xml:space="preserve">include increased rates of advance care planning, decreased hospital admissions, reduced time spent in hospitals, and achieving a preferred place of death. </w:t>
      </w:r>
    </w:p>
    <w:p w14:paraId="34FD2545" w14:textId="77777777" w:rsidR="00F85625" w:rsidRDefault="00F85625" w:rsidP="00F85625">
      <w:r w:rsidRPr="002E1FBE">
        <w:t xml:space="preserve">The literature review identified a consistent body of evidence describing the needs of residents, families, </w:t>
      </w:r>
      <w:proofErr w:type="gramStart"/>
      <w:r w:rsidRPr="002E1FBE">
        <w:t>carers</w:t>
      </w:r>
      <w:proofErr w:type="gramEnd"/>
      <w:r w:rsidRPr="002E1FBE">
        <w:t xml:space="preserve"> and staff</w:t>
      </w:r>
      <w:r>
        <w:t xml:space="preserve"> in RACFs. </w:t>
      </w:r>
      <w:r w:rsidRPr="002E1FBE">
        <w:t xml:space="preserve">Residents </w:t>
      </w:r>
      <w:r>
        <w:t xml:space="preserve">of RACFs </w:t>
      </w:r>
      <w:r w:rsidRPr="002E1FBE">
        <w:t xml:space="preserve">need </w:t>
      </w:r>
      <w:r w:rsidRPr="002F0671">
        <w:t xml:space="preserve">personalised, multidisciplinary palliative care that encompasses physical, </w:t>
      </w:r>
      <w:proofErr w:type="gramStart"/>
      <w:r w:rsidRPr="002F0671">
        <w:t>spiritual</w:t>
      </w:r>
      <w:proofErr w:type="gramEnd"/>
      <w:r w:rsidRPr="002F0671">
        <w:t xml:space="preserve"> and psychological care. </w:t>
      </w:r>
      <w:r>
        <w:t xml:space="preserve">Palliative care must be appropriate and flexible to their changing needs and preferences, including to medical comorbidities. </w:t>
      </w:r>
    </w:p>
    <w:p w14:paraId="6E8B95D7" w14:textId="77777777" w:rsidR="00F85625" w:rsidRDefault="00F85625" w:rsidP="00F85625">
      <w:r>
        <w:t>Evidence indicated that f</w:t>
      </w:r>
      <w:r w:rsidRPr="002F0671">
        <w:t xml:space="preserve">amilies and carers of RACF residents </w:t>
      </w:r>
      <w:r>
        <w:t>require access to information and appropriate resources and supports to maintain their own wellbeing. These supports include</w:t>
      </w:r>
      <w:r w:rsidRPr="002F0671">
        <w:t xml:space="preserve"> education </w:t>
      </w:r>
      <w:r>
        <w:t>and culturally respectful</w:t>
      </w:r>
      <w:r w:rsidRPr="002F0671">
        <w:t xml:space="preserve"> psychological support</w:t>
      </w:r>
      <w:r>
        <w:t xml:space="preserve">. They also need to be involved in and informed of care and decisions undertaken within the RACF. </w:t>
      </w:r>
    </w:p>
    <w:p w14:paraId="7C0047C5" w14:textId="12652ACF" w:rsidR="00F85625" w:rsidRDefault="00F85625" w:rsidP="00F85625">
      <w:pPr>
        <w:rPr>
          <w:lang w:eastAsia="en-AU"/>
        </w:rPr>
      </w:pPr>
      <w:r>
        <w:rPr>
          <w:lang w:eastAsia="en-AU"/>
        </w:rPr>
        <w:t xml:space="preserve">Staff have varying needs based on their roles, but evidence notes that they need access to appropriate education, training and resources that enables them to identify palliative care needs, communicate about </w:t>
      </w:r>
      <w:r>
        <w:rPr>
          <w:lang w:eastAsia="en-AU"/>
        </w:rPr>
        <w:lastRenderedPageBreak/>
        <w:t xml:space="preserve">palliative care with families and carers, and provide high quality care. </w:t>
      </w:r>
      <w:r>
        <w:t>RACFs need to recognise what skills each staff member requires to provide quality palliative care in RACFs, within</w:t>
      </w:r>
      <w:r w:rsidR="00735912">
        <w:t xml:space="preserve"> their scope of practice</w:t>
      </w:r>
      <w:r>
        <w:t>.</w:t>
      </w:r>
    </w:p>
    <w:p w14:paraId="31CE5BB6" w14:textId="77777777" w:rsidR="00F85625" w:rsidRDefault="00F85625" w:rsidP="00F85625">
      <w:pPr>
        <w:rPr>
          <w:szCs w:val="19"/>
        </w:rPr>
      </w:pPr>
      <w:r>
        <w:rPr>
          <w:lang w:eastAsia="en-AU"/>
        </w:rPr>
        <w:t xml:space="preserve">The evidence indicates that system needs include appropriate funding, </w:t>
      </w:r>
      <w:proofErr w:type="gramStart"/>
      <w:r>
        <w:rPr>
          <w:lang w:eastAsia="en-AU"/>
        </w:rPr>
        <w:t>delivery</w:t>
      </w:r>
      <w:proofErr w:type="gramEnd"/>
      <w:r>
        <w:rPr>
          <w:lang w:eastAsia="en-AU"/>
        </w:rPr>
        <w:t xml:space="preserve"> and integration support to meet the needs of residents, families, carers and staff. </w:t>
      </w:r>
      <w:r w:rsidRPr="002F0671">
        <w:rPr>
          <w:szCs w:val="19"/>
        </w:rPr>
        <w:t>Access and availability to high quality palliative care within the RACF is a challenge for many. Evidence indicate</w:t>
      </w:r>
      <w:r>
        <w:rPr>
          <w:szCs w:val="19"/>
        </w:rPr>
        <w:t>d</w:t>
      </w:r>
      <w:r w:rsidRPr="002F0671">
        <w:rPr>
          <w:szCs w:val="19"/>
        </w:rPr>
        <w:t xml:space="preserve"> that identifying and communicating about palliative care needs is a key service gap</w:t>
      </w:r>
      <w:r>
        <w:rPr>
          <w:szCs w:val="19"/>
        </w:rPr>
        <w:t xml:space="preserve"> and</w:t>
      </w:r>
      <w:r w:rsidRPr="002F0671">
        <w:rPr>
          <w:szCs w:val="19"/>
        </w:rPr>
        <w:t xml:space="preserve"> consistently indicates that workforce capacity and capability are significant contributors to service gaps.</w:t>
      </w:r>
      <w:r>
        <w:rPr>
          <w:szCs w:val="19"/>
        </w:rPr>
        <w:t xml:space="preserve"> </w:t>
      </w:r>
    </w:p>
    <w:p w14:paraId="54A1146E" w14:textId="77777777" w:rsidR="00F85625" w:rsidRPr="00E246E1" w:rsidRDefault="00F85625" w:rsidP="00F85625">
      <w:r>
        <w:rPr>
          <w:szCs w:val="19"/>
        </w:rPr>
        <w:t xml:space="preserve">The </w:t>
      </w:r>
      <w:r w:rsidRPr="002A3556">
        <w:t xml:space="preserve">body of evidence describing the needs of residents, families, </w:t>
      </w:r>
      <w:proofErr w:type="gramStart"/>
      <w:r w:rsidRPr="002A3556">
        <w:t>carers</w:t>
      </w:r>
      <w:proofErr w:type="gramEnd"/>
      <w:r w:rsidRPr="002A3556">
        <w:t xml:space="preserve"> and staff in RACFs will be used</w:t>
      </w:r>
      <w:r>
        <w:t xml:space="preserve"> to inform the national evaluation in the following ways:</w:t>
      </w:r>
    </w:p>
    <w:p w14:paraId="4299AC75" w14:textId="6209DD97" w:rsidR="00F85625" w:rsidRPr="002A3556" w:rsidRDefault="00F85625" w:rsidP="009275A8">
      <w:pPr>
        <w:pStyle w:val="Bullet"/>
        <w:numPr>
          <w:ilvl w:val="0"/>
          <w:numId w:val="4"/>
        </w:numPr>
        <w:spacing w:line="259" w:lineRule="auto"/>
      </w:pPr>
      <w:r w:rsidRPr="002A3556">
        <w:t xml:space="preserve">to describe the context within which RACFs participating in the Measure are </w:t>
      </w:r>
      <w:proofErr w:type="gramStart"/>
      <w:r w:rsidRPr="002A3556">
        <w:t>operating</w:t>
      </w:r>
      <w:r>
        <w:t>;</w:t>
      </w:r>
      <w:proofErr w:type="gramEnd"/>
      <w:r w:rsidRPr="002A3556">
        <w:t xml:space="preserve"> </w:t>
      </w:r>
    </w:p>
    <w:p w14:paraId="1C79DEF2" w14:textId="77777777" w:rsidR="00F85625" w:rsidRPr="002A3556" w:rsidRDefault="00F85625" w:rsidP="009275A8">
      <w:pPr>
        <w:pStyle w:val="Bullet"/>
        <w:numPr>
          <w:ilvl w:val="0"/>
          <w:numId w:val="4"/>
        </w:numPr>
        <w:spacing w:line="259" w:lineRule="auto"/>
      </w:pPr>
      <w:r w:rsidRPr="002A3556">
        <w:t xml:space="preserve">to understand the needs and operating context of systems involved in activities implemented under the </w:t>
      </w:r>
      <w:proofErr w:type="gramStart"/>
      <w:r w:rsidRPr="002A3556">
        <w:t>Measure</w:t>
      </w:r>
      <w:r>
        <w:t>;</w:t>
      </w:r>
      <w:proofErr w:type="gramEnd"/>
    </w:p>
    <w:p w14:paraId="0A6AA69C" w14:textId="77777777" w:rsidR="00F85625" w:rsidRDefault="00F85625" w:rsidP="009275A8">
      <w:pPr>
        <w:pStyle w:val="Bullet"/>
        <w:numPr>
          <w:ilvl w:val="0"/>
          <w:numId w:val="4"/>
        </w:numPr>
        <w:spacing w:line="259" w:lineRule="auto"/>
      </w:pPr>
      <w:r>
        <w:t>to</w:t>
      </w:r>
      <w:r w:rsidRPr="002A3556">
        <w:t xml:space="preserve"> steer the discussion on service gaps in the national evaluation and support the articulation of the unmet needs that the Measure aims to meet</w:t>
      </w:r>
      <w:r>
        <w:t>; and</w:t>
      </w:r>
    </w:p>
    <w:p w14:paraId="38866718" w14:textId="0F2D906A" w:rsidR="00F85625" w:rsidRDefault="00F85625" w:rsidP="009275A8">
      <w:pPr>
        <w:pStyle w:val="Bullet"/>
        <w:numPr>
          <w:ilvl w:val="0"/>
          <w:numId w:val="4"/>
        </w:numPr>
        <w:spacing w:line="259" w:lineRule="auto"/>
      </w:pPr>
      <w:r>
        <w:t>to</w:t>
      </w:r>
      <w:r w:rsidRPr="00373C20">
        <w:t xml:space="preserve"> inform the selection of indicators that will guide data collection and analysis for the national evaluation.</w:t>
      </w:r>
    </w:p>
    <w:p w14:paraId="25B531DF" w14:textId="77777777" w:rsidR="00D216FB" w:rsidRDefault="00D216FB" w:rsidP="00D216FB">
      <w:pPr>
        <w:pStyle w:val="Bullet"/>
        <w:numPr>
          <w:ilvl w:val="0"/>
          <w:numId w:val="0"/>
        </w:numPr>
        <w:spacing w:line="259" w:lineRule="auto"/>
        <w:ind w:left="340"/>
      </w:pPr>
    </w:p>
    <w:tbl>
      <w:tblPr>
        <w:tblStyle w:val="DPSTableGrid11"/>
        <w:tblW w:w="9016" w:type="dxa"/>
        <w:tblBorders>
          <w:bottom w:val="none" w:sz="0" w:space="0" w:color="auto"/>
          <w:insideH w:val="none" w:sz="0" w:space="0" w:color="auto"/>
        </w:tblBorders>
        <w:shd w:val="clear" w:color="auto" w:fill="F2F2F2"/>
        <w:tblCellMar>
          <w:top w:w="85" w:type="dxa"/>
        </w:tblCellMar>
        <w:tblLook w:val="0400" w:firstRow="0" w:lastRow="0" w:firstColumn="0" w:lastColumn="0" w:noHBand="0" w:noVBand="1"/>
        <w:tblCaption w:val="What models of care exist that have proven successful?"/>
      </w:tblPr>
      <w:tblGrid>
        <w:gridCol w:w="1078"/>
        <w:gridCol w:w="7938"/>
      </w:tblGrid>
      <w:tr w:rsidR="004E5E84" w:rsidRPr="004E5E84" w14:paraId="287BC7C2" w14:textId="77777777" w:rsidTr="22C19DAE">
        <w:trPr>
          <w:trHeight w:val="624"/>
        </w:trPr>
        <w:tc>
          <w:tcPr>
            <w:tcW w:w="1078" w:type="dxa"/>
            <w:shd w:val="clear" w:color="auto" w:fill="2E368F" w:themeFill="text2"/>
            <w:vAlign w:val="center"/>
          </w:tcPr>
          <w:p w14:paraId="2E46DAB4" w14:textId="77777777" w:rsidR="004E5E84" w:rsidRPr="004E5E84" w:rsidRDefault="004E5E84" w:rsidP="004E5E84">
            <w:pPr>
              <w:spacing w:after="0" w:line="257" w:lineRule="auto"/>
              <w:jc w:val="center"/>
              <w:rPr>
                <w:rFonts w:ascii="Segoe UI Semibold" w:eastAsia="Calibri" w:hAnsi="Segoe UI Semibold" w:cs="Segoe UI Semibold"/>
                <w:color w:val="FFFFFF"/>
              </w:rPr>
            </w:pPr>
            <w:r w:rsidRPr="004E5E84">
              <w:rPr>
                <w:rFonts w:ascii="Segoe UI Semibold" w:eastAsia="Calibri" w:hAnsi="Segoe UI Semibold" w:cs="Segoe UI Semibold"/>
                <w:noProof/>
                <w:color w:val="FFFFFF"/>
                <w:lang w:eastAsia="en-AU"/>
              </w:rPr>
              <mc:AlternateContent>
                <mc:Choice Requires="wpg">
                  <w:drawing>
                    <wp:inline distT="0" distB="0" distL="0" distR="0" wp14:anchorId="2FAB33DF" wp14:editId="24F27A7A">
                      <wp:extent cx="360000" cy="360000"/>
                      <wp:effectExtent l="0" t="0" r="2540" b="2540"/>
                      <wp:docPr id="33" name="Group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60000" cy="360000"/>
                                <a:chOff x="0" y="0"/>
                                <a:chExt cx="539750" cy="539750"/>
                              </a:xfrm>
                              <a:solidFill>
                                <a:sysClr val="window" lastClr="FFFFFF"/>
                              </a:solidFill>
                            </wpg:grpSpPr>
                            <wps:wsp>
                              <wps:cNvPr id="34" name="Freeform 103"/>
                              <wps:cNvSpPr>
                                <a:spLocks noChangeAspect="1" noEditPoints="1"/>
                              </wps:cNvSpPr>
                              <wps:spPr bwMode="auto">
                                <a:xfrm>
                                  <a:off x="0" y="0"/>
                                  <a:ext cx="539750" cy="539750"/>
                                </a:xfrm>
                                <a:custGeom>
                                  <a:avLst/>
                                  <a:gdLst>
                                    <a:gd name="T0" fmla="*/ 168 w 169"/>
                                    <a:gd name="T1" fmla="*/ 164 h 169"/>
                                    <a:gd name="T2" fmla="*/ 127 w 169"/>
                                    <a:gd name="T3" fmla="*/ 122 h 169"/>
                                    <a:gd name="T4" fmla="*/ 127 w 169"/>
                                    <a:gd name="T5" fmla="*/ 122 h 169"/>
                                    <a:gd name="T6" fmla="*/ 146 w 169"/>
                                    <a:gd name="T7" fmla="*/ 73 h 169"/>
                                    <a:gd name="T8" fmla="*/ 73 w 169"/>
                                    <a:gd name="T9" fmla="*/ 0 h 169"/>
                                    <a:gd name="T10" fmla="*/ 0 w 169"/>
                                    <a:gd name="T11" fmla="*/ 73 h 169"/>
                                    <a:gd name="T12" fmla="*/ 73 w 169"/>
                                    <a:gd name="T13" fmla="*/ 146 h 169"/>
                                    <a:gd name="T14" fmla="*/ 122 w 169"/>
                                    <a:gd name="T15" fmla="*/ 128 h 169"/>
                                    <a:gd name="T16" fmla="*/ 122 w 169"/>
                                    <a:gd name="T17" fmla="*/ 127 h 169"/>
                                    <a:gd name="T18" fmla="*/ 122 w 169"/>
                                    <a:gd name="T19" fmla="*/ 128 h 169"/>
                                    <a:gd name="T20" fmla="*/ 163 w 169"/>
                                    <a:gd name="T21" fmla="*/ 168 h 169"/>
                                    <a:gd name="T22" fmla="*/ 166 w 169"/>
                                    <a:gd name="T23" fmla="*/ 169 h 169"/>
                                    <a:gd name="T24" fmla="*/ 169 w 169"/>
                                    <a:gd name="T25" fmla="*/ 166 h 169"/>
                                    <a:gd name="T26" fmla="*/ 168 w 169"/>
                                    <a:gd name="T27" fmla="*/ 164 h 169"/>
                                    <a:gd name="T28" fmla="*/ 73 w 169"/>
                                    <a:gd name="T29" fmla="*/ 140 h 169"/>
                                    <a:gd name="T30" fmla="*/ 7 w 169"/>
                                    <a:gd name="T31" fmla="*/ 73 h 169"/>
                                    <a:gd name="T32" fmla="*/ 73 w 169"/>
                                    <a:gd name="T33" fmla="*/ 7 h 169"/>
                                    <a:gd name="T34" fmla="*/ 139 w 169"/>
                                    <a:gd name="T35" fmla="*/ 73 h 169"/>
                                    <a:gd name="T36" fmla="*/ 73 w 169"/>
                                    <a:gd name="T37" fmla="*/ 140 h 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69" h="169">
                                      <a:moveTo>
                                        <a:pt x="168" y="164"/>
                                      </a:moveTo>
                                      <a:cubicBezTo>
                                        <a:pt x="127" y="122"/>
                                        <a:pt x="127" y="122"/>
                                        <a:pt x="127" y="122"/>
                                      </a:cubicBezTo>
                                      <a:cubicBezTo>
                                        <a:pt x="127" y="122"/>
                                        <a:pt x="127" y="122"/>
                                        <a:pt x="127" y="122"/>
                                      </a:cubicBezTo>
                                      <a:cubicBezTo>
                                        <a:pt x="139" y="109"/>
                                        <a:pt x="146" y="91"/>
                                        <a:pt x="146" y="73"/>
                                      </a:cubicBezTo>
                                      <a:cubicBezTo>
                                        <a:pt x="146" y="33"/>
                                        <a:pt x="113" y="0"/>
                                        <a:pt x="73" y="0"/>
                                      </a:cubicBezTo>
                                      <a:cubicBezTo>
                                        <a:pt x="33" y="0"/>
                                        <a:pt x="0" y="33"/>
                                        <a:pt x="0" y="73"/>
                                      </a:cubicBezTo>
                                      <a:cubicBezTo>
                                        <a:pt x="0" y="114"/>
                                        <a:pt x="33" y="146"/>
                                        <a:pt x="73" y="146"/>
                                      </a:cubicBezTo>
                                      <a:cubicBezTo>
                                        <a:pt x="91" y="146"/>
                                        <a:pt x="108" y="140"/>
                                        <a:pt x="122" y="128"/>
                                      </a:cubicBezTo>
                                      <a:cubicBezTo>
                                        <a:pt x="122" y="127"/>
                                        <a:pt x="122" y="127"/>
                                        <a:pt x="122" y="127"/>
                                      </a:cubicBezTo>
                                      <a:cubicBezTo>
                                        <a:pt x="122" y="128"/>
                                        <a:pt x="122" y="128"/>
                                        <a:pt x="122" y="128"/>
                                      </a:cubicBezTo>
                                      <a:cubicBezTo>
                                        <a:pt x="163" y="168"/>
                                        <a:pt x="163" y="168"/>
                                        <a:pt x="163" y="168"/>
                                      </a:cubicBezTo>
                                      <a:cubicBezTo>
                                        <a:pt x="164" y="169"/>
                                        <a:pt x="165" y="169"/>
                                        <a:pt x="166" y="169"/>
                                      </a:cubicBezTo>
                                      <a:cubicBezTo>
                                        <a:pt x="168" y="169"/>
                                        <a:pt x="169" y="168"/>
                                        <a:pt x="169" y="166"/>
                                      </a:cubicBezTo>
                                      <a:cubicBezTo>
                                        <a:pt x="169" y="165"/>
                                        <a:pt x="169" y="164"/>
                                        <a:pt x="168" y="164"/>
                                      </a:cubicBezTo>
                                      <a:close/>
                                      <a:moveTo>
                                        <a:pt x="73" y="140"/>
                                      </a:moveTo>
                                      <a:cubicBezTo>
                                        <a:pt x="37" y="140"/>
                                        <a:pt x="7" y="110"/>
                                        <a:pt x="7" y="73"/>
                                      </a:cubicBezTo>
                                      <a:cubicBezTo>
                                        <a:pt x="7" y="37"/>
                                        <a:pt x="37" y="7"/>
                                        <a:pt x="73" y="7"/>
                                      </a:cubicBezTo>
                                      <a:cubicBezTo>
                                        <a:pt x="110" y="7"/>
                                        <a:pt x="139" y="37"/>
                                        <a:pt x="139" y="73"/>
                                      </a:cubicBezTo>
                                      <a:cubicBezTo>
                                        <a:pt x="139" y="110"/>
                                        <a:pt x="110" y="140"/>
                                        <a:pt x="73" y="140"/>
                                      </a:cubicBezTo>
                                      <a:close/>
                                    </a:path>
                                  </a:pathLst>
                                </a:custGeom>
                                <a:grpFill/>
                                <a:ln>
                                  <a:noFill/>
                                </a:ln>
                              </wps:spPr>
                              <wps:bodyPr vert="horz" wrap="square" lIns="91440" tIns="45720" rIns="91440" bIns="45720" numCol="1" anchor="t" anchorCtr="0" compatLnSpc="1">
                                <a:prstTxWarp prst="textNoShape">
                                  <a:avLst/>
                                </a:prstTxWarp>
                              </wps:bodyPr>
                            </wps:wsp>
                            <wpg:grpSp>
                              <wpg:cNvPr id="35" name="Group 35"/>
                              <wpg:cNvGrpSpPr/>
                              <wpg:grpSpPr>
                                <a:xfrm>
                                  <a:off x="185109" y="112004"/>
                                  <a:ext cx="92075" cy="244475"/>
                                  <a:chOff x="185109" y="112004"/>
                                  <a:chExt cx="92075" cy="244475"/>
                                </a:xfrm>
                                <a:grpFill/>
                              </wpg:grpSpPr>
                              <wps:wsp>
                                <wps:cNvPr id="36" name="Freeform 7"/>
                                <wps:cNvSpPr>
                                  <a:spLocks/>
                                </wps:cNvSpPr>
                                <wps:spPr bwMode="auto">
                                  <a:xfrm>
                                    <a:off x="204159" y="112004"/>
                                    <a:ext cx="53975" cy="57150"/>
                                  </a:xfrm>
                                  <a:custGeom>
                                    <a:avLst/>
                                    <a:gdLst>
                                      <a:gd name="T0" fmla="*/ 8 w 17"/>
                                      <a:gd name="T1" fmla="*/ 0 h 18"/>
                                      <a:gd name="T2" fmla="*/ 2 w 17"/>
                                      <a:gd name="T3" fmla="*/ 3 h 18"/>
                                      <a:gd name="T4" fmla="*/ 0 w 17"/>
                                      <a:gd name="T5" fmla="*/ 9 h 18"/>
                                      <a:gd name="T6" fmla="*/ 2 w 17"/>
                                      <a:gd name="T7" fmla="*/ 16 h 18"/>
                                      <a:gd name="T8" fmla="*/ 8 w 17"/>
                                      <a:gd name="T9" fmla="*/ 18 h 18"/>
                                      <a:gd name="T10" fmla="*/ 15 w 17"/>
                                      <a:gd name="T11" fmla="*/ 16 h 18"/>
                                      <a:gd name="T12" fmla="*/ 17 w 17"/>
                                      <a:gd name="T13" fmla="*/ 9 h 18"/>
                                      <a:gd name="T14" fmla="*/ 15 w 17"/>
                                      <a:gd name="T15" fmla="*/ 3 h 18"/>
                                      <a:gd name="T16" fmla="*/ 8 w 17"/>
                                      <a:gd name="T17"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8">
                                        <a:moveTo>
                                          <a:pt x="8" y="0"/>
                                        </a:moveTo>
                                        <a:cubicBezTo>
                                          <a:pt x="6" y="0"/>
                                          <a:pt x="4" y="1"/>
                                          <a:pt x="2" y="3"/>
                                        </a:cubicBezTo>
                                        <a:cubicBezTo>
                                          <a:pt x="1" y="5"/>
                                          <a:pt x="0" y="7"/>
                                          <a:pt x="0" y="9"/>
                                        </a:cubicBezTo>
                                        <a:cubicBezTo>
                                          <a:pt x="0" y="12"/>
                                          <a:pt x="1" y="14"/>
                                          <a:pt x="2" y="16"/>
                                        </a:cubicBezTo>
                                        <a:cubicBezTo>
                                          <a:pt x="4" y="17"/>
                                          <a:pt x="6" y="18"/>
                                          <a:pt x="8" y="18"/>
                                        </a:cubicBezTo>
                                        <a:cubicBezTo>
                                          <a:pt x="11" y="18"/>
                                          <a:pt x="13" y="17"/>
                                          <a:pt x="15" y="16"/>
                                        </a:cubicBezTo>
                                        <a:cubicBezTo>
                                          <a:pt x="16" y="14"/>
                                          <a:pt x="17" y="12"/>
                                          <a:pt x="17" y="9"/>
                                        </a:cubicBezTo>
                                        <a:cubicBezTo>
                                          <a:pt x="17" y="7"/>
                                          <a:pt x="16" y="5"/>
                                          <a:pt x="15" y="3"/>
                                        </a:cubicBezTo>
                                        <a:cubicBezTo>
                                          <a:pt x="13" y="1"/>
                                          <a:pt x="11" y="0"/>
                                          <a:pt x="8"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 name="Freeform 8"/>
                                <wps:cNvSpPr>
                                  <a:spLocks/>
                                </wps:cNvSpPr>
                                <wps:spPr bwMode="auto">
                                  <a:xfrm>
                                    <a:off x="185109" y="194554"/>
                                    <a:ext cx="92075" cy="161925"/>
                                  </a:xfrm>
                                  <a:custGeom>
                                    <a:avLst/>
                                    <a:gdLst>
                                      <a:gd name="T0" fmla="*/ 24 w 29"/>
                                      <a:gd name="T1" fmla="*/ 44 h 51"/>
                                      <a:gd name="T2" fmla="*/ 20 w 29"/>
                                      <a:gd name="T3" fmla="*/ 43 h 51"/>
                                      <a:gd name="T4" fmla="*/ 19 w 29"/>
                                      <a:gd name="T5" fmla="*/ 40 h 51"/>
                                      <a:gd name="T6" fmla="*/ 19 w 29"/>
                                      <a:gd name="T7" fmla="*/ 36 h 51"/>
                                      <a:gd name="T8" fmla="*/ 20 w 29"/>
                                      <a:gd name="T9" fmla="*/ 32 h 51"/>
                                      <a:gd name="T10" fmla="*/ 24 w 29"/>
                                      <a:gd name="T11" fmla="*/ 18 h 51"/>
                                      <a:gd name="T12" fmla="*/ 24 w 29"/>
                                      <a:gd name="T13" fmla="*/ 14 h 51"/>
                                      <a:gd name="T14" fmla="*/ 25 w 29"/>
                                      <a:gd name="T15" fmla="*/ 11 h 51"/>
                                      <a:gd name="T16" fmla="*/ 22 w 29"/>
                                      <a:gd name="T17" fmla="*/ 3 h 51"/>
                                      <a:gd name="T18" fmla="*/ 14 w 29"/>
                                      <a:gd name="T19" fmla="*/ 0 h 51"/>
                                      <a:gd name="T20" fmla="*/ 7 w 29"/>
                                      <a:gd name="T21" fmla="*/ 2 h 51"/>
                                      <a:gd name="T22" fmla="*/ 1 w 29"/>
                                      <a:gd name="T23" fmla="*/ 4 h 51"/>
                                      <a:gd name="T24" fmla="*/ 0 w 29"/>
                                      <a:gd name="T25" fmla="*/ 9 h 51"/>
                                      <a:gd name="T26" fmla="*/ 2 w 29"/>
                                      <a:gd name="T27" fmla="*/ 8 h 51"/>
                                      <a:gd name="T28" fmla="*/ 5 w 29"/>
                                      <a:gd name="T29" fmla="*/ 7 h 51"/>
                                      <a:gd name="T30" fmla="*/ 9 w 29"/>
                                      <a:gd name="T31" fmla="*/ 8 h 51"/>
                                      <a:gd name="T32" fmla="*/ 10 w 29"/>
                                      <a:gd name="T33" fmla="*/ 12 h 51"/>
                                      <a:gd name="T34" fmla="*/ 10 w 29"/>
                                      <a:gd name="T35" fmla="*/ 16 h 51"/>
                                      <a:gd name="T36" fmla="*/ 9 w 29"/>
                                      <a:gd name="T37" fmla="*/ 19 h 51"/>
                                      <a:gd name="T38" fmla="*/ 5 w 29"/>
                                      <a:gd name="T39" fmla="*/ 34 h 51"/>
                                      <a:gd name="T40" fmla="*/ 4 w 29"/>
                                      <a:gd name="T41" fmla="*/ 38 h 51"/>
                                      <a:gd name="T42" fmla="*/ 4 w 29"/>
                                      <a:gd name="T43" fmla="*/ 41 h 51"/>
                                      <a:gd name="T44" fmla="*/ 7 w 29"/>
                                      <a:gd name="T45" fmla="*/ 48 h 51"/>
                                      <a:gd name="T46" fmla="*/ 15 w 29"/>
                                      <a:gd name="T47" fmla="*/ 51 h 51"/>
                                      <a:gd name="T48" fmla="*/ 21 w 29"/>
                                      <a:gd name="T49" fmla="*/ 50 h 51"/>
                                      <a:gd name="T50" fmla="*/ 28 w 29"/>
                                      <a:gd name="T51" fmla="*/ 47 h 51"/>
                                      <a:gd name="T52" fmla="*/ 29 w 29"/>
                                      <a:gd name="T53" fmla="*/ 43 h 51"/>
                                      <a:gd name="T54" fmla="*/ 27 w 29"/>
                                      <a:gd name="T55" fmla="*/ 44 h 51"/>
                                      <a:gd name="T56" fmla="*/ 24 w 29"/>
                                      <a:gd name="T57" fmla="*/ 44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9" h="51">
                                        <a:moveTo>
                                          <a:pt x="24" y="44"/>
                                        </a:moveTo>
                                        <a:cubicBezTo>
                                          <a:pt x="22" y="44"/>
                                          <a:pt x="21" y="44"/>
                                          <a:pt x="20" y="43"/>
                                        </a:cubicBezTo>
                                        <a:cubicBezTo>
                                          <a:pt x="19" y="43"/>
                                          <a:pt x="19" y="41"/>
                                          <a:pt x="19" y="40"/>
                                        </a:cubicBezTo>
                                        <a:cubicBezTo>
                                          <a:pt x="19" y="39"/>
                                          <a:pt x="19" y="38"/>
                                          <a:pt x="19" y="36"/>
                                        </a:cubicBezTo>
                                        <a:cubicBezTo>
                                          <a:pt x="19" y="35"/>
                                          <a:pt x="20" y="33"/>
                                          <a:pt x="20" y="32"/>
                                        </a:cubicBezTo>
                                        <a:cubicBezTo>
                                          <a:pt x="24" y="18"/>
                                          <a:pt x="24" y="18"/>
                                          <a:pt x="24" y="18"/>
                                        </a:cubicBezTo>
                                        <a:cubicBezTo>
                                          <a:pt x="24" y="17"/>
                                          <a:pt x="24" y="15"/>
                                          <a:pt x="24" y="14"/>
                                        </a:cubicBezTo>
                                        <a:cubicBezTo>
                                          <a:pt x="24" y="12"/>
                                          <a:pt x="25" y="11"/>
                                          <a:pt x="25" y="11"/>
                                        </a:cubicBezTo>
                                        <a:cubicBezTo>
                                          <a:pt x="25" y="8"/>
                                          <a:pt x="24" y="5"/>
                                          <a:pt x="22" y="3"/>
                                        </a:cubicBezTo>
                                        <a:cubicBezTo>
                                          <a:pt x="20" y="1"/>
                                          <a:pt x="17" y="0"/>
                                          <a:pt x="14" y="0"/>
                                        </a:cubicBezTo>
                                        <a:cubicBezTo>
                                          <a:pt x="12" y="0"/>
                                          <a:pt x="10" y="1"/>
                                          <a:pt x="7" y="2"/>
                                        </a:cubicBezTo>
                                        <a:cubicBezTo>
                                          <a:pt x="5" y="2"/>
                                          <a:pt x="3" y="3"/>
                                          <a:pt x="1" y="4"/>
                                        </a:cubicBezTo>
                                        <a:cubicBezTo>
                                          <a:pt x="0" y="9"/>
                                          <a:pt x="0" y="9"/>
                                          <a:pt x="0" y="9"/>
                                        </a:cubicBezTo>
                                        <a:cubicBezTo>
                                          <a:pt x="0" y="8"/>
                                          <a:pt x="1" y="8"/>
                                          <a:pt x="2" y="8"/>
                                        </a:cubicBezTo>
                                        <a:cubicBezTo>
                                          <a:pt x="3" y="8"/>
                                          <a:pt x="4" y="7"/>
                                          <a:pt x="5" y="7"/>
                                        </a:cubicBezTo>
                                        <a:cubicBezTo>
                                          <a:pt x="7" y="7"/>
                                          <a:pt x="8" y="8"/>
                                          <a:pt x="9" y="8"/>
                                        </a:cubicBezTo>
                                        <a:cubicBezTo>
                                          <a:pt x="10" y="9"/>
                                          <a:pt x="10" y="10"/>
                                          <a:pt x="10" y="12"/>
                                        </a:cubicBezTo>
                                        <a:cubicBezTo>
                                          <a:pt x="10" y="13"/>
                                          <a:pt x="10" y="14"/>
                                          <a:pt x="10" y="16"/>
                                        </a:cubicBezTo>
                                        <a:cubicBezTo>
                                          <a:pt x="9" y="17"/>
                                          <a:pt x="9" y="18"/>
                                          <a:pt x="9" y="19"/>
                                        </a:cubicBezTo>
                                        <a:cubicBezTo>
                                          <a:pt x="5" y="34"/>
                                          <a:pt x="5" y="34"/>
                                          <a:pt x="5" y="34"/>
                                        </a:cubicBezTo>
                                        <a:cubicBezTo>
                                          <a:pt x="5" y="35"/>
                                          <a:pt x="5" y="37"/>
                                          <a:pt x="4" y="38"/>
                                        </a:cubicBezTo>
                                        <a:cubicBezTo>
                                          <a:pt x="4" y="39"/>
                                          <a:pt x="4" y="40"/>
                                          <a:pt x="4" y="41"/>
                                        </a:cubicBezTo>
                                        <a:cubicBezTo>
                                          <a:pt x="4" y="44"/>
                                          <a:pt x="5" y="47"/>
                                          <a:pt x="7" y="48"/>
                                        </a:cubicBezTo>
                                        <a:cubicBezTo>
                                          <a:pt x="9" y="50"/>
                                          <a:pt x="12" y="51"/>
                                          <a:pt x="15" y="51"/>
                                        </a:cubicBezTo>
                                        <a:cubicBezTo>
                                          <a:pt x="18" y="51"/>
                                          <a:pt x="20" y="51"/>
                                          <a:pt x="21" y="50"/>
                                        </a:cubicBezTo>
                                        <a:cubicBezTo>
                                          <a:pt x="23" y="50"/>
                                          <a:pt x="25" y="49"/>
                                          <a:pt x="28" y="47"/>
                                        </a:cubicBezTo>
                                        <a:cubicBezTo>
                                          <a:pt x="29" y="43"/>
                                          <a:pt x="29" y="43"/>
                                          <a:pt x="29" y="43"/>
                                        </a:cubicBezTo>
                                        <a:cubicBezTo>
                                          <a:pt x="29" y="43"/>
                                          <a:pt x="28" y="44"/>
                                          <a:pt x="27" y="44"/>
                                        </a:cubicBezTo>
                                        <a:cubicBezTo>
                                          <a:pt x="26" y="44"/>
                                          <a:pt x="25" y="44"/>
                                          <a:pt x="24" y="44"/>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wgp>
                        </a:graphicData>
                      </a:graphic>
                    </wp:inline>
                  </w:drawing>
                </mc:Choice>
                <mc:Fallback xmlns:w16sdtdh="http://schemas.microsoft.com/office/word/2020/wordml/sdtdatahash">
                  <w:pict>
                    <v:group w14:anchorId="59816567" id="Group 54" o:spid="_x0000_s1026" alt="&quot;&quot;" style="width:28.35pt;height:28.35pt;mso-position-horizontal-relative:char;mso-position-vertical-relative:line" coordsize="5397,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">
                      <o:lock v:ext="edit" aspectratio="t"/>
                      <v:shape id="Freeform 103" o:spid="_x0000_s1027" style="position:absolute;width:5397;height:5397;visibility:visible;mso-wrap-style:square;v-text-anchor:top" coordsize="16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" path="m168,164c127,122,127,122,127,122v,,,,,c139,109,146,91,146,73,146,33,113,,73,,33,,,33,,73v,41,33,73,73,73c91,146,108,140,122,128v,-1,,-1,,-1c122,128,122,128,122,128v41,40,41,40,41,40c164,169,165,169,166,169v2,,3,-1,3,-3c169,165,169,164,168,164xm73,140c37,140,7,110,7,73,7,37,37,7,73,7v37,,66,30,66,66c139,110,110,140,73,140xe" filled="f" stroked="f">
                        <v:path arrowok="t" o:connecttype="custom" o:connectlocs="536556,523781;405611,389642;405611,389642;466293,233146;233146,0;0,233146;233146,466293;389642,408805;389642,405611;389642,408805;520587,536556;530169,539750;539750,530169;536556,523781;233146,447130;22357,233146;233146,22357;443936,233146;233146,447130" o:connectangles="0,0,0,0,0,0,0,0,0,0,0,0,0,0,0,0,0,0,0"/>
                        <o:lock v:ext="edit" aspectratio="t" verticies="t"/>
                      </v:shape>
                      <v:group id="Group 35" o:spid="_x0000_s1028" style="position:absolute;left:1851;top:1120;width:920;height:2444" coordorigin="185109,112004" coordsize="92075,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7" o:spid="_x0000_s1029" style="position:absolute;left:204159;top:112004;width:53975;height:57150;visibility:visible;mso-wrap-style:square;v-text-anchor:top" coordsize="1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" path="m8,c6,,4,1,2,3,1,5,,7,,9v,3,1,5,2,7c4,17,6,18,8,18v3,,5,-1,7,-2c16,14,17,12,17,9,17,7,16,5,15,3,13,1,11,,8,e" filled="f" stroked="f">
                          <v:path arrowok="t" o:connecttype="custom" o:connectlocs="25400,0;6350,9525;0,28575;6350,50800;25400,57150;47625,50800;53975,28575;47625,9525;25400,0" o:connectangles="0,0,0,0,0,0,0,0,0"/>
                        </v:shape>
                        <v:shape id="Freeform 8" o:spid="_x0000_s1030" style="position:absolute;left:185109;top:194554;width:92075;height:161925;visibility:visible;mso-wrap-style:square;v-text-anchor:top" coordsize="2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" path="m24,44v-2,,-3,,-4,-1c19,43,19,41,19,40v,-1,,-2,,-4c19,35,20,33,20,32,24,18,24,18,24,18v,-1,,-3,,-4c24,12,25,11,25,11,25,8,24,5,22,3,20,1,17,,14,,12,,10,1,7,2,5,2,3,3,1,4,,9,,9,,9,,8,1,8,2,8,3,8,4,7,5,7v2,,3,1,4,1c10,9,10,10,10,12v,1,,2,,4c9,17,9,18,9,19,5,34,5,34,5,34v,1,,3,-1,4c4,39,4,40,4,41v,3,1,6,3,7c9,50,12,51,15,51v3,,5,,6,-1c23,50,25,49,28,47v1,-4,1,-4,1,-4c29,43,28,44,27,44v-1,,-2,,-3,e" filled="f" stroked="f">
                          <v:path arrowok="t" o:connecttype="custom" o:connectlocs="76200,139700;63500,136525;60325,127000;60325,114300;63500,101600;76200,57150;76200,44450;79375,34925;69850,9525;44450,0;22225,6350;3175,12700;0,28575;6350,25400;15875,22225;28575,25400;31750,38100;31750,50800;28575,60325;15875,107950;12700,120650;12700,130175;22225,152400;47625,161925;66675,158750;88900,149225;92075,136525;85725,139700;76200,139700" o:connectangles="0,0,0,0,0,0,0,0,0,0,0,0,0,0,0,0,0,0,0,0,0,0,0,0,0,0,0,0,0"/>
                        </v:shape>
                      </v:group>
                      <w10:anchorlock/>
                    </v:group>
                  </w:pict>
                </mc:Fallback>
              </mc:AlternateContent>
            </w:r>
          </w:p>
        </w:tc>
        <w:tc>
          <w:tcPr>
            <w:tcW w:w="7938" w:type="dxa"/>
            <w:shd w:val="clear" w:color="auto" w:fill="2E368F" w:themeFill="text2"/>
            <w:vAlign w:val="center"/>
          </w:tcPr>
          <w:p w14:paraId="6F40EAC7" w14:textId="77777777" w:rsidR="004E5E84" w:rsidRPr="004E5E84" w:rsidRDefault="004E5E84" w:rsidP="004E5E84">
            <w:pPr>
              <w:spacing w:after="0" w:line="257" w:lineRule="auto"/>
              <w:rPr>
                <w:rFonts w:ascii="Segoe UI Semibold" w:eastAsia="Calibri" w:hAnsi="Segoe UI Semibold" w:cs="Segoe UI Semibold"/>
                <w:color w:val="FFFFFF"/>
              </w:rPr>
            </w:pPr>
            <w:r w:rsidRPr="004E5E84">
              <w:rPr>
                <w:rFonts w:ascii="Segoe UI Semibold" w:eastAsia="Segoe UI" w:hAnsi="Segoe UI Semibold" w:cs="Segoe UI Semibold"/>
                <w:color w:val="FFFFFF"/>
                <w:szCs w:val="19"/>
              </w:rPr>
              <w:t>What models of care exist that have proven successful?</w:t>
            </w:r>
          </w:p>
        </w:tc>
      </w:tr>
    </w:tbl>
    <w:p w14:paraId="544EF77E" w14:textId="233CDFC7" w:rsidR="00F85625" w:rsidRDefault="00F85625" w:rsidP="00F85625">
      <w:pPr>
        <w:rPr>
          <w:szCs w:val="19"/>
        </w:rPr>
      </w:pPr>
      <w:r w:rsidRPr="00845E71">
        <w:rPr>
          <w:szCs w:val="19"/>
        </w:rPr>
        <w:t>Evidence suggested that changing population needs and health system policy and drivers have necessitated dynamic, integrative models of care for palliative care delivery in RACFs. There is significant variation in practice and availability of palliative care in RACFs in Australia and internationally. Relatively limited evidence has led to an absence of clear, evidenced-based models of care for providing efficient and quality palliative care services in RACFs.</w:t>
      </w:r>
    </w:p>
    <w:p w14:paraId="747983B9" w14:textId="0ADC821F" w:rsidR="00F85625" w:rsidRPr="00845E71" w:rsidRDefault="00F85625" w:rsidP="00F85625">
      <w:pPr>
        <w:rPr>
          <w:szCs w:val="19"/>
        </w:rPr>
      </w:pPr>
      <w:r w:rsidRPr="00845E71">
        <w:rPr>
          <w:szCs w:val="19"/>
        </w:rPr>
        <w:t xml:space="preserve">Palliative care models of care in RACFs </w:t>
      </w:r>
      <w:proofErr w:type="gramStart"/>
      <w:r w:rsidRPr="00845E71">
        <w:rPr>
          <w:szCs w:val="19"/>
        </w:rPr>
        <w:t>vary, but</w:t>
      </w:r>
      <w:proofErr w:type="gramEnd"/>
      <w:r w:rsidRPr="00845E71">
        <w:rPr>
          <w:szCs w:val="19"/>
        </w:rPr>
        <w:t xml:space="preserve"> integrating specialist palliative care into RACFs is a common theme. Evidence identified six frequently cited components of palliative care models of care in RACFs: case management, capability building, specialist in-reach services, shared care, specialist out-reach services, and integrated care.</w:t>
      </w:r>
    </w:p>
    <w:p w14:paraId="74BF4012" w14:textId="13D5F7F8" w:rsidR="00F85625" w:rsidRPr="00845E71" w:rsidRDefault="00F85625" w:rsidP="00F85625">
      <w:pPr>
        <w:rPr>
          <w:szCs w:val="19"/>
        </w:rPr>
      </w:pPr>
      <w:r w:rsidRPr="00845E71">
        <w:rPr>
          <w:szCs w:val="19"/>
        </w:rPr>
        <w:t xml:space="preserve">The literature review identified 12 separate models of delivering palliative care in RACFs in Australia. Of these, there was a high concentration of models of care identified in RACFs in New South Wales and Victoria. 25 per cent of the models of care identified were specialist in-reach services. Australian palliative care models of care in RACFs vary in terms of what they deliver, but the INSPIRED model is an effective, evidence-based approach. </w:t>
      </w:r>
    </w:p>
    <w:p w14:paraId="6809FA15" w14:textId="77777777" w:rsidR="00F85625" w:rsidRPr="00845E71" w:rsidRDefault="00F85625" w:rsidP="00F85625">
      <w:pPr>
        <w:rPr>
          <w:szCs w:val="19"/>
        </w:rPr>
      </w:pPr>
      <w:r w:rsidRPr="00845E71">
        <w:rPr>
          <w:szCs w:val="19"/>
        </w:rPr>
        <w:t>The literature review identified seven international models of delivering palliative care in RACFs or equivalents. These models were concentrated in countries that provide universal health coverage, New Zealand, Canada, and the United Kingdom. There was no predominant model of care identified. Instead, the components of these models were spread across specialist in-reach services, capability building, and case management.</w:t>
      </w:r>
    </w:p>
    <w:p w14:paraId="61CBE818" w14:textId="77777777" w:rsidR="00F85625" w:rsidRDefault="00F85625" w:rsidP="00F85625">
      <w:pPr>
        <w:rPr>
          <w:szCs w:val="19"/>
        </w:rPr>
      </w:pPr>
      <w:r w:rsidRPr="00845E71">
        <w:rPr>
          <w:szCs w:val="19"/>
        </w:rPr>
        <w:t>The success factors for palliative care models of care in RACFs are multi-dimensional but share a common theme of integrating specialist palliative knowledge and/or care into RACFs.</w:t>
      </w:r>
    </w:p>
    <w:p w14:paraId="6693D335" w14:textId="77777777" w:rsidR="00F85625" w:rsidRPr="003F2251" w:rsidRDefault="00F85625" w:rsidP="00F85625">
      <w:pPr>
        <w:rPr>
          <w:szCs w:val="19"/>
        </w:rPr>
      </w:pPr>
      <w:r>
        <w:rPr>
          <w:szCs w:val="19"/>
        </w:rPr>
        <w:t>Evidence on existing and successful models of care for palliative care in RACFs will inform the national evaluation in the following ways:</w:t>
      </w:r>
    </w:p>
    <w:p w14:paraId="501A8712" w14:textId="77777777" w:rsidR="00F85625" w:rsidRDefault="00F85625" w:rsidP="009275A8">
      <w:pPr>
        <w:pStyle w:val="Bullet"/>
        <w:numPr>
          <w:ilvl w:val="0"/>
          <w:numId w:val="4"/>
        </w:numPr>
        <w:spacing w:line="259" w:lineRule="auto"/>
      </w:pPr>
      <w:r>
        <w:t>The domestic and international models identified in the literature review will answer the questions on successful models of care outside of the Measure; and</w:t>
      </w:r>
    </w:p>
    <w:p w14:paraId="24BCB02E" w14:textId="4219BF9D" w:rsidR="00F85625" w:rsidRDefault="00F85625" w:rsidP="009275A8">
      <w:pPr>
        <w:pStyle w:val="Bullet"/>
        <w:numPr>
          <w:ilvl w:val="0"/>
          <w:numId w:val="4"/>
        </w:numPr>
        <w:spacing w:line="259" w:lineRule="auto"/>
      </w:pPr>
      <w:r>
        <w:lastRenderedPageBreak/>
        <w:t>The critical success factors for palliative care models of care will be used as a basis for further exploration.</w:t>
      </w:r>
    </w:p>
    <w:p w14:paraId="70D8B1AA" w14:textId="77777777" w:rsidR="00D216FB" w:rsidRDefault="00D216FB" w:rsidP="00D216FB">
      <w:pPr>
        <w:pStyle w:val="Bullet"/>
        <w:numPr>
          <w:ilvl w:val="0"/>
          <w:numId w:val="0"/>
        </w:numPr>
        <w:spacing w:line="259" w:lineRule="auto"/>
      </w:pPr>
    </w:p>
    <w:tbl>
      <w:tblPr>
        <w:tblStyle w:val="DPSTableGrid1"/>
        <w:tblW w:w="9016" w:type="dxa"/>
        <w:tblBorders>
          <w:top w:val="none" w:sz="0" w:space="0" w:color="auto"/>
          <w:bottom w:val="none" w:sz="0" w:space="0" w:color="auto"/>
          <w:insideH w:val="none" w:sz="0" w:space="0" w:color="auto"/>
        </w:tblBorders>
        <w:shd w:val="clear" w:color="auto" w:fill="F2F2F2"/>
        <w:tblCellMar>
          <w:top w:w="85" w:type="dxa"/>
        </w:tblCellMar>
        <w:tblLook w:val="0400" w:firstRow="0" w:lastRow="0" w:firstColumn="0" w:lastColumn="0" w:noHBand="0" w:noVBand="1"/>
        <w:tblCaption w:val="What evidence exists on best practice approaches to funding and delivery arrangements?"/>
      </w:tblPr>
      <w:tblGrid>
        <w:gridCol w:w="1219"/>
        <w:gridCol w:w="7797"/>
      </w:tblGrid>
      <w:tr w:rsidR="0007227F" w:rsidRPr="0007227F" w14:paraId="2DD2CEC0" w14:textId="77777777" w:rsidTr="22C19DAE">
        <w:trPr>
          <w:cnfStyle w:val="000000100000" w:firstRow="0" w:lastRow="0" w:firstColumn="0" w:lastColumn="0" w:oddVBand="0" w:evenVBand="0" w:oddHBand="1" w:evenHBand="0" w:firstRowFirstColumn="0" w:firstRowLastColumn="0" w:lastRowFirstColumn="0" w:lastRowLastColumn="0"/>
          <w:trHeight w:val="624"/>
        </w:trPr>
        <w:tc>
          <w:tcPr>
            <w:tcW w:w="1219" w:type="dxa"/>
            <w:shd w:val="clear" w:color="auto" w:fill="0070C0"/>
          </w:tcPr>
          <w:p w14:paraId="2D363887" w14:textId="77777777" w:rsidR="0007227F" w:rsidRPr="0007227F" w:rsidRDefault="0007227F" w:rsidP="0007227F">
            <w:pPr>
              <w:spacing w:after="0" w:line="257" w:lineRule="auto"/>
              <w:jc w:val="center"/>
              <w:rPr>
                <w:rFonts w:ascii="Segoe UI Semibold" w:eastAsia="Segoe UI" w:hAnsi="Segoe UI Semibold" w:cs="Segoe UI Semibold"/>
                <w:color w:val="FFFFFF"/>
              </w:rPr>
            </w:pPr>
            <w:r w:rsidRPr="0007227F">
              <w:rPr>
                <w:rFonts w:ascii="Segoe UI Semibold" w:eastAsia="Segoe UI" w:hAnsi="Segoe UI Semibold" w:cs="Segoe UI Semibold"/>
                <w:noProof/>
                <w:color w:val="FFFFFF"/>
                <w:lang w:eastAsia="en-AU"/>
              </w:rPr>
              <mc:AlternateContent>
                <mc:Choice Requires="wpg">
                  <w:drawing>
                    <wp:inline distT="0" distB="0" distL="0" distR="0" wp14:anchorId="0B5260D6" wp14:editId="05515106">
                      <wp:extent cx="360000" cy="360000"/>
                      <wp:effectExtent l="0" t="0" r="2540" b="2540"/>
                      <wp:docPr id="16" name="Group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60000" cy="360000"/>
                                <a:chOff x="0" y="0"/>
                                <a:chExt cx="539750" cy="539750"/>
                              </a:xfrm>
                              <a:solidFill>
                                <a:sysClr val="window" lastClr="FFFFFF"/>
                              </a:solidFill>
                            </wpg:grpSpPr>
                            <wps:wsp>
                              <wps:cNvPr id="17" name="Freeform 103"/>
                              <wps:cNvSpPr>
                                <a:spLocks noChangeAspect="1" noEditPoints="1"/>
                              </wps:cNvSpPr>
                              <wps:spPr bwMode="auto">
                                <a:xfrm>
                                  <a:off x="0" y="0"/>
                                  <a:ext cx="539750" cy="539750"/>
                                </a:xfrm>
                                <a:custGeom>
                                  <a:avLst/>
                                  <a:gdLst>
                                    <a:gd name="T0" fmla="*/ 168 w 169"/>
                                    <a:gd name="T1" fmla="*/ 164 h 169"/>
                                    <a:gd name="T2" fmla="*/ 127 w 169"/>
                                    <a:gd name="T3" fmla="*/ 122 h 169"/>
                                    <a:gd name="T4" fmla="*/ 127 w 169"/>
                                    <a:gd name="T5" fmla="*/ 122 h 169"/>
                                    <a:gd name="T6" fmla="*/ 146 w 169"/>
                                    <a:gd name="T7" fmla="*/ 73 h 169"/>
                                    <a:gd name="T8" fmla="*/ 73 w 169"/>
                                    <a:gd name="T9" fmla="*/ 0 h 169"/>
                                    <a:gd name="T10" fmla="*/ 0 w 169"/>
                                    <a:gd name="T11" fmla="*/ 73 h 169"/>
                                    <a:gd name="T12" fmla="*/ 73 w 169"/>
                                    <a:gd name="T13" fmla="*/ 146 h 169"/>
                                    <a:gd name="T14" fmla="*/ 122 w 169"/>
                                    <a:gd name="T15" fmla="*/ 128 h 169"/>
                                    <a:gd name="T16" fmla="*/ 122 w 169"/>
                                    <a:gd name="T17" fmla="*/ 127 h 169"/>
                                    <a:gd name="T18" fmla="*/ 122 w 169"/>
                                    <a:gd name="T19" fmla="*/ 128 h 169"/>
                                    <a:gd name="T20" fmla="*/ 163 w 169"/>
                                    <a:gd name="T21" fmla="*/ 168 h 169"/>
                                    <a:gd name="T22" fmla="*/ 166 w 169"/>
                                    <a:gd name="T23" fmla="*/ 169 h 169"/>
                                    <a:gd name="T24" fmla="*/ 169 w 169"/>
                                    <a:gd name="T25" fmla="*/ 166 h 169"/>
                                    <a:gd name="T26" fmla="*/ 168 w 169"/>
                                    <a:gd name="T27" fmla="*/ 164 h 169"/>
                                    <a:gd name="T28" fmla="*/ 73 w 169"/>
                                    <a:gd name="T29" fmla="*/ 140 h 169"/>
                                    <a:gd name="T30" fmla="*/ 7 w 169"/>
                                    <a:gd name="T31" fmla="*/ 73 h 169"/>
                                    <a:gd name="T32" fmla="*/ 73 w 169"/>
                                    <a:gd name="T33" fmla="*/ 7 h 169"/>
                                    <a:gd name="T34" fmla="*/ 139 w 169"/>
                                    <a:gd name="T35" fmla="*/ 73 h 169"/>
                                    <a:gd name="T36" fmla="*/ 73 w 169"/>
                                    <a:gd name="T37" fmla="*/ 140 h 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69" h="169">
                                      <a:moveTo>
                                        <a:pt x="168" y="164"/>
                                      </a:moveTo>
                                      <a:cubicBezTo>
                                        <a:pt x="127" y="122"/>
                                        <a:pt x="127" y="122"/>
                                        <a:pt x="127" y="122"/>
                                      </a:cubicBezTo>
                                      <a:cubicBezTo>
                                        <a:pt x="127" y="122"/>
                                        <a:pt x="127" y="122"/>
                                        <a:pt x="127" y="122"/>
                                      </a:cubicBezTo>
                                      <a:cubicBezTo>
                                        <a:pt x="139" y="109"/>
                                        <a:pt x="146" y="91"/>
                                        <a:pt x="146" y="73"/>
                                      </a:cubicBezTo>
                                      <a:cubicBezTo>
                                        <a:pt x="146" y="33"/>
                                        <a:pt x="113" y="0"/>
                                        <a:pt x="73" y="0"/>
                                      </a:cubicBezTo>
                                      <a:cubicBezTo>
                                        <a:pt x="33" y="0"/>
                                        <a:pt x="0" y="33"/>
                                        <a:pt x="0" y="73"/>
                                      </a:cubicBezTo>
                                      <a:cubicBezTo>
                                        <a:pt x="0" y="114"/>
                                        <a:pt x="33" y="146"/>
                                        <a:pt x="73" y="146"/>
                                      </a:cubicBezTo>
                                      <a:cubicBezTo>
                                        <a:pt x="91" y="146"/>
                                        <a:pt x="108" y="140"/>
                                        <a:pt x="122" y="128"/>
                                      </a:cubicBezTo>
                                      <a:cubicBezTo>
                                        <a:pt x="122" y="127"/>
                                        <a:pt x="122" y="127"/>
                                        <a:pt x="122" y="127"/>
                                      </a:cubicBezTo>
                                      <a:cubicBezTo>
                                        <a:pt x="122" y="128"/>
                                        <a:pt x="122" y="128"/>
                                        <a:pt x="122" y="128"/>
                                      </a:cubicBezTo>
                                      <a:cubicBezTo>
                                        <a:pt x="163" y="168"/>
                                        <a:pt x="163" y="168"/>
                                        <a:pt x="163" y="168"/>
                                      </a:cubicBezTo>
                                      <a:cubicBezTo>
                                        <a:pt x="164" y="169"/>
                                        <a:pt x="165" y="169"/>
                                        <a:pt x="166" y="169"/>
                                      </a:cubicBezTo>
                                      <a:cubicBezTo>
                                        <a:pt x="168" y="169"/>
                                        <a:pt x="169" y="168"/>
                                        <a:pt x="169" y="166"/>
                                      </a:cubicBezTo>
                                      <a:cubicBezTo>
                                        <a:pt x="169" y="165"/>
                                        <a:pt x="169" y="164"/>
                                        <a:pt x="168" y="164"/>
                                      </a:cubicBezTo>
                                      <a:close/>
                                      <a:moveTo>
                                        <a:pt x="73" y="140"/>
                                      </a:moveTo>
                                      <a:cubicBezTo>
                                        <a:pt x="37" y="140"/>
                                        <a:pt x="7" y="110"/>
                                        <a:pt x="7" y="73"/>
                                      </a:cubicBezTo>
                                      <a:cubicBezTo>
                                        <a:pt x="7" y="37"/>
                                        <a:pt x="37" y="7"/>
                                        <a:pt x="73" y="7"/>
                                      </a:cubicBezTo>
                                      <a:cubicBezTo>
                                        <a:pt x="110" y="7"/>
                                        <a:pt x="139" y="37"/>
                                        <a:pt x="139" y="73"/>
                                      </a:cubicBezTo>
                                      <a:cubicBezTo>
                                        <a:pt x="139" y="110"/>
                                        <a:pt x="110" y="140"/>
                                        <a:pt x="73" y="140"/>
                                      </a:cubicBezTo>
                                      <a:close/>
                                    </a:path>
                                  </a:pathLst>
                                </a:custGeom>
                                <a:grpFill/>
                                <a:ln>
                                  <a:noFill/>
                                </a:ln>
                              </wps:spPr>
                              <wps:bodyPr vert="horz" wrap="square" lIns="91440" tIns="45720" rIns="91440" bIns="45720" numCol="1" anchor="t" anchorCtr="0" compatLnSpc="1">
                                <a:prstTxWarp prst="textNoShape">
                                  <a:avLst/>
                                </a:prstTxWarp>
                              </wps:bodyPr>
                            </wps:wsp>
                            <wpg:grpSp>
                              <wpg:cNvPr id="18" name="Group 18"/>
                              <wpg:cNvGrpSpPr/>
                              <wpg:grpSpPr>
                                <a:xfrm>
                                  <a:off x="185109" y="112004"/>
                                  <a:ext cx="92075" cy="244475"/>
                                  <a:chOff x="185109" y="112004"/>
                                  <a:chExt cx="92075" cy="244475"/>
                                </a:xfrm>
                                <a:grpFill/>
                              </wpg:grpSpPr>
                              <wps:wsp>
                                <wps:cNvPr id="19" name="Freeform 7"/>
                                <wps:cNvSpPr>
                                  <a:spLocks/>
                                </wps:cNvSpPr>
                                <wps:spPr bwMode="auto">
                                  <a:xfrm>
                                    <a:off x="204159" y="112004"/>
                                    <a:ext cx="53975" cy="57150"/>
                                  </a:xfrm>
                                  <a:custGeom>
                                    <a:avLst/>
                                    <a:gdLst>
                                      <a:gd name="T0" fmla="*/ 8 w 17"/>
                                      <a:gd name="T1" fmla="*/ 0 h 18"/>
                                      <a:gd name="T2" fmla="*/ 2 w 17"/>
                                      <a:gd name="T3" fmla="*/ 3 h 18"/>
                                      <a:gd name="T4" fmla="*/ 0 w 17"/>
                                      <a:gd name="T5" fmla="*/ 9 h 18"/>
                                      <a:gd name="T6" fmla="*/ 2 w 17"/>
                                      <a:gd name="T7" fmla="*/ 16 h 18"/>
                                      <a:gd name="T8" fmla="*/ 8 w 17"/>
                                      <a:gd name="T9" fmla="*/ 18 h 18"/>
                                      <a:gd name="T10" fmla="*/ 15 w 17"/>
                                      <a:gd name="T11" fmla="*/ 16 h 18"/>
                                      <a:gd name="T12" fmla="*/ 17 w 17"/>
                                      <a:gd name="T13" fmla="*/ 9 h 18"/>
                                      <a:gd name="T14" fmla="*/ 15 w 17"/>
                                      <a:gd name="T15" fmla="*/ 3 h 18"/>
                                      <a:gd name="T16" fmla="*/ 8 w 17"/>
                                      <a:gd name="T17"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8">
                                        <a:moveTo>
                                          <a:pt x="8" y="0"/>
                                        </a:moveTo>
                                        <a:cubicBezTo>
                                          <a:pt x="6" y="0"/>
                                          <a:pt x="4" y="1"/>
                                          <a:pt x="2" y="3"/>
                                        </a:cubicBezTo>
                                        <a:cubicBezTo>
                                          <a:pt x="1" y="5"/>
                                          <a:pt x="0" y="7"/>
                                          <a:pt x="0" y="9"/>
                                        </a:cubicBezTo>
                                        <a:cubicBezTo>
                                          <a:pt x="0" y="12"/>
                                          <a:pt x="1" y="14"/>
                                          <a:pt x="2" y="16"/>
                                        </a:cubicBezTo>
                                        <a:cubicBezTo>
                                          <a:pt x="4" y="17"/>
                                          <a:pt x="6" y="18"/>
                                          <a:pt x="8" y="18"/>
                                        </a:cubicBezTo>
                                        <a:cubicBezTo>
                                          <a:pt x="11" y="18"/>
                                          <a:pt x="13" y="17"/>
                                          <a:pt x="15" y="16"/>
                                        </a:cubicBezTo>
                                        <a:cubicBezTo>
                                          <a:pt x="16" y="14"/>
                                          <a:pt x="17" y="12"/>
                                          <a:pt x="17" y="9"/>
                                        </a:cubicBezTo>
                                        <a:cubicBezTo>
                                          <a:pt x="17" y="7"/>
                                          <a:pt x="16" y="5"/>
                                          <a:pt x="15" y="3"/>
                                        </a:cubicBezTo>
                                        <a:cubicBezTo>
                                          <a:pt x="13" y="1"/>
                                          <a:pt x="11" y="0"/>
                                          <a:pt x="8"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 name="Freeform 8"/>
                                <wps:cNvSpPr>
                                  <a:spLocks/>
                                </wps:cNvSpPr>
                                <wps:spPr bwMode="auto">
                                  <a:xfrm>
                                    <a:off x="185109" y="194554"/>
                                    <a:ext cx="92075" cy="161925"/>
                                  </a:xfrm>
                                  <a:custGeom>
                                    <a:avLst/>
                                    <a:gdLst>
                                      <a:gd name="T0" fmla="*/ 24 w 29"/>
                                      <a:gd name="T1" fmla="*/ 44 h 51"/>
                                      <a:gd name="T2" fmla="*/ 20 w 29"/>
                                      <a:gd name="T3" fmla="*/ 43 h 51"/>
                                      <a:gd name="T4" fmla="*/ 19 w 29"/>
                                      <a:gd name="T5" fmla="*/ 40 h 51"/>
                                      <a:gd name="T6" fmla="*/ 19 w 29"/>
                                      <a:gd name="T7" fmla="*/ 36 h 51"/>
                                      <a:gd name="T8" fmla="*/ 20 w 29"/>
                                      <a:gd name="T9" fmla="*/ 32 h 51"/>
                                      <a:gd name="T10" fmla="*/ 24 w 29"/>
                                      <a:gd name="T11" fmla="*/ 18 h 51"/>
                                      <a:gd name="T12" fmla="*/ 24 w 29"/>
                                      <a:gd name="T13" fmla="*/ 14 h 51"/>
                                      <a:gd name="T14" fmla="*/ 25 w 29"/>
                                      <a:gd name="T15" fmla="*/ 11 h 51"/>
                                      <a:gd name="T16" fmla="*/ 22 w 29"/>
                                      <a:gd name="T17" fmla="*/ 3 h 51"/>
                                      <a:gd name="T18" fmla="*/ 14 w 29"/>
                                      <a:gd name="T19" fmla="*/ 0 h 51"/>
                                      <a:gd name="T20" fmla="*/ 7 w 29"/>
                                      <a:gd name="T21" fmla="*/ 2 h 51"/>
                                      <a:gd name="T22" fmla="*/ 1 w 29"/>
                                      <a:gd name="T23" fmla="*/ 4 h 51"/>
                                      <a:gd name="T24" fmla="*/ 0 w 29"/>
                                      <a:gd name="T25" fmla="*/ 9 h 51"/>
                                      <a:gd name="T26" fmla="*/ 2 w 29"/>
                                      <a:gd name="T27" fmla="*/ 8 h 51"/>
                                      <a:gd name="T28" fmla="*/ 5 w 29"/>
                                      <a:gd name="T29" fmla="*/ 7 h 51"/>
                                      <a:gd name="T30" fmla="*/ 9 w 29"/>
                                      <a:gd name="T31" fmla="*/ 8 h 51"/>
                                      <a:gd name="T32" fmla="*/ 10 w 29"/>
                                      <a:gd name="T33" fmla="*/ 12 h 51"/>
                                      <a:gd name="T34" fmla="*/ 10 w 29"/>
                                      <a:gd name="T35" fmla="*/ 16 h 51"/>
                                      <a:gd name="T36" fmla="*/ 9 w 29"/>
                                      <a:gd name="T37" fmla="*/ 19 h 51"/>
                                      <a:gd name="T38" fmla="*/ 5 w 29"/>
                                      <a:gd name="T39" fmla="*/ 34 h 51"/>
                                      <a:gd name="T40" fmla="*/ 4 w 29"/>
                                      <a:gd name="T41" fmla="*/ 38 h 51"/>
                                      <a:gd name="T42" fmla="*/ 4 w 29"/>
                                      <a:gd name="T43" fmla="*/ 41 h 51"/>
                                      <a:gd name="T44" fmla="*/ 7 w 29"/>
                                      <a:gd name="T45" fmla="*/ 48 h 51"/>
                                      <a:gd name="T46" fmla="*/ 15 w 29"/>
                                      <a:gd name="T47" fmla="*/ 51 h 51"/>
                                      <a:gd name="T48" fmla="*/ 21 w 29"/>
                                      <a:gd name="T49" fmla="*/ 50 h 51"/>
                                      <a:gd name="T50" fmla="*/ 28 w 29"/>
                                      <a:gd name="T51" fmla="*/ 47 h 51"/>
                                      <a:gd name="T52" fmla="*/ 29 w 29"/>
                                      <a:gd name="T53" fmla="*/ 43 h 51"/>
                                      <a:gd name="T54" fmla="*/ 27 w 29"/>
                                      <a:gd name="T55" fmla="*/ 44 h 51"/>
                                      <a:gd name="T56" fmla="*/ 24 w 29"/>
                                      <a:gd name="T57" fmla="*/ 44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9" h="51">
                                        <a:moveTo>
                                          <a:pt x="24" y="44"/>
                                        </a:moveTo>
                                        <a:cubicBezTo>
                                          <a:pt x="22" y="44"/>
                                          <a:pt x="21" y="44"/>
                                          <a:pt x="20" y="43"/>
                                        </a:cubicBezTo>
                                        <a:cubicBezTo>
                                          <a:pt x="19" y="43"/>
                                          <a:pt x="19" y="41"/>
                                          <a:pt x="19" y="40"/>
                                        </a:cubicBezTo>
                                        <a:cubicBezTo>
                                          <a:pt x="19" y="39"/>
                                          <a:pt x="19" y="38"/>
                                          <a:pt x="19" y="36"/>
                                        </a:cubicBezTo>
                                        <a:cubicBezTo>
                                          <a:pt x="19" y="35"/>
                                          <a:pt x="20" y="33"/>
                                          <a:pt x="20" y="32"/>
                                        </a:cubicBezTo>
                                        <a:cubicBezTo>
                                          <a:pt x="24" y="18"/>
                                          <a:pt x="24" y="18"/>
                                          <a:pt x="24" y="18"/>
                                        </a:cubicBezTo>
                                        <a:cubicBezTo>
                                          <a:pt x="24" y="17"/>
                                          <a:pt x="24" y="15"/>
                                          <a:pt x="24" y="14"/>
                                        </a:cubicBezTo>
                                        <a:cubicBezTo>
                                          <a:pt x="24" y="12"/>
                                          <a:pt x="25" y="11"/>
                                          <a:pt x="25" y="11"/>
                                        </a:cubicBezTo>
                                        <a:cubicBezTo>
                                          <a:pt x="25" y="8"/>
                                          <a:pt x="24" y="5"/>
                                          <a:pt x="22" y="3"/>
                                        </a:cubicBezTo>
                                        <a:cubicBezTo>
                                          <a:pt x="20" y="1"/>
                                          <a:pt x="17" y="0"/>
                                          <a:pt x="14" y="0"/>
                                        </a:cubicBezTo>
                                        <a:cubicBezTo>
                                          <a:pt x="12" y="0"/>
                                          <a:pt x="10" y="1"/>
                                          <a:pt x="7" y="2"/>
                                        </a:cubicBezTo>
                                        <a:cubicBezTo>
                                          <a:pt x="5" y="2"/>
                                          <a:pt x="3" y="3"/>
                                          <a:pt x="1" y="4"/>
                                        </a:cubicBezTo>
                                        <a:cubicBezTo>
                                          <a:pt x="0" y="9"/>
                                          <a:pt x="0" y="9"/>
                                          <a:pt x="0" y="9"/>
                                        </a:cubicBezTo>
                                        <a:cubicBezTo>
                                          <a:pt x="0" y="8"/>
                                          <a:pt x="1" y="8"/>
                                          <a:pt x="2" y="8"/>
                                        </a:cubicBezTo>
                                        <a:cubicBezTo>
                                          <a:pt x="3" y="8"/>
                                          <a:pt x="4" y="7"/>
                                          <a:pt x="5" y="7"/>
                                        </a:cubicBezTo>
                                        <a:cubicBezTo>
                                          <a:pt x="7" y="7"/>
                                          <a:pt x="8" y="8"/>
                                          <a:pt x="9" y="8"/>
                                        </a:cubicBezTo>
                                        <a:cubicBezTo>
                                          <a:pt x="10" y="9"/>
                                          <a:pt x="10" y="10"/>
                                          <a:pt x="10" y="12"/>
                                        </a:cubicBezTo>
                                        <a:cubicBezTo>
                                          <a:pt x="10" y="13"/>
                                          <a:pt x="10" y="14"/>
                                          <a:pt x="10" y="16"/>
                                        </a:cubicBezTo>
                                        <a:cubicBezTo>
                                          <a:pt x="9" y="17"/>
                                          <a:pt x="9" y="18"/>
                                          <a:pt x="9" y="19"/>
                                        </a:cubicBezTo>
                                        <a:cubicBezTo>
                                          <a:pt x="5" y="34"/>
                                          <a:pt x="5" y="34"/>
                                          <a:pt x="5" y="34"/>
                                        </a:cubicBezTo>
                                        <a:cubicBezTo>
                                          <a:pt x="5" y="35"/>
                                          <a:pt x="5" y="37"/>
                                          <a:pt x="4" y="38"/>
                                        </a:cubicBezTo>
                                        <a:cubicBezTo>
                                          <a:pt x="4" y="39"/>
                                          <a:pt x="4" y="40"/>
                                          <a:pt x="4" y="41"/>
                                        </a:cubicBezTo>
                                        <a:cubicBezTo>
                                          <a:pt x="4" y="44"/>
                                          <a:pt x="5" y="47"/>
                                          <a:pt x="7" y="48"/>
                                        </a:cubicBezTo>
                                        <a:cubicBezTo>
                                          <a:pt x="9" y="50"/>
                                          <a:pt x="12" y="51"/>
                                          <a:pt x="15" y="51"/>
                                        </a:cubicBezTo>
                                        <a:cubicBezTo>
                                          <a:pt x="18" y="51"/>
                                          <a:pt x="20" y="51"/>
                                          <a:pt x="21" y="50"/>
                                        </a:cubicBezTo>
                                        <a:cubicBezTo>
                                          <a:pt x="23" y="50"/>
                                          <a:pt x="25" y="49"/>
                                          <a:pt x="28" y="47"/>
                                        </a:cubicBezTo>
                                        <a:cubicBezTo>
                                          <a:pt x="29" y="43"/>
                                          <a:pt x="29" y="43"/>
                                          <a:pt x="29" y="43"/>
                                        </a:cubicBezTo>
                                        <a:cubicBezTo>
                                          <a:pt x="29" y="43"/>
                                          <a:pt x="28" y="44"/>
                                          <a:pt x="27" y="44"/>
                                        </a:cubicBezTo>
                                        <a:cubicBezTo>
                                          <a:pt x="26" y="44"/>
                                          <a:pt x="25" y="44"/>
                                          <a:pt x="24" y="44"/>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wgp>
                        </a:graphicData>
                      </a:graphic>
                    </wp:inline>
                  </w:drawing>
                </mc:Choice>
                <mc:Fallback xmlns:w16sdtdh="http://schemas.microsoft.com/office/word/2020/wordml/sdtdatahash">
                  <w:pict>
                    <v:group w14:anchorId="5570A3E9" id="Group 54" o:spid="_x0000_s1026" alt="&quot;&quot;" style="width:28.35pt;height:28.35pt;mso-position-horizontal-relative:char;mso-position-vertical-relative:line" coordsize="5397,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">
                      <o:lock v:ext="edit" aspectratio="t"/>
                      <v:shape id="Freeform 103" o:spid="_x0000_s1027" style="position:absolute;width:5397;height:5397;visibility:visible;mso-wrap-style:square;v-text-anchor:top" coordsize="16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" path="m168,164c127,122,127,122,127,122v,,,,,c139,109,146,91,146,73,146,33,113,,73,,33,,,33,,73v,41,33,73,73,73c91,146,108,140,122,128v,-1,,-1,,-1c122,128,122,128,122,128v41,40,41,40,41,40c164,169,165,169,166,169v2,,3,-1,3,-3c169,165,169,164,168,164xm73,140c37,140,7,110,7,73,7,37,37,7,73,7v37,,66,30,66,66c139,110,110,140,73,140xe" filled="f" stroked="f">
                        <v:path arrowok="t" o:connecttype="custom" o:connectlocs="536556,523781;405611,389642;405611,389642;466293,233146;233146,0;0,233146;233146,466293;389642,408805;389642,405611;389642,408805;520587,536556;530169,539750;539750,530169;536556,523781;233146,447130;22357,233146;233146,22357;443936,233146;233146,447130" o:connectangles="0,0,0,0,0,0,0,0,0,0,0,0,0,0,0,0,0,0,0"/>
                        <o:lock v:ext="edit" aspectratio="t" verticies="t"/>
                      </v:shape>
                      <v:group id="Group 18" o:spid="_x0000_s1028" style="position:absolute;left:1851;top:1120;width:920;height:2444" coordorigin="185109,112004" coordsize="92075,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7" o:spid="_x0000_s1029" style="position:absolute;left:204159;top:112004;width:53975;height:57150;visibility:visible;mso-wrap-style:square;v-text-anchor:top" coordsize="1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" path="m8,c6,,4,1,2,3,1,5,,7,,9v,3,1,5,2,7c4,17,6,18,8,18v3,,5,-1,7,-2c16,14,17,12,17,9,17,7,16,5,15,3,13,1,11,,8,e" filled="f" stroked="f">
                          <v:path arrowok="t" o:connecttype="custom" o:connectlocs="25400,0;6350,9525;0,28575;6350,50800;25400,57150;47625,50800;53975,28575;47625,9525;25400,0" o:connectangles="0,0,0,0,0,0,0,0,0"/>
                        </v:shape>
                        <v:shape id="Freeform 8" o:spid="_x0000_s1030" style="position:absolute;left:185109;top:194554;width:92075;height:161925;visibility:visible;mso-wrap-style:square;v-text-anchor:top" coordsize="2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" path="m24,44v-2,,-3,,-4,-1c19,43,19,41,19,40v,-1,,-2,,-4c19,35,20,33,20,32,24,18,24,18,24,18v,-1,,-3,,-4c24,12,25,11,25,11,25,8,24,5,22,3,20,1,17,,14,,12,,10,1,7,2,5,2,3,3,1,4,,9,,9,,9,,8,1,8,2,8,3,8,4,7,5,7v2,,3,1,4,1c10,9,10,10,10,12v,1,,2,,4c9,17,9,18,9,19,5,34,5,34,5,34v,1,,3,-1,4c4,39,4,40,4,41v,3,1,6,3,7c9,50,12,51,15,51v3,,5,,6,-1c23,50,25,49,28,47v1,-4,1,-4,1,-4c29,43,28,44,27,44v-1,,-2,,-3,e" filled="f" stroked="f">
                          <v:path arrowok="t" o:connecttype="custom" o:connectlocs="76200,139700;63500,136525;60325,127000;60325,114300;63500,101600;76200,57150;76200,44450;79375,34925;69850,9525;44450,0;22225,6350;3175,12700;0,28575;6350,25400;15875,22225;28575,25400;31750,38100;31750,50800;28575,60325;15875,107950;12700,120650;12700,130175;22225,152400;47625,161925;66675,158750;88900,149225;92075,136525;85725,139700;76200,139700" o:connectangles="0,0,0,0,0,0,0,0,0,0,0,0,0,0,0,0,0,0,0,0,0,0,0,0,0,0,0,0,0"/>
                        </v:shape>
                      </v:group>
                      <w10:anchorlock/>
                    </v:group>
                  </w:pict>
                </mc:Fallback>
              </mc:AlternateContent>
            </w:r>
          </w:p>
        </w:tc>
        <w:tc>
          <w:tcPr>
            <w:tcW w:w="7797" w:type="dxa"/>
            <w:shd w:val="clear" w:color="auto" w:fill="0070C0"/>
          </w:tcPr>
          <w:p w14:paraId="14236B29" w14:textId="77777777" w:rsidR="0007227F" w:rsidRPr="0007227F" w:rsidRDefault="0007227F" w:rsidP="0007227F">
            <w:pPr>
              <w:spacing w:after="0" w:line="257" w:lineRule="auto"/>
              <w:rPr>
                <w:rFonts w:ascii="Segoe UI Semibold" w:eastAsia="Segoe UI" w:hAnsi="Segoe UI Semibold" w:cs="Segoe UI Semibold"/>
                <w:color w:val="FFFFFF"/>
              </w:rPr>
            </w:pPr>
            <w:r w:rsidRPr="0007227F">
              <w:rPr>
                <w:rFonts w:ascii="Segoe UI Semibold" w:eastAsia="Segoe UI" w:hAnsi="Segoe UI Semibold" w:cs="Segoe UI Semibold"/>
                <w:color w:val="FFFFFF"/>
              </w:rPr>
              <w:t>What evidence exists on best practice approaches to funding and delivery arrangements?</w:t>
            </w:r>
          </w:p>
        </w:tc>
      </w:tr>
    </w:tbl>
    <w:p w14:paraId="5513EED8" w14:textId="792E7189" w:rsidR="00F85625" w:rsidRDefault="00F85625" w:rsidP="00FE19F4">
      <w:r>
        <w:t>There are multiple arrangements that can be used to support joint funding and delivery of activities between Commonwealth and state/territory governments. The type of funding arrangement is a key consideration in joint Commonwealth and state/territory projects; this literature review focused on National Partnership Payments (NPPs) in health or other sectors given they are most relevant to the Measure arrangements.</w:t>
      </w:r>
    </w:p>
    <w:p w14:paraId="78BEAB9B" w14:textId="77777777" w:rsidR="00F85625" w:rsidRDefault="00F85625" w:rsidP="00FE19F4">
      <w:r>
        <w:t>Of the four types of NPPs, the less onerous reporting requirements that characterise National Partnership Agreements (NPAs) and Project Agreements (PAs) have led to their increasing use in facilitating joint Commonwealth and state/territory projects. The literature indicates that there is very limited evidence on joint funding and delivery arrangements specific to palliative care in RACFs, so this report focuses on what the evaluation can learn about joint funding and delivery in health and other sectors more broadly.</w:t>
      </w:r>
    </w:p>
    <w:p w14:paraId="45CA6307" w14:textId="77777777" w:rsidR="00F85625" w:rsidRDefault="00F85625" w:rsidP="00FE19F4">
      <w:r>
        <w:t>Evidence showed that NPAs and PAs are commonly used for joint delivery of activities in the health sector. They allow states and territories to exercise their judgement as to where funding is allocated, yielding outcomes that address jurisdictional specific issues.</w:t>
      </w:r>
    </w:p>
    <w:p w14:paraId="0045D7FE" w14:textId="1296AC47" w:rsidR="00F85625" w:rsidRDefault="00F85625" w:rsidP="00FE19F4">
      <w:r>
        <w:t>Pooled funding across state and territory jurisdictions has the potential to minimise service gaps and progress equitable health coverage. Co-commissioning between states/territories and Primary Health Networks (PHNs) has the potential to further integrate health system services. However, pooled funding and giving regions greater control and responsibility is supported in theory but not in practice. While many countries are exploring forms of funds pooling, there is little evidence of efficacy at scale. An international review of integrated funding for health and social care explored 38 schemes from eight countries and were unable to isolate elements such as funds pooling from care delivery.</w:t>
      </w:r>
    </w:p>
    <w:p w14:paraId="127BD397" w14:textId="77777777" w:rsidR="00F85625" w:rsidRDefault="00F85625" w:rsidP="00FE19F4">
      <w:r>
        <w:t>Evidence on best practice approaches to joint funding and delivery is limited to large-scale agreements, but certain principles can apply to all agreements. Evidence suggests that funding models for palliative care should move toward activity-based, uncapped funding, and informed by performance metrics and reporting.</w:t>
      </w:r>
    </w:p>
    <w:p w14:paraId="3370F0B2" w14:textId="77777777" w:rsidR="00F85625" w:rsidRPr="003F2251" w:rsidRDefault="00F85625" w:rsidP="00F85625">
      <w:pPr>
        <w:rPr>
          <w:szCs w:val="19"/>
        </w:rPr>
      </w:pPr>
      <w:r>
        <w:rPr>
          <w:szCs w:val="19"/>
        </w:rPr>
        <w:t>Evidence on best practice funding and delivery approaches will inform the national evaluation in the following ways:</w:t>
      </w:r>
    </w:p>
    <w:p w14:paraId="0ECE9E49" w14:textId="77777777" w:rsidR="00F85625" w:rsidRDefault="00F85625" w:rsidP="009275A8">
      <w:pPr>
        <w:pStyle w:val="Bullet"/>
        <w:numPr>
          <w:ilvl w:val="0"/>
          <w:numId w:val="4"/>
        </w:numPr>
        <w:spacing w:line="259" w:lineRule="auto"/>
      </w:pPr>
      <w:r>
        <w:t>Best practice approaches to joint funding and delivery arrangements evidenced in the literature will be shared in the national evaluation and will contextualise the Measure’s arrangement.</w:t>
      </w:r>
    </w:p>
    <w:p w14:paraId="279B165C" w14:textId="3346FEF8" w:rsidR="00F85625" w:rsidRDefault="00F85625" w:rsidP="009275A8">
      <w:pPr>
        <w:pStyle w:val="Bullet"/>
        <w:numPr>
          <w:ilvl w:val="0"/>
          <w:numId w:val="4"/>
        </w:numPr>
        <w:spacing w:line="259" w:lineRule="auto"/>
      </w:pPr>
      <w:r>
        <w:t>Findings from examination of good practice funding and delivery arrangements will help identify areas of improvement for potential future joint activities/agreements.</w:t>
      </w:r>
    </w:p>
    <w:p w14:paraId="45B04A75" w14:textId="77777777" w:rsidR="00D216FB" w:rsidRDefault="00D216FB" w:rsidP="00D216FB">
      <w:pPr>
        <w:pStyle w:val="Bullet"/>
        <w:numPr>
          <w:ilvl w:val="0"/>
          <w:numId w:val="0"/>
        </w:numPr>
        <w:spacing w:line="259" w:lineRule="auto"/>
        <w:ind w:left="340"/>
      </w:pPr>
    </w:p>
    <w:tbl>
      <w:tblPr>
        <w:tblStyle w:val="DPSTableGrid2"/>
        <w:tblW w:w="9016" w:type="dxa"/>
        <w:tblBorders>
          <w:top w:val="none" w:sz="0" w:space="0" w:color="auto"/>
          <w:bottom w:val="none" w:sz="0" w:space="0" w:color="auto"/>
          <w:insideH w:val="none" w:sz="0" w:space="0" w:color="auto"/>
        </w:tblBorders>
        <w:shd w:val="clear" w:color="auto" w:fill="F2F2F2" w:themeFill="background1" w:themeFillShade="F2"/>
        <w:tblCellMar>
          <w:top w:w="85" w:type="dxa"/>
        </w:tblCellMar>
        <w:tblLook w:val="0400" w:firstRow="0" w:lastRow="0" w:firstColumn="0" w:lastColumn="0" w:noHBand="0" w:noVBand="1"/>
        <w:tblCaption w:val="How have palliative care in RACF initiatives sought to address health interface issues?"/>
      </w:tblPr>
      <w:tblGrid>
        <w:gridCol w:w="1219"/>
        <w:gridCol w:w="7797"/>
      </w:tblGrid>
      <w:tr w:rsidR="00C96350" w:rsidRPr="006B5F38" w14:paraId="4D775FCE" w14:textId="77777777" w:rsidTr="22C19DAE">
        <w:trPr>
          <w:cnfStyle w:val="000000100000" w:firstRow="0" w:lastRow="0" w:firstColumn="0" w:lastColumn="0" w:oddVBand="0" w:evenVBand="0" w:oddHBand="1" w:evenHBand="0" w:firstRowFirstColumn="0" w:firstRowLastColumn="0" w:lastRowFirstColumn="0" w:lastRowLastColumn="0"/>
          <w:trHeight w:val="624"/>
        </w:trPr>
        <w:tc>
          <w:tcPr>
            <w:tcW w:w="1219" w:type="dxa"/>
            <w:shd w:val="clear" w:color="auto" w:fill="25B3E0" w:themeFill="accent6"/>
          </w:tcPr>
          <w:p w14:paraId="16BEF595" w14:textId="77777777" w:rsidR="00C96350" w:rsidRPr="006B5F38" w:rsidRDefault="00C96350" w:rsidP="00735912">
            <w:pPr>
              <w:spacing w:after="0" w:line="257" w:lineRule="auto"/>
              <w:jc w:val="center"/>
              <w:rPr>
                <w:rFonts w:ascii="Segoe UI Semibold" w:hAnsi="Segoe UI Semibold" w:cs="Segoe UI Semibold"/>
                <w:color w:val="FFFFFF" w:themeColor="background1"/>
              </w:rPr>
            </w:pPr>
            <w:r w:rsidRPr="00753F4A">
              <w:rPr>
                <w:rFonts w:ascii="Segoe UI Semibold" w:hAnsi="Segoe UI Semibold" w:cs="Segoe UI Semibold"/>
                <w:noProof/>
                <w:color w:val="FFFFFF" w:themeColor="background1"/>
                <w:lang w:eastAsia="en-AU"/>
              </w:rPr>
              <mc:AlternateContent>
                <mc:Choice Requires="wpg">
                  <w:drawing>
                    <wp:inline distT="0" distB="0" distL="0" distR="0" wp14:anchorId="77A34483" wp14:editId="1B9DF739">
                      <wp:extent cx="360000" cy="360000"/>
                      <wp:effectExtent l="0" t="0" r="2540" b="2540"/>
                      <wp:docPr id="23" name="Group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60000" cy="360000"/>
                                <a:chOff x="0" y="0"/>
                                <a:chExt cx="539750" cy="539750"/>
                              </a:xfrm>
                              <a:solidFill>
                                <a:sysClr val="window" lastClr="FFFFFF"/>
                              </a:solidFill>
                            </wpg:grpSpPr>
                            <wps:wsp>
                              <wps:cNvPr id="27" name="Freeform 103"/>
                              <wps:cNvSpPr>
                                <a:spLocks noChangeAspect="1" noEditPoints="1"/>
                              </wps:cNvSpPr>
                              <wps:spPr bwMode="auto">
                                <a:xfrm>
                                  <a:off x="0" y="0"/>
                                  <a:ext cx="539750" cy="539750"/>
                                </a:xfrm>
                                <a:custGeom>
                                  <a:avLst/>
                                  <a:gdLst>
                                    <a:gd name="T0" fmla="*/ 168 w 169"/>
                                    <a:gd name="T1" fmla="*/ 164 h 169"/>
                                    <a:gd name="T2" fmla="*/ 127 w 169"/>
                                    <a:gd name="T3" fmla="*/ 122 h 169"/>
                                    <a:gd name="T4" fmla="*/ 127 w 169"/>
                                    <a:gd name="T5" fmla="*/ 122 h 169"/>
                                    <a:gd name="T6" fmla="*/ 146 w 169"/>
                                    <a:gd name="T7" fmla="*/ 73 h 169"/>
                                    <a:gd name="T8" fmla="*/ 73 w 169"/>
                                    <a:gd name="T9" fmla="*/ 0 h 169"/>
                                    <a:gd name="T10" fmla="*/ 0 w 169"/>
                                    <a:gd name="T11" fmla="*/ 73 h 169"/>
                                    <a:gd name="T12" fmla="*/ 73 w 169"/>
                                    <a:gd name="T13" fmla="*/ 146 h 169"/>
                                    <a:gd name="T14" fmla="*/ 122 w 169"/>
                                    <a:gd name="T15" fmla="*/ 128 h 169"/>
                                    <a:gd name="T16" fmla="*/ 122 w 169"/>
                                    <a:gd name="T17" fmla="*/ 127 h 169"/>
                                    <a:gd name="T18" fmla="*/ 122 w 169"/>
                                    <a:gd name="T19" fmla="*/ 128 h 169"/>
                                    <a:gd name="T20" fmla="*/ 163 w 169"/>
                                    <a:gd name="T21" fmla="*/ 168 h 169"/>
                                    <a:gd name="T22" fmla="*/ 166 w 169"/>
                                    <a:gd name="T23" fmla="*/ 169 h 169"/>
                                    <a:gd name="T24" fmla="*/ 169 w 169"/>
                                    <a:gd name="T25" fmla="*/ 166 h 169"/>
                                    <a:gd name="T26" fmla="*/ 168 w 169"/>
                                    <a:gd name="T27" fmla="*/ 164 h 169"/>
                                    <a:gd name="T28" fmla="*/ 73 w 169"/>
                                    <a:gd name="T29" fmla="*/ 140 h 169"/>
                                    <a:gd name="T30" fmla="*/ 7 w 169"/>
                                    <a:gd name="T31" fmla="*/ 73 h 169"/>
                                    <a:gd name="T32" fmla="*/ 73 w 169"/>
                                    <a:gd name="T33" fmla="*/ 7 h 169"/>
                                    <a:gd name="T34" fmla="*/ 139 w 169"/>
                                    <a:gd name="T35" fmla="*/ 73 h 169"/>
                                    <a:gd name="T36" fmla="*/ 73 w 169"/>
                                    <a:gd name="T37" fmla="*/ 140 h 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69" h="169">
                                      <a:moveTo>
                                        <a:pt x="168" y="164"/>
                                      </a:moveTo>
                                      <a:cubicBezTo>
                                        <a:pt x="127" y="122"/>
                                        <a:pt x="127" y="122"/>
                                        <a:pt x="127" y="122"/>
                                      </a:cubicBezTo>
                                      <a:cubicBezTo>
                                        <a:pt x="127" y="122"/>
                                        <a:pt x="127" y="122"/>
                                        <a:pt x="127" y="122"/>
                                      </a:cubicBezTo>
                                      <a:cubicBezTo>
                                        <a:pt x="139" y="109"/>
                                        <a:pt x="146" y="91"/>
                                        <a:pt x="146" y="73"/>
                                      </a:cubicBezTo>
                                      <a:cubicBezTo>
                                        <a:pt x="146" y="33"/>
                                        <a:pt x="113" y="0"/>
                                        <a:pt x="73" y="0"/>
                                      </a:cubicBezTo>
                                      <a:cubicBezTo>
                                        <a:pt x="33" y="0"/>
                                        <a:pt x="0" y="33"/>
                                        <a:pt x="0" y="73"/>
                                      </a:cubicBezTo>
                                      <a:cubicBezTo>
                                        <a:pt x="0" y="114"/>
                                        <a:pt x="33" y="146"/>
                                        <a:pt x="73" y="146"/>
                                      </a:cubicBezTo>
                                      <a:cubicBezTo>
                                        <a:pt x="91" y="146"/>
                                        <a:pt x="108" y="140"/>
                                        <a:pt x="122" y="128"/>
                                      </a:cubicBezTo>
                                      <a:cubicBezTo>
                                        <a:pt x="122" y="127"/>
                                        <a:pt x="122" y="127"/>
                                        <a:pt x="122" y="127"/>
                                      </a:cubicBezTo>
                                      <a:cubicBezTo>
                                        <a:pt x="122" y="128"/>
                                        <a:pt x="122" y="128"/>
                                        <a:pt x="122" y="128"/>
                                      </a:cubicBezTo>
                                      <a:cubicBezTo>
                                        <a:pt x="163" y="168"/>
                                        <a:pt x="163" y="168"/>
                                        <a:pt x="163" y="168"/>
                                      </a:cubicBezTo>
                                      <a:cubicBezTo>
                                        <a:pt x="164" y="169"/>
                                        <a:pt x="165" y="169"/>
                                        <a:pt x="166" y="169"/>
                                      </a:cubicBezTo>
                                      <a:cubicBezTo>
                                        <a:pt x="168" y="169"/>
                                        <a:pt x="169" y="168"/>
                                        <a:pt x="169" y="166"/>
                                      </a:cubicBezTo>
                                      <a:cubicBezTo>
                                        <a:pt x="169" y="165"/>
                                        <a:pt x="169" y="164"/>
                                        <a:pt x="168" y="164"/>
                                      </a:cubicBezTo>
                                      <a:close/>
                                      <a:moveTo>
                                        <a:pt x="73" y="140"/>
                                      </a:moveTo>
                                      <a:cubicBezTo>
                                        <a:pt x="37" y="140"/>
                                        <a:pt x="7" y="110"/>
                                        <a:pt x="7" y="73"/>
                                      </a:cubicBezTo>
                                      <a:cubicBezTo>
                                        <a:pt x="7" y="37"/>
                                        <a:pt x="37" y="7"/>
                                        <a:pt x="73" y="7"/>
                                      </a:cubicBezTo>
                                      <a:cubicBezTo>
                                        <a:pt x="110" y="7"/>
                                        <a:pt x="139" y="37"/>
                                        <a:pt x="139" y="73"/>
                                      </a:cubicBezTo>
                                      <a:cubicBezTo>
                                        <a:pt x="139" y="110"/>
                                        <a:pt x="110" y="140"/>
                                        <a:pt x="73" y="140"/>
                                      </a:cubicBezTo>
                                      <a:close/>
                                    </a:path>
                                  </a:pathLst>
                                </a:custGeom>
                                <a:grpFill/>
                                <a:ln>
                                  <a:noFill/>
                                </a:ln>
                              </wps:spPr>
                              <wps:bodyPr vert="horz" wrap="square" lIns="91440" tIns="45720" rIns="91440" bIns="45720" numCol="1" anchor="t" anchorCtr="0" compatLnSpc="1">
                                <a:prstTxWarp prst="textNoShape">
                                  <a:avLst/>
                                </a:prstTxWarp>
                              </wps:bodyPr>
                            </wps:wsp>
                            <wpg:grpSp>
                              <wpg:cNvPr id="28" name="Group 28"/>
                              <wpg:cNvGrpSpPr/>
                              <wpg:grpSpPr>
                                <a:xfrm>
                                  <a:off x="185109" y="112004"/>
                                  <a:ext cx="92075" cy="244475"/>
                                  <a:chOff x="185109" y="112004"/>
                                  <a:chExt cx="92075" cy="244475"/>
                                </a:xfrm>
                                <a:grpFill/>
                              </wpg:grpSpPr>
                              <wps:wsp>
                                <wps:cNvPr id="29" name="Freeform 7"/>
                                <wps:cNvSpPr>
                                  <a:spLocks/>
                                </wps:cNvSpPr>
                                <wps:spPr bwMode="auto">
                                  <a:xfrm>
                                    <a:off x="204159" y="112004"/>
                                    <a:ext cx="53975" cy="57150"/>
                                  </a:xfrm>
                                  <a:custGeom>
                                    <a:avLst/>
                                    <a:gdLst>
                                      <a:gd name="T0" fmla="*/ 8 w 17"/>
                                      <a:gd name="T1" fmla="*/ 0 h 18"/>
                                      <a:gd name="T2" fmla="*/ 2 w 17"/>
                                      <a:gd name="T3" fmla="*/ 3 h 18"/>
                                      <a:gd name="T4" fmla="*/ 0 w 17"/>
                                      <a:gd name="T5" fmla="*/ 9 h 18"/>
                                      <a:gd name="T6" fmla="*/ 2 w 17"/>
                                      <a:gd name="T7" fmla="*/ 16 h 18"/>
                                      <a:gd name="T8" fmla="*/ 8 w 17"/>
                                      <a:gd name="T9" fmla="*/ 18 h 18"/>
                                      <a:gd name="T10" fmla="*/ 15 w 17"/>
                                      <a:gd name="T11" fmla="*/ 16 h 18"/>
                                      <a:gd name="T12" fmla="*/ 17 w 17"/>
                                      <a:gd name="T13" fmla="*/ 9 h 18"/>
                                      <a:gd name="T14" fmla="*/ 15 w 17"/>
                                      <a:gd name="T15" fmla="*/ 3 h 18"/>
                                      <a:gd name="T16" fmla="*/ 8 w 17"/>
                                      <a:gd name="T17"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8">
                                        <a:moveTo>
                                          <a:pt x="8" y="0"/>
                                        </a:moveTo>
                                        <a:cubicBezTo>
                                          <a:pt x="6" y="0"/>
                                          <a:pt x="4" y="1"/>
                                          <a:pt x="2" y="3"/>
                                        </a:cubicBezTo>
                                        <a:cubicBezTo>
                                          <a:pt x="1" y="5"/>
                                          <a:pt x="0" y="7"/>
                                          <a:pt x="0" y="9"/>
                                        </a:cubicBezTo>
                                        <a:cubicBezTo>
                                          <a:pt x="0" y="12"/>
                                          <a:pt x="1" y="14"/>
                                          <a:pt x="2" y="16"/>
                                        </a:cubicBezTo>
                                        <a:cubicBezTo>
                                          <a:pt x="4" y="17"/>
                                          <a:pt x="6" y="18"/>
                                          <a:pt x="8" y="18"/>
                                        </a:cubicBezTo>
                                        <a:cubicBezTo>
                                          <a:pt x="11" y="18"/>
                                          <a:pt x="13" y="17"/>
                                          <a:pt x="15" y="16"/>
                                        </a:cubicBezTo>
                                        <a:cubicBezTo>
                                          <a:pt x="16" y="14"/>
                                          <a:pt x="17" y="12"/>
                                          <a:pt x="17" y="9"/>
                                        </a:cubicBezTo>
                                        <a:cubicBezTo>
                                          <a:pt x="17" y="7"/>
                                          <a:pt x="16" y="5"/>
                                          <a:pt x="15" y="3"/>
                                        </a:cubicBezTo>
                                        <a:cubicBezTo>
                                          <a:pt x="13" y="1"/>
                                          <a:pt x="11" y="0"/>
                                          <a:pt x="8"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 name="Freeform 8"/>
                                <wps:cNvSpPr>
                                  <a:spLocks/>
                                </wps:cNvSpPr>
                                <wps:spPr bwMode="auto">
                                  <a:xfrm>
                                    <a:off x="185109" y="194554"/>
                                    <a:ext cx="92075" cy="161925"/>
                                  </a:xfrm>
                                  <a:custGeom>
                                    <a:avLst/>
                                    <a:gdLst>
                                      <a:gd name="T0" fmla="*/ 24 w 29"/>
                                      <a:gd name="T1" fmla="*/ 44 h 51"/>
                                      <a:gd name="T2" fmla="*/ 20 w 29"/>
                                      <a:gd name="T3" fmla="*/ 43 h 51"/>
                                      <a:gd name="T4" fmla="*/ 19 w 29"/>
                                      <a:gd name="T5" fmla="*/ 40 h 51"/>
                                      <a:gd name="T6" fmla="*/ 19 w 29"/>
                                      <a:gd name="T7" fmla="*/ 36 h 51"/>
                                      <a:gd name="T8" fmla="*/ 20 w 29"/>
                                      <a:gd name="T9" fmla="*/ 32 h 51"/>
                                      <a:gd name="T10" fmla="*/ 24 w 29"/>
                                      <a:gd name="T11" fmla="*/ 18 h 51"/>
                                      <a:gd name="T12" fmla="*/ 24 w 29"/>
                                      <a:gd name="T13" fmla="*/ 14 h 51"/>
                                      <a:gd name="T14" fmla="*/ 25 w 29"/>
                                      <a:gd name="T15" fmla="*/ 11 h 51"/>
                                      <a:gd name="T16" fmla="*/ 22 w 29"/>
                                      <a:gd name="T17" fmla="*/ 3 h 51"/>
                                      <a:gd name="T18" fmla="*/ 14 w 29"/>
                                      <a:gd name="T19" fmla="*/ 0 h 51"/>
                                      <a:gd name="T20" fmla="*/ 7 w 29"/>
                                      <a:gd name="T21" fmla="*/ 2 h 51"/>
                                      <a:gd name="T22" fmla="*/ 1 w 29"/>
                                      <a:gd name="T23" fmla="*/ 4 h 51"/>
                                      <a:gd name="T24" fmla="*/ 0 w 29"/>
                                      <a:gd name="T25" fmla="*/ 9 h 51"/>
                                      <a:gd name="T26" fmla="*/ 2 w 29"/>
                                      <a:gd name="T27" fmla="*/ 8 h 51"/>
                                      <a:gd name="T28" fmla="*/ 5 w 29"/>
                                      <a:gd name="T29" fmla="*/ 7 h 51"/>
                                      <a:gd name="T30" fmla="*/ 9 w 29"/>
                                      <a:gd name="T31" fmla="*/ 8 h 51"/>
                                      <a:gd name="T32" fmla="*/ 10 w 29"/>
                                      <a:gd name="T33" fmla="*/ 12 h 51"/>
                                      <a:gd name="T34" fmla="*/ 10 w 29"/>
                                      <a:gd name="T35" fmla="*/ 16 h 51"/>
                                      <a:gd name="T36" fmla="*/ 9 w 29"/>
                                      <a:gd name="T37" fmla="*/ 19 h 51"/>
                                      <a:gd name="T38" fmla="*/ 5 w 29"/>
                                      <a:gd name="T39" fmla="*/ 34 h 51"/>
                                      <a:gd name="T40" fmla="*/ 4 w 29"/>
                                      <a:gd name="T41" fmla="*/ 38 h 51"/>
                                      <a:gd name="T42" fmla="*/ 4 w 29"/>
                                      <a:gd name="T43" fmla="*/ 41 h 51"/>
                                      <a:gd name="T44" fmla="*/ 7 w 29"/>
                                      <a:gd name="T45" fmla="*/ 48 h 51"/>
                                      <a:gd name="T46" fmla="*/ 15 w 29"/>
                                      <a:gd name="T47" fmla="*/ 51 h 51"/>
                                      <a:gd name="T48" fmla="*/ 21 w 29"/>
                                      <a:gd name="T49" fmla="*/ 50 h 51"/>
                                      <a:gd name="T50" fmla="*/ 28 w 29"/>
                                      <a:gd name="T51" fmla="*/ 47 h 51"/>
                                      <a:gd name="T52" fmla="*/ 29 w 29"/>
                                      <a:gd name="T53" fmla="*/ 43 h 51"/>
                                      <a:gd name="T54" fmla="*/ 27 w 29"/>
                                      <a:gd name="T55" fmla="*/ 44 h 51"/>
                                      <a:gd name="T56" fmla="*/ 24 w 29"/>
                                      <a:gd name="T57" fmla="*/ 44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9" h="51">
                                        <a:moveTo>
                                          <a:pt x="24" y="44"/>
                                        </a:moveTo>
                                        <a:cubicBezTo>
                                          <a:pt x="22" y="44"/>
                                          <a:pt x="21" y="44"/>
                                          <a:pt x="20" y="43"/>
                                        </a:cubicBezTo>
                                        <a:cubicBezTo>
                                          <a:pt x="19" y="43"/>
                                          <a:pt x="19" y="41"/>
                                          <a:pt x="19" y="40"/>
                                        </a:cubicBezTo>
                                        <a:cubicBezTo>
                                          <a:pt x="19" y="39"/>
                                          <a:pt x="19" y="38"/>
                                          <a:pt x="19" y="36"/>
                                        </a:cubicBezTo>
                                        <a:cubicBezTo>
                                          <a:pt x="19" y="35"/>
                                          <a:pt x="20" y="33"/>
                                          <a:pt x="20" y="32"/>
                                        </a:cubicBezTo>
                                        <a:cubicBezTo>
                                          <a:pt x="24" y="18"/>
                                          <a:pt x="24" y="18"/>
                                          <a:pt x="24" y="18"/>
                                        </a:cubicBezTo>
                                        <a:cubicBezTo>
                                          <a:pt x="24" y="17"/>
                                          <a:pt x="24" y="15"/>
                                          <a:pt x="24" y="14"/>
                                        </a:cubicBezTo>
                                        <a:cubicBezTo>
                                          <a:pt x="24" y="12"/>
                                          <a:pt x="25" y="11"/>
                                          <a:pt x="25" y="11"/>
                                        </a:cubicBezTo>
                                        <a:cubicBezTo>
                                          <a:pt x="25" y="8"/>
                                          <a:pt x="24" y="5"/>
                                          <a:pt x="22" y="3"/>
                                        </a:cubicBezTo>
                                        <a:cubicBezTo>
                                          <a:pt x="20" y="1"/>
                                          <a:pt x="17" y="0"/>
                                          <a:pt x="14" y="0"/>
                                        </a:cubicBezTo>
                                        <a:cubicBezTo>
                                          <a:pt x="12" y="0"/>
                                          <a:pt x="10" y="1"/>
                                          <a:pt x="7" y="2"/>
                                        </a:cubicBezTo>
                                        <a:cubicBezTo>
                                          <a:pt x="5" y="2"/>
                                          <a:pt x="3" y="3"/>
                                          <a:pt x="1" y="4"/>
                                        </a:cubicBezTo>
                                        <a:cubicBezTo>
                                          <a:pt x="0" y="9"/>
                                          <a:pt x="0" y="9"/>
                                          <a:pt x="0" y="9"/>
                                        </a:cubicBezTo>
                                        <a:cubicBezTo>
                                          <a:pt x="0" y="8"/>
                                          <a:pt x="1" y="8"/>
                                          <a:pt x="2" y="8"/>
                                        </a:cubicBezTo>
                                        <a:cubicBezTo>
                                          <a:pt x="3" y="8"/>
                                          <a:pt x="4" y="7"/>
                                          <a:pt x="5" y="7"/>
                                        </a:cubicBezTo>
                                        <a:cubicBezTo>
                                          <a:pt x="7" y="7"/>
                                          <a:pt x="8" y="8"/>
                                          <a:pt x="9" y="8"/>
                                        </a:cubicBezTo>
                                        <a:cubicBezTo>
                                          <a:pt x="10" y="9"/>
                                          <a:pt x="10" y="10"/>
                                          <a:pt x="10" y="12"/>
                                        </a:cubicBezTo>
                                        <a:cubicBezTo>
                                          <a:pt x="10" y="13"/>
                                          <a:pt x="10" y="14"/>
                                          <a:pt x="10" y="16"/>
                                        </a:cubicBezTo>
                                        <a:cubicBezTo>
                                          <a:pt x="9" y="17"/>
                                          <a:pt x="9" y="18"/>
                                          <a:pt x="9" y="19"/>
                                        </a:cubicBezTo>
                                        <a:cubicBezTo>
                                          <a:pt x="5" y="34"/>
                                          <a:pt x="5" y="34"/>
                                          <a:pt x="5" y="34"/>
                                        </a:cubicBezTo>
                                        <a:cubicBezTo>
                                          <a:pt x="5" y="35"/>
                                          <a:pt x="5" y="37"/>
                                          <a:pt x="4" y="38"/>
                                        </a:cubicBezTo>
                                        <a:cubicBezTo>
                                          <a:pt x="4" y="39"/>
                                          <a:pt x="4" y="40"/>
                                          <a:pt x="4" y="41"/>
                                        </a:cubicBezTo>
                                        <a:cubicBezTo>
                                          <a:pt x="4" y="44"/>
                                          <a:pt x="5" y="47"/>
                                          <a:pt x="7" y="48"/>
                                        </a:cubicBezTo>
                                        <a:cubicBezTo>
                                          <a:pt x="9" y="50"/>
                                          <a:pt x="12" y="51"/>
                                          <a:pt x="15" y="51"/>
                                        </a:cubicBezTo>
                                        <a:cubicBezTo>
                                          <a:pt x="18" y="51"/>
                                          <a:pt x="20" y="51"/>
                                          <a:pt x="21" y="50"/>
                                        </a:cubicBezTo>
                                        <a:cubicBezTo>
                                          <a:pt x="23" y="50"/>
                                          <a:pt x="25" y="49"/>
                                          <a:pt x="28" y="47"/>
                                        </a:cubicBezTo>
                                        <a:cubicBezTo>
                                          <a:pt x="29" y="43"/>
                                          <a:pt x="29" y="43"/>
                                          <a:pt x="29" y="43"/>
                                        </a:cubicBezTo>
                                        <a:cubicBezTo>
                                          <a:pt x="29" y="43"/>
                                          <a:pt x="28" y="44"/>
                                          <a:pt x="27" y="44"/>
                                        </a:cubicBezTo>
                                        <a:cubicBezTo>
                                          <a:pt x="26" y="44"/>
                                          <a:pt x="25" y="44"/>
                                          <a:pt x="24" y="44"/>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wgp>
                        </a:graphicData>
                      </a:graphic>
                    </wp:inline>
                  </w:drawing>
                </mc:Choice>
                <mc:Fallback xmlns:w16sdtdh="http://schemas.microsoft.com/office/word/2020/wordml/sdtdatahash">
                  <w:pict>
                    <v:group w14:anchorId="6050D325" id="Group 54" o:spid="_x0000_s1026" alt="&quot;&quot;" style="width:28.35pt;height:28.35pt;mso-position-horizontal-relative:char;mso-position-vertical-relative:line" coordsize="5397,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">
                      <o:lock v:ext="edit" aspectratio="t"/>
                      <v:shape id="Freeform 103" o:spid="_x0000_s1027" style="position:absolute;width:5397;height:5397;visibility:visible;mso-wrap-style:square;v-text-anchor:top" coordsize="16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" path="m168,164c127,122,127,122,127,122v,,,,,c139,109,146,91,146,73,146,33,113,,73,,33,,,33,,73v,41,33,73,73,73c91,146,108,140,122,128v,-1,,-1,,-1c122,128,122,128,122,128v41,40,41,40,41,40c164,169,165,169,166,169v2,,3,-1,3,-3c169,165,169,164,168,164xm73,140c37,140,7,110,7,73,7,37,37,7,73,7v37,,66,30,66,66c139,110,110,140,73,140xe" filled="f" stroked="f">
                        <v:path arrowok="t" o:connecttype="custom" o:connectlocs="536556,523781;405611,389642;405611,389642;466293,233146;233146,0;0,233146;233146,466293;389642,408805;389642,405611;389642,408805;520587,536556;530169,539750;539750,530169;536556,523781;233146,447130;22357,233146;233146,22357;443936,233146;233146,447130" o:connectangles="0,0,0,0,0,0,0,0,0,0,0,0,0,0,0,0,0,0,0"/>
                        <o:lock v:ext="edit" aspectratio="t" verticies="t"/>
                      </v:shape>
                      <v:group id="Group 28" o:spid="_x0000_s1028" style="position:absolute;left:1851;top:1120;width:920;height:2444" coordorigin="185109,112004" coordsize="92075,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7" o:spid="_x0000_s1029" style="position:absolute;left:204159;top:112004;width:53975;height:57150;visibility:visible;mso-wrap-style:square;v-text-anchor:top" coordsize="1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" path="m8,c6,,4,1,2,3,1,5,,7,,9v,3,1,5,2,7c4,17,6,18,8,18v3,,5,-1,7,-2c16,14,17,12,17,9,17,7,16,5,15,3,13,1,11,,8,e" filled="f" stroked="f">
                          <v:path arrowok="t" o:connecttype="custom" o:connectlocs="25400,0;6350,9525;0,28575;6350,50800;25400,57150;47625,50800;53975,28575;47625,9525;25400,0" o:connectangles="0,0,0,0,0,0,0,0,0"/>
                        </v:shape>
                        <v:shape id="Freeform 8" o:spid="_x0000_s1030" style="position:absolute;left:185109;top:194554;width:92075;height:161925;visibility:visible;mso-wrap-style:square;v-text-anchor:top" coordsize="2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" path="m24,44v-2,,-3,,-4,-1c19,43,19,41,19,40v,-1,,-2,,-4c19,35,20,33,20,32,24,18,24,18,24,18v,-1,,-3,,-4c24,12,25,11,25,11,25,8,24,5,22,3,20,1,17,,14,,12,,10,1,7,2,5,2,3,3,1,4,,9,,9,,9,,8,1,8,2,8,3,8,4,7,5,7v2,,3,1,4,1c10,9,10,10,10,12v,1,,2,,4c9,17,9,18,9,19,5,34,5,34,5,34v,1,,3,-1,4c4,39,4,40,4,41v,3,1,6,3,7c9,50,12,51,15,51v3,,5,,6,-1c23,50,25,49,28,47v1,-4,1,-4,1,-4c29,43,28,44,27,44v-1,,-2,,-3,e" filled="f" stroked="f">
                          <v:path arrowok="t" o:connecttype="custom" o:connectlocs="76200,139700;63500,136525;60325,127000;60325,114300;63500,101600;76200,57150;76200,44450;79375,34925;69850,9525;44450,0;22225,6350;3175,12700;0,28575;6350,25400;15875,22225;28575,25400;31750,38100;31750,50800;28575,60325;15875,107950;12700,120650;12700,130175;22225,152400;47625,161925;66675,158750;88900,149225;92075,136525;85725,139700;76200,139700" o:connectangles="0,0,0,0,0,0,0,0,0,0,0,0,0,0,0,0,0,0,0,0,0,0,0,0,0,0,0,0,0"/>
                        </v:shape>
                      </v:group>
                      <w10:anchorlock/>
                    </v:group>
                  </w:pict>
                </mc:Fallback>
              </mc:AlternateContent>
            </w:r>
          </w:p>
        </w:tc>
        <w:tc>
          <w:tcPr>
            <w:tcW w:w="7797" w:type="dxa"/>
            <w:shd w:val="clear" w:color="auto" w:fill="25B3E0" w:themeFill="accent6"/>
          </w:tcPr>
          <w:p w14:paraId="36E0144B" w14:textId="77777777" w:rsidR="00C96350" w:rsidRPr="006B5F38" w:rsidRDefault="00C96350" w:rsidP="00735912">
            <w:pPr>
              <w:spacing w:after="0" w:line="257" w:lineRule="auto"/>
              <w:rPr>
                <w:rFonts w:ascii="Segoe UI Semibold" w:hAnsi="Segoe UI Semibold" w:cs="Segoe UI Semibold"/>
                <w:color w:val="FFFFFF" w:themeColor="background1"/>
              </w:rPr>
            </w:pPr>
            <w:r w:rsidRPr="00893481">
              <w:rPr>
                <w:rFonts w:ascii="Segoe UI Semibold" w:hAnsi="Segoe UI Semibold" w:cs="Segoe UI Semibold"/>
                <w:color w:val="FFFFFF" w:themeColor="background1"/>
              </w:rPr>
              <w:t>How have palliative care in RACF initiatives sought to address health interface issues?</w:t>
            </w:r>
          </w:p>
        </w:tc>
      </w:tr>
    </w:tbl>
    <w:p w14:paraId="6893E90C" w14:textId="3E7E5F38" w:rsidR="00F85625" w:rsidRPr="00904B27" w:rsidRDefault="00F85625" w:rsidP="00F85625">
      <w:pPr>
        <w:rPr>
          <w:lang w:val="en-US"/>
        </w:rPr>
      </w:pPr>
      <w:r>
        <w:t xml:space="preserve">Health interface issues are made more complex by an increasing number of people in residential aged care, increasingly complex care needs, complex service delivery and funding arrangements and systems under pressure. People living in RACFs experience health interface issues related to access and coordination of services. </w:t>
      </w:r>
      <w:r>
        <w:rPr>
          <w:lang w:val="en-US" w:eastAsia="en-AU"/>
        </w:rPr>
        <w:t>Evidence suggested that the key health interface issues include a</w:t>
      </w:r>
      <w:r>
        <w:rPr>
          <w:lang w:val="en-US"/>
        </w:rPr>
        <w:t xml:space="preserve">ccess to primary </w:t>
      </w:r>
      <w:r>
        <w:rPr>
          <w:lang w:val="en-US"/>
        </w:rPr>
        <w:lastRenderedPageBreak/>
        <w:t>health care services and access to secondary and tertiary health care services, such as specialists or allied health professionals.</w:t>
      </w:r>
      <w:r w:rsidR="00390411">
        <w:rPr>
          <w:rStyle w:val="FootnoteReference"/>
          <w:lang w:val="en-US"/>
        </w:rPr>
        <w:footnoteReference w:id="2"/>
      </w:r>
    </w:p>
    <w:p w14:paraId="0D60570A" w14:textId="77777777" w:rsidR="00F85625" w:rsidRDefault="00F85625" w:rsidP="00F85625">
      <w:r>
        <w:t xml:space="preserve">Initiatives have sought to address health system interface issues </w:t>
      </w:r>
      <w:proofErr w:type="gramStart"/>
      <w:r>
        <w:t>through the use of</w:t>
      </w:r>
      <w:proofErr w:type="gramEnd"/>
      <w:r>
        <w:t xml:space="preserve"> levers and models of care that influence policy, capability, networks and availability of expertise. Evidence-based models of care for the provision of palliative care in RACFs provide examples for what works well. For example, the INSPIRED Model uses a case management approach to aid the identification of palliative care needs and provision of clinical assessments.</w:t>
      </w:r>
    </w:p>
    <w:p w14:paraId="43F7E0C4" w14:textId="77777777" w:rsidR="00F85625" w:rsidRDefault="00F85625" w:rsidP="00F85625">
      <w:r>
        <w:t xml:space="preserve">The evidence points to </w:t>
      </w:r>
      <w:proofErr w:type="gramStart"/>
      <w:r>
        <w:t>a number of</w:t>
      </w:r>
      <w:proofErr w:type="gramEnd"/>
      <w:r>
        <w:t xml:space="preserve"> principles for successfully addressing health interface issues in RACFs. This includes timely access to health care providers, greater reliance on nurse practitioners and primary care nurses, improved advance care planning, and a standard information transfer tool between hospitals and RACFs. Successful initiatives must work in concert to have a meaningful impact on the bigger picture.</w:t>
      </w:r>
    </w:p>
    <w:p w14:paraId="177699A5" w14:textId="77777777" w:rsidR="00F85625" w:rsidRPr="003F2251" w:rsidRDefault="00F85625" w:rsidP="00F85625">
      <w:pPr>
        <w:rPr>
          <w:szCs w:val="19"/>
        </w:rPr>
      </w:pPr>
      <w:r>
        <w:rPr>
          <w:szCs w:val="19"/>
        </w:rPr>
        <w:t>Evidence on how palliative care in RACF initiatives have sought to address health interface issues will inform the national evaluation in the following ways:</w:t>
      </w:r>
    </w:p>
    <w:p w14:paraId="3BF10BA2" w14:textId="77777777" w:rsidR="00F85625" w:rsidRPr="00622485" w:rsidRDefault="00F85625" w:rsidP="009275A8">
      <w:pPr>
        <w:pStyle w:val="Bullet"/>
        <w:numPr>
          <w:ilvl w:val="0"/>
          <w:numId w:val="4"/>
        </w:numPr>
        <w:spacing w:line="259" w:lineRule="auto"/>
      </w:pPr>
      <w:r w:rsidRPr="00622485">
        <w:t>Evidence based models of care outside of the Measure that address health interface issues will be used to inform the definition of good practice and will be explored further in the national evaluation.</w:t>
      </w:r>
    </w:p>
    <w:p w14:paraId="668C50AF" w14:textId="77777777" w:rsidR="00961CDD" w:rsidRDefault="00F85625" w:rsidP="006611A9">
      <w:pPr>
        <w:pStyle w:val="Bullet"/>
        <w:numPr>
          <w:ilvl w:val="0"/>
          <w:numId w:val="4"/>
        </w:numPr>
        <w:spacing w:line="259" w:lineRule="auto"/>
      </w:pPr>
      <w:r w:rsidRPr="00622485">
        <w:t>Success factors and enablers will be used to understand the factors that contribute to models that successfully address health interface issues and identify areas where activities under the Measure can improve.</w:t>
      </w:r>
    </w:p>
    <w:p w14:paraId="23393896" w14:textId="59F3518C" w:rsidR="009B0EA2" w:rsidRDefault="006611A9" w:rsidP="00961CDD">
      <w:pPr>
        <w:pStyle w:val="Heading4"/>
      </w:pPr>
      <w:r>
        <w:t>Conclusions</w:t>
      </w:r>
    </w:p>
    <w:p w14:paraId="06DE209E" w14:textId="1E042665" w:rsidR="006611A9" w:rsidRDefault="006611A9" w:rsidP="006611A9">
      <w:pPr>
        <w:rPr>
          <w:lang w:eastAsia="en-AU"/>
        </w:rPr>
      </w:pPr>
      <w:r>
        <w:rPr>
          <w:lang w:eastAsia="en-AU"/>
        </w:rPr>
        <w:t xml:space="preserve">Findings from this literature review </w:t>
      </w:r>
      <w:r w:rsidR="00961CDD">
        <w:rPr>
          <w:lang w:eastAsia="en-AU"/>
        </w:rPr>
        <w:t>provide a basis</w:t>
      </w:r>
      <w:r w:rsidR="00257EBC">
        <w:rPr>
          <w:lang w:eastAsia="en-AU"/>
        </w:rPr>
        <w:t xml:space="preserve"> for understanding</w:t>
      </w:r>
      <w:r>
        <w:rPr>
          <w:lang w:eastAsia="en-AU"/>
        </w:rPr>
        <w:t xml:space="preserve"> the context in which RACFs participating in the Measure </w:t>
      </w:r>
      <w:r w:rsidR="003B71EA">
        <w:rPr>
          <w:lang w:eastAsia="en-AU"/>
        </w:rPr>
        <w:t>operate</w:t>
      </w:r>
      <w:r w:rsidR="00F7414E">
        <w:rPr>
          <w:lang w:eastAsia="en-AU"/>
        </w:rPr>
        <w:t xml:space="preserve"> and have implications for the evaluation as shown in Table 1</w:t>
      </w:r>
      <w:r>
        <w:rPr>
          <w:lang w:eastAsia="en-AU"/>
        </w:rPr>
        <w:t xml:space="preserve">. </w:t>
      </w:r>
    </w:p>
    <w:p w14:paraId="227542FA" w14:textId="17A6A582" w:rsidR="006611A9" w:rsidRDefault="006611A9" w:rsidP="006611A9">
      <w:pPr>
        <w:pStyle w:val="Caption"/>
      </w:pPr>
      <w:bookmarkStart w:id="8" w:name="_Ref52365575"/>
      <w:r>
        <w:t xml:space="preserve">Table </w:t>
      </w:r>
      <w:r>
        <w:fldChar w:fldCharType="begin"/>
      </w:r>
      <w:r>
        <w:instrText xml:space="preserve"> SEQ Table \* ARABIC </w:instrText>
      </w:r>
      <w:r>
        <w:fldChar w:fldCharType="separate"/>
      </w:r>
      <w:r w:rsidR="000E59E1">
        <w:rPr>
          <w:noProof/>
        </w:rPr>
        <w:t>1</w:t>
      </w:r>
      <w:r>
        <w:fldChar w:fldCharType="end"/>
      </w:r>
      <w:bookmarkEnd w:id="8"/>
      <w:r>
        <w:t xml:space="preserve"> | Implications for the national evaluation</w:t>
      </w:r>
    </w:p>
    <w:tbl>
      <w:tblPr>
        <w:tblStyle w:val="TableGrid"/>
        <w:tblW w:w="9100" w:type="dxa"/>
        <w:tblLook w:val="0400" w:firstRow="0" w:lastRow="0" w:firstColumn="0" w:lastColumn="0" w:noHBand="0" w:noVBand="1"/>
        <w:tblCaption w:val="Table 1 outlines the implications for the national evaluation"/>
        <w:tblDescription w:val="How appropriate is the Measure to meet the needs of residents, families and carers in the Residential Aged Care Facilities (RACF) setting? &#10;&#10;The body of evidence describing the needs of residents, families, carers and staff in RACFs will be used to describe the context within which RACFs participating in the Measure are operating.  &#10;&#10;Evidence describing system needs will be explored further to understand the needs and operating context of systems involved in activities implemented under the Measure. &#10;&#10;Evidence on service gaps, such as workforce capacity and capability, will steer the discussion on service gaps in the national evaluation and support the articulation of the unmet needs that the Measure aims to meet. &#10;&#10;&#10;How effective have the joint funding and delivery arrangements been for implementing and achieving the aims of the Measure? How could governance arrangements be more effective? &#10;&#10;Best practice approaches to joint funding and delivery arrangements evidenced in the literature will be shared in the national evaluation and will contextualise the Measure’s arrangement. &#10;&#10;Findings from examination of good practice funding and delivery arrangements will help identify areas of improvement for potential future joint activities/agreements.  &#10;&#10;&#10;To what extent has the Measure achieved its intended outcomes? &#10;&#10;Markers of quality palliative care in RACFs identified and outcomes measured by evaluations of evidence-based good practice models of care will inform the selection of indicators that will guide data collection and analysis for the national evaluation. &#10;&#10;&#10;Is there a specific model of care that has been implemented that has proven to be more successful than others? &#10;&#10;The domestic and international models identified in the literature review will answer the questions on successful models of care outside of the Measure for the national evaluation. &#10;&#10;The critical success factors for palliative care models of care will be used as a basis for further exploration in the national evaluation.  &#10;&#10;&#10;Does the Measure and the models adopted in each jurisdiction help to address health system interface issues? &#10;&#10;Evidence based models of care outside of the Measure that address health interface issues will be used to inform the definition of good practice and will be explored further in the national evaluation. &#10;&#10;Success factors and enablers will be used to understand the factors that contribute to models that successfully address health interface issues and identify areas where activities under the Measure can improve. "/>
      </w:tblPr>
      <w:tblGrid>
        <w:gridCol w:w="2637"/>
        <w:gridCol w:w="6463"/>
      </w:tblGrid>
      <w:tr w:rsidR="006611A9" w:rsidRPr="00D832A1" w14:paraId="1EF5C916" w14:textId="77777777" w:rsidTr="22C19DAE">
        <w:tc>
          <w:tcPr>
            <w:tcW w:w="2637" w:type="dxa"/>
            <w:tcBorders>
              <w:top w:val="nil"/>
              <w:left w:val="single" w:sz="4" w:space="0" w:color="FFFFFF" w:themeColor="background1"/>
            </w:tcBorders>
            <w:shd w:val="clear" w:color="auto" w:fill="00264D" w:themeFill="background2"/>
          </w:tcPr>
          <w:p w14:paraId="079731A3" w14:textId="77777777" w:rsidR="006611A9" w:rsidRPr="00F10169" w:rsidRDefault="006611A9" w:rsidP="00735912">
            <w:pPr>
              <w:pStyle w:val="TableNheader"/>
              <w:rPr>
                <w:color w:val="FFFFFF" w:themeColor="background1"/>
                <w:lang w:eastAsia="en-AU"/>
              </w:rPr>
            </w:pPr>
            <w:r w:rsidRPr="00F10169">
              <w:rPr>
                <w:color w:val="FFFFFF" w:themeColor="background1"/>
                <w:lang w:eastAsia="en-AU"/>
              </w:rPr>
              <w:t>Key evaluation questions</w:t>
            </w:r>
          </w:p>
        </w:tc>
        <w:tc>
          <w:tcPr>
            <w:tcW w:w="6463" w:type="dxa"/>
            <w:tcBorders>
              <w:top w:val="nil"/>
              <w:left w:val="single" w:sz="4" w:space="0" w:color="FFFFFF" w:themeColor="background1"/>
            </w:tcBorders>
            <w:shd w:val="clear" w:color="auto" w:fill="00264D" w:themeFill="background2"/>
          </w:tcPr>
          <w:p w14:paraId="4E57F243" w14:textId="77777777" w:rsidR="006611A9" w:rsidRPr="00F10169" w:rsidRDefault="006611A9" w:rsidP="00735912">
            <w:pPr>
              <w:pStyle w:val="TableNheader"/>
              <w:rPr>
                <w:color w:val="FFFFFF" w:themeColor="background1"/>
                <w:lang w:eastAsia="en-AU"/>
              </w:rPr>
            </w:pPr>
            <w:r w:rsidRPr="00F10169">
              <w:rPr>
                <w:color w:val="FFFFFF" w:themeColor="background1"/>
                <w:lang w:eastAsia="en-AU"/>
              </w:rPr>
              <w:t>Implications for the national evaluation</w:t>
            </w:r>
          </w:p>
        </w:tc>
      </w:tr>
      <w:tr w:rsidR="006611A9" w:rsidRPr="00250644" w14:paraId="206FD7F4" w14:textId="77777777" w:rsidTr="22C19DAE">
        <w:tc>
          <w:tcPr>
            <w:tcW w:w="2637" w:type="dxa"/>
          </w:tcPr>
          <w:p w14:paraId="5630152D" w14:textId="77777777" w:rsidR="006611A9" w:rsidRPr="0031004F" w:rsidRDefault="006611A9" w:rsidP="00735912">
            <w:pPr>
              <w:pStyle w:val="TableNText"/>
            </w:pPr>
            <w:r w:rsidRPr="0031004F">
              <w:t xml:space="preserve">How appropriate is the Measure to meet the needs of residents, </w:t>
            </w:r>
            <w:proofErr w:type="gramStart"/>
            <w:r w:rsidRPr="0031004F">
              <w:t>families</w:t>
            </w:r>
            <w:proofErr w:type="gramEnd"/>
            <w:r w:rsidRPr="0031004F">
              <w:t xml:space="preserve"> and carers in the Residential Aged Care Facilities (RACF) setting?</w:t>
            </w:r>
          </w:p>
        </w:tc>
        <w:tc>
          <w:tcPr>
            <w:tcW w:w="6463" w:type="dxa"/>
          </w:tcPr>
          <w:p w14:paraId="0DA9446E" w14:textId="77777777" w:rsidR="006611A9" w:rsidRDefault="006611A9" w:rsidP="00735912">
            <w:pPr>
              <w:pStyle w:val="TableNBullet"/>
            </w:pPr>
            <w:r w:rsidRPr="00462250">
              <w:t xml:space="preserve">The body of evidence describing the needs of residents, families, </w:t>
            </w:r>
            <w:proofErr w:type="gramStart"/>
            <w:r w:rsidRPr="00462250">
              <w:t>carers</w:t>
            </w:r>
            <w:proofErr w:type="gramEnd"/>
            <w:r w:rsidRPr="00462250">
              <w:t xml:space="preserve"> and staff in RACFs will be used to </w:t>
            </w:r>
            <w:r>
              <w:t>describe the</w:t>
            </w:r>
            <w:r w:rsidRPr="00462250">
              <w:t xml:space="preserve"> context within which RACFs participating in the Measure are operating</w:t>
            </w:r>
            <w:r>
              <w:t xml:space="preserve">. </w:t>
            </w:r>
          </w:p>
          <w:p w14:paraId="31B2E4B6" w14:textId="77777777" w:rsidR="006611A9" w:rsidRPr="00462250" w:rsidRDefault="006611A9" w:rsidP="00735912">
            <w:pPr>
              <w:pStyle w:val="TableNBullet"/>
            </w:pPr>
            <w:r>
              <w:t>Evidence describing system needs will be explored further to understand the needs and operating context of systems involved in activities implemented under the Measure.</w:t>
            </w:r>
          </w:p>
          <w:p w14:paraId="36FCEF29" w14:textId="77777777" w:rsidR="006611A9" w:rsidRPr="00910280" w:rsidRDefault="006611A9" w:rsidP="00735912">
            <w:pPr>
              <w:pStyle w:val="TableNBullet"/>
            </w:pPr>
            <w:r w:rsidRPr="00910280">
              <w:t>Evidence</w:t>
            </w:r>
            <w:r>
              <w:t xml:space="preserve"> on </w:t>
            </w:r>
            <w:r w:rsidRPr="00910280">
              <w:t>service gaps</w:t>
            </w:r>
            <w:r>
              <w:t>, such as</w:t>
            </w:r>
            <w:r w:rsidRPr="00910280">
              <w:t xml:space="preserve"> workforce capacity and capability</w:t>
            </w:r>
            <w:r>
              <w:t>, will steer the discussion on service gaps in the national evaluation and support the articulation of the unmet needs that the Measure aims to meet.</w:t>
            </w:r>
          </w:p>
        </w:tc>
      </w:tr>
      <w:tr w:rsidR="006611A9" w:rsidRPr="0089463B" w14:paraId="74A700CE" w14:textId="77777777" w:rsidTr="22C19DAE">
        <w:tc>
          <w:tcPr>
            <w:tcW w:w="2637" w:type="dxa"/>
          </w:tcPr>
          <w:p w14:paraId="7DBC803B" w14:textId="77777777" w:rsidR="006611A9" w:rsidRPr="0031004F" w:rsidRDefault="006611A9" w:rsidP="00735912">
            <w:pPr>
              <w:pStyle w:val="TableNText"/>
            </w:pPr>
            <w:r>
              <w:t>How effective have the joint funding and delivery arrangements been for implementing and achieving the aims of the Measure? How could governance arrangements be more effective?</w:t>
            </w:r>
          </w:p>
        </w:tc>
        <w:tc>
          <w:tcPr>
            <w:tcW w:w="6463" w:type="dxa"/>
          </w:tcPr>
          <w:p w14:paraId="43905A69" w14:textId="77777777" w:rsidR="006611A9" w:rsidRDefault="006611A9" w:rsidP="00735912">
            <w:pPr>
              <w:pStyle w:val="TableNBullet"/>
            </w:pPr>
            <w:r>
              <w:t xml:space="preserve">Best practice approaches to joint funding and delivery arrangements evidenced in the literature will be shared in the national evaluation and will </w:t>
            </w:r>
            <w:r w:rsidRPr="00462250">
              <w:t>contextualise the Measure’s arrangement</w:t>
            </w:r>
            <w:r>
              <w:t>.</w:t>
            </w:r>
          </w:p>
          <w:p w14:paraId="13E9351B" w14:textId="77777777" w:rsidR="006611A9" w:rsidRPr="00923E40" w:rsidRDefault="006611A9" w:rsidP="00735912">
            <w:pPr>
              <w:pStyle w:val="TableNBullet"/>
            </w:pPr>
            <w:r w:rsidRPr="00462250">
              <w:t xml:space="preserve">Findings from </w:t>
            </w:r>
            <w:r>
              <w:t>examination of good practice</w:t>
            </w:r>
            <w:r w:rsidRPr="00462250">
              <w:t xml:space="preserve"> funding and delivery</w:t>
            </w:r>
            <w:r>
              <w:t xml:space="preserve"> arrangements</w:t>
            </w:r>
            <w:r w:rsidRPr="00462250">
              <w:t xml:space="preserve"> will </w:t>
            </w:r>
            <w:r>
              <w:t>help</w:t>
            </w:r>
            <w:r w:rsidRPr="00462250">
              <w:t xml:space="preserve"> identify areas of improvement</w:t>
            </w:r>
            <w:r>
              <w:t xml:space="preserve"> for potential future joint activities/agreements. </w:t>
            </w:r>
          </w:p>
        </w:tc>
      </w:tr>
      <w:tr w:rsidR="006611A9" w14:paraId="301536C5" w14:textId="77777777" w:rsidTr="22C19DAE">
        <w:tc>
          <w:tcPr>
            <w:tcW w:w="2637" w:type="dxa"/>
          </w:tcPr>
          <w:p w14:paraId="45D6E149" w14:textId="77777777" w:rsidR="006611A9" w:rsidRDefault="006611A9" w:rsidP="00735912">
            <w:pPr>
              <w:pStyle w:val="TableNText"/>
            </w:pPr>
            <w:r>
              <w:lastRenderedPageBreak/>
              <w:t>To what extent has the Measure achieved its intended outcomes?</w:t>
            </w:r>
          </w:p>
          <w:p w14:paraId="5F8D9080" w14:textId="77777777" w:rsidR="006611A9" w:rsidRDefault="006611A9" w:rsidP="00735912">
            <w:pPr>
              <w:pStyle w:val="TableNText"/>
            </w:pPr>
          </w:p>
        </w:tc>
        <w:tc>
          <w:tcPr>
            <w:tcW w:w="6463" w:type="dxa"/>
          </w:tcPr>
          <w:p w14:paraId="54ED5651" w14:textId="77777777" w:rsidR="006611A9" w:rsidRPr="00462250" w:rsidRDefault="006611A9" w:rsidP="00735912">
            <w:pPr>
              <w:pStyle w:val="TableNBullet"/>
            </w:pPr>
            <w:r w:rsidRPr="00462250">
              <w:t xml:space="preserve">Markers of quality palliative care in RACFs </w:t>
            </w:r>
            <w:r>
              <w:t xml:space="preserve">identified and outcomes measured by evaluations of evidence-based good practice models of care </w:t>
            </w:r>
            <w:r w:rsidRPr="00462250">
              <w:t>will inform the selection of indicators that will guide data collection and analysis for the national evaluation.</w:t>
            </w:r>
          </w:p>
        </w:tc>
      </w:tr>
      <w:tr w:rsidR="006611A9" w14:paraId="0CCA1493" w14:textId="77777777" w:rsidTr="22C19DAE">
        <w:tc>
          <w:tcPr>
            <w:tcW w:w="2637" w:type="dxa"/>
          </w:tcPr>
          <w:p w14:paraId="38E2F923" w14:textId="77777777" w:rsidR="006611A9" w:rsidRDefault="006611A9" w:rsidP="00735912">
            <w:pPr>
              <w:pStyle w:val="TableNText"/>
            </w:pPr>
            <w:r>
              <w:t>Is there a specific model of care that has been implemented that has proven to be more successful than others?</w:t>
            </w:r>
          </w:p>
          <w:p w14:paraId="767C77D2" w14:textId="77777777" w:rsidR="006611A9" w:rsidRDefault="006611A9" w:rsidP="00735912">
            <w:pPr>
              <w:pStyle w:val="TableNText"/>
            </w:pPr>
          </w:p>
        </w:tc>
        <w:tc>
          <w:tcPr>
            <w:tcW w:w="6463" w:type="dxa"/>
          </w:tcPr>
          <w:p w14:paraId="200DB7C4" w14:textId="77777777" w:rsidR="006611A9" w:rsidRPr="00462250" w:rsidRDefault="006611A9" w:rsidP="00735912">
            <w:pPr>
              <w:pStyle w:val="TableNBullet"/>
            </w:pPr>
            <w:r w:rsidRPr="00462250">
              <w:t xml:space="preserve">The domestic and international models </w:t>
            </w:r>
            <w:r>
              <w:t>identified in the literature review</w:t>
            </w:r>
            <w:r w:rsidRPr="00462250">
              <w:t xml:space="preserve"> will answer the questions on successful models of care outside of the Measure for the national evaluation.</w:t>
            </w:r>
          </w:p>
          <w:p w14:paraId="494F9313" w14:textId="77777777" w:rsidR="006611A9" w:rsidRPr="00462250" w:rsidRDefault="006611A9" w:rsidP="00735912">
            <w:pPr>
              <w:pStyle w:val="TableNBullet"/>
            </w:pPr>
            <w:r w:rsidRPr="00462250">
              <w:t xml:space="preserve">The </w:t>
            </w:r>
            <w:r>
              <w:t xml:space="preserve">critical </w:t>
            </w:r>
            <w:r w:rsidRPr="00462250">
              <w:t xml:space="preserve">success factors for palliative care models of care </w:t>
            </w:r>
            <w:r>
              <w:t xml:space="preserve">will be used as a basis for further exploration in the national evaluation. </w:t>
            </w:r>
          </w:p>
        </w:tc>
      </w:tr>
      <w:tr w:rsidR="006611A9" w14:paraId="7F14B85A" w14:textId="77777777" w:rsidTr="22C19DAE">
        <w:tc>
          <w:tcPr>
            <w:tcW w:w="2637" w:type="dxa"/>
          </w:tcPr>
          <w:p w14:paraId="3F84089E" w14:textId="77777777" w:rsidR="006611A9" w:rsidRDefault="006611A9" w:rsidP="00735912">
            <w:pPr>
              <w:pStyle w:val="TableNText"/>
            </w:pPr>
            <w:r>
              <w:t>Does the Measure and the models adopted in each jurisdiction help to address health system interface issues?</w:t>
            </w:r>
          </w:p>
        </w:tc>
        <w:tc>
          <w:tcPr>
            <w:tcW w:w="6463" w:type="dxa"/>
          </w:tcPr>
          <w:p w14:paraId="474B7E99" w14:textId="77777777" w:rsidR="006611A9" w:rsidRDefault="006611A9" w:rsidP="00735912">
            <w:pPr>
              <w:pStyle w:val="TableNBullet"/>
            </w:pPr>
            <w:r>
              <w:t>Evidence based models of care outside of the Measure that address health interface issues will be used to inform the definition of good practice and will be explored further in the national evaluation.</w:t>
            </w:r>
          </w:p>
          <w:p w14:paraId="36448E52" w14:textId="77777777" w:rsidR="006611A9" w:rsidRPr="00D057FC" w:rsidRDefault="006611A9" w:rsidP="00735912">
            <w:pPr>
              <w:pStyle w:val="TableNBullet"/>
            </w:pPr>
            <w:r>
              <w:t>Success factors and enablers will be used to understand the factors that contribute to models that successfully address health interface issues and identify areas where activities under the Measure can improve.</w:t>
            </w:r>
          </w:p>
        </w:tc>
      </w:tr>
    </w:tbl>
    <w:p w14:paraId="3A67F0C8" w14:textId="69F41293" w:rsidR="00BB230A" w:rsidRPr="000A0A4F" w:rsidRDefault="004C7E2A" w:rsidP="00F12D27">
      <w:pPr>
        <w:pStyle w:val="Heading1"/>
        <w:numPr>
          <w:ilvl w:val="0"/>
          <w:numId w:val="17"/>
        </w:numPr>
      </w:pPr>
      <w:bookmarkStart w:id="9" w:name="_Toc82767256"/>
      <w:r w:rsidRPr="000A0A4F">
        <w:lastRenderedPageBreak/>
        <w:t>Background and context</w:t>
      </w:r>
      <w:bookmarkEnd w:id="2"/>
      <w:bookmarkEnd w:id="3"/>
      <w:bookmarkEnd w:id="4"/>
      <w:bookmarkEnd w:id="5"/>
      <w:bookmarkEnd w:id="6"/>
      <w:bookmarkEnd w:id="7"/>
      <w:bookmarkEnd w:id="9"/>
      <w:r w:rsidR="005B159E">
        <w:t xml:space="preserve"> </w:t>
      </w:r>
    </w:p>
    <w:p w14:paraId="21872747" w14:textId="77777777" w:rsidR="00FA5F52" w:rsidRPr="00185B04" w:rsidRDefault="00FA5F52" w:rsidP="00FA5F52">
      <w:pPr>
        <w:rPr>
          <w:lang w:eastAsia="en-AU"/>
        </w:rPr>
      </w:pPr>
      <w:r>
        <w:rPr>
          <w:lang w:eastAsia="en-AU"/>
        </w:rPr>
        <w:t xml:space="preserve">This section provides the background to the national evaluation of the </w:t>
      </w:r>
      <w:r w:rsidRPr="00A9033D">
        <w:rPr>
          <w:i/>
          <w:lang w:eastAsia="en-AU"/>
        </w:rPr>
        <w:t>Comprehensive Palliative Care in Aged Care Measure</w:t>
      </w:r>
      <w:r>
        <w:rPr>
          <w:lang w:eastAsia="en-AU"/>
        </w:rPr>
        <w:t xml:space="preserve"> (the Measure) and the purpose of this document. </w:t>
      </w:r>
    </w:p>
    <w:p w14:paraId="01FB2EA3" w14:textId="77777777" w:rsidR="00355AEA" w:rsidRDefault="00355AEA" w:rsidP="00351182">
      <w:pPr>
        <w:pStyle w:val="Heading5"/>
      </w:pPr>
      <w:r>
        <w:t xml:space="preserve">Background and context </w:t>
      </w:r>
    </w:p>
    <w:p w14:paraId="1130061C" w14:textId="77777777" w:rsidR="00355AEA" w:rsidRDefault="00355AEA" w:rsidP="00355AEA">
      <w:r>
        <w:t xml:space="preserve">The </w:t>
      </w:r>
      <w:r>
        <w:rPr>
          <w:lang w:eastAsia="en-AU"/>
        </w:rPr>
        <w:t xml:space="preserve">Measure </w:t>
      </w:r>
      <w:r>
        <w:t xml:space="preserve">provides $57.2 million in Commonwealth funding </w:t>
      </w:r>
      <w:r w:rsidR="000917BF">
        <w:t xml:space="preserve">over six years from 2018-2024, with funding </w:t>
      </w:r>
      <w:r>
        <w:t>to states</w:t>
      </w:r>
      <w:r w:rsidR="000917BF">
        <w:t xml:space="preserve"> and </w:t>
      </w:r>
      <w:r>
        <w:t xml:space="preserve">territories </w:t>
      </w:r>
      <w:r w:rsidR="000917BF">
        <w:t>commencing from 2019-20.</w:t>
      </w:r>
      <w:r>
        <w:t xml:space="preserve"> </w:t>
      </w:r>
      <w:r w:rsidRPr="00A7720B">
        <w:t xml:space="preserve">The </w:t>
      </w:r>
      <w:r>
        <w:t>M</w:t>
      </w:r>
      <w:r w:rsidRPr="00A7720B">
        <w:t>easure aims to help older Australians living in residential aged care</w:t>
      </w:r>
      <w:r>
        <w:t xml:space="preserve"> who are </w:t>
      </w:r>
      <w:r w:rsidRPr="00A7720B">
        <w:t xml:space="preserve">nearing </w:t>
      </w:r>
      <w:r>
        <w:t xml:space="preserve">the </w:t>
      </w:r>
      <w:r w:rsidRPr="00A7720B">
        <w:t>end of their life</w:t>
      </w:r>
      <w:r>
        <w:t>. Its goals are to:</w:t>
      </w:r>
    </w:p>
    <w:p w14:paraId="7A672793" w14:textId="77777777" w:rsidR="00355AEA" w:rsidRDefault="00355AEA" w:rsidP="00355AEA">
      <w:pPr>
        <w:pStyle w:val="Bullet"/>
        <w:spacing w:line="240" w:lineRule="auto"/>
      </w:pPr>
      <w:r>
        <w:t>improve palliative and end-of-life care for older people living in residential aged care</w:t>
      </w:r>
      <w:r w:rsidR="000917BF">
        <w:t>; and</w:t>
      </w:r>
    </w:p>
    <w:p w14:paraId="62663693" w14:textId="5436C967" w:rsidR="000917BF" w:rsidRDefault="000917BF" w:rsidP="000917BF">
      <w:pPr>
        <w:pStyle w:val="Bullet"/>
        <w:spacing w:line="240" w:lineRule="auto"/>
      </w:pPr>
      <w:r>
        <w:t>further enable people to die where they want, supported by increased aged care services.</w:t>
      </w:r>
    </w:p>
    <w:p w14:paraId="06488F21" w14:textId="2286A2AA" w:rsidR="00355AEA" w:rsidRDefault="00355AEA" w:rsidP="00355AEA">
      <w:pPr>
        <w:rPr>
          <w:lang w:eastAsia="en-AU"/>
        </w:rPr>
      </w:pPr>
      <w:r>
        <w:t xml:space="preserve">The Measure is provided through a cost-sharing model, meaning states and territories match Commonwealth funding. States and territories then implement initiatives suited to local needs and </w:t>
      </w:r>
      <w:r w:rsidR="0005083D">
        <w:t>may</w:t>
      </w:r>
      <w:r w:rsidDel="009211CC">
        <w:t xml:space="preserve"> </w:t>
      </w:r>
      <w:r>
        <w:t xml:space="preserve">evaluate initiatives implemented in their jurisdiction. </w:t>
      </w:r>
    </w:p>
    <w:p w14:paraId="5FBBD372" w14:textId="77777777" w:rsidR="00355AEA" w:rsidRDefault="00355AEA" w:rsidP="00351182">
      <w:pPr>
        <w:pStyle w:val="Heading5"/>
      </w:pPr>
      <w:r>
        <w:t>Purpose of the national evaluation of the Measure</w:t>
      </w:r>
    </w:p>
    <w:p w14:paraId="43ABA218" w14:textId="77777777" w:rsidR="00355AEA" w:rsidRDefault="00355AEA" w:rsidP="00355AEA">
      <w:pPr>
        <w:rPr>
          <w:lang w:eastAsia="en-AU"/>
        </w:rPr>
      </w:pPr>
      <w:r>
        <w:rPr>
          <w:lang w:eastAsia="en-AU"/>
        </w:rPr>
        <w:t xml:space="preserve">Nous Group (Nous) has been engaged by the Australian Government Department of Health (the Department) to undertake a national evaluation of the Measure between July 2020 and October 2023. </w:t>
      </w:r>
    </w:p>
    <w:p w14:paraId="3E4620D0" w14:textId="77777777" w:rsidR="00DB5F80" w:rsidRDefault="00355AEA" w:rsidP="00355AEA">
      <w:pPr>
        <w:rPr>
          <w:lang w:eastAsia="en-AU"/>
        </w:rPr>
      </w:pPr>
      <w:r>
        <w:rPr>
          <w:lang w:eastAsia="en-AU"/>
        </w:rPr>
        <w:t xml:space="preserve">The national evaluation will determine the extent to which the aims and objectives of the Measure have been achieved. The outcomes of the evaluation will contribute to the national evidence base and inform policy decisions about palliative care in aged care, including on best practice models of care. </w:t>
      </w:r>
    </w:p>
    <w:p w14:paraId="146FDDA3" w14:textId="453285DC" w:rsidR="00355AEA" w:rsidRDefault="00355AEA" w:rsidP="00355AEA">
      <w:pPr>
        <w:rPr>
          <w:lang w:eastAsia="en-AU"/>
        </w:rPr>
      </w:pPr>
      <w:r>
        <w:rPr>
          <w:lang w:eastAsia="en-AU"/>
        </w:rPr>
        <w:t>The evaluation objectives are to:</w:t>
      </w:r>
    </w:p>
    <w:p w14:paraId="6A56716F" w14:textId="46C758ED" w:rsidR="00A75BF9" w:rsidRPr="00672515" w:rsidRDefault="00A75BF9" w:rsidP="00A75BF9">
      <w:pPr>
        <w:pStyle w:val="Bullet"/>
        <w:spacing w:after="80" w:line="240" w:lineRule="auto"/>
      </w:pPr>
      <w:r w:rsidRPr="00672515">
        <w:t>assess the implementation, appropriateness, effectiveness and cost-effective</w:t>
      </w:r>
      <w:r w:rsidR="001027F0">
        <w:t>n</w:t>
      </w:r>
      <w:r w:rsidR="00396DAA">
        <w:t>es</w:t>
      </w:r>
      <w:r w:rsidRPr="00672515">
        <w:t xml:space="preserve">s of the activities and approaches undertaken in each </w:t>
      </w:r>
      <w:proofErr w:type="gramStart"/>
      <w:r w:rsidRPr="00672515">
        <w:t>jurisdiction</w:t>
      </w:r>
      <w:r>
        <w:t>;</w:t>
      </w:r>
      <w:proofErr w:type="gramEnd"/>
    </w:p>
    <w:p w14:paraId="114AAC88" w14:textId="75199E59" w:rsidR="00A75BF9" w:rsidRPr="00672515" w:rsidRDefault="00A75BF9" w:rsidP="00A75BF9">
      <w:pPr>
        <w:pStyle w:val="Bullet"/>
        <w:spacing w:after="80" w:line="240" w:lineRule="auto"/>
      </w:pPr>
      <w:r w:rsidRPr="00672515">
        <w:t xml:space="preserve">measure and analyse the impact of each of the </w:t>
      </w:r>
      <w:r w:rsidR="000C2BAF">
        <w:t>s</w:t>
      </w:r>
      <w:r w:rsidRPr="00672515">
        <w:t xml:space="preserve">tate and </w:t>
      </w:r>
      <w:r w:rsidR="000C2BAF">
        <w:t>t</w:t>
      </w:r>
      <w:r w:rsidRPr="00672515">
        <w:t xml:space="preserve">erritory activities in relation to the Measure’s program </w:t>
      </w:r>
      <w:proofErr w:type="gramStart"/>
      <w:r w:rsidRPr="00672515">
        <w:t>objectives</w:t>
      </w:r>
      <w:r>
        <w:t>;</w:t>
      </w:r>
      <w:proofErr w:type="gramEnd"/>
    </w:p>
    <w:p w14:paraId="78C9A4E2" w14:textId="77777777" w:rsidR="00A75BF9" w:rsidRPr="00672515" w:rsidRDefault="00A75BF9" w:rsidP="00A75BF9">
      <w:pPr>
        <w:pStyle w:val="Bullet"/>
        <w:spacing w:after="80" w:line="240" w:lineRule="auto"/>
      </w:pPr>
      <w:r w:rsidRPr="00672515">
        <w:t xml:space="preserve">identify the barriers and enablers to achieving the intended </w:t>
      </w:r>
      <w:proofErr w:type="gramStart"/>
      <w:r w:rsidRPr="00672515">
        <w:t>outcomes</w:t>
      </w:r>
      <w:r>
        <w:t>;</w:t>
      </w:r>
      <w:proofErr w:type="gramEnd"/>
    </w:p>
    <w:p w14:paraId="6AC77D3E" w14:textId="77777777" w:rsidR="00A75BF9" w:rsidRPr="00672515" w:rsidRDefault="00A75BF9" w:rsidP="00A75BF9">
      <w:pPr>
        <w:pStyle w:val="Bullet"/>
        <w:spacing w:after="80" w:line="240" w:lineRule="auto"/>
      </w:pPr>
      <w:r w:rsidRPr="00672515">
        <w:t xml:space="preserve">assess the effectiveness of the governance model of the </w:t>
      </w:r>
      <w:proofErr w:type="gramStart"/>
      <w:r w:rsidRPr="00672515">
        <w:t>Measure</w:t>
      </w:r>
      <w:r>
        <w:t>;</w:t>
      </w:r>
      <w:proofErr w:type="gramEnd"/>
    </w:p>
    <w:p w14:paraId="021C9935" w14:textId="77777777" w:rsidR="00A75BF9" w:rsidRPr="00672515" w:rsidRDefault="00A75BF9" w:rsidP="00A75BF9">
      <w:pPr>
        <w:pStyle w:val="Bullet"/>
        <w:spacing w:after="80" w:line="240" w:lineRule="auto"/>
      </w:pPr>
      <w:r w:rsidRPr="00672515">
        <w:t xml:space="preserve">identify issues to be considered for future priorities for the Measure, taking into consideration demographics and health and aged care </w:t>
      </w:r>
      <w:proofErr w:type="gramStart"/>
      <w:r w:rsidRPr="00672515">
        <w:t>reforms</w:t>
      </w:r>
      <w:r>
        <w:t>;</w:t>
      </w:r>
      <w:proofErr w:type="gramEnd"/>
    </w:p>
    <w:p w14:paraId="1E2E261A" w14:textId="77777777" w:rsidR="00A75BF9" w:rsidRPr="00672515" w:rsidRDefault="00A75BF9" w:rsidP="00A75BF9">
      <w:pPr>
        <w:pStyle w:val="Bullet"/>
        <w:spacing w:after="80" w:line="240" w:lineRule="auto"/>
      </w:pPr>
      <w:r w:rsidRPr="00672515">
        <w:t>analyse the achievements of the program in relation to the National Palliative Care Strategy</w:t>
      </w:r>
      <w:r>
        <w:t>; and</w:t>
      </w:r>
    </w:p>
    <w:p w14:paraId="6B786E7D" w14:textId="77777777" w:rsidR="00355AEA" w:rsidRDefault="00355AEA" w:rsidP="00355AEA">
      <w:pPr>
        <w:pStyle w:val="Bullet"/>
        <w:spacing w:after="80" w:line="240" w:lineRule="auto"/>
      </w:pPr>
      <w:r w:rsidRPr="00672515">
        <w:t>develop recommendations to inform palliative care policy development.</w:t>
      </w:r>
    </w:p>
    <w:p w14:paraId="76C9156D" w14:textId="35875002" w:rsidR="00B917D4" w:rsidRPr="00672515" w:rsidRDefault="00B917D4" w:rsidP="00FE19F4">
      <w:r>
        <w:t xml:space="preserve">An Evaluation Framework will guide the national evaluation data collection, </w:t>
      </w:r>
      <w:proofErr w:type="gramStart"/>
      <w:r>
        <w:t>analysis</w:t>
      </w:r>
      <w:proofErr w:type="gramEnd"/>
      <w:r>
        <w:t xml:space="preserve"> and reporting, and is due for completion </w:t>
      </w:r>
      <w:r w:rsidR="00312003">
        <w:t xml:space="preserve">in </w:t>
      </w:r>
      <w:r>
        <w:t xml:space="preserve">late 2020. </w:t>
      </w:r>
    </w:p>
    <w:p w14:paraId="55887C7D" w14:textId="50582029" w:rsidR="0034735A" w:rsidRPr="0034735A" w:rsidRDefault="00355AEA" w:rsidP="00351182">
      <w:pPr>
        <w:pStyle w:val="Heading5"/>
      </w:pPr>
      <w:r>
        <w:t xml:space="preserve">Purpose of </w:t>
      </w:r>
      <w:r w:rsidR="006F7292">
        <w:t>t</w:t>
      </w:r>
      <w:r w:rsidR="003E34FA">
        <w:t>h</w:t>
      </w:r>
      <w:r w:rsidR="00DB5F80">
        <w:t>e Literature Review Report</w:t>
      </w:r>
    </w:p>
    <w:p w14:paraId="16E68865" w14:textId="6C7AA78F" w:rsidR="00517162" w:rsidRPr="000C3516" w:rsidRDefault="00D11F2D" w:rsidP="00A03161">
      <w:pPr>
        <w:rPr>
          <w:lang w:eastAsia="en-AU"/>
        </w:rPr>
      </w:pPr>
      <w:r>
        <w:rPr>
          <w:lang w:eastAsia="en-AU"/>
        </w:rPr>
        <w:t xml:space="preserve">This </w:t>
      </w:r>
      <w:r w:rsidR="0027329F">
        <w:rPr>
          <w:lang w:eastAsia="en-AU"/>
        </w:rPr>
        <w:t>L</w:t>
      </w:r>
      <w:r>
        <w:rPr>
          <w:lang w:eastAsia="en-AU"/>
        </w:rPr>
        <w:t xml:space="preserve">iterature </w:t>
      </w:r>
      <w:r w:rsidR="0027329F">
        <w:rPr>
          <w:lang w:eastAsia="en-AU"/>
        </w:rPr>
        <w:t>R</w:t>
      </w:r>
      <w:r>
        <w:rPr>
          <w:lang w:eastAsia="en-AU"/>
        </w:rPr>
        <w:t xml:space="preserve">eview </w:t>
      </w:r>
      <w:r w:rsidR="00DB5F80">
        <w:rPr>
          <w:lang w:eastAsia="en-AU"/>
        </w:rPr>
        <w:t xml:space="preserve">Report </w:t>
      </w:r>
      <w:r w:rsidR="005703CA">
        <w:rPr>
          <w:lang w:eastAsia="en-AU"/>
        </w:rPr>
        <w:t>summarises</w:t>
      </w:r>
      <w:r w:rsidR="00B750EB">
        <w:rPr>
          <w:lang w:eastAsia="en-AU"/>
        </w:rPr>
        <w:t xml:space="preserve"> the outcomes of </w:t>
      </w:r>
      <w:r w:rsidR="005703CA">
        <w:rPr>
          <w:lang w:eastAsia="en-AU"/>
        </w:rPr>
        <w:t>a review</w:t>
      </w:r>
      <w:r w:rsidR="00B750EB">
        <w:rPr>
          <w:lang w:eastAsia="en-AU"/>
        </w:rPr>
        <w:t xml:space="preserve"> of peer-reviewed and grey literature on international and domestic approaches to palliative care in </w:t>
      </w:r>
      <w:r w:rsidR="00824C3C">
        <w:rPr>
          <w:lang w:eastAsia="en-AU"/>
        </w:rPr>
        <w:t>residential aged care facilities (RACFs)</w:t>
      </w:r>
      <w:r w:rsidR="00B750EB">
        <w:rPr>
          <w:lang w:eastAsia="en-AU"/>
        </w:rPr>
        <w:t>. It</w:t>
      </w:r>
      <w:r w:rsidR="001B5629">
        <w:rPr>
          <w:lang w:eastAsia="en-AU"/>
        </w:rPr>
        <w:t xml:space="preserve"> </w:t>
      </w:r>
      <w:r w:rsidR="004B7AA6">
        <w:rPr>
          <w:lang w:eastAsia="en-AU"/>
        </w:rPr>
        <w:t>supports</w:t>
      </w:r>
      <w:r w:rsidR="001B5629">
        <w:rPr>
          <w:lang w:eastAsia="en-AU"/>
        </w:rPr>
        <w:t xml:space="preserve"> </w:t>
      </w:r>
      <w:r w:rsidR="00CD6D0B">
        <w:rPr>
          <w:lang w:eastAsia="en-AU"/>
        </w:rPr>
        <w:t xml:space="preserve">the national evaluation </w:t>
      </w:r>
      <w:r w:rsidR="00824C3C">
        <w:rPr>
          <w:lang w:eastAsia="en-AU"/>
        </w:rPr>
        <w:t>by establishing a baseline</w:t>
      </w:r>
      <w:r w:rsidR="001B5629">
        <w:rPr>
          <w:lang w:eastAsia="en-AU"/>
        </w:rPr>
        <w:t xml:space="preserve"> </w:t>
      </w:r>
      <w:r w:rsidR="005F73FF">
        <w:rPr>
          <w:lang w:eastAsia="en-AU"/>
        </w:rPr>
        <w:t>of evidence on</w:t>
      </w:r>
      <w:r w:rsidR="00020754">
        <w:rPr>
          <w:lang w:eastAsia="en-AU"/>
        </w:rPr>
        <w:t xml:space="preserve"> the need for palliative care in RACFs and successful models of care, funding and delivery arrangements and </w:t>
      </w:r>
      <w:r w:rsidR="001B5629">
        <w:rPr>
          <w:lang w:eastAsia="en-AU"/>
        </w:rPr>
        <w:t xml:space="preserve">mechanisms </w:t>
      </w:r>
      <w:r w:rsidR="005F73FF">
        <w:rPr>
          <w:lang w:eastAsia="en-AU"/>
        </w:rPr>
        <w:t>to address interface issues.</w:t>
      </w:r>
      <w:r w:rsidR="00877EDB">
        <w:rPr>
          <w:lang w:eastAsia="en-AU"/>
        </w:rPr>
        <w:t xml:space="preserve"> </w:t>
      </w:r>
    </w:p>
    <w:p w14:paraId="68265136" w14:textId="7B6BE3DD" w:rsidR="00C01987" w:rsidRDefault="00C01987" w:rsidP="00A17EC5">
      <w:pPr>
        <w:pStyle w:val="Heading1"/>
      </w:pPr>
      <w:bookmarkStart w:id="10" w:name="_Toc51571043"/>
      <w:bookmarkStart w:id="11" w:name="_Toc82767257"/>
      <w:bookmarkStart w:id="12" w:name="_Toc506553182"/>
      <w:bookmarkStart w:id="13" w:name="_Toc507150430"/>
      <w:bookmarkStart w:id="14" w:name="_Toc507159888"/>
      <w:bookmarkStart w:id="15" w:name="_Toc507163589"/>
      <w:bookmarkStart w:id="16" w:name="_Toc507597968"/>
      <w:r>
        <w:lastRenderedPageBreak/>
        <w:t>Methodology</w:t>
      </w:r>
      <w:bookmarkEnd w:id="10"/>
      <w:bookmarkEnd w:id="11"/>
    </w:p>
    <w:p w14:paraId="42C2F3D1" w14:textId="3998D45B" w:rsidR="00174F52" w:rsidRDefault="00AD048F" w:rsidP="0080205A">
      <w:pPr>
        <w:rPr>
          <w:lang w:eastAsia="en-AU"/>
        </w:rPr>
      </w:pPr>
      <w:r>
        <w:rPr>
          <w:lang w:eastAsia="en-AU"/>
        </w:rPr>
        <w:t>This section provides a summary o</w:t>
      </w:r>
      <w:r w:rsidR="006355A8">
        <w:rPr>
          <w:lang w:eastAsia="en-AU"/>
        </w:rPr>
        <w:t>f</w:t>
      </w:r>
      <w:r>
        <w:rPr>
          <w:lang w:eastAsia="en-AU"/>
        </w:rPr>
        <w:t xml:space="preserve"> the approach and methodology for the literature review</w:t>
      </w:r>
      <w:r w:rsidR="00B6293F">
        <w:rPr>
          <w:lang w:eastAsia="en-AU"/>
        </w:rPr>
        <w:t>.</w:t>
      </w:r>
      <w:r>
        <w:rPr>
          <w:lang w:eastAsia="en-AU"/>
        </w:rPr>
        <w:t xml:space="preserve"> </w:t>
      </w:r>
    </w:p>
    <w:p w14:paraId="2F266E55" w14:textId="77777777" w:rsidR="00F64BD2" w:rsidRDefault="00CE7CB1" w:rsidP="00CF0885">
      <w:pPr>
        <w:rPr>
          <w:lang w:eastAsia="en-AU"/>
        </w:rPr>
      </w:pPr>
      <w:r w:rsidRPr="00CE7CB1">
        <w:rPr>
          <w:lang w:eastAsia="en-AU"/>
        </w:rPr>
        <w:t>Nous’ research approach drew on</w:t>
      </w:r>
      <w:r w:rsidR="007A3509">
        <w:rPr>
          <w:lang w:eastAsia="en-AU"/>
        </w:rPr>
        <w:t xml:space="preserve"> the</w:t>
      </w:r>
      <w:r w:rsidRPr="00CE7CB1">
        <w:rPr>
          <w:lang w:eastAsia="en-AU"/>
        </w:rPr>
        <w:t xml:space="preserve"> principles of Rapid Evidence Assessment (REA). An REA provides a balanced assessment of what is known (and not known) in the literature about an intervention, problem or practical issues by using a systematic methodology to search for empirical studies; however, to be ‘rapid’, an REA makes concessions in relation to the breadth, depth and comprehensiveness of the search.</w:t>
      </w:r>
      <w:r w:rsidR="00F64BD2">
        <w:rPr>
          <w:lang w:eastAsia="en-AU"/>
        </w:rPr>
        <w:t xml:space="preserve"> </w:t>
      </w:r>
    </w:p>
    <w:p w14:paraId="70637C28" w14:textId="01BACA05" w:rsidR="00CF0885" w:rsidRDefault="00CF0885" w:rsidP="00CF0885">
      <w:pPr>
        <w:rPr>
          <w:lang w:eastAsia="en-AU"/>
        </w:rPr>
      </w:pPr>
      <w:r>
        <w:rPr>
          <w:lang w:eastAsia="en-AU"/>
        </w:rPr>
        <w:t>The literature review include</w:t>
      </w:r>
      <w:r w:rsidR="003C036C">
        <w:rPr>
          <w:lang w:eastAsia="en-AU"/>
        </w:rPr>
        <w:t>d</w:t>
      </w:r>
      <w:r>
        <w:rPr>
          <w:lang w:eastAsia="en-AU"/>
        </w:rPr>
        <w:t xml:space="preserve"> peer-review</w:t>
      </w:r>
      <w:r w:rsidR="006721A7">
        <w:rPr>
          <w:lang w:eastAsia="en-AU"/>
        </w:rPr>
        <w:t>ed</w:t>
      </w:r>
      <w:r>
        <w:rPr>
          <w:lang w:eastAsia="en-AU"/>
        </w:rPr>
        <w:t xml:space="preserve"> </w:t>
      </w:r>
      <w:r w:rsidR="00B6293F">
        <w:rPr>
          <w:lang w:eastAsia="en-AU"/>
        </w:rPr>
        <w:t>and</w:t>
      </w:r>
      <w:r>
        <w:rPr>
          <w:lang w:eastAsia="en-AU"/>
        </w:rPr>
        <w:t xml:space="preserve"> grey literature on </w:t>
      </w:r>
      <w:r w:rsidR="00F57334">
        <w:rPr>
          <w:lang w:eastAsia="en-AU"/>
        </w:rPr>
        <w:t>palliative care in RACFs</w:t>
      </w:r>
      <w:r w:rsidR="0095481B">
        <w:rPr>
          <w:lang w:eastAsia="en-AU"/>
        </w:rPr>
        <w:t xml:space="preserve"> (see</w:t>
      </w:r>
      <w:r w:rsidR="00F57334">
        <w:rPr>
          <w:lang w:eastAsia="en-AU"/>
        </w:rPr>
        <w:t xml:space="preserve"> </w:t>
      </w:r>
      <w:r w:rsidR="00F57334">
        <w:rPr>
          <w:lang w:eastAsia="en-AU"/>
        </w:rPr>
        <w:fldChar w:fldCharType="begin"/>
      </w:r>
      <w:r w:rsidR="00F57334">
        <w:rPr>
          <w:lang w:eastAsia="en-AU"/>
        </w:rPr>
        <w:instrText xml:space="preserve"> REF _Ref37153650 \h </w:instrText>
      </w:r>
      <w:r w:rsidR="00F57334">
        <w:rPr>
          <w:lang w:eastAsia="en-AU"/>
        </w:rPr>
      </w:r>
      <w:r w:rsidR="00F57334">
        <w:rPr>
          <w:lang w:eastAsia="en-AU"/>
        </w:rPr>
        <w:fldChar w:fldCharType="separate"/>
      </w:r>
      <w:r w:rsidR="000E59E1">
        <w:t xml:space="preserve">Table </w:t>
      </w:r>
      <w:r w:rsidR="000E59E1">
        <w:rPr>
          <w:noProof/>
        </w:rPr>
        <w:t>2</w:t>
      </w:r>
      <w:r w:rsidR="00F57334">
        <w:rPr>
          <w:lang w:eastAsia="en-AU"/>
        </w:rPr>
        <w:fldChar w:fldCharType="end"/>
      </w:r>
      <w:r w:rsidR="0095481B">
        <w:rPr>
          <w:lang w:eastAsia="en-AU"/>
        </w:rPr>
        <w:t>).</w:t>
      </w:r>
      <w:r>
        <w:rPr>
          <w:lang w:eastAsia="en-AU"/>
        </w:rPr>
        <w:t xml:space="preserve"> </w:t>
      </w:r>
    </w:p>
    <w:p w14:paraId="339EFD19" w14:textId="1A8927E3" w:rsidR="00CF0885" w:rsidRDefault="00CF0885" w:rsidP="00CF0885">
      <w:pPr>
        <w:pStyle w:val="Caption"/>
      </w:pPr>
      <w:bookmarkStart w:id="17" w:name="_Ref37153650"/>
      <w:r>
        <w:t xml:space="preserve">Table </w:t>
      </w:r>
      <w:r>
        <w:fldChar w:fldCharType="begin"/>
      </w:r>
      <w:r>
        <w:instrText xml:space="preserve"> SEQ Table \* ARABIC </w:instrText>
      </w:r>
      <w:r>
        <w:fldChar w:fldCharType="separate"/>
      </w:r>
      <w:r w:rsidR="000E59E1">
        <w:rPr>
          <w:noProof/>
        </w:rPr>
        <w:t>2</w:t>
      </w:r>
      <w:r>
        <w:fldChar w:fldCharType="end"/>
      </w:r>
      <w:bookmarkEnd w:id="17"/>
      <w:r>
        <w:t xml:space="preserve"> | Types of data sources for literature review</w:t>
      </w:r>
    </w:p>
    <w:tbl>
      <w:tblPr>
        <w:tblStyle w:val="TableGrid"/>
        <w:tblW w:w="4954" w:type="pct"/>
        <w:tblLook w:val="04A0" w:firstRow="1" w:lastRow="0" w:firstColumn="1" w:lastColumn="0" w:noHBand="0" w:noVBand="1"/>
        <w:tblCaption w:val="Table 2 lists the types of data sources used for the literature review"/>
        <w:tblDescription w:val="Peer-reviewed literature (sources that have been assessed for quality and importance by experts in the field) and grey literature (documents produced at levels of government, academia, business and industry who are considered authorities on their content and are not controlled by commercial publishers) are types of data sources used in the curent literature review."/>
      </w:tblPr>
      <w:tblGrid>
        <w:gridCol w:w="2008"/>
        <w:gridCol w:w="6840"/>
      </w:tblGrid>
      <w:tr w:rsidR="00CF0885" w14:paraId="57A4B642" w14:textId="77777777" w:rsidTr="0044377E">
        <w:trPr>
          <w:cnfStyle w:val="100000000000" w:firstRow="1" w:lastRow="0" w:firstColumn="0" w:lastColumn="0" w:oddVBand="0" w:evenVBand="0" w:oddHBand="0" w:evenHBand="0" w:firstRowFirstColumn="0" w:firstRowLastColumn="0" w:lastRowFirstColumn="0" w:lastRowLastColumn="0"/>
        </w:trPr>
        <w:tc>
          <w:tcPr>
            <w:tcW w:w="1135" w:type="pct"/>
            <w:tcBorders>
              <w:top w:val="nil"/>
              <w:bottom w:val="single" w:sz="8" w:space="0" w:color="EDEDE8" w:themeColor="accent5"/>
              <w:right w:val="nil"/>
            </w:tcBorders>
            <w:shd w:val="clear" w:color="auto" w:fill="00264D" w:themeFill="background2"/>
            <w:hideMark/>
          </w:tcPr>
          <w:p w14:paraId="75607794" w14:textId="77777777" w:rsidR="00CF0885" w:rsidRDefault="00CF0885">
            <w:pPr>
              <w:pStyle w:val="TableNheader"/>
              <w:rPr>
                <w:color w:val="FFFFFF" w:themeColor="background1"/>
                <w:lang w:val="en-US"/>
              </w:rPr>
            </w:pPr>
            <w:r>
              <w:rPr>
                <w:b w:val="0"/>
                <w:color w:val="FFFFFF" w:themeColor="background1"/>
                <w:lang w:val="en-US"/>
              </w:rPr>
              <w:t>Type of data source</w:t>
            </w:r>
          </w:p>
        </w:tc>
        <w:tc>
          <w:tcPr>
            <w:tcW w:w="3865" w:type="pct"/>
            <w:tcBorders>
              <w:top w:val="nil"/>
              <w:left w:val="nil"/>
              <w:bottom w:val="single" w:sz="8" w:space="0" w:color="EDEDE8" w:themeColor="accent5"/>
            </w:tcBorders>
            <w:shd w:val="clear" w:color="auto" w:fill="00264D" w:themeFill="background2"/>
            <w:hideMark/>
          </w:tcPr>
          <w:p w14:paraId="10D85E42" w14:textId="77777777" w:rsidR="00CF0885" w:rsidRDefault="00CF0885">
            <w:pPr>
              <w:pStyle w:val="TableNheader"/>
              <w:rPr>
                <w:b w:val="0"/>
                <w:color w:val="FFFFFF" w:themeColor="background1"/>
                <w:lang w:val="en-US"/>
              </w:rPr>
            </w:pPr>
            <w:r>
              <w:rPr>
                <w:b w:val="0"/>
                <w:color w:val="FFFFFF" w:themeColor="background1"/>
                <w:lang w:val="en-US"/>
              </w:rPr>
              <w:t>Description</w:t>
            </w:r>
          </w:p>
        </w:tc>
      </w:tr>
      <w:tr w:rsidR="00CF0885" w14:paraId="1A657B67" w14:textId="77777777" w:rsidTr="0044377E">
        <w:tc>
          <w:tcPr>
            <w:tcW w:w="1135" w:type="pct"/>
            <w:tcBorders>
              <w:top w:val="single" w:sz="8" w:space="0" w:color="EDEDE8" w:themeColor="accent5"/>
              <w:left w:val="nil"/>
              <w:bottom w:val="single" w:sz="8" w:space="0" w:color="EDEDE8" w:themeColor="accent5"/>
              <w:right w:val="nil"/>
            </w:tcBorders>
            <w:hideMark/>
          </w:tcPr>
          <w:p w14:paraId="64F0E93A" w14:textId="77777777" w:rsidR="00CF0885" w:rsidRDefault="00CF0885">
            <w:pPr>
              <w:pStyle w:val="TableNheader"/>
              <w:rPr>
                <w:lang w:val="en-US"/>
              </w:rPr>
            </w:pPr>
            <w:r>
              <w:rPr>
                <w:lang w:val="en-US"/>
              </w:rPr>
              <w:t>Peer-reviewed literature</w:t>
            </w:r>
          </w:p>
        </w:tc>
        <w:tc>
          <w:tcPr>
            <w:tcW w:w="3865" w:type="pct"/>
            <w:tcBorders>
              <w:top w:val="single" w:sz="8" w:space="0" w:color="EDEDE8" w:themeColor="accent5"/>
              <w:left w:val="nil"/>
              <w:bottom w:val="single" w:sz="8" w:space="0" w:color="EDEDE8" w:themeColor="accent5"/>
              <w:right w:val="nil"/>
            </w:tcBorders>
            <w:hideMark/>
          </w:tcPr>
          <w:p w14:paraId="09303B74" w14:textId="77777777" w:rsidR="00CF0885" w:rsidRDefault="00CF0885">
            <w:pPr>
              <w:pStyle w:val="TableNText"/>
              <w:rPr>
                <w:lang w:val="en-US"/>
              </w:rPr>
            </w:pPr>
            <w:r>
              <w:rPr>
                <w:lang w:val="en-US"/>
              </w:rPr>
              <w:t xml:space="preserve">Peer-reviewed sources have been assessed for quality and importance by experts in the field. For example, articles published in academic journals, by professional scholarly societies, professional </w:t>
            </w:r>
            <w:proofErr w:type="gramStart"/>
            <w:r>
              <w:rPr>
                <w:lang w:val="en-US"/>
              </w:rPr>
              <w:t>associations</w:t>
            </w:r>
            <w:proofErr w:type="gramEnd"/>
            <w:r>
              <w:rPr>
                <w:lang w:val="en-US"/>
              </w:rPr>
              <w:t xml:space="preserve"> or university departments. </w:t>
            </w:r>
          </w:p>
        </w:tc>
      </w:tr>
      <w:tr w:rsidR="00CF0885" w14:paraId="4A53B9BF" w14:textId="77777777" w:rsidTr="0044377E">
        <w:tc>
          <w:tcPr>
            <w:tcW w:w="1135" w:type="pct"/>
            <w:tcBorders>
              <w:top w:val="single" w:sz="8" w:space="0" w:color="EDEDE8" w:themeColor="accent5"/>
              <w:left w:val="nil"/>
              <w:bottom w:val="single" w:sz="8" w:space="0" w:color="EDEDE8" w:themeColor="accent5"/>
              <w:right w:val="nil"/>
            </w:tcBorders>
            <w:hideMark/>
          </w:tcPr>
          <w:p w14:paraId="423BE2FA" w14:textId="77777777" w:rsidR="00CF0885" w:rsidRDefault="00CF0885">
            <w:pPr>
              <w:pStyle w:val="TableNheader"/>
              <w:rPr>
                <w:lang w:val="en-US"/>
              </w:rPr>
            </w:pPr>
            <w:r>
              <w:rPr>
                <w:lang w:val="en-US"/>
              </w:rPr>
              <w:t>Grey literature</w:t>
            </w:r>
          </w:p>
        </w:tc>
        <w:tc>
          <w:tcPr>
            <w:tcW w:w="3865" w:type="pct"/>
            <w:tcBorders>
              <w:top w:val="single" w:sz="8" w:space="0" w:color="EDEDE8" w:themeColor="accent5"/>
              <w:left w:val="nil"/>
              <w:bottom w:val="single" w:sz="8" w:space="0" w:color="EDEDE8" w:themeColor="accent5"/>
              <w:right w:val="nil"/>
            </w:tcBorders>
            <w:hideMark/>
          </w:tcPr>
          <w:p w14:paraId="0E7F7261" w14:textId="395BE8B3" w:rsidR="00CF0885" w:rsidRDefault="00CF0885">
            <w:pPr>
              <w:pStyle w:val="TableNText"/>
              <w:rPr>
                <w:lang w:val="en-US"/>
              </w:rPr>
            </w:pPr>
            <w:r>
              <w:rPr>
                <w:lang w:val="en-US"/>
              </w:rPr>
              <w:t xml:space="preserve">Grey literature sources are documents produced at all levels of government, academia, </w:t>
            </w:r>
            <w:proofErr w:type="gramStart"/>
            <w:r>
              <w:rPr>
                <w:lang w:val="en-US"/>
              </w:rPr>
              <w:t>business</w:t>
            </w:r>
            <w:proofErr w:type="gramEnd"/>
            <w:r>
              <w:rPr>
                <w:lang w:val="en-US"/>
              </w:rPr>
              <w:t xml:space="preserve"> and industry who are considered authorities on their content, however, are not controlled by commercial publishers. For example, reports, conferencing proceedings, doctoral theses/dissertations, newsletters, technical notes, working papers and white papers. </w:t>
            </w:r>
          </w:p>
        </w:tc>
      </w:tr>
    </w:tbl>
    <w:p w14:paraId="07B553CD" w14:textId="77777777" w:rsidR="00D216FB" w:rsidRDefault="00D216FB" w:rsidP="007C72DB">
      <w:pPr>
        <w:rPr>
          <w:lang w:eastAsia="en-AU"/>
        </w:rPr>
      </w:pPr>
    </w:p>
    <w:p w14:paraId="52FD9DC9" w14:textId="2DE36322" w:rsidR="007C72DB" w:rsidRPr="007C72DB" w:rsidRDefault="00EB1130" w:rsidP="007C72DB">
      <w:pPr>
        <w:rPr>
          <w:lang w:eastAsia="en-AU"/>
        </w:rPr>
      </w:pPr>
      <w:r>
        <w:rPr>
          <w:lang w:eastAsia="en-AU"/>
        </w:rPr>
        <w:t xml:space="preserve">Four key questions </w:t>
      </w:r>
      <w:r w:rsidR="00A24F8C">
        <w:rPr>
          <w:lang w:eastAsia="en-AU"/>
        </w:rPr>
        <w:t xml:space="preserve">guided the literature review and structure </w:t>
      </w:r>
      <w:r w:rsidR="00BC2204">
        <w:rPr>
          <w:lang w:eastAsia="en-AU"/>
        </w:rPr>
        <w:t xml:space="preserve">of </w:t>
      </w:r>
      <w:r w:rsidR="00A24F8C">
        <w:rPr>
          <w:lang w:eastAsia="en-AU"/>
        </w:rPr>
        <w:t xml:space="preserve">this report, as shown in </w:t>
      </w:r>
      <w:r w:rsidR="0095481B">
        <w:rPr>
          <w:highlight w:val="yellow"/>
          <w:lang w:eastAsia="en-AU"/>
        </w:rPr>
        <w:fldChar w:fldCharType="begin"/>
      </w:r>
      <w:r w:rsidR="0095481B">
        <w:rPr>
          <w:lang w:eastAsia="en-AU"/>
        </w:rPr>
        <w:instrText xml:space="preserve"> REF _Ref51825043 \h </w:instrText>
      </w:r>
      <w:r w:rsidR="0095481B">
        <w:rPr>
          <w:highlight w:val="yellow"/>
          <w:lang w:eastAsia="en-AU"/>
        </w:rPr>
      </w:r>
      <w:r w:rsidR="0095481B">
        <w:rPr>
          <w:highlight w:val="yellow"/>
          <w:lang w:eastAsia="en-AU"/>
        </w:rPr>
        <w:fldChar w:fldCharType="separate"/>
      </w:r>
      <w:r w:rsidR="000E59E1">
        <w:t xml:space="preserve">Figure </w:t>
      </w:r>
      <w:r w:rsidR="000E59E1">
        <w:rPr>
          <w:noProof/>
        </w:rPr>
        <w:t>1</w:t>
      </w:r>
      <w:r w:rsidR="0095481B">
        <w:rPr>
          <w:highlight w:val="yellow"/>
          <w:lang w:eastAsia="en-AU"/>
        </w:rPr>
        <w:fldChar w:fldCharType="end"/>
      </w:r>
      <w:r w:rsidR="0095481B">
        <w:rPr>
          <w:lang w:eastAsia="en-AU"/>
        </w:rPr>
        <w:t>.</w:t>
      </w:r>
      <w:r>
        <w:rPr>
          <w:lang w:eastAsia="en-AU"/>
        </w:rPr>
        <w:t xml:space="preserve"> They are </w:t>
      </w:r>
      <w:r w:rsidR="00AE6FDB">
        <w:rPr>
          <w:lang w:eastAsia="en-AU"/>
        </w:rPr>
        <w:t>a subset of the</w:t>
      </w:r>
      <w:r w:rsidR="00A24F8C">
        <w:rPr>
          <w:lang w:eastAsia="en-AU"/>
        </w:rPr>
        <w:t xml:space="preserve"> broader key evaluation questions and</w:t>
      </w:r>
      <w:r w:rsidR="00AE6FDB">
        <w:rPr>
          <w:lang w:eastAsia="en-AU"/>
        </w:rPr>
        <w:t xml:space="preserve"> research questions </w:t>
      </w:r>
      <w:r w:rsidR="00A24F8C">
        <w:rPr>
          <w:lang w:eastAsia="en-AU"/>
        </w:rPr>
        <w:t>for the national evaluation</w:t>
      </w:r>
      <w:r w:rsidR="00F91C1C">
        <w:rPr>
          <w:lang w:eastAsia="en-AU"/>
        </w:rPr>
        <w:t xml:space="preserve">. </w:t>
      </w:r>
    </w:p>
    <w:p w14:paraId="669B08AD" w14:textId="58EC544E" w:rsidR="00867BA6" w:rsidRPr="00421FD4" w:rsidRDefault="00867BA6" w:rsidP="00867BA6">
      <w:pPr>
        <w:pStyle w:val="Caption"/>
      </w:pPr>
      <w:bookmarkStart w:id="18" w:name="_Ref51825043"/>
      <w:r>
        <w:t xml:space="preserve">Figure </w:t>
      </w:r>
      <w:r>
        <w:fldChar w:fldCharType="begin"/>
      </w:r>
      <w:r>
        <w:instrText xml:space="preserve"> SEQ Figure \* ARABIC </w:instrText>
      </w:r>
      <w:r>
        <w:fldChar w:fldCharType="separate"/>
      </w:r>
      <w:r w:rsidR="000E59E1">
        <w:rPr>
          <w:noProof/>
        </w:rPr>
        <w:t>1</w:t>
      </w:r>
      <w:r>
        <w:fldChar w:fldCharType="end"/>
      </w:r>
      <w:bookmarkEnd w:id="18"/>
      <w:r>
        <w:t xml:space="preserve"> | Key literature review questions and sub-questions</w:t>
      </w:r>
      <w:r w:rsidRPr="00B4064A">
        <w:t xml:space="preserve"> </w:t>
      </w:r>
    </w:p>
    <w:p w14:paraId="69A110B9" w14:textId="232AD7C3" w:rsidR="00E16FAB" w:rsidRPr="00E16FAB" w:rsidRDefault="3545B0FF" w:rsidP="00E16FAB">
      <w:r>
        <w:rPr>
          <w:noProof/>
        </w:rPr>
        <w:drawing>
          <wp:inline distT="0" distB="0" distL="0" distR="0" wp14:anchorId="3595820B" wp14:editId="4819EC35">
            <wp:extent cx="5670002" cy="2647604"/>
            <wp:effectExtent l="0" t="0" r="6985" b="635"/>
            <wp:docPr id="21" name="Picture 21" descr="Figure 1 portrays the key literature review questions and sub-questions&#10;&#10;The four key literature review questions include: &#10;1. What are the palliative care needs of residents, families/carers, staff and the system in RACFs? &#10;2. What models of care exist that have proven successful?&#10;3. What evidence exists on best practice approaches to funding and delivery arrangements?&#10;4. How have palliative care in RACF initiatives sought to address health interface iss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igure 1 portrays the key literature review questions and sub-questions&#10;&#10;The four key literature review questions include: &#10;1. What are the palliative care needs of residents, families/carers, staff and the system in RACFs? &#10;2. What models of care exist that have proven successful?&#10;3. What evidence exists on best practice approaches to funding and delivery arrangements?&#10;4. How have palliative care in RACF initiatives sought to address health interface issue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70002" cy="2647604"/>
                    </a:xfrm>
                    <a:prstGeom prst="rect">
                      <a:avLst/>
                    </a:prstGeom>
                  </pic:spPr>
                </pic:pic>
              </a:graphicData>
            </a:graphic>
          </wp:inline>
        </w:drawing>
      </w:r>
    </w:p>
    <w:p w14:paraId="748A4C5C" w14:textId="7A2FB4D7" w:rsidR="00E954D9" w:rsidRPr="000A0A4F" w:rsidRDefault="00AA4A95" w:rsidP="00A17EC5">
      <w:pPr>
        <w:pStyle w:val="Heading1"/>
      </w:pPr>
      <w:bookmarkStart w:id="19" w:name="_Toc51571044"/>
      <w:bookmarkStart w:id="20" w:name="_Toc82767258"/>
      <w:r>
        <w:lastRenderedPageBreak/>
        <w:t>F</w:t>
      </w:r>
      <w:r w:rsidR="00E954D9" w:rsidRPr="000A0A4F">
        <w:t>indings</w:t>
      </w:r>
      <w:bookmarkEnd w:id="12"/>
      <w:bookmarkEnd w:id="13"/>
      <w:bookmarkEnd w:id="14"/>
      <w:bookmarkEnd w:id="15"/>
      <w:bookmarkEnd w:id="16"/>
      <w:bookmarkEnd w:id="19"/>
      <w:bookmarkEnd w:id="20"/>
    </w:p>
    <w:p w14:paraId="5C478358" w14:textId="515C463D" w:rsidR="00213E6F" w:rsidRDefault="00624D3C" w:rsidP="00624D3C">
      <w:pPr>
        <w:rPr>
          <w:lang w:eastAsia="en-AU"/>
        </w:rPr>
      </w:pPr>
      <w:r w:rsidRPr="00212562">
        <w:rPr>
          <w:lang w:eastAsia="en-AU"/>
        </w:rPr>
        <w:t xml:space="preserve">This section </w:t>
      </w:r>
      <w:r w:rsidR="001411AA">
        <w:rPr>
          <w:lang w:eastAsia="en-AU"/>
        </w:rPr>
        <w:t>describe</w:t>
      </w:r>
      <w:r w:rsidR="00DB2292">
        <w:rPr>
          <w:lang w:eastAsia="en-AU"/>
        </w:rPr>
        <w:t>s</w:t>
      </w:r>
      <w:r w:rsidR="001411AA" w:rsidRPr="00212562">
        <w:rPr>
          <w:lang w:eastAsia="en-AU"/>
        </w:rPr>
        <w:t xml:space="preserve"> </w:t>
      </w:r>
      <w:r w:rsidR="00212562" w:rsidRPr="00212562">
        <w:rPr>
          <w:lang w:eastAsia="en-AU"/>
        </w:rPr>
        <w:t xml:space="preserve">the findings of the literature review, structured by the </w:t>
      </w:r>
      <w:r w:rsidR="00213E6F" w:rsidRPr="00213E6F">
        <w:rPr>
          <w:lang w:eastAsia="en-AU"/>
        </w:rPr>
        <w:t>four</w:t>
      </w:r>
      <w:r w:rsidR="00212562" w:rsidRPr="00213E6F">
        <w:rPr>
          <w:lang w:eastAsia="en-AU"/>
        </w:rPr>
        <w:t xml:space="preserve"> key </w:t>
      </w:r>
      <w:r w:rsidR="005D5988">
        <w:rPr>
          <w:lang w:eastAsia="en-AU"/>
        </w:rPr>
        <w:t>questions</w:t>
      </w:r>
      <w:r w:rsidR="00212562" w:rsidRPr="00212562">
        <w:rPr>
          <w:lang w:eastAsia="en-AU"/>
        </w:rPr>
        <w:t>.</w:t>
      </w:r>
      <w:r w:rsidR="0048079F">
        <w:rPr>
          <w:lang w:eastAsia="en-AU"/>
        </w:rPr>
        <w:t xml:space="preserve"> </w:t>
      </w:r>
    </w:p>
    <w:p w14:paraId="6E5B59F3" w14:textId="119F2B56" w:rsidR="00F41C63" w:rsidRDefault="00AD63EB" w:rsidP="00624D3C">
      <w:pPr>
        <w:rPr>
          <w:lang w:eastAsia="en-AU"/>
        </w:rPr>
      </w:pPr>
      <w:r>
        <w:rPr>
          <w:lang w:eastAsia="en-AU"/>
        </w:rPr>
        <w:t xml:space="preserve">Overall, </w:t>
      </w:r>
      <w:r w:rsidR="00F41C63">
        <w:rPr>
          <w:lang w:eastAsia="en-AU"/>
        </w:rPr>
        <w:t xml:space="preserve">evidence identified through the literature review showed that: </w:t>
      </w:r>
    </w:p>
    <w:p w14:paraId="48559BAA" w14:textId="3B612E83" w:rsidR="00AD63EB" w:rsidRDefault="00F41C63" w:rsidP="00F41C63">
      <w:pPr>
        <w:pStyle w:val="Bullet"/>
      </w:pPr>
      <w:r>
        <w:t xml:space="preserve">There </w:t>
      </w:r>
      <w:r w:rsidR="00A756BD">
        <w:t>ar</w:t>
      </w:r>
      <w:r w:rsidR="00136A27">
        <w:t>e</w:t>
      </w:r>
      <w:r>
        <w:t xml:space="preserve"> relatively consistent descriptions in evidence on</w:t>
      </w:r>
      <w:r w:rsidR="00AD63EB">
        <w:t xml:space="preserve"> the needs of residents, families, </w:t>
      </w:r>
      <w:proofErr w:type="gramStart"/>
      <w:r w:rsidR="00AD63EB">
        <w:t>carers</w:t>
      </w:r>
      <w:proofErr w:type="gramEnd"/>
      <w:r w:rsidR="00AD63EB">
        <w:t xml:space="preserve"> and staff in RACFs and current service gaps. Much of this evidence </w:t>
      </w:r>
      <w:r w:rsidR="00200A4F">
        <w:t>wa</w:t>
      </w:r>
      <w:r w:rsidR="00AD63EB">
        <w:t xml:space="preserve">s sourced from </w:t>
      </w:r>
      <w:r w:rsidR="002918BA">
        <w:t xml:space="preserve">recent </w:t>
      </w:r>
      <w:r w:rsidR="00AD63EB">
        <w:t xml:space="preserve">documents relating to the Royal Commission into Aged Care Quality and Safety and the Productivity Commission’s Inquiry </w:t>
      </w:r>
      <w:r w:rsidR="00BF4630">
        <w:t>R</w:t>
      </w:r>
      <w:r w:rsidR="00AD63EB">
        <w:t xml:space="preserve">eport on Reforms to Human Services. </w:t>
      </w:r>
    </w:p>
    <w:p w14:paraId="51F28217" w14:textId="5DDB2E20" w:rsidR="00F41C63" w:rsidRDefault="00F41C63" w:rsidP="00F41C63">
      <w:pPr>
        <w:pStyle w:val="Bullet"/>
      </w:pPr>
      <w:r>
        <w:t>Evidence on</w:t>
      </w:r>
      <w:r w:rsidR="00AD63EB">
        <w:t xml:space="preserve"> good practice in models of care for palliative care in RACFs is still emerging, but several key models of care with rigorous evidence bases were identified. A subset of these models of care also seek</w:t>
      </w:r>
      <w:r w:rsidR="008E1BA9">
        <w:t>s</w:t>
      </w:r>
      <w:r w:rsidR="00AD63EB">
        <w:t xml:space="preserve"> to address health interface issues. </w:t>
      </w:r>
    </w:p>
    <w:p w14:paraId="1625F1A6" w14:textId="71CA9EE1" w:rsidR="00861FDC" w:rsidRDefault="00185ABF" w:rsidP="009B41F0">
      <w:pPr>
        <w:pStyle w:val="Bullet"/>
      </w:pPr>
      <w:r>
        <w:t>Evidence</w:t>
      </w:r>
      <w:r w:rsidR="00AD63EB">
        <w:t xml:space="preserve"> </w:t>
      </w:r>
      <w:r w:rsidR="00B001D3">
        <w:t xml:space="preserve">on </w:t>
      </w:r>
      <w:r w:rsidR="00AD63EB">
        <w:t xml:space="preserve">good practice funding and delivery arrangements </w:t>
      </w:r>
      <w:r w:rsidR="00200A4F">
        <w:t>wa</w:t>
      </w:r>
      <w:r w:rsidR="00AD63EB">
        <w:t>s limited to</w:t>
      </w:r>
      <w:r w:rsidR="0014548A">
        <w:t xml:space="preserve"> large-scale National Agreements.</w:t>
      </w:r>
      <w:r w:rsidR="00B001D3">
        <w:t xml:space="preserve"> </w:t>
      </w:r>
      <w:r w:rsidR="00380E56">
        <w:t>Agreements in health and outside of health</w:t>
      </w:r>
      <w:r w:rsidR="00B001D3">
        <w:t xml:space="preserve"> provided </w:t>
      </w:r>
      <w:r w:rsidR="00AD63EB">
        <w:t>key principles for effective funding and delivery</w:t>
      </w:r>
      <w:r w:rsidR="009E2D71">
        <w:t>.</w:t>
      </w:r>
    </w:p>
    <w:p w14:paraId="5D7DA080" w14:textId="04C41E81" w:rsidR="001834DC" w:rsidRDefault="009B41F0" w:rsidP="00CE53BB">
      <w:pPr>
        <w:pStyle w:val="Heading2"/>
        <w:spacing w:after="320"/>
        <w:ind w:left="578" w:hanging="578"/>
      </w:pPr>
      <w:bookmarkStart w:id="21" w:name="_Toc507150431"/>
      <w:bookmarkStart w:id="22" w:name="_Toc507159889"/>
      <w:bookmarkStart w:id="23" w:name="_Toc507163590"/>
      <w:bookmarkStart w:id="24" w:name="_Toc507597969"/>
      <w:bookmarkStart w:id="25" w:name="_Toc51571045"/>
      <w:bookmarkStart w:id="26" w:name="_Toc82767259"/>
      <w:bookmarkStart w:id="27" w:name="_Ref506540381"/>
      <w:bookmarkStart w:id="28" w:name="_Toc506553183"/>
      <w:r>
        <w:rPr>
          <w:noProof/>
        </w:rPr>
        <w:drawing>
          <wp:anchor distT="0" distB="0" distL="114300" distR="114300" simplePos="0" relativeHeight="251658242" behindDoc="1" locked="0" layoutInCell="1" allowOverlap="1" wp14:anchorId="6C4425BA" wp14:editId="7C0A976C">
            <wp:simplePos x="0" y="0"/>
            <wp:positionH relativeFrom="column">
              <wp:posOffset>-980440</wp:posOffset>
            </wp:positionH>
            <wp:positionV relativeFrom="paragraph">
              <wp:posOffset>43180</wp:posOffset>
            </wp:positionV>
            <wp:extent cx="6638925" cy="847725"/>
            <wp:effectExtent l="0" t="0" r="9525" b="9525"/>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38925" cy="847725"/>
                    </a:xfrm>
                    <a:prstGeom prst="rect">
                      <a:avLst/>
                    </a:prstGeom>
                    <a:noFill/>
                  </pic:spPr>
                </pic:pic>
              </a:graphicData>
            </a:graphic>
          </wp:anchor>
        </w:drawing>
      </w:r>
      <w:r w:rsidR="004B6356" w:rsidRPr="000A0A4F">
        <w:t xml:space="preserve">What </w:t>
      </w:r>
      <w:bookmarkEnd w:id="21"/>
      <w:bookmarkEnd w:id="22"/>
      <w:bookmarkEnd w:id="23"/>
      <w:bookmarkEnd w:id="24"/>
      <w:r w:rsidR="00C14D63">
        <w:t>are the palliative care needs of residents, families</w:t>
      </w:r>
      <w:r w:rsidR="00C4601A">
        <w:t>/</w:t>
      </w:r>
      <w:r w:rsidR="00C14D63">
        <w:t>carers</w:t>
      </w:r>
      <w:r w:rsidR="0097291C">
        <w:t xml:space="preserve">, </w:t>
      </w:r>
      <w:proofErr w:type="gramStart"/>
      <w:r w:rsidR="0097291C">
        <w:t>staff</w:t>
      </w:r>
      <w:proofErr w:type="gramEnd"/>
      <w:r w:rsidR="0097291C">
        <w:t xml:space="preserve"> and the system</w:t>
      </w:r>
      <w:r w:rsidR="00C14D63">
        <w:t xml:space="preserve"> in </w:t>
      </w:r>
      <w:r w:rsidR="001F33AC">
        <w:t>RACFs</w:t>
      </w:r>
      <w:r w:rsidR="008E62D5">
        <w:t>?</w:t>
      </w:r>
      <w:bookmarkEnd w:id="25"/>
      <w:bookmarkEnd w:id="26"/>
      <w:r w:rsidR="005D0094" w:rsidRPr="000A0A4F">
        <w:t xml:space="preserve"> </w:t>
      </w:r>
      <w:bookmarkEnd w:id="27"/>
      <w:bookmarkEnd w:id="28"/>
    </w:p>
    <w:p w14:paraId="1CEE73F6" w14:textId="7F9F2B6C" w:rsidR="001834DC" w:rsidRDefault="001834DC" w:rsidP="00CE53BB">
      <w:pPr>
        <w:spacing w:before="120" w:line="257" w:lineRule="auto"/>
      </w:pPr>
      <w:r>
        <w:t xml:space="preserve">This </w:t>
      </w:r>
      <w:r w:rsidR="00A30D05">
        <w:t>sub-</w:t>
      </w:r>
      <w:r>
        <w:t>section summarises evidence from the literature on</w:t>
      </w:r>
      <w:r w:rsidR="003B2EFD">
        <w:t xml:space="preserve"> the</w:t>
      </w:r>
      <w:r>
        <w:t xml:space="preserve">: </w:t>
      </w:r>
    </w:p>
    <w:p w14:paraId="07D3153D" w14:textId="02F555EA" w:rsidR="001834DC" w:rsidRDefault="001834DC" w:rsidP="001834DC">
      <w:pPr>
        <w:pStyle w:val="Bullet"/>
      </w:pPr>
      <w:r>
        <w:t xml:space="preserve">definition of quality palliative care in RACFs (see </w:t>
      </w:r>
      <w:r w:rsidR="002C3FF6">
        <w:t>s</w:t>
      </w:r>
      <w:r w:rsidR="00673483">
        <w:t xml:space="preserve">ection </w:t>
      </w:r>
      <w:r w:rsidR="00673483">
        <w:fldChar w:fldCharType="begin"/>
      </w:r>
      <w:r w:rsidR="00673483">
        <w:instrText xml:space="preserve"> REF _Ref51330444 \r \h </w:instrText>
      </w:r>
      <w:r w:rsidR="00673483">
        <w:fldChar w:fldCharType="separate"/>
      </w:r>
      <w:r w:rsidR="000E59E1">
        <w:t>3.1.1</w:t>
      </w:r>
      <w:r w:rsidR="00673483">
        <w:fldChar w:fldCharType="end"/>
      </w:r>
      <w:r w:rsidR="00673483">
        <w:t>)</w:t>
      </w:r>
    </w:p>
    <w:p w14:paraId="3618B41E" w14:textId="714E2812" w:rsidR="001834DC" w:rsidRDefault="001834DC" w:rsidP="001834DC">
      <w:pPr>
        <w:pStyle w:val="Bullet"/>
      </w:pPr>
      <w:r>
        <w:t xml:space="preserve">palliative care needs of residents in RACFs (see </w:t>
      </w:r>
      <w:r w:rsidR="002C3FF6">
        <w:t>s</w:t>
      </w:r>
      <w:r>
        <w:t xml:space="preserve">ection </w:t>
      </w:r>
      <w:r w:rsidR="006538FD">
        <w:fldChar w:fldCharType="begin"/>
      </w:r>
      <w:r w:rsidR="006538FD">
        <w:instrText xml:space="preserve"> REF _Ref51330465 \r \h </w:instrText>
      </w:r>
      <w:r w:rsidR="006538FD">
        <w:fldChar w:fldCharType="separate"/>
      </w:r>
      <w:r w:rsidR="000E59E1">
        <w:t>3.1.2</w:t>
      </w:r>
      <w:r w:rsidR="006538FD">
        <w:fldChar w:fldCharType="end"/>
      </w:r>
      <w:r>
        <w:t>)</w:t>
      </w:r>
    </w:p>
    <w:p w14:paraId="1D615BD4" w14:textId="43D2B7EE" w:rsidR="001834DC" w:rsidRDefault="001834DC" w:rsidP="001834DC">
      <w:pPr>
        <w:pStyle w:val="Bullet"/>
      </w:pPr>
      <w:r>
        <w:t xml:space="preserve">needs of families and carers (see </w:t>
      </w:r>
      <w:r w:rsidR="002C3FF6">
        <w:t>s</w:t>
      </w:r>
      <w:r>
        <w:t xml:space="preserve">ection </w:t>
      </w:r>
      <w:r w:rsidR="006538FD">
        <w:fldChar w:fldCharType="begin"/>
      </w:r>
      <w:r w:rsidR="006538FD">
        <w:instrText xml:space="preserve"> REF _Ref51330471 \r \h </w:instrText>
      </w:r>
      <w:r w:rsidR="006538FD">
        <w:fldChar w:fldCharType="separate"/>
      </w:r>
      <w:r w:rsidR="000E59E1">
        <w:t>3.1.3</w:t>
      </w:r>
      <w:r w:rsidR="006538FD">
        <w:fldChar w:fldCharType="end"/>
      </w:r>
      <w:r>
        <w:t>)</w:t>
      </w:r>
    </w:p>
    <w:p w14:paraId="2110DBF6" w14:textId="084D70A0" w:rsidR="00A17EC5" w:rsidRPr="000A0A4F" w:rsidRDefault="001834DC" w:rsidP="001834DC">
      <w:pPr>
        <w:pStyle w:val="Bullet"/>
      </w:pPr>
      <w:r>
        <w:t xml:space="preserve">needs of staff </w:t>
      </w:r>
      <w:r w:rsidR="00224672">
        <w:t xml:space="preserve">and the system </w:t>
      </w:r>
      <w:r>
        <w:t xml:space="preserve">(see </w:t>
      </w:r>
      <w:r w:rsidR="002C3FF6">
        <w:t>s</w:t>
      </w:r>
      <w:r>
        <w:t xml:space="preserve">ection </w:t>
      </w:r>
      <w:r w:rsidR="006538FD">
        <w:fldChar w:fldCharType="begin"/>
      </w:r>
      <w:r w:rsidR="006538FD">
        <w:instrText xml:space="preserve"> REF _Ref51330484 \r \h </w:instrText>
      </w:r>
      <w:r w:rsidR="006538FD">
        <w:fldChar w:fldCharType="separate"/>
      </w:r>
      <w:r w:rsidR="000E59E1">
        <w:t>3.1.4</w:t>
      </w:r>
      <w:r w:rsidR="006538FD">
        <w:fldChar w:fldCharType="end"/>
      </w:r>
      <w:r>
        <w:t xml:space="preserve">). </w:t>
      </w:r>
    </w:p>
    <w:tbl>
      <w:tblPr>
        <w:tblStyle w:val="TableGrid"/>
        <w:tblW w:w="9016" w:type="dxa"/>
        <w:tblBorders>
          <w:bottom w:val="none" w:sz="0" w:space="0" w:color="auto"/>
          <w:insideH w:val="none" w:sz="0" w:space="0" w:color="auto"/>
        </w:tblBorders>
        <w:shd w:val="clear" w:color="auto" w:fill="F2F2F2" w:themeFill="background1" w:themeFillShade="F2"/>
        <w:tblCellMar>
          <w:top w:w="85" w:type="dxa"/>
        </w:tblCellMar>
        <w:tblLook w:val="0400" w:firstRow="0" w:lastRow="0" w:firstColumn="0" w:lastColumn="0" w:noHBand="0" w:noVBand="1"/>
        <w:tblCaption w:val="Key findings for the first key literature review question: What are the palliative care needs of residents, families/carers, staff and the system in RACFs"/>
        <w:tblDescription w:val="The literature review identified a consistent body of evidence describing the needs of residents, families, carers and staff and the ways in which their palliative care needs are commonly not met in RACFs: &#10;&#10;Palliative care treats patients with life-limiting illness. It is distinct from end of life care, which is often described as a subset of palliative care.  &#10;&#10;Quality palliative care in RACFs is characterised by a respectful, person-centred and integrated approach. &#10;&#10;Residents need personalised, multidisciplinary palliative care that encompasses physical, spiritual and psychological care.  &#10;&#10;Families and carers of RACF residents need education, information, and emotional and psychological support delivered in a respectful and appropriate way.  &#10;&#10;Staff have varying needs based on their roles, but need access to appropriate education, training and resources that enables them to identify palliative care needs, communicate about palliative care with families and carers, provide high quality care and balance those roles with self-care. &#10;&#10;System needs include appropriate funding, delivery and integration support to meet the needs of residents, families, carers and staff.  &#10;&#10;Access to high quality palliative care within RACFs is a challenge for many, with evidence indicating that there is highly variable availability of palliative care in RACFs.  &#10;&#10;Evidence indicated that identifying and communicating about palliative care needs is a key service gap. From a system perspective, evidence also consistently indicates that workforce capacity and capability are significant contributors to service gaps.  "/>
      </w:tblPr>
      <w:tblGrid>
        <w:gridCol w:w="1219"/>
        <w:gridCol w:w="7797"/>
      </w:tblGrid>
      <w:tr w:rsidR="006B5F38" w14:paraId="2211E66D" w14:textId="77777777" w:rsidTr="586BF144">
        <w:trPr>
          <w:trHeight w:val="624"/>
        </w:trPr>
        <w:tc>
          <w:tcPr>
            <w:tcW w:w="1219" w:type="dxa"/>
            <w:shd w:val="clear" w:color="auto" w:fill="00264D" w:themeFill="background2"/>
            <w:vAlign w:val="center"/>
          </w:tcPr>
          <w:p w14:paraId="6085C877" w14:textId="4152F000" w:rsidR="006B5F38" w:rsidRPr="006B5F38" w:rsidRDefault="00753F4A" w:rsidP="003F38F5">
            <w:pPr>
              <w:spacing w:after="0" w:line="257" w:lineRule="auto"/>
              <w:jc w:val="center"/>
              <w:rPr>
                <w:rFonts w:ascii="Segoe UI Semibold" w:hAnsi="Segoe UI Semibold" w:cs="Segoe UI Semibold"/>
                <w:color w:val="FFFFFF" w:themeColor="background1"/>
              </w:rPr>
            </w:pPr>
            <w:r w:rsidRPr="00753F4A">
              <w:rPr>
                <w:rFonts w:ascii="Segoe UI Semibold" w:hAnsi="Segoe UI Semibold" w:cs="Segoe UI Semibold"/>
                <w:noProof/>
                <w:color w:val="FFFFFF" w:themeColor="background1"/>
                <w:lang w:eastAsia="en-AU"/>
              </w:rPr>
              <mc:AlternateContent>
                <mc:Choice Requires="wpg">
                  <w:drawing>
                    <wp:inline distT="0" distB="0" distL="0" distR="0" wp14:anchorId="25CE0BF0" wp14:editId="3D600B69">
                      <wp:extent cx="360000" cy="360000"/>
                      <wp:effectExtent l="0" t="0" r="2540" b="2540"/>
                      <wp:docPr id="45" name="Group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60000" cy="360000"/>
                                <a:chOff x="0" y="0"/>
                                <a:chExt cx="539750" cy="539750"/>
                              </a:xfrm>
                              <a:solidFill>
                                <a:schemeClr val="bg1"/>
                              </a:solidFill>
                            </wpg:grpSpPr>
                            <wps:wsp>
                              <wps:cNvPr id="46" name="Freeform 103"/>
                              <wps:cNvSpPr>
                                <a:spLocks noChangeAspect="1" noEditPoints="1"/>
                              </wps:cNvSpPr>
                              <wps:spPr bwMode="auto">
                                <a:xfrm>
                                  <a:off x="0" y="0"/>
                                  <a:ext cx="539750" cy="539750"/>
                                </a:xfrm>
                                <a:custGeom>
                                  <a:avLst/>
                                  <a:gdLst>
                                    <a:gd name="T0" fmla="*/ 168 w 169"/>
                                    <a:gd name="T1" fmla="*/ 164 h 169"/>
                                    <a:gd name="T2" fmla="*/ 127 w 169"/>
                                    <a:gd name="T3" fmla="*/ 122 h 169"/>
                                    <a:gd name="T4" fmla="*/ 127 w 169"/>
                                    <a:gd name="T5" fmla="*/ 122 h 169"/>
                                    <a:gd name="T6" fmla="*/ 146 w 169"/>
                                    <a:gd name="T7" fmla="*/ 73 h 169"/>
                                    <a:gd name="T8" fmla="*/ 73 w 169"/>
                                    <a:gd name="T9" fmla="*/ 0 h 169"/>
                                    <a:gd name="T10" fmla="*/ 0 w 169"/>
                                    <a:gd name="T11" fmla="*/ 73 h 169"/>
                                    <a:gd name="T12" fmla="*/ 73 w 169"/>
                                    <a:gd name="T13" fmla="*/ 146 h 169"/>
                                    <a:gd name="T14" fmla="*/ 122 w 169"/>
                                    <a:gd name="T15" fmla="*/ 128 h 169"/>
                                    <a:gd name="T16" fmla="*/ 122 w 169"/>
                                    <a:gd name="T17" fmla="*/ 127 h 169"/>
                                    <a:gd name="T18" fmla="*/ 122 w 169"/>
                                    <a:gd name="T19" fmla="*/ 128 h 169"/>
                                    <a:gd name="T20" fmla="*/ 163 w 169"/>
                                    <a:gd name="T21" fmla="*/ 168 h 169"/>
                                    <a:gd name="T22" fmla="*/ 166 w 169"/>
                                    <a:gd name="T23" fmla="*/ 169 h 169"/>
                                    <a:gd name="T24" fmla="*/ 169 w 169"/>
                                    <a:gd name="T25" fmla="*/ 166 h 169"/>
                                    <a:gd name="T26" fmla="*/ 168 w 169"/>
                                    <a:gd name="T27" fmla="*/ 164 h 169"/>
                                    <a:gd name="T28" fmla="*/ 73 w 169"/>
                                    <a:gd name="T29" fmla="*/ 140 h 169"/>
                                    <a:gd name="T30" fmla="*/ 7 w 169"/>
                                    <a:gd name="T31" fmla="*/ 73 h 169"/>
                                    <a:gd name="T32" fmla="*/ 73 w 169"/>
                                    <a:gd name="T33" fmla="*/ 7 h 169"/>
                                    <a:gd name="T34" fmla="*/ 139 w 169"/>
                                    <a:gd name="T35" fmla="*/ 73 h 169"/>
                                    <a:gd name="T36" fmla="*/ 73 w 169"/>
                                    <a:gd name="T37" fmla="*/ 140 h 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69" h="169">
                                      <a:moveTo>
                                        <a:pt x="168" y="164"/>
                                      </a:moveTo>
                                      <a:cubicBezTo>
                                        <a:pt x="127" y="122"/>
                                        <a:pt x="127" y="122"/>
                                        <a:pt x="127" y="122"/>
                                      </a:cubicBezTo>
                                      <a:cubicBezTo>
                                        <a:pt x="127" y="122"/>
                                        <a:pt x="127" y="122"/>
                                        <a:pt x="127" y="122"/>
                                      </a:cubicBezTo>
                                      <a:cubicBezTo>
                                        <a:pt x="139" y="109"/>
                                        <a:pt x="146" y="91"/>
                                        <a:pt x="146" y="73"/>
                                      </a:cubicBezTo>
                                      <a:cubicBezTo>
                                        <a:pt x="146" y="33"/>
                                        <a:pt x="113" y="0"/>
                                        <a:pt x="73" y="0"/>
                                      </a:cubicBezTo>
                                      <a:cubicBezTo>
                                        <a:pt x="33" y="0"/>
                                        <a:pt x="0" y="33"/>
                                        <a:pt x="0" y="73"/>
                                      </a:cubicBezTo>
                                      <a:cubicBezTo>
                                        <a:pt x="0" y="114"/>
                                        <a:pt x="33" y="146"/>
                                        <a:pt x="73" y="146"/>
                                      </a:cubicBezTo>
                                      <a:cubicBezTo>
                                        <a:pt x="91" y="146"/>
                                        <a:pt x="108" y="140"/>
                                        <a:pt x="122" y="128"/>
                                      </a:cubicBezTo>
                                      <a:cubicBezTo>
                                        <a:pt x="122" y="127"/>
                                        <a:pt x="122" y="127"/>
                                        <a:pt x="122" y="127"/>
                                      </a:cubicBezTo>
                                      <a:cubicBezTo>
                                        <a:pt x="122" y="128"/>
                                        <a:pt x="122" y="128"/>
                                        <a:pt x="122" y="128"/>
                                      </a:cubicBezTo>
                                      <a:cubicBezTo>
                                        <a:pt x="163" y="168"/>
                                        <a:pt x="163" y="168"/>
                                        <a:pt x="163" y="168"/>
                                      </a:cubicBezTo>
                                      <a:cubicBezTo>
                                        <a:pt x="164" y="169"/>
                                        <a:pt x="165" y="169"/>
                                        <a:pt x="166" y="169"/>
                                      </a:cubicBezTo>
                                      <a:cubicBezTo>
                                        <a:pt x="168" y="169"/>
                                        <a:pt x="169" y="168"/>
                                        <a:pt x="169" y="166"/>
                                      </a:cubicBezTo>
                                      <a:cubicBezTo>
                                        <a:pt x="169" y="165"/>
                                        <a:pt x="169" y="164"/>
                                        <a:pt x="168" y="164"/>
                                      </a:cubicBezTo>
                                      <a:close/>
                                      <a:moveTo>
                                        <a:pt x="73" y="140"/>
                                      </a:moveTo>
                                      <a:cubicBezTo>
                                        <a:pt x="37" y="140"/>
                                        <a:pt x="7" y="110"/>
                                        <a:pt x="7" y="73"/>
                                      </a:cubicBezTo>
                                      <a:cubicBezTo>
                                        <a:pt x="7" y="37"/>
                                        <a:pt x="37" y="7"/>
                                        <a:pt x="73" y="7"/>
                                      </a:cubicBezTo>
                                      <a:cubicBezTo>
                                        <a:pt x="110" y="7"/>
                                        <a:pt x="139" y="37"/>
                                        <a:pt x="139" y="73"/>
                                      </a:cubicBezTo>
                                      <a:cubicBezTo>
                                        <a:pt x="139" y="110"/>
                                        <a:pt x="110" y="140"/>
                                        <a:pt x="73" y="140"/>
                                      </a:cubicBezTo>
                                      <a:close/>
                                    </a:path>
                                  </a:pathLst>
                                </a:custGeom>
                                <a:grpFill/>
                                <a:ln>
                                  <a:noFill/>
                                </a:ln>
                              </wps:spPr>
                              <wps:bodyPr vert="horz" wrap="square" lIns="91440" tIns="45720" rIns="91440" bIns="45720" numCol="1" anchor="t" anchorCtr="0" compatLnSpc="1">
                                <a:prstTxWarp prst="textNoShape">
                                  <a:avLst/>
                                </a:prstTxWarp>
                              </wps:bodyPr>
                            </wps:wsp>
                            <wpg:grpSp>
                              <wpg:cNvPr id="47" name="Group 47"/>
                              <wpg:cNvGrpSpPr/>
                              <wpg:grpSpPr>
                                <a:xfrm>
                                  <a:off x="185109" y="112004"/>
                                  <a:ext cx="92075" cy="244475"/>
                                  <a:chOff x="185109" y="112004"/>
                                  <a:chExt cx="92075" cy="244475"/>
                                </a:xfrm>
                                <a:grpFill/>
                              </wpg:grpSpPr>
                              <wps:wsp>
                                <wps:cNvPr id="48" name="Freeform 7"/>
                                <wps:cNvSpPr>
                                  <a:spLocks/>
                                </wps:cNvSpPr>
                                <wps:spPr bwMode="auto">
                                  <a:xfrm>
                                    <a:off x="204159" y="112004"/>
                                    <a:ext cx="53975" cy="57150"/>
                                  </a:xfrm>
                                  <a:custGeom>
                                    <a:avLst/>
                                    <a:gdLst>
                                      <a:gd name="T0" fmla="*/ 8 w 17"/>
                                      <a:gd name="T1" fmla="*/ 0 h 18"/>
                                      <a:gd name="T2" fmla="*/ 2 w 17"/>
                                      <a:gd name="T3" fmla="*/ 3 h 18"/>
                                      <a:gd name="T4" fmla="*/ 0 w 17"/>
                                      <a:gd name="T5" fmla="*/ 9 h 18"/>
                                      <a:gd name="T6" fmla="*/ 2 w 17"/>
                                      <a:gd name="T7" fmla="*/ 16 h 18"/>
                                      <a:gd name="T8" fmla="*/ 8 w 17"/>
                                      <a:gd name="T9" fmla="*/ 18 h 18"/>
                                      <a:gd name="T10" fmla="*/ 15 w 17"/>
                                      <a:gd name="T11" fmla="*/ 16 h 18"/>
                                      <a:gd name="T12" fmla="*/ 17 w 17"/>
                                      <a:gd name="T13" fmla="*/ 9 h 18"/>
                                      <a:gd name="T14" fmla="*/ 15 w 17"/>
                                      <a:gd name="T15" fmla="*/ 3 h 18"/>
                                      <a:gd name="T16" fmla="*/ 8 w 17"/>
                                      <a:gd name="T17"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8">
                                        <a:moveTo>
                                          <a:pt x="8" y="0"/>
                                        </a:moveTo>
                                        <a:cubicBezTo>
                                          <a:pt x="6" y="0"/>
                                          <a:pt x="4" y="1"/>
                                          <a:pt x="2" y="3"/>
                                        </a:cubicBezTo>
                                        <a:cubicBezTo>
                                          <a:pt x="1" y="5"/>
                                          <a:pt x="0" y="7"/>
                                          <a:pt x="0" y="9"/>
                                        </a:cubicBezTo>
                                        <a:cubicBezTo>
                                          <a:pt x="0" y="12"/>
                                          <a:pt x="1" y="14"/>
                                          <a:pt x="2" y="16"/>
                                        </a:cubicBezTo>
                                        <a:cubicBezTo>
                                          <a:pt x="4" y="17"/>
                                          <a:pt x="6" y="18"/>
                                          <a:pt x="8" y="18"/>
                                        </a:cubicBezTo>
                                        <a:cubicBezTo>
                                          <a:pt x="11" y="18"/>
                                          <a:pt x="13" y="17"/>
                                          <a:pt x="15" y="16"/>
                                        </a:cubicBezTo>
                                        <a:cubicBezTo>
                                          <a:pt x="16" y="14"/>
                                          <a:pt x="17" y="12"/>
                                          <a:pt x="17" y="9"/>
                                        </a:cubicBezTo>
                                        <a:cubicBezTo>
                                          <a:pt x="17" y="7"/>
                                          <a:pt x="16" y="5"/>
                                          <a:pt x="15" y="3"/>
                                        </a:cubicBezTo>
                                        <a:cubicBezTo>
                                          <a:pt x="13" y="1"/>
                                          <a:pt x="11" y="0"/>
                                          <a:pt x="8"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9" name="Freeform 8"/>
                                <wps:cNvSpPr>
                                  <a:spLocks/>
                                </wps:cNvSpPr>
                                <wps:spPr bwMode="auto">
                                  <a:xfrm>
                                    <a:off x="185109" y="194554"/>
                                    <a:ext cx="92075" cy="161925"/>
                                  </a:xfrm>
                                  <a:custGeom>
                                    <a:avLst/>
                                    <a:gdLst>
                                      <a:gd name="T0" fmla="*/ 24 w 29"/>
                                      <a:gd name="T1" fmla="*/ 44 h 51"/>
                                      <a:gd name="T2" fmla="*/ 20 w 29"/>
                                      <a:gd name="T3" fmla="*/ 43 h 51"/>
                                      <a:gd name="T4" fmla="*/ 19 w 29"/>
                                      <a:gd name="T5" fmla="*/ 40 h 51"/>
                                      <a:gd name="T6" fmla="*/ 19 w 29"/>
                                      <a:gd name="T7" fmla="*/ 36 h 51"/>
                                      <a:gd name="T8" fmla="*/ 20 w 29"/>
                                      <a:gd name="T9" fmla="*/ 32 h 51"/>
                                      <a:gd name="T10" fmla="*/ 24 w 29"/>
                                      <a:gd name="T11" fmla="*/ 18 h 51"/>
                                      <a:gd name="T12" fmla="*/ 24 w 29"/>
                                      <a:gd name="T13" fmla="*/ 14 h 51"/>
                                      <a:gd name="T14" fmla="*/ 25 w 29"/>
                                      <a:gd name="T15" fmla="*/ 11 h 51"/>
                                      <a:gd name="T16" fmla="*/ 22 w 29"/>
                                      <a:gd name="T17" fmla="*/ 3 h 51"/>
                                      <a:gd name="T18" fmla="*/ 14 w 29"/>
                                      <a:gd name="T19" fmla="*/ 0 h 51"/>
                                      <a:gd name="T20" fmla="*/ 7 w 29"/>
                                      <a:gd name="T21" fmla="*/ 2 h 51"/>
                                      <a:gd name="T22" fmla="*/ 1 w 29"/>
                                      <a:gd name="T23" fmla="*/ 4 h 51"/>
                                      <a:gd name="T24" fmla="*/ 0 w 29"/>
                                      <a:gd name="T25" fmla="*/ 9 h 51"/>
                                      <a:gd name="T26" fmla="*/ 2 w 29"/>
                                      <a:gd name="T27" fmla="*/ 8 h 51"/>
                                      <a:gd name="T28" fmla="*/ 5 w 29"/>
                                      <a:gd name="T29" fmla="*/ 7 h 51"/>
                                      <a:gd name="T30" fmla="*/ 9 w 29"/>
                                      <a:gd name="T31" fmla="*/ 8 h 51"/>
                                      <a:gd name="T32" fmla="*/ 10 w 29"/>
                                      <a:gd name="T33" fmla="*/ 12 h 51"/>
                                      <a:gd name="T34" fmla="*/ 10 w 29"/>
                                      <a:gd name="T35" fmla="*/ 16 h 51"/>
                                      <a:gd name="T36" fmla="*/ 9 w 29"/>
                                      <a:gd name="T37" fmla="*/ 19 h 51"/>
                                      <a:gd name="T38" fmla="*/ 5 w 29"/>
                                      <a:gd name="T39" fmla="*/ 34 h 51"/>
                                      <a:gd name="T40" fmla="*/ 4 w 29"/>
                                      <a:gd name="T41" fmla="*/ 38 h 51"/>
                                      <a:gd name="T42" fmla="*/ 4 w 29"/>
                                      <a:gd name="T43" fmla="*/ 41 h 51"/>
                                      <a:gd name="T44" fmla="*/ 7 w 29"/>
                                      <a:gd name="T45" fmla="*/ 48 h 51"/>
                                      <a:gd name="T46" fmla="*/ 15 w 29"/>
                                      <a:gd name="T47" fmla="*/ 51 h 51"/>
                                      <a:gd name="T48" fmla="*/ 21 w 29"/>
                                      <a:gd name="T49" fmla="*/ 50 h 51"/>
                                      <a:gd name="T50" fmla="*/ 28 w 29"/>
                                      <a:gd name="T51" fmla="*/ 47 h 51"/>
                                      <a:gd name="T52" fmla="*/ 29 w 29"/>
                                      <a:gd name="T53" fmla="*/ 43 h 51"/>
                                      <a:gd name="T54" fmla="*/ 27 w 29"/>
                                      <a:gd name="T55" fmla="*/ 44 h 51"/>
                                      <a:gd name="T56" fmla="*/ 24 w 29"/>
                                      <a:gd name="T57" fmla="*/ 44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9" h="51">
                                        <a:moveTo>
                                          <a:pt x="24" y="44"/>
                                        </a:moveTo>
                                        <a:cubicBezTo>
                                          <a:pt x="22" y="44"/>
                                          <a:pt x="21" y="44"/>
                                          <a:pt x="20" y="43"/>
                                        </a:cubicBezTo>
                                        <a:cubicBezTo>
                                          <a:pt x="19" y="43"/>
                                          <a:pt x="19" y="41"/>
                                          <a:pt x="19" y="40"/>
                                        </a:cubicBezTo>
                                        <a:cubicBezTo>
                                          <a:pt x="19" y="39"/>
                                          <a:pt x="19" y="38"/>
                                          <a:pt x="19" y="36"/>
                                        </a:cubicBezTo>
                                        <a:cubicBezTo>
                                          <a:pt x="19" y="35"/>
                                          <a:pt x="20" y="33"/>
                                          <a:pt x="20" y="32"/>
                                        </a:cubicBezTo>
                                        <a:cubicBezTo>
                                          <a:pt x="24" y="18"/>
                                          <a:pt x="24" y="18"/>
                                          <a:pt x="24" y="18"/>
                                        </a:cubicBezTo>
                                        <a:cubicBezTo>
                                          <a:pt x="24" y="17"/>
                                          <a:pt x="24" y="15"/>
                                          <a:pt x="24" y="14"/>
                                        </a:cubicBezTo>
                                        <a:cubicBezTo>
                                          <a:pt x="24" y="12"/>
                                          <a:pt x="25" y="11"/>
                                          <a:pt x="25" y="11"/>
                                        </a:cubicBezTo>
                                        <a:cubicBezTo>
                                          <a:pt x="25" y="8"/>
                                          <a:pt x="24" y="5"/>
                                          <a:pt x="22" y="3"/>
                                        </a:cubicBezTo>
                                        <a:cubicBezTo>
                                          <a:pt x="20" y="1"/>
                                          <a:pt x="17" y="0"/>
                                          <a:pt x="14" y="0"/>
                                        </a:cubicBezTo>
                                        <a:cubicBezTo>
                                          <a:pt x="12" y="0"/>
                                          <a:pt x="10" y="1"/>
                                          <a:pt x="7" y="2"/>
                                        </a:cubicBezTo>
                                        <a:cubicBezTo>
                                          <a:pt x="5" y="2"/>
                                          <a:pt x="3" y="3"/>
                                          <a:pt x="1" y="4"/>
                                        </a:cubicBezTo>
                                        <a:cubicBezTo>
                                          <a:pt x="0" y="9"/>
                                          <a:pt x="0" y="9"/>
                                          <a:pt x="0" y="9"/>
                                        </a:cubicBezTo>
                                        <a:cubicBezTo>
                                          <a:pt x="0" y="8"/>
                                          <a:pt x="1" y="8"/>
                                          <a:pt x="2" y="8"/>
                                        </a:cubicBezTo>
                                        <a:cubicBezTo>
                                          <a:pt x="3" y="8"/>
                                          <a:pt x="4" y="7"/>
                                          <a:pt x="5" y="7"/>
                                        </a:cubicBezTo>
                                        <a:cubicBezTo>
                                          <a:pt x="7" y="7"/>
                                          <a:pt x="8" y="8"/>
                                          <a:pt x="9" y="8"/>
                                        </a:cubicBezTo>
                                        <a:cubicBezTo>
                                          <a:pt x="10" y="9"/>
                                          <a:pt x="10" y="10"/>
                                          <a:pt x="10" y="12"/>
                                        </a:cubicBezTo>
                                        <a:cubicBezTo>
                                          <a:pt x="10" y="13"/>
                                          <a:pt x="10" y="14"/>
                                          <a:pt x="10" y="16"/>
                                        </a:cubicBezTo>
                                        <a:cubicBezTo>
                                          <a:pt x="9" y="17"/>
                                          <a:pt x="9" y="18"/>
                                          <a:pt x="9" y="19"/>
                                        </a:cubicBezTo>
                                        <a:cubicBezTo>
                                          <a:pt x="5" y="34"/>
                                          <a:pt x="5" y="34"/>
                                          <a:pt x="5" y="34"/>
                                        </a:cubicBezTo>
                                        <a:cubicBezTo>
                                          <a:pt x="5" y="35"/>
                                          <a:pt x="5" y="37"/>
                                          <a:pt x="4" y="38"/>
                                        </a:cubicBezTo>
                                        <a:cubicBezTo>
                                          <a:pt x="4" y="39"/>
                                          <a:pt x="4" y="40"/>
                                          <a:pt x="4" y="41"/>
                                        </a:cubicBezTo>
                                        <a:cubicBezTo>
                                          <a:pt x="4" y="44"/>
                                          <a:pt x="5" y="47"/>
                                          <a:pt x="7" y="48"/>
                                        </a:cubicBezTo>
                                        <a:cubicBezTo>
                                          <a:pt x="9" y="50"/>
                                          <a:pt x="12" y="51"/>
                                          <a:pt x="15" y="51"/>
                                        </a:cubicBezTo>
                                        <a:cubicBezTo>
                                          <a:pt x="18" y="51"/>
                                          <a:pt x="20" y="51"/>
                                          <a:pt x="21" y="50"/>
                                        </a:cubicBezTo>
                                        <a:cubicBezTo>
                                          <a:pt x="23" y="50"/>
                                          <a:pt x="25" y="49"/>
                                          <a:pt x="28" y="47"/>
                                        </a:cubicBezTo>
                                        <a:cubicBezTo>
                                          <a:pt x="29" y="43"/>
                                          <a:pt x="29" y="43"/>
                                          <a:pt x="29" y="43"/>
                                        </a:cubicBezTo>
                                        <a:cubicBezTo>
                                          <a:pt x="29" y="43"/>
                                          <a:pt x="28" y="44"/>
                                          <a:pt x="27" y="44"/>
                                        </a:cubicBezTo>
                                        <a:cubicBezTo>
                                          <a:pt x="26" y="44"/>
                                          <a:pt x="25" y="44"/>
                                          <a:pt x="24" y="44"/>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wgp>
                        </a:graphicData>
                      </a:graphic>
                    </wp:inline>
                  </w:drawing>
                </mc:Choice>
                <mc:Fallback xmlns:w16sdtdh="http://schemas.microsoft.com/office/word/2020/wordml/sdtdatahash">
                  <w:pict>
                    <v:group w14:anchorId="76415A32" id="Group 54" o:spid="_x0000_s1026" alt="&quot;&quot;" style="width:28.35pt;height:28.35pt;mso-position-horizontal-relative:char;mso-position-vertical-relative:line" coordsize="5397,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">
                      <o:lock v:ext="edit" aspectratio="t"/>
                      <v:shape id="Freeform 103" o:spid="_x0000_s1027" style="position:absolute;width:5397;height:5397;visibility:visible;mso-wrap-style:square;v-text-anchor:top" coordsize="16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" path="m168,164c127,122,127,122,127,122v,,,,,c139,109,146,91,146,73,146,33,113,,73,,33,,,33,,73v,41,33,73,73,73c91,146,108,140,122,128v,-1,,-1,,-1c122,128,122,128,122,128v41,40,41,40,41,40c164,169,165,169,166,169v2,,3,-1,3,-3c169,165,169,164,168,164xm73,140c37,140,7,110,7,73,7,37,37,7,73,7v37,,66,30,66,66c139,110,110,140,73,140xe" filled="f" stroked="f">
                        <v:path arrowok="t" o:connecttype="custom" o:connectlocs="536556,523781;405611,389642;405611,389642;466293,233146;233146,0;0,233146;233146,466293;389642,408805;389642,405611;389642,408805;520587,536556;530169,539750;539750,530169;536556,523781;233146,447130;22357,233146;233146,22357;443936,233146;233146,447130" o:connectangles="0,0,0,0,0,0,0,0,0,0,0,0,0,0,0,0,0,0,0"/>
                        <o:lock v:ext="edit" aspectratio="t" verticies="t"/>
                      </v:shape>
                      <v:group id="Group 47" o:spid="_x0000_s1028" style="position:absolute;left:1851;top:1120;width:920;height:2444" coordorigin="185109,112004" coordsize="92075,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7" o:spid="_x0000_s1029" style="position:absolute;left:204159;top:112004;width:53975;height:57150;visibility:visible;mso-wrap-style:square;v-text-anchor:top" coordsize="1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" path="m8,c6,,4,1,2,3,1,5,,7,,9v,3,1,5,2,7c4,17,6,18,8,18v3,,5,-1,7,-2c16,14,17,12,17,9,17,7,16,5,15,3,13,1,11,,8,e" filled="f" stroked="f">
                          <v:path arrowok="t" o:connecttype="custom" o:connectlocs="25400,0;6350,9525;0,28575;6350,50800;25400,57150;47625,50800;53975,28575;47625,9525;25400,0" o:connectangles="0,0,0,0,0,0,0,0,0"/>
                        </v:shape>
                        <v:shape id="Freeform 8" o:spid="_x0000_s1030" style="position:absolute;left:185109;top:194554;width:92075;height:161925;visibility:visible;mso-wrap-style:square;v-text-anchor:top" coordsize="2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" path="m24,44v-2,,-3,,-4,-1c19,43,19,41,19,40v,-1,,-2,,-4c19,35,20,33,20,32,24,18,24,18,24,18v,-1,,-3,,-4c24,12,25,11,25,11,25,8,24,5,22,3,20,1,17,,14,,12,,10,1,7,2,5,2,3,3,1,4,,9,,9,,9,,8,1,8,2,8,3,8,4,7,5,7v2,,3,1,4,1c10,9,10,10,10,12v,1,,2,,4c9,17,9,18,9,19,5,34,5,34,5,34v,1,,3,-1,4c4,39,4,40,4,41v,3,1,6,3,7c9,50,12,51,15,51v3,,5,,6,-1c23,50,25,49,28,47v1,-4,1,-4,1,-4c29,43,28,44,27,44v-1,,-2,,-3,e" filled="f" stroked="f">
                          <v:path arrowok="t" o:connecttype="custom" o:connectlocs="76200,139700;63500,136525;60325,127000;60325,114300;63500,101600;76200,57150;76200,44450;79375,34925;69850,9525;44450,0;22225,6350;3175,12700;0,28575;6350,25400;15875,22225;28575,25400;31750,38100;31750,50800;28575,60325;15875,107950;12700,120650;12700,130175;22225,152400;47625,161925;66675,158750;88900,149225;92075,136525;85725,139700;76200,139700" o:connectangles="0,0,0,0,0,0,0,0,0,0,0,0,0,0,0,0,0,0,0,0,0,0,0,0,0,0,0,0,0"/>
                        </v:shape>
                      </v:group>
                      <w10:anchorlock/>
                    </v:group>
                  </w:pict>
                </mc:Fallback>
              </mc:AlternateContent>
            </w:r>
          </w:p>
        </w:tc>
        <w:tc>
          <w:tcPr>
            <w:tcW w:w="7797" w:type="dxa"/>
            <w:shd w:val="clear" w:color="auto" w:fill="00264D" w:themeFill="background2"/>
            <w:vAlign w:val="center"/>
          </w:tcPr>
          <w:p w14:paraId="401C8B1E" w14:textId="32B282C2" w:rsidR="006B5F38" w:rsidRPr="006B5F38" w:rsidRDefault="006B5F38" w:rsidP="006B5F38">
            <w:pPr>
              <w:spacing w:after="0" w:line="257" w:lineRule="auto"/>
              <w:rPr>
                <w:rFonts w:ascii="Segoe UI Semibold" w:hAnsi="Segoe UI Semibold" w:cs="Segoe UI Semibold"/>
                <w:color w:val="FFFFFF" w:themeColor="background1"/>
              </w:rPr>
            </w:pPr>
            <w:r w:rsidRPr="006B5F38">
              <w:rPr>
                <w:rFonts w:ascii="Segoe UI Semibold" w:hAnsi="Segoe UI Semibold" w:cs="Segoe UI Semibold"/>
                <w:color w:val="FFFFFF" w:themeColor="background1"/>
              </w:rPr>
              <w:t>KEY FINDINGS</w:t>
            </w:r>
          </w:p>
        </w:tc>
      </w:tr>
      <w:tr w:rsidR="00F75572" w14:paraId="11EFC8F7" w14:textId="77777777" w:rsidTr="586BF144">
        <w:tc>
          <w:tcPr>
            <w:tcW w:w="9016" w:type="dxa"/>
            <w:gridSpan w:val="2"/>
            <w:shd w:val="clear" w:color="auto" w:fill="F2F2F2" w:themeFill="background1" w:themeFillShade="F2"/>
          </w:tcPr>
          <w:p w14:paraId="690AEC09" w14:textId="7375AD2A" w:rsidR="00B56BF9" w:rsidRDefault="00B56BF9" w:rsidP="00B56BF9">
            <w:pPr>
              <w:pStyle w:val="Longformcallout"/>
            </w:pPr>
            <w:r>
              <w:t xml:space="preserve">The literature review identified a consistent body of evidence describing the needs of </w:t>
            </w:r>
            <w:r w:rsidR="00B52577">
              <w:t>residents, families, carers and staff</w:t>
            </w:r>
            <w:r w:rsidR="00EE7DBC">
              <w:t xml:space="preserve"> and the ways in which </w:t>
            </w:r>
            <w:r w:rsidR="0010530A">
              <w:t>their palliative care needs</w:t>
            </w:r>
            <w:r w:rsidR="00EE7DBC">
              <w:t xml:space="preserve"> are </w:t>
            </w:r>
            <w:r w:rsidR="0010530A">
              <w:t xml:space="preserve">commonly </w:t>
            </w:r>
            <w:r w:rsidR="00EE7DBC">
              <w:t xml:space="preserve">not </w:t>
            </w:r>
            <w:r w:rsidR="0010530A">
              <w:t>met in RACFs</w:t>
            </w:r>
            <w:r w:rsidR="00EE7DBC">
              <w:t>:</w:t>
            </w:r>
          </w:p>
          <w:p w14:paraId="5AFEA1AA" w14:textId="07A2225B" w:rsidR="007D2E1F" w:rsidRDefault="00875042" w:rsidP="00875042">
            <w:pPr>
              <w:pStyle w:val="longformcalloutbullet"/>
              <w:ind w:left="426" w:hanging="284"/>
            </w:pPr>
            <w:r w:rsidRPr="00875042">
              <w:t>Palliative care treats patients with life-</w:t>
            </w:r>
            <w:r w:rsidR="006A48E3">
              <w:t>limiting</w:t>
            </w:r>
            <w:r w:rsidRPr="00875042">
              <w:t xml:space="preserve"> illness</w:t>
            </w:r>
            <w:r w:rsidR="0010530A">
              <w:t>. It</w:t>
            </w:r>
            <w:r w:rsidRPr="00875042">
              <w:t xml:space="preserve"> is distinct from end of life care</w:t>
            </w:r>
            <w:r w:rsidR="009214D3">
              <w:t>, which is often described as a subset of palliative care</w:t>
            </w:r>
            <w:r w:rsidR="00EE7DBC">
              <w:t xml:space="preserve">. </w:t>
            </w:r>
          </w:p>
          <w:p w14:paraId="183E0695" w14:textId="70BB42CD" w:rsidR="00875042" w:rsidRPr="00875042" w:rsidRDefault="00875042" w:rsidP="000749A5">
            <w:pPr>
              <w:pStyle w:val="longformcalloutbullet"/>
              <w:ind w:left="426" w:hanging="284"/>
            </w:pPr>
            <w:r w:rsidRPr="00875042">
              <w:t xml:space="preserve">Quality palliative care in RACFs is </w:t>
            </w:r>
            <w:r w:rsidR="009214D3">
              <w:t>characterised</w:t>
            </w:r>
            <w:r w:rsidRPr="00875042">
              <w:t xml:space="preserve"> by a respectful, </w:t>
            </w:r>
            <w:proofErr w:type="gramStart"/>
            <w:r w:rsidRPr="00875042">
              <w:t>person-centred</w:t>
            </w:r>
            <w:proofErr w:type="gramEnd"/>
            <w:r w:rsidRPr="00875042">
              <w:t xml:space="preserve"> and integrated approach</w:t>
            </w:r>
            <w:r w:rsidR="00EE7DBC">
              <w:t>.</w:t>
            </w:r>
          </w:p>
          <w:p w14:paraId="395BAA87" w14:textId="77777777" w:rsidR="007D2E1F" w:rsidRDefault="00045683" w:rsidP="00527CB4">
            <w:pPr>
              <w:pStyle w:val="longformcalloutbullet"/>
              <w:ind w:left="426" w:hanging="284"/>
            </w:pPr>
            <w:r w:rsidRPr="00045683">
              <w:t xml:space="preserve">Residents need personalised, multidisciplinary palliative care that encompasses physical, </w:t>
            </w:r>
            <w:proofErr w:type="gramStart"/>
            <w:r w:rsidRPr="00045683">
              <w:t>spiritual</w:t>
            </w:r>
            <w:proofErr w:type="gramEnd"/>
            <w:r w:rsidRPr="00045683">
              <w:t xml:space="preserve"> and psychological care</w:t>
            </w:r>
            <w:r w:rsidR="00CD7F3A">
              <w:t xml:space="preserve">. </w:t>
            </w:r>
          </w:p>
          <w:p w14:paraId="67AE8FEA" w14:textId="77777777" w:rsidR="007D2E1F" w:rsidRDefault="002454BB" w:rsidP="00527CB4">
            <w:pPr>
              <w:pStyle w:val="longformcalloutbullet"/>
              <w:ind w:left="426" w:hanging="284"/>
            </w:pPr>
            <w:r>
              <w:t>Families and carers of RACF residents need education, information, and emotional and psychological support delivered in a respectful and appropriate way</w:t>
            </w:r>
            <w:r w:rsidR="00CD7F3A">
              <w:t xml:space="preserve">. </w:t>
            </w:r>
          </w:p>
          <w:p w14:paraId="27144734" w14:textId="65CD0AD6" w:rsidR="00630BC8" w:rsidRDefault="00607C9E" w:rsidP="00766020">
            <w:pPr>
              <w:pStyle w:val="longformcalloutbullet"/>
              <w:ind w:left="426" w:hanging="284"/>
            </w:pPr>
            <w:r>
              <w:t xml:space="preserve">Staff have varying needs based on their roles, but need access to </w:t>
            </w:r>
            <w:r w:rsidR="00742A5D">
              <w:t xml:space="preserve">appropriate </w:t>
            </w:r>
            <w:r>
              <w:t>education, training and resources</w:t>
            </w:r>
            <w:r w:rsidR="00742A5D">
              <w:t xml:space="preserve"> that enables them to identify palliative care needs, communicate about palliative care with </w:t>
            </w:r>
            <w:r w:rsidR="00FA2687">
              <w:t>families and carers, provide high quality care</w:t>
            </w:r>
            <w:r w:rsidR="006E61AE">
              <w:t xml:space="preserve"> and balance those roles with self-care</w:t>
            </w:r>
            <w:r w:rsidR="00CD7F3A">
              <w:t>.</w:t>
            </w:r>
          </w:p>
          <w:p w14:paraId="7D3EC4F1" w14:textId="794407A0" w:rsidR="00630BC8" w:rsidRPr="00630BC8" w:rsidRDefault="00630BC8" w:rsidP="00766020">
            <w:pPr>
              <w:pStyle w:val="longformcalloutbullet"/>
              <w:ind w:left="426" w:hanging="284"/>
            </w:pPr>
            <w:r w:rsidRPr="00630BC8">
              <w:t xml:space="preserve">System needs include appropriate funding, </w:t>
            </w:r>
            <w:proofErr w:type="gramStart"/>
            <w:r w:rsidRPr="00630BC8">
              <w:t>delivery</w:t>
            </w:r>
            <w:proofErr w:type="gramEnd"/>
            <w:r w:rsidRPr="00630BC8">
              <w:t xml:space="preserve"> and integration support to meet the needs of residents, families, carers and staff.</w:t>
            </w:r>
            <w:r w:rsidR="0039564B">
              <w:t xml:space="preserve"> </w:t>
            </w:r>
          </w:p>
          <w:p w14:paraId="12F2487D" w14:textId="0C540A42" w:rsidR="007D2E1F" w:rsidRDefault="00FA2687" w:rsidP="00875042">
            <w:pPr>
              <w:pStyle w:val="longformcalloutbullet"/>
              <w:ind w:left="426" w:hanging="284"/>
            </w:pPr>
            <w:r>
              <w:lastRenderedPageBreak/>
              <w:t>A</w:t>
            </w:r>
            <w:r w:rsidR="00362302">
              <w:t>ccess to high quality palliative care within RACF</w:t>
            </w:r>
            <w:r w:rsidR="00B235EC">
              <w:t>s</w:t>
            </w:r>
            <w:r w:rsidR="00362302">
              <w:t xml:space="preserve"> is a challenge for many</w:t>
            </w:r>
            <w:r w:rsidR="00C37E00">
              <w:t xml:space="preserve">, with </w:t>
            </w:r>
            <w:r w:rsidR="00B235EC">
              <w:t xml:space="preserve">evidence indicating that there is </w:t>
            </w:r>
            <w:r w:rsidR="00C37E00">
              <w:t xml:space="preserve">highly variable availability </w:t>
            </w:r>
            <w:r w:rsidR="00AB754B">
              <w:t>of</w:t>
            </w:r>
            <w:r w:rsidR="00C37E00">
              <w:t xml:space="preserve"> palliative care</w:t>
            </w:r>
            <w:r w:rsidR="00B235EC">
              <w:t xml:space="preserve"> in RACFs</w:t>
            </w:r>
            <w:r w:rsidR="00CD7F3A">
              <w:t xml:space="preserve">. </w:t>
            </w:r>
          </w:p>
          <w:p w14:paraId="24815D94" w14:textId="0614325A" w:rsidR="00267D60" w:rsidRPr="003D04DC" w:rsidRDefault="00362302" w:rsidP="00CD7F3A">
            <w:pPr>
              <w:pStyle w:val="longformcalloutbullet"/>
              <w:ind w:left="426" w:hanging="284"/>
            </w:pPr>
            <w:r>
              <w:t xml:space="preserve">Evidence </w:t>
            </w:r>
            <w:r w:rsidR="006A2C8C">
              <w:t>indicated</w:t>
            </w:r>
            <w:r>
              <w:t xml:space="preserve"> that identifying and communicating about palliative care needs is a key service gap</w:t>
            </w:r>
            <w:r w:rsidR="00CD7F3A">
              <w:t xml:space="preserve">. </w:t>
            </w:r>
            <w:r w:rsidR="002F61FA">
              <w:t>From a system perspective, e</w:t>
            </w:r>
            <w:r>
              <w:t>vidence</w:t>
            </w:r>
            <w:r w:rsidR="00585CC5">
              <w:t xml:space="preserve"> also</w:t>
            </w:r>
            <w:r>
              <w:t xml:space="preserve"> consistently indicates that workforce capacity and capability are significant contributors to service gaps</w:t>
            </w:r>
            <w:r w:rsidR="00CD7F3A">
              <w:t xml:space="preserve">. </w:t>
            </w:r>
          </w:p>
        </w:tc>
      </w:tr>
    </w:tbl>
    <w:p w14:paraId="0857DD47" w14:textId="43BEF0ED" w:rsidR="006563D5" w:rsidRDefault="00C14D63" w:rsidP="006563D5">
      <w:pPr>
        <w:pStyle w:val="Heading3"/>
      </w:pPr>
      <w:bookmarkStart w:id="29" w:name="_Ref51330444"/>
      <w:bookmarkStart w:id="30" w:name="_Toc82767260"/>
      <w:r>
        <w:lastRenderedPageBreak/>
        <w:t xml:space="preserve">What is the definition of quality palliative care in </w:t>
      </w:r>
      <w:r w:rsidR="001F33AC">
        <w:t>RACFs</w:t>
      </w:r>
      <w:r w:rsidR="006563D5">
        <w:t>?</w:t>
      </w:r>
      <w:bookmarkEnd w:id="29"/>
      <w:bookmarkEnd w:id="30"/>
    </w:p>
    <w:p w14:paraId="2DD09B40" w14:textId="4B8A7387" w:rsidR="00A947FA" w:rsidRDefault="00A947FA" w:rsidP="00351182">
      <w:pPr>
        <w:pStyle w:val="Heading5"/>
      </w:pPr>
      <w:r>
        <w:t>Palliative care treats patients with life-</w:t>
      </w:r>
      <w:r w:rsidR="0008424C">
        <w:t>limiting</w:t>
      </w:r>
      <w:r>
        <w:t xml:space="preserve"> illness and is distinct from end of life care</w:t>
      </w:r>
    </w:p>
    <w:p w14:paraId="22F43B60" w14:textId="77777777" w:rsidR="00FA79E6" w:rsidRDefault="00A947FA" w:rsidP="00A947FA">
      <w:pPr>
        <w:rPr>
          <w:lang w:eastAsia="en-AU"/>
        </w:rPr>
      </w:pPr>
      <w:r>
        <w:rPr>
          <w:lang w:eastAsia="en-AU"/>
        </w:rPr>
        <w:t>Palliative care helps people live their life as fully and as comfortably as possible when living with a life-limiting or terminal illness, including the provision of general and specialist care to meet patient needs.</w:t>
      </w:r>
      <w:r>
        <w:rPr>
          <w:rStyle w:val="FootnoteReference"/>
          <w:lang w:eastAsia="en-AU"/>
        </w:rPr>
        <w:footnoteReference w:id="3"/>
      </w:r>
      <w:r>
        <w:rPr>
          <w:lang w:eastAsia="en-AU"/>
        </w:rPr>
        <w:t xml:space="preserve"> </w:t>
      </w:r>
    </w:p>
    <w:p w14:paraId="41162D64" w14:textId="44C1912B" w:rsidR="00FA79E6" w:rsidRDefault="00FA79E6" w:rsidP="00A947FA">
      <w:pPr>
        <w:rPr>
          <w:lang w:eastAsia="en-AU"/>
        </w:rPr>
      </w:pPr>
      <w:r>
        <w:rPr>
          <w:lang w:eastAsia="en-AU"/>
        </w:rPr>
        <w:t xml:space="preserve">Numerous definitions for palliative care exist internationally and in the Australian context, as detailed below. </w:t>
      </w:r>
    </w:p>
    <w:p w14:paraId="36E0B167" w14:textId="0E968FC5" w:rsidR="00ED5D18" w:rsidRDefault="00667E43" w:rsidP="00A947FA">
      <w:pPr>
        <w:rPr>
          <w:lang w:eastAsia="en-AU"/>
        </w:rPr>
      </w:pPr>
      <w:r>
        <w:rPr>
          <w:lang w:eastAsia="en-AU"/>
        </w:rPr>
        <w:t xml:space="preserve">Palliative care in </w:t>
      </w:r>
      <w:r w:rsidR="00A5740A">
        <w:rPr>
          <w:lang w:eastAsia="en-AU"/>
        </w:rPr>
        <w:t>primary, acute and RACF settings</w:t>
      </w:r>
      <w:r w:rsidR="00A947FA">
        <w:rPr>
          <w:lang w:eastAsia="en-AU"/>
        </w:rPr>
        <w:t xml:space="preserve"> is defined by the World Health Organisation (WHO) as </w:t>
      </w:r>
      <w:r w:rsidR="00A947FA" w:rsidRPr="00E026BB">
        <w:rPr>
          <w:lang w:eastAsia="en-AU"/>
        </w:rPr>
        <w:t>an approach that</w:t>
      </w:r>
      <w:r w:rsidR="00ED5D18">
        <w:rPr>
          <w:lang w:eastAsia="en-AU"/>
        </w:rPr>
        <w:t xml:space="preserve">: </w:t>
      </w:r>
    </w:p>
    <w:p w14:paraId="65029D60" w14:textId="77777777" w:rsidR="00A947FA" w:rsidRPr="002449BB" w:rsidRDefault="00A947FA" w:rsidP="006538FD">
      <w:pPr>
        <w:ind w:left="709" w:right="851"/>
        <w:rPr>
          <w:rFonts w:ascii="Segoe UI Semilight" w:hAnsi="Segoe UI Semilight" w:cs="Segoe UI Semilight"/>
          <w:color w:val="00264D" w:themeColor="background2"/>
          <w:lang w:eastAsia="en-AU"/>
        </w:rPr>
      </w:pPr>
      <w:r w:rsidRPr="002449BB">
        <w:rPr>
          <w:rFonts w:ascii="Segoe UI Semilight" w:hAnsi="Segoe UI Semilight" w:cs="Segoe UI Semilight"/>
          <w:color w:val="00264D" w:themeColor="background2"/>
          <w:lang w:eastAsia="en-AU"/>
        </w:rPr>
        <w:t xml:space="preserve">improves the quality of life of patients and their families facing problems associated with life-threatening illness, through the prevention and relief of suffering by means of early identification and impeccable assessment and treatment of pain and other problems, including physical, </w:t>
      </w:r>
      <w:proofErr w:type="gramStart"/>
      <w:r w:rsidRPr="002449BB">
        <w:rPr>
          <w:rFonts w:ascii="Segoe UI Semilight" w:hAnsi="Segoe UI Semilight" w:cs="Segoe UI Semilight"/>
          <w:color w:val="00264D" w:themeColor="background2"/>
          <w:lang w:eastAsia="en-AU"/>
        </w:rPr>
        <w:t>psychosocial</w:t>
      </w:r>
      <w:proofErr w:type="gramEnd"/>
      <w:r w:rsidRPr="002449BB">
        <w:rPr>
          <w:rFonts w:ascii="Segoe UI Semilight" w:hAnsi="Segoe UI Semilight" w:cs="Segoe UI Semilight"/>
          <w:color w:val="00264D" w:themeColor="background2"/>
          <w:lang w:eastAsia="en-AU"/>
        </w:rPr>
        <w:t xml:space="preserve"> and spiritual.</w:t>
      </w:r>
      <w:r w:rsidRPr="002449BB">
        <w:rPr>
          <w:rStyle w:val="FootnoteReference"/>
          <w:rFonts w:ascii="Segoe UI Semilight" w:hAnsi="Segoe UI Semilight" w:cs="Segoe UI Semilight"/>
          <w:color w:val="00264D" w:themeColor="background2"/>
          <w:lang w:eastAsia="en-AU"/>
        </w:rPr>
        <w:footnoteReference w:id="4"/>
      </w:r>
      <w:r w:rsidRPr="002449BB">
        <w:rPr>
          <w:rFonts w:ascii="Segoe UI Semilight" w:hAnsi="Segoe UI Semilight" w:cs="Segoe UI Semilight"/>
          <w:color w:val="00264D" w:themeColor="background2"/>
          <w:lang w:eastAsia="en-AU"/>
        </w:rPr>
        <w:t xml:space="preserve"> </w:t>
      </w:r>
    </w:p>
    <w:p w14:paraId="74F3439D" w14:textId="2D18114D" w:rsidR="00065FC4" w:rsidRDefault="00416972" w:rsidP="000D7E3F">
      <w:r>
        <w:rPr>
          <w:lang w:eastAsia="en-AU"/>
        </w:rPr>
        <w:t xml:space="preserve">The National Palliative Care Strategy 2018 defines palliative care as </w:t>
      </w:r>
      <w:r>
        <w:t>holistic care that helps people nearing the end of their life to live as well as possible for as long as possible.</w:t>
      </w:r>
      <w:r>
        <w:rPr>
          <w:rStyle w:val="FootnoteReference"/>
        </w:rPr>
        <w:footnoteReference w:id="5"/>
      </w:r>
      <w:r w:rsidR="00730B87">
        <w:t xml:space="preserve"> Palliative Care Australia defines palliative care as </w:t>
      </w:r>
      <w:r w:rsidR="00730B87" w:rsidRPr="00730B87">
        <w:t>person and family-centred care provided for a person with an active, progressive, advanced disease, who has little or no prospect of cure and who is expected to die, and for whom the primary goal is to optimise the quality of life.</w:t>
      </w:r>
      <w:r w:rsidR="00730B87">
        <w:rPr>
          <w:rStyle w:val="FootnoteReference"/>
        </w:rPr>
        <w:footnoteReference w:id="6"/>
      </w:r>
      <w:r w:rsidR="002476D8">
        <w:t xml:space="preserve"> The Palliative Care Outcomes Collaboration (PCOC) defines palliative care as </w:t>
      </w:r>
      <w:r w:rsidR="003D5721">
        <w:t xml:space="preserve">the </w:t>
      </w:r>
      <w:r w:rsidR="003D5721" w:rsidRPr="003D5721">
        <w:t>care in which the primary clinical purpose or treatment goal is to optimise of the quality of life of a patient or resident that has an active and advanced life-limiting illness.</w:t>
      </w:r>
      <w:r w:rsidR="003D5721">
        <w:rPr>
          <w:rStyle w:val="FootnoteReference"/>
        </w:rPr>
        <w:footnoteReference w:id="7"/>
      </w:r>
    </w:p>
    <w:p w14:paraId="3E9E4B1E" w14:textId="738C11A3" w:rsidR="00326F71" w:rsidRDefault="000328D9" w:rsidP="000D7E3F">
      <w:r>
        <w:t xml:space="preserve">Palliative care can be further separated into ‘specialist palliative care’ and ‘generalist palliative care’. </w:t>
      </w:r>
      <w:r w:rsidR="0075323A">
        <w:t xml:space="preserve">The National </w:t>
      </w:r>
      <w:r w:rsidR="00326F71">
        <w:t xml:space="preserve">Palliative </w:t>
      </w:r>
      <w:r w:rsidR="0075323A">
        <w:t>Care Standards</w:t>
      </w:r>
      <w:r w:rsidR="00326F71">
        <w:t xml:space="preserve"> differentiates between specialist palliative care and generalist palliative care </w:t>
      </w:r>
      <w:r w:rsidR="0069651D">
        <w:t xml:space="preserve">services </w:t>
      </w:r>
      <w:r w:rsidR="00326F71">
        <w:t>as follows:</w:t>
      </w:r>
    </w:p>
    <w:p w14:paraId="23A5B298" w14:textId="1B22F41B" w:rsidR="00326F71" w:rsidRDefault="00326F71" w:rsidP="004E6D69">
      <w:pPr>
        <w:pStyle w:val="Bullet"/>
      </w:pPr>
      <w:r>
        <w:t>Specialist palliative care</w:t>
      </w:r>
      <w:r w:rsidR="0069651D">
        <w:t xml:space="preserve"> services</w:t>
      </w:r>
      <w:r>
        <w:t xml:space="preserve">: </w:t>
      </w:r>
      <w:r w:rsidR="0069651D">
        <w:t xml:space="preserve">comprising multidisciplinary teams with specialised skills, competencies, </w:t>
      </w:r>
      <w:proofErr w:type="gramStart"/>
      <w:r w:rsidR="0069651D">
        <w:t>experience</w:t>
      </w:r>
      <w:proofErr w:type="gramEnd"/>
      <w:r w:rsidR="0069651D">
        <w:t xml:space="preserve"> and training in palliative care</w:t>
      </w:r>
      <w:r w:rsidR="00F72306">
        <w:t>, for people with more complex palliative care needs</w:t>
      </w:r>
      <w:r w:rsidR="0069651D">
        <w:t>.</w:t>
      </w:r>
    </w:p>
    <w:p w14:paraId="09EC7AF6" w14:textId="624ECF83" w:rsidR="00F72306" w:rsidRDefault="00F72306" w:rsidP="00C63C1E">
      <w:pPr>
        <w:pStyle w:val="Bullet"/>
      </w:pPr>
      <w:r>
        <w:t xml:space="preserve">Generalist palliative care services (also referred to as ‘palliative care services’): </w:t>
      </w:r>
      <w:r w:rsidR="00AF0AB5">
        <w:t>care that is provided by other health professionals, including general practitioners</w:t>
      </w:r>
      <w:r w:rsidR="00E61111">
        <w:t xml:space="preserve">, that have </w:t>
      </w:r>
      <w:r w:rsidR="0075323A">
        <w:t>minimum core competencies in the provision of palliative care.</w:t>
      </w:r>
      <w:r w:rsidR="0075323A">
        <w:rPr>
          <w:rStyle w:val="FootnoteReference"/>
        </w:rPr>
        <w:footnoteReference w:id="8"/>
      </w:r>
    </w:p>
    <w:p w14:paraId="758398DC" w14:textId="3B82874C" w:rsidR="00103A7B" w:rsidRPr="002449BB" w:rsidRDefault="00103A7B" w:rsidP="000D7E3F">
      <w:pPr>
        <w:rPr>
          <w:rFonts w:ascii="Segoe UI Semilight" w:hAnsi="Segoe UI Semilight" w:cs="Segoe UI Semilight"/>
          <w:color w:val="00264D" w:themeColor="background2"/>
          <w:lang w:eastAsia="en-AU"/>
        </w:rPr>
      </w:pPr>
      <w:r>
        <w:t xml:space="preserve">There is no standard agreed definition of palliative care in </w:t>
      </w:r>
      <w:r w:rsidR="008608AE">
        <w:t xml:space="preserve">different care settings (such as primary and acute care settings). </w:t>
      </w:r>
      <w:r w:rsidR="000328D9">
        <w:t xml:space="preserve">As noted in Section </w:t>
      </w:r>
      <w:r w:rsidR="000328D9">
        <w:fldChar w:fldCharType="begin"/>
      </w:r>
      <w:r w:rsidR="000328D9">
        <w:instrText xml:space="preserve"> REF _Ref56504094 \r \h </w:instrText>
      </w:r>
      <w:r w:rsidR="000328D9">
        <w:fldChar w:fldCharType="separate"/>
      </w:r>
      <w:r w:rsidR="000E59E1">
        <w:t>3.1.5</w:t>
      </w:r>
      <w:r w:rsidR="000328D9">
        <w:fldChar w:fldCharType="end"/>
      </w:r>
      <w:r w:rsidR="000328D9">
        <w:t xml:space="preserve">, this may manifest in challenges in identification of palliative care needs and subsequent interface challenges (explored further in Section </w:t>
      </w:r>
      <w:r w:rsidR="000328D9">
        <w:fldChar w:fldCharType="begin"/>
      </w:r>
      <w:r w:rsidR="000328D9">
        <w:instrText xml:space="preserve"> REF _Ref52270660 \r \h </w:instrText>
      </w:r>
      <w:r w:rsidR="000328D9">
        <w:fldChar w:fldCharType="separate"/>
      </w:r>
      <w:r w:rsidR="000E59E1">
        <w:t>3.4</w:t>
      </w:r>
      <w:r w:rsidR="000328D9">
        <w:fldChar w:fldCharType="end"/>
      </w:r>
      <w:r w:rsidR="000328D9">
        <w:t>)</w:t>
      </w:r>
      <w:r w:rsidR="00763F8E">
        <w:t xml:space="preserve">. </w:t>
      </w:r>
    </w:p>
    <w:p w14:paraId="305C475D" w14:textId="5F01D822" w:rsidR="00A947FA" w:rsidRDefault="00A947FA" w:rsidP="00A947FA">
      <w:pPr>
        <w:rPr>
          <w:lang w:eastAsia="en-AU"/>
        </w:rPr>
      </w:pPr>
      <w:r>
        <w:rPr>
          <w:lang w:eastAsia="en-AU"/>
        </w:rPr>
        <w:lastRenderedPageBreak/>
        <w:t xml:space="preserve">Palliative care </w:t>
      </w:r>
      <w:r w:rsidR="004B105B">
        <w:rPr>
          <w:lang w:eastAsia="en-AU"/>
        </w:rPr>
        <w:t>is closely related to</w:t>
      </w:r>
      <w:r w:rsidR="000A04F7">
        <w:rPr>
          <w:lang w:eastAsia="en-AU"/>
        </w:rPr>
        <w:t>,</w:t>
      </w:r>
      <w:r w:rsidR="004B105B">
        <w:rPr>
          <w:lang w:eastAsia="en-AU"/>
        </w:rPr>
        <w:t xml:space="preserve"> but stands </w:t>
      </w:r>
      <w:r>
        <w:rPr>
          <w:lang w:eastAsia="en-AU"/>
        </w:rPr>
        <w:t xml:space="preserve">distinct </w:t>
      </w:r>
      <w:r w:rsidR="0085278B">
        <w:rPr>
          <w:lang w:eastAsia="en-AU"/>
        </w:rPr>
        <w:t>from</w:t>
      </w:r>
      <w:r w:rsidR="000A04F7">
        <w:rPr>
          <w:lang w:eastAsia="en-AU"/>
        </w:rPr>
        <w:t>,</w:t>
      </w:r>
      <w:r w:rsidR="0085278B">
        <w:rPr>
          <w:lang w:eastAsia="en-AU"/>
        </w:rPr>
        <w:t xml:space="preserve"> </w:t>
      </w:r>
      <w:r>
        <w:rPr>
          <w:lang w:eastAsia="en-AU"/>
        </w:rPr>
        <w:t xml:space="preserve">end of life care, which is </w:t>
      </w:r>
      <w:r w:rsidR="00B65732">
        <w:rPr>
          <w:lang w:eastAsia="en-AU"/>
        </w:rPr>
        <w:t>defined as</w:t>
      </w:r>
      <w:r w:rsidR="00B65732" w:rsidRPr="00B65732">
        <w:t xml:space="preserve"> </w:t>
      </w:r>
      <w:r w:rsidR="00B65732" w:rsidRPr="00B65732">
        <w:rPr>
          <w:lang w:eastAsia="en-AU"/>
        </w:rPr>
        <w:t>the last few weeks of life in which a patient with a life-limiting illness is rapidly approaching death</w:t>
      </w:r>
      <w:r w:rsidR="00B65732">
        <w:rPr>
          <w:lang w:eastAsia="en-AU"/>
        </w:rPr>
        <w:t>.</w:t>
      </w:r>
      <w:r w:rsidR="00B65732">
        <w:rPr>
          <w:rStyle w:val="FootnoteReference"/>
          <w:lang w:eastAsia="en-AU"/>
        </w:rPr>
        <w:footnoteReference w:id="9"/>
      </w:r>
      <w:r w:rsidR="008D02CB">
        <w:rPr>
          <w:lang w:eastAsia="en-AU"/>
        </w:rPr>
        <w:t xml:space="preserve"> PCOC defines end of life care as taking place when a person is likely to dies within the next 12 months.</w:t>
      </w:r>
      <w:r w:rsidR="008D02CB">
        <w:rPr>
          <w:rStyle w:val="FootnoteReference"/>
          <w:lang w:eastAsia="en-AU"/>
        </w:rPr>
        <w:footnoteReference w:id="10"/>
      </w:r>
      <w:r w:rsidR="00B65732">
        <w:rPr>
          <w:lang w:eastAsia="en-AU"/>
        </w:rPr>
        <w:t xml:space="preserve"> </w:t>
      </w:r>
      <w:r>
        <w:rPr>
          <w:lang w:eastAsia="en-AU"/>
        </w:rPr>
        <w:t xml:space="preserve"> End of life care is often described as a component of palliative care.</w:t>
      </w:r>
      <w:r>
        <w:rPr>
          <w:rStyle w:val="FootnoteReference"/>
          <w:lang w:eastAsia="en-AU"/>
        </w:rPr>
        <w:footnoteReference w:id="11"/>
      </w:r>
    </w:p>
    <w:p w14:paraId="5F2A8C4E" w14:textId="197EE5ED" w:rsidR="00A947FA" w:rsidRDefault="00A947FA" w:rsidP="00351182">
      <w:pPr>
        <w:pStyle w:val="Heading5"/>
      </w:pPr>
      <w:r>
        <w:t xml:space="preserve">Quality palliative care in RACFs is </w:t>
      </w:r>
      <w:r w:rsidR="00410D28">
        <w:t xml:space="preserve">characterised </w:t>
      </w:r>
      <w:r>
        <w:t xml:space="preserve">by a respectful, </w:t>
      </w:r>
      <w:proofErr w:type="gramStart"/>
      <w:r>
        <w:t>person-centred</w:t>
      </w:r>
      <w:proofErr w:type="gramEnd"/>
      <w:r>
        <w:t xml:space="preserve"> and integrated approach</w:t>
      </w:r>
    </w:p>
    <w:p w14:paraId="7E557E26" w14:textId="7A149945" w:rsidR="00A947FA" w:rsidRDefault="00A947FA" w:rsidP="00A947FA">
      <w:pPr>
        <w:rPr>
          <w:lang w:eastAsia="en-AU"/>
        </w:rPr>
      </w:pPr>
      <w:r>
        <w:rPr>
          <w:lang w:eastAsia="en-AU"/>
        </w:rPr>
        <w:t>High quality palliative and end of life care bring together</w:t>
      </w:r>
      <w:r w:rsidRPr="00031A2E">
        <w:rPr>
          <w:lang w:eastAsia="en-AU"/>
        </w:rPr>
        <w:t xml:space="preserve"> </w:t>
      </w:r>
      <w:r w:rsidRPr="004E0F16">
        <w:rPr>
          <w:lang w:eastAsia="en-AU"/>
        </w:rPr>
        <w:t>health services, home care, personal support and support for carers, but always according to the preferences and circumstances of the dying person.</w:t>
      </w:r>
      <w:r>
        <w:rPr>
          <w:rStyle w:val="FootnoteReference"/>
          <w:lang w:eastAsia="en-AU"/>
        </w:rPr>
        <w:footnoteReference w:id="12"/>
      </w:r>
      <w:r>
        <w:rPr>
          <w:lang w:eastAsia="en-AU"/>
        </w:rPr>
        <w:t xml:space="preserve"> </w:t>
      </w:r>
      <w:r w:rsidR="00A11C0D">
        <w:rPr>
          <w:lang w:eastAsia="en-AU"/>
        </w:rPr>
        <w:t>Literature indicated that key</w:t>
      </w:r>
      <w:r>
        <w:rPr>
          <w:lang w:eastAsia="en-AU"/>
        </w:rPr>
        <w:t xml:space="preserve"> components of quality palliative care include</w:t>
      </w:r>
      <w:r w:rsidR="00370EEB">
        <w:rPr>
          <w:lang w:eastAsia="en-AU"/>
        </w:rPr>
        <w:t xml:space="preserve"> a</w:t>
      </w:r>
      <w:r>
        <w:rPr>
          <w:lang w:eastAsia="en-AU"/>
        </w:rPr>
        <w:t xml:space="preserve"> person and family centred approach;</w:t>
      </w:r>
      <w:r>
        <w:rPr>
          <w:rStyle w:val="FootnoteReference"/>
          <w:lang w:eastAsia="en-AU"/>
        </w:rPr>
        <w:footnoteReference w:id="13"/>
      </w:r>
      <w:r>
        <w:rPr>
          <w:lang w:eastAsia="en-AU"/>
        </w:rPr>
        <w:t xml:space="preserve"> effective patient identification and assessment;</w:t>
      </w:r>
      <w:r>
        <w:rPr>
          <w:rStyle w:val="FootnoteReference"/>
          <w:lang w:eastAsia="en-AU"/>
        </w:rPr>
        <w:footnoteReference w:id="14"/>
      </w:r>
      <w:r>
        <w:rPr>
          <w:lang w:eastAsia="en-AU"/>
        </w:rPr>
        <w:t xml:space="preserve"> and high quality interdisciplinary care and care planning.</w:t>
      </w:r>
      <w:r>
        <w:rPr>
          <w:rStyle w:val="FootnoteReference"/>
        </w:rPr>
        <w:footnoteReference w:id="15"/>
      </w:r>
    </w:p>
    <w:p w14:paraId="3A09FE6E" w14:textId="69DFFD38" w:rsidR="00B806A3" w:rsidRDefault="00003DBD" w:rsidP="00B806A3">
      <w:pPr>
        <w:rPr>
          <w:lang w:eastAsia="en-AU"/>
        </w:rPr>
      </w:pPr>
      <w:r>
        <w:rPr>
          <w:lang w:eastAsia="en-AU"/>
        </w:rPr>
        <w:t xml:space="preserve">The National Palliative Care Strategy 2018 </w:t>
      </w:r>
      <w:r w:rsidR="00BC39EF">
        <w:rPr>
          <w:lang w:eastAsia="en-AU"/>
        </w:rPr>
        <w:t>provides guidance for</w:t>
      </w:r>
      <w:r w:rsidR="00CA461C">
        <w:rPr>
          <w:lang w:eastAsia="en-AU"/>
        </w:rPr>
        <w:t xml:space="preserve"> </w:t>
      </w:r>
      <w:r>
        <w:rPr>
          <w:lang w:eastAsia="en-AU"/>
        </w:rPr>
        <w:t>Commonwealth, state and territory governments</w:t>
      </w:r>
      <w:r w:rsidR="00030150">
        <w:rPr>
          <w:lang w:eastAsia="en-AU"/>
        </w:rPr>
        <w:t xml:space="preserve"> for the improvement of palliative care across Australia</w:t>
      </w:r>
      <w:r w:rsidR="00AF6526">
        <w:rPr>
          <w:lang w:eastAsia="en-AU"/>
        </w:rPr>
        <w:t xml:space="preserve"> so </w:t>
      </w:r>
      <w:r w:rsidR="00AF6526">
        <w:t>that people affected by life-limiting illnesses get the care they need to live well</w:t>
      </w:r>
      <w:r w:rsidR="00030150">
        <w:rPr>
          <w:lang w:eastAsia="en-AU"/>
        </w:rPr>
        <w:t>.</w:t>
      </w:r>
      <w:r w:rsidR="00030150">
        <w:rPr>
          <w:rStyle w:val="FootnoteReference"/>
          <w:lang w:eastAsia="en-AU"/>
        </w:rPr>
        <w:footnoteReference w:id="16"/>
      </w:r>
      <w:r w:rsidR="00AF6526">
        <w:rPr>
          <w:lang w:eastAsia="en-AU"/>
        </w:rPr>
        <w:t xml:space="preserve"> </w:t>
      </w:r>
      <w:r w:rsidR="008A4991">
        <w:rPr>
          <w:lang w:eastAsia="en-AU"/>
        </w:rPr>
        <w:t>It notes six guiding</w:t>
      </w:r>
      <w:r w:rsidR="00B806A3">
        <w:rPr>
          <w:lang w:eastAsia="en-AU"/>
        </w:rPr>
        <w:t xml:space="preserve"> principles</w:t>
      </w:r>
      <w:r w:rsidR="008A4991">
        <w:rPr>
          <w:lang w:eastAsia="en-AU"/>
        </w:rPr>
        <w:t xml:space="preserve"> </w:t>
      </w:r>
      <w:r w:rsidR="00B806A3">
        <w:rPr>
          <w:lang w:eastAsia="en-AU"/>
        </w:rPr>
        <w:t xml:space="preserve">that are identified as fundamental to ensure that all people experience the palliative care they need, </w:t>
      </w:r>
      <w:r w:rsidR="000C7FB7">
        <w:rPr>
          <w:lang w:eastAsia="en-AU"/>
        </w:rPr>
        <w:t>summaris</w:t>
      </w:r>
      <w:r w:rsidR="00B806A3">
        <w:rPr>
          <w:lang w:eastAsia="en-AU"/>
        </w:rPr>
        <w:t xml:space="preserve">ed in </w:t>
      </w:r>
      <w:r w:rsidR="00B806A3">
        <w:rPr>
          <w:lang w:eastAsia="en-AU"/>
        </w:rPr>
        <w:fldChar w:fldCharType="begin"/>
      </w:r>
      <w:r w:rsidR="00B806A3">
        <w:rPr>
          <w:lang w:eastAsia="en-AU"/>
        </w:rPr>
        <w:instrText xml:space="preserve"> REF _Ref56502316 \h </w:instrText>
      </w:r>
      <w:r w:rsidR="00B806A3">
        <w:rPr>
          <w:lang w:eastAsia="en-AU"/>
        </w:rPr>
      </w:r>
      <w:r w:rsidR="00B806A3">
        <w:rPr>
          <w:lang w:eastAsia="en-AU"/>
        </w:rPr>
        <w:fldChar w:fldCharType="separate"/>
      </w:r>
      <w:r w:rsidR="000E59E1">
        <w:t xml:space="preserve">Figure </w:t>
      </w:r>
      <w:r w:rsidR="000E59E1">
        <w:rPr>
          <w:noProof/>
        </w:rPr>
        <w:t>2</w:t>
      </w:r>
      <w:r w:rsidR="00B806A3">
        <w:rPr>
          <w:lang w:eastAsia="en-AU"/>
        </w:rPr>
        <w:fldChar w:fldCharType="end"/>
      </w:r>
      <w:r w:rsidR="00B806A3">
        <w:rPr>
          <w:lang w:eastAsia="en-AU"/>
        </w:rPr>
        <w:t>:</w:t>
      </w:r>
    </w:p>
    <w:p w14:paraId="5533EA20" w14:textId="5635AF31" w:rsidR="00B806A3" w:rsidRDefault="00B806A3" w:rsidP="00B806A3">
      <w:pPr>
        <w:pStyle w:val="Caption"/>
      </w:pPr>
      <w:bookmarkStart w:id="31" w:name="_Ref56502316"/>
      <w:r>
        <w:t xml:space="preserve">Figure </w:t>
      </w:r>
      <w:r>
        <w:fldChar w:fldCharType="begin"/>
      </w:r>
      <w:r>
        <w:instrText xml:space="preserve"> SEQ Figure \* ARABIC </w:instrText>
      </w:r>
      <w:r>
        <w:fldChar w:fldCharType="separate"/>
      </w:r>
      <w:r w:rsidR="000E59E1">
        <w:rPr>
          <w:noProof/>
        </w:rPr>
        <w:t>2</w:t>
      </w:r>
      <w:r>
        <w:fldChar w:fldCharType="end"/>
      </w:r>
      <w:bookmarkEnd w:id="31"/>
      <w:r>
        <w:t xml:space="preserve"> | Aspirational guiding principles of the National Palliative Care Strategy 2018</w:t>
      </w:r>
      <w:r w:rsidR="009D232B">
        <w:rPr>
          <w:rStyle w:val="FootnoteReference"/>
        </w:rPr>
        <w:footnoteReference w:id="17"/>
      </w:r>
    </w:p>
    <w:p w14:paraId="61DB85CE" w14:textId="55D0B0CD" w:rsidR="00B806A3" w:rsidRPr="00B806A3" w:rsidRDefault="000E5D2A" w:rsidP="00DF4CB4">
      <w:r w:rsidRPr="000E5D2A">
        <w:rPr>
          <w:noProof/>
        </w:rPr>
        <w:drawing>
          <wp:inline distT="0" distB="0" distL="0" distR="0" wp14:anchorId="0D355905" wp14:editId="3CC477D0">
            <wp:extent cx="5670551" cy="1649095"/>
            <wp:effectExtent l="0" t="0" r="6350" b="8255"/>
            <wp:docPr id="838" name="Picture 838" descr="Figure 2 shows the six guiding principles of the 2018 National Palliative Care Strategy&#10;&#10;These include that palliative care is a person-centred care, carers are valued and receive the care they need, everyone has a role to play in palliative care, death is a part of life, care is accessible and care is high quality and evidence-ba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 name="Picture 838" descr="Figure 2 shows the six guiding principles of the 2018 National Palliative Care Strategy&#10;&#10;These include that palliative care is a person-centred care, carers are valued and receive the care they need, everyone has a role to play in palliative care, death is a part of life, care is accessible and care is high quality and evidence-bas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70551" cy="1649095"/>
                    </a:xfrm>
                    <a:prstGeom prst="rect">
                      <a:avLst/>
                    </a:prstGeom>
                    <a:noFill/>
                    <a:ln>
                      <a:noFill/>
                    </a:ln>
                  </pic:spPr>
                </pic:pic>
              </a:graphicData>
            </a:graphic>
          </wp:inline>
        </w:drawing>
      </w:r>
    </w:p>
    <w:p w14:paraId="7D5CC804" w14:textId="317AAA7B" w:rsidR="00EF1F70" w:rsidRPr="00EF1F70" w:rsidRDefault="004B668E" w:rsidP="00EF1F70">
      <w:pPr>
        <w:rPr>
          <w:lang w:eastAsia="en-AU"/>
        </w:rPr>
      </w:pPr>
      <w:r>
        <w:rPr>
          <w:lang w:eastAsia="en-AU"/>
        </w:rPr>
        <w:t>In</w:t>
      </w:r>
      <w:r w:rsidR="00030150">
        <w:rPr>
          <w:lang w:eastAsia="en-AU"/>
        </w:rPr>
        <w:t xml:space="preserve"> the </w:t>
      </w:r>
      <w:r>
        <w:rPr>
          <w:lang w:eastAsia="en-AU"/>
        </w:rPr>
        <w:t>aged care context, t</w:t>
      </w:r>
      <w:r w:rsidR="001B4F7E">
        <w:rPr>
          <w:lang w:eastAsia="en-AU"/>
        </w:rPr>
        <w:t xml:space="preserve">he </w:t>
      </w:r>
      <w:r w:rsidR="009D7179">
        <w:rPr>
          <w:lang w:eastAsia="en-AU"/>
        </w:rPr>
        <w:t xml:space="preserve">Aged Care Quality Standards provide a resource that defines </w:t>
      </w:r>
      <w:r w:rsidR="009D13B0">
        <w:rPr>
          <w:lang w:eastAsia="en-AU"/>
        </w:rPr>
        <w:t xml:space="preserve">quality care in a residential aged care setting </w:t>
      </w:r>
      <w:r w:rsidR="00C75206">
        <w:rPr>
          <w:lang w:eastAsia="en-AU"/>
        </w:rPr>
        <w:t xml:space="preserve">in respect to eight standards. </w:t>
      </w:r>
      <w:r w:rsidR="00AA0920">
        <w:rPr>
          <w:lang w:eastAsia="en-AU"/>
        </w:rPr>
        <w:t>Many of the standards are applicable to palliative care, but there is no standard that exclusively addresses palliative care. Guidance for the Standards</w:t>
      </w:r>
      <w:r w:rsidR="00C75206">
        <w:rPr>
          <w:lang w:eastAsia="en-AU"/>
        </w:rPr>
        <w:t xml:space="preserve"> </w:t>
      </w:r>
      <w:r w:rsidR="00BD14D0">
        <w:rPr>
          <w:lang w:eastAsia="en-AU"/>
        </w:rPr>
        <w:t xml:space="preserve">reference palliative care in </w:t>
      </w:r>
      <w:r w:rsidR="00A461B8">
        <w:rPr>
          <w:lang w:eastAsia="en-AU"/>
        </w:rPr>
        <w:t>the following</w:t>
      </w:r>
      <w:r w:rsidR="00C52222">
        <w:rPr>
          <w:lang w:eastAsia="en-AU"/>
        </w:rPr>
        <w:t>:</w:t>
      </w:r>
    </w:p>
    <w:p w14:paraId="6ACDD58B" w14:textId="525DD1BF" w:rsidR="00173719" w:rsidRPr="00173719" w:rsidRDefault="00A461B8" w:rsidP="00A461B8">
      <w:pPr>
        <w:pStyle w:val="Bullet"/>
      </w:pPr>
      <w:r w:rsidRPr="008030EF">
        <w:rPr>
          <w:rFonts w:ascii="Segoe UI Semibold" w:hAnsi="Segoe UI Semibold" w:cs="Segoe UI Semibold"/>
          <w:color w:val="00264D" w:themeColor="background2"/>
        </w:rPr>
        <w:t>Standard 2 - Ongoing assessment and planning with consumers</w:t>
      </w:r>
      <w:r w:rsidR="00150A00" w:rsidRPr="008030EF">
        <w:rPr>
          <w:rFonts w:ascii="Segoe UI Semibold" w:hAnsi="Segoe UI Semibold" w:cs="Segoe UI Semibold"/>
          <w:color w:val="00264D" w:themeColor="background2"/>
        </w:rPr>
        <w:t>.</w:t>
      </w:r>
      <w:r w:rsidR="00150A00" w:rsidRPr="008030EF">
        <w:rPr>
          <w:color w:val="00264D" w:themeColor="background2"/>
        </w:rPr>
        <w:t xml:space="preserve"> </w:t>
      </w:r>
      <w:r w:rsidR="00150A00">
        <w:t>A</w:t>
      </w:r>
      <w:r>
        <w:t xml:space="preserve"> series of palliative care resources and references are provided</w:t>
      </w:r>
      <w:r w:rsidR="00150A00">
        <w:t xml:space="preserve"> under this standard</w:t>
      </w:r>
      <w:r w:rsidR="00016FE8">
        <w:t xml:space="preserve">. Palliative care is referenced in respect to members of the workforce knowing how to access the relevant expertise </w:t>
      </w:r>
      <w:r w:rsidR="001715EC">
        <w:t>to provide information on end of life planning and decision making.</w:t>
      </w:r>
    </w:p>
    <w:p w14:paraId="33BF45F2" w14:textId="6DC72A62" w:rsidR="00A461B8" w:rsidRDefault="00150A00" w:rsidP="008030EF">
      <w:pPr>
        <w:pStyle w:val="Bullet"/>
      </w:pPr>
      <w:r w:rsidRPr="008030EF">
        <w:rPr>
          <w:rFonts w:ascii="Segoe UI Semibold" w:hAnsi="Segoe UI Semibold" w:cs="Segoe UI Semibold"/>
          <w:color w:val="00264D" w:themeColor="background2"/>
        </w:rPr>
        <w:lastRenderedPageBreak/>
        <w:t xml:space="preserve">Standard 3 – Personal care and clinical care. </w:t>
      </w:r>
      <w:r>
        <w:t>Palliative care is briefly mentioned in reference to how the organisation works with others external to the RACF, such as palliative care specialists, to improve end of life care</w:t>
      </w:r>
      <w:r w:rsidR="0088622E">
        <w:t>.</w:t>
      </w:r>
      <w:r w:rsidR="0088622E">
        <w:rPr>
          <w:rStyle w:val="FootnoteReference"/>
        </w:rPr>
        <w:footnoteReference w:id="18"/>
      </w:r>
    </w:p>
    <w:p w14:paraId="2B675E91" w14:textId="75DD27B0" w:rsidR="00F04A45" w:rsidRDefault="00F04A45" w:rsidP="00F04A45">
      <w:r>
        <w:t>In the residential aged care setting, Palliative Care Australia in collaboration with other aged care peak bodies define the principles for the provision of quality palliative and end of life care as follows:</w:t>
      </w:r>
    </w:p>
    <w:p w14:paraId="37A3A5D6" w14:textId="1D9544F3" w:rsidR="00F04A45" w:rsidRDefault="0001282F" w:rsidP="00F04A45">
      <w:pPr>
        <w:pStyle w:val="Bullet"/>
      </w:pPr>
      <w:r>
        <w:t>“</w:t>
      </w:r>
      <w:r w:rsidR="009B2C3A">
        <w:t>residents</w:t>
      </w:r>
      <w:r w:rsidR="00F04A45">
        <w:t>’</w:t>
      </w:r>
      <w:r w:rsidR="00F04A45" w:rsidRPr="00907DA3">
        <w:t xml:space="preserve"> physical and mental needs at</w:t>
      </w:r>
      <w:r w:rsidR="00F04A45">
        <w:t xml:space="preserve"> </w:t>
      </w:r>
      <w:r w:rsidR="00F04A45" w:rsidRPr="00907DA3">
        <w:t xml:space="preserve">end-of-life are assessed and </w:t>
      </w:r>
      <w:proofErr w:type="gramStart"/>
      <w:r w:rsidR="00F04A45" w:rsidRPr="00907DA3">
        <w:t>recognised</w:t>
      </w:r>
      <w:r w:rsidR="00F04A45">
        <w:t>;</w:t>
      </w:r>
      <w:proofErr w:type="gramEnd"/>
    </w:p>
    <w:p w14:paraId="1C1DCF52" w14:textId="427C6677" w:rsidR="00F04A45" w:rsidRDefault="009B2C3A" w:rsidP="00F04A45">
      <w:pPr>
        <w:pStyle w:val="Bullet"/>
      </w:pPr>
      <w:r>
        <w:t>resident</w:t>
      </w:r>
      <w:r w:rsidR="00F04A45">
        <w:t xml:space="preserve">s, families and carers are involved in end-of-life planning and decision </w:t>
      </w:r>
      <w:proofErr w:type="gramStart"/>
      <w:r w:rsidR="00F04A45">
        <w:t>making;</w:t>
      </w:r>
      <w:proofErr w:type="gramEnd"/>
    </w:p>
    <w:p w14:paraId="3EA748B1" w14:textId="730D9F56" w:rsidR="00F04A45" w:rsidRDefault="009B2C3A" w:rsidP="00F04A45">
      <w:pPr>
        <w:pStyle w:val="Bullet"/>
      </w:pPr>
      <w:r>
        <w:t>resident</w:t>
      </w:r>
      <w:r w:rsidR="00F04A45">
        <w:t xml:space="preserve">s receive equitable and timely access to appropriate end-of-life care within aged care </w:t>
      </w:r>
      <w:proofErr w:type="gramStart"/>
      <w:r w:rsidR="00F04A45">
        <w:t>facilities;</w:t>
      </w:r>
      <w:proofErr w:type="gramEnd"/>
    </w:p>
    <w:p w14:paraId="329C8837" w14:textId="77777777" w:rsidR="00F04A45" w:rsidRDefault="00F04A45" w:rsidP="00F04A45">
      <w:pPr>
        <w:pStyle w:val="Bullet"/>
      </w:pPr>
      <w:r>
        <w:t xml:space="preserve">end-of-life care is holistic, integrated and delivered by appropriately trained and skilled </w:t>
      </w:r>
      <w:proofErr w:type="gramStart"/>
      <w:r>
        <w:t>staff;</w:t>
      </w:r>
      <w:proofErr w:type="gramEnd"/>
    </w:p>
    <w:p w14:paraId="3A227E9F" w14:textId="5953A2EF" w:rsidR="00F04A45" w:rsidRDefault="00F04A45" w:rsidP="00F04A45">
      <w:pPr>
        <w:pStyle w:val="Bullet"/>
      </w:pPr>
      <w:r>
        <w:t xml:space="preserve">the end-of-life care needs of </w:t>
      </w:r>
      <w:r w:rsidR="00E807D3">
        <w:t>resident</w:t>
      </w:r>
      <w:r>
        <w:t xml:space="preserve">s with dementia or cognitive impairment are understood and met within residential aged </w:t>
      </w:r>
      <w:proofErr w:type="gramStart"/>
      <w:r>
        <w:t>care;</w:t>
      </w:r>
      <w:proofErr w:type="gramEnd"/>
    </w:p>
    <w:p w14:paraId="58606F07" w14:textId="0E0AAD21" w:rsidR="00F04A45" w:rsidRDefault="00E807D3" w:rsidP="00F04A45">
      <w:pPr>
        <w:pStyle w:val="Bullet"/>
      </w:pPr>
      <w:r>
        <w:t>resident</w:t>
      </w:r>
      <w:r w:rsidR="00F04A45">
        <w:t xml:space="preserve">s, families and carers are treated with dignity and </w:t>
      </w:r>
      <w:proofErr w:type="gramStart"/>
      <w:r w:rsidR="00F04A45">
        <w:t>respect;</w:t>
      </w:r>
      <w:proofErr w:type="gramEnd"/>
    </w:p>
    <w:p w14:paraId="06905483" w14:textId="6A14CC0E" w:rsidR="00F04A45" w:rsidRDefault="00E807D3" w:rsidP="00F04A45">
      <w:pPr>
        <w:pStyle w:val="Bullet"/>
      </w:pPr>
      <w:r>
        <w:t>residents</w:t>
      </w:r>
      <w:r w:rsidR="00F04A45">
        <w:t xml:space="preserve"> have their spiritual, </w:t>
      </w:r>
      <w:proofErr w:type="gramStart"/>
      <w:r w:rsidR="00F04A45">
        <w:t>cultural</w:t>
      </w:r>
      <w:proofErr w:type="gramEnd"/>
      <w:r w:rsidR="00F04A45">
        <w:t xml:space="preserve"> and psychosocial needs respected and fulfilled; and</w:t>
      </w:r>
    </w:p>
    <w:p w14:paraId="0241E4B8" w14:textId="1EFE7911" w:rsidR="006A3959" w:rsidRDefault="00F04A45" w:rsidP="00FA5376">
      <w:pPr>
        <w:pStyle w:val="Bullet"/>
      </w:pPr>
      <w:r>
        <w:t xml:space="preserve">families, carers, </w:t>
      </w:r>
      <w:proofErr w:type="gramStart"/>
      <w:r>
        <w:t>staff</w:t>
      </w:r>
      <w:proofErr w:type="gramEnd"/>
      <w:r>
        <w:t xml:space="preserve"> and residents are supported in bereavement.</w:t>
      </w:r>
      <w:r>
        <w:rPr>
          <w:rStyle w:val="FootnoteReference"/>
        </w:rPr>
        <w:footnoteReference w:id="19"/>
      </w:r>
    </w:p>
    <w:p w14:paraId="1FAB3842" w14:textId="5068E883" w:rsidR="00B35093" w:rsidRDefault="00455228" w:rsidP="00455228">
      <w:r>
        <w:t xml:space="preserve">A key component of quality palliative care </w:t>
      </w:r>
      <w:r w:rsidR="000D3F85">
        <w:t xml:space="preserve">is the involvement of residents, families and carers in decision making. This is often </w:t>
      </w:r>
      <w:r w:rsidR="000D2DCA">
        <w:t xml:space="preserve">achieved through the use </w:t>
      </w:r>
      <w:r w:rsidR="004A6688">
        <w:t>advance care planning</w:t>
      </w:r>
      <w:r w:rsidR="0040470D">
        <w:t xml:space="preserve">, which </w:t>
      </w:r>
      <w:r w:rsidR="00B35093">
        <w:t xml:space="preserve">is a process of </w:t>
      </w:r>
      <w:r w:rsidR="00B35093" w:rsidRPr="00B35093">
        <w:t xml:space="preserve">planning for future health and personal care whereby the person’s values, beliefs and preferences are </w:t>
      </w:r>
      <w:r w:rsidR="006B6D46">
        <w:t>documented in order</w:t>
      </w:r>
      <w:r w:rsidR="00B35093" w:rsidRPr="00B35093">
        <w:t xml:space="preserve"> to guide decision-making at a future time when that person cannot make or communicate their decisions</w:t>
      </w:r>
      <w:r w:rsidR="00B35093">
        <w:t xml:space="preserve">. Advance care planning is formalised </w:t>
      </w:r>
      <w:proofErr w:type="gramStart"/>
      <w:r w:rsidR="00B35093">
        <w:t>through the use of</w:t>
      </w:r>
      <w:proofErr w:type="gramEnd"/>
      <w:r w:rsidR="00B35093">
        <w:t xml:space="preserve"> an advance care directive (ACD)</w:t>
      </w:r>
      <w:r w:rsidR="00987025">
        <w:t xml:space="preserve"> or a</w:t>
      </w:r>
      <w:r w:rsidR="00D42038">
        <w:t>n</w:t>
      </w:r>
      <w:r w:rsidR="00987025">
        <w:t xml:space="preserve"> advance care plan (ACP).</w:t>
      </w:r>
      <w:r w:rsidR="0001282F">
        <w:t>”</w:t>
      </w:r>
      <w:r w:rsidR="004F6DB1">
        <w:rPr>
          <w:rStyle w:val="FootnoteReference"/>
        </w:rPr>
        <w:footnoteReference w:id="20"/>
      </w:r>
      <w:r w:rsidR="00B35093">
        <w:t xml:space="preserve"> </w:t>
      </w:r>
    </w:p>
    <w:p w14:paraId="0CAE3AC4" w14:textId="5A60B847" w:rsidR="00A947FA" w:rsidRDefault="00A947FA" w:rsidP="00351182">
      <w:pPr>
        <w:pStyle w:val="Heading5"/>
      </w:pPr>
      <w:r>
        <w:t xml:space="preserve">Markers of quality palliative care </w:t>
      </w:r>
      <w:r w:rsidR="008E492F">
        <w:t>in RACFs</w:t>
      </w:r>
      <w:r>
        <w:t xml:space="preserve"> will be used as indicators for the national evaluation</w:t>
      </w:r>
    </w:p>
    <w:p w14:paraId="210E6ADF" w14:textId="77777777" w:rsidR="00FA03D6" w:rsidRDefault="00426450" w:rsidP="00426450">
      <w:r>
        <w:t xml:space="preserve">Defining what good quality palliative care looks like in RACFs helps to determine specific indicators to measure its quality and availability across RACF settings. </w:t>
      </w:r>
    </w:p>
    <w:p w14:paraId="13111D7D" w14:textId="68372D58" w:rsidR="00426450" w:rsidRDefault="00A11C0D" w:rsidP="00426450">
      <w:r>
        <w:t>For the evaluation, Nous</w:t>
      </w:r>
      <w:r w:rsidR="00426450">
        <w:t xml:space="preserve"> will identify specific indicators linked to the outcomes being sought at the jurisdictional and national level. These will be informed by indicators identified in the evidence. </w:t>
      </w:r>
      <w:r w:rsidR="00350BF5">
        <w:t>The literature identifie</w:t>
      </w:r>
      <w:r w:rsidR="007107CC">
        <w:t>d</w:t>
      </w:r>
      <w:r w:rsidR="00350BF5">
        <w:t xml:space="preserve"> many proxy</w:t>
      </w:r>
      <w:r w:rsidR="00426450">
        <w:t xml:space="preserve"> measure</w:t>
      </w:r>
      <w:r w:rsidR="00350BF5">
        <w:t>s</w:t>
      </w:r>
      <w:r w:rsidR="00632D1B">
        <w:t xml:space="preserve"> for quality palliative care</w:t>
      </w:r>
      <w:r w:rsidR="00350BF5">
        <w:t xml:space="preserve"> including</w:t>
      </w:r>
      <w:r w:rsidR="00426450">
        <w:t>:</w:t>
      </w:r>
    </w:p>
    <w:p w14:paraId="12A5054D" w14:textId="418BBD05" w:rsidR="00426450" w:rsidRDefault="00347558" w:rsidP="00A947FA">
      <w:pPr>
        <w:pStyle w:val="Bullet"/>
      </w:pPr>
      <w:r>
        <w:t>i</w:t>
      </w:r>
      <w:r w:rsidR="00A947FA" w:rsidRPr="0085605A">
        <w:t xml:space="preserve">ncreased rates of advance care </w:t>
      </w:r>
      <w:proofErr w:type="gramStart"/>
      <w:r w:rsidR="00A947FA" w:rsidRPr="0085605A">
        <w:t>planning</w:t>
      </w:r>
      <w:r w:rsidR="0039052D">
        <w:t>;</w:t>
      </w:r>
      <w:proofErr w:type="gramEnd"/>
    </w:p>
    <w:p w14:paraId="5FC919FC" w14:textId="28DF30F9" w:rsidR="00426450" w:rsidRDefault="00A947FA" w:rsidP="00A947FA">
      <w:pPr>
        <w:pStyle w:val="Bullet"/>
      </w:pPr>
      <w:r>
        <w:t>d</w:t>
      </w:r>
      <w:r w:rsidRPr="0085605A">
        <w:t>ecrease</w:t>
      </w:r>
      <w:r>
        <w:t>d</w:t>
      </w:r>
      <w:r w:rsidRPr="0085605A">
        <w:t xml:space="preserve"> hospital </w:t>
      </w:r>
      <w:proofErr w:type="gramStart"/>
      <w:r w:rsidRPr="0085605A">
        <w:t>admissions</w:t>
      </w:r>
      <w:r w:rsidR="0039052D">
        <w:t>;</w:t>
      </w:r>
      <w:proofErr w:type="gramEnd"/>
    </w:p>
    <w:p w14:paraId="40F6CF89" w14:textId="60EA5C9D" w:rsidR="00426450" w:rsidRDefault="00A947FA" w:rsidP="00A947FA">
      <w:pPr>
        <w:pStyle w:val="Bullet"/>
      </w:pPr>
      <w:r>
        <w:t>r</w:t>
      </w:r>
      <w:r w:rsidRPr="0085605A">
        <w:t>educed time spent in hospitals</w:t>
      </w:r>
      <w:r w:rsidR="0039052D">
        <w:t>; and</w:t>
      </w:r>
    </w:p>
    <w:p w14:paraId="57847F54" w14:textId="712693B7" w:rsidR="00A947FA" w:rsidRPr="0085605A" w:rsidRDefault="00A947FA" w:rsidP="00A947FA">
      <w:pPr>
        <w:pStyle w:val="Bullet"/>
      </w:pPr>
      <w:r>
        <w:t>a</w:t>
      </w:r>
      <w:r w:rsidRPr="0085605A">
        <w:t>chieving a preferred place of death</w:t>
      </w:r>
      <w:r>
        <w:t>.</w:t>
      </w:r>
      <w:r>
        <w:rPr>
          <w:rStyle w:val="FootnoteReference"/>
          <w:rFonts w:eastAsia="Source Sans Pro"/>
        </w:rPr>
        <w:footnoteReference w:id="21"/>
      </w:r>
    </w:p>
    <w:p w14:paraId="633EA42A" w14:textId="5DE82CBF" w:rsidR="002520AA" w:rsidRDefault="002520AA" w:rsidP="008E26A0">
      <w:r>
        <w:t>Direct measures of the quality of palliative care delivered in RACFs have been developed by the Palliative Care Outcomes Collaboration (PCOC)</w:t>
      </w:r>
      <w:r w:rsidR="008E26A0">
        <w:t>,</w:t>
      </w:r>
      <w:r>
        <w:rPr>
          <w:rStyle w:val="FootnoteReference"/>
        </w:rPr>
        <w:footnoteReference w:id="22"/>
      </w:r>
      <w:r w:rsidR="008E26A0">
        <w:t xml:space="preserve"> which</w:t>
      </w:r>
      <w:r>
        <w:t xml:space="preserve"> is the primary method for measuring palliative care outcomes in Australia. There are five assessments conducted as part of the PCOC program including: </w:t>
      </w:r>
    </w:p>
    <w:p w14:paraId="752CC682" w14:textId="37906667" w:rsidR="002520AA" w:rsidRDefault="002520AA" w:rsidP="002520AA">
      <w:pPr>
        <w:pStyle w:val="Bullet"/>
      </w:pPr>
      <w:r>
        <w:lastRenderedPageBreak/>
        <w:t>one rated by the resident (Symptom Assessment Scale)</w:t>
      </w:r>
      <w:r w:rsidR="008E26A0">
        <w:t>; and</w:t>
      </w:r>
      <w:r>
        <w:t xml:space="preserve"> </w:t>
      </w:r>
    </w:p>
    <w:p w14:paraId="51C84E9B" w14:textId="7997168A" w:rsidR="002520AA" w:rsidRDefault="002520AA" w:rsidP="002520AA">
      <w:pPr>
        <w:pStyle w:val="Bullet"/>
      </w:pPr>
      <w:r>
        <w:t>four measured by a health care professional (</w:t>
      </w:r>
      <w:r w:rsidRPr="009378E1">
        <w:t xml:space="preserve">Problem Severity Score Actions, Australia-modified </w:t>
      </w:r>
      <w:proofErr w:type="spellStart"/>
      <w:r w:rsidRPr="009378E1">
        <w:t>Karnofsky</w:t>
      </w:r>
      <w:proofErr w:type="spellEnd"/>
      <w:r w:rsidRPr="009378E1">
        <w:t xml:space="preserve"> Performance Status Scale, Resource Utilisation Group – Activi</w:t>
      </w:r>
      <w:r>
        <w:t>ti</w:t>
      </w:r>
      <w:r w:rsidRPr="009378E1">
        <w:t>es of Daily Living and Palliative Care Phase</w:t>
      </w:r>
      <w:r>
        <w:t>)</w:t>
      </w:r>
      <w:r w:rsidR="008E26A0">
        <w:t>.</w:t>
      </w:r>
      <w:r>
        <w:rPr>
          <w:rStyle w:val="FootnoteReference"/>
        </w:rPr>
        <w:footnoteReference w:id="23"/>
      </w:r>
      <w:r>
        <w:t xml:space="preserve"> </w:t>
      </w:r>
    </w:p>
    <w:p w14:paraId="0C7C6103" w14:textId="56A59A77" w:rsidR="002520AA" w:rsidRDefault="002520AA" w:rsidP="002520AA">
      <w:r>
        <w:t>These provide a measure of whether residents</w:t>
      </w:r>
      <w:r w:rsidR="008E26A0">
        <w:t>’</w:t>
      </w:r>
      <w:r>
        <w:t xml:space="preserve"> needs are being met. PCOC maintains a national longitudinal database of palliative care outcomes across settings including RACFs and types of providers. </w:t>
      </w:r>
    </w:p>
    <w:p w14:paraId="1AA25542" w14:textId="0EA8E37D" w:rsidR="002520AA" w:rsidRPr="00065F95" w:rsidRDefault="002520AA" w:rsidP="002520AA">
      <w:r>
        <w:t xml:space="preserve">Other administrative datasets provide indirect </w:t>
      </w:r>
      <w:r w:rsidR="00882F57">
        <w:t>measures</w:t>
      </w:r>
      <w:r>
        <w:t xml:space="preserve"> </w:t>
      </w:r>
      <w:r w:rsidR="007F19C1">
        <w:t>of quality palliative care</w:t>
      </w:r>
      <w:r>
        <w:t>. For example, the Aged Care Quality and Safety Commission collects data on complaints that have been received</w:t>
      </w:r>
      <w:r w:rsidR="007107CC">
        <w:t>, which</w:t>
      </w:r>
      <w:r>
        <w:t xml:space="preserve"> provide</w:t>
      </w:r>
      <w:r w:rsidR="00882F57">
        <w:t>s</w:t>
      </w:r>
      <w:r>
        <w:t xml:space="preserve"> an indirect measure of </w:t>
      </w:r>
      <w:r w:rsidR="00742512">
        <w:t>instances in which</w:t>
      </w:r>
      <w:r>
        <w:t xml:space="preserve"> residents’ needs may not have been met. </w:t>
      </w:r>
    </w:p>
    <w:p w14:paraId="11159B13" w14:textId="584BB2C3" w:rsidR="00B101DE" w:rsidRDefault="0003670A" w:rsidP="001B36F4">
      <w:pPr>
        <w:pStyle w:val="Heading3"/>
      </w:pPr>
      <w:bookmarkStart w:id="32" w:name="_Ref51330465"/>
      <w:bookmarkStart w:id="33" w:name="_Toc82767261"/>
      <w:r>
        <w:t>What are the needs of residents</w:t>
      </w:r>
      <w:r w:rsidR="00B101DE">
        <w:t>?</w:t>
      </w:r>
      <w:bookmarkEnd w:id="32"/>
      <w:bookmarkEnd w:id="33"/>
    </w:p>
    <w:p w14:paraId="04EAEE6A" w14:textId="34476D72" w:rsidR="00087F77" w:rsidRPr="00087F77" w:rsidRDefault="00045683" w:rsidP="00351182">
      <w:pPr>
        <w:pStyle w:val="Heading5"/>
      </w:pPr>
      <w:r w:rsidRPr="00045683">
        <w:t xml:space="preserve">Residents need personalised, multidisciplinary palliative care that encompasses physical, </w:t>
      </w:r>
      <w:proofErr w:type="gramStart"/>
      <w:r w:rsidRPr="00045683">
        <w:t>spiritual</w:t>
      </w:r>
      <w:proofErr w:type="gramEnd"/>
      <w:r w:rsidRPr="00045683">
        <w:t xml:space="preserve"> and psychological care</w:t>
      </w:r>
    </w:p>
    <w:p w14:paraId="47D10097" w14:textId="4FC5D312" w:rsidR="004E6D22" w:rsidRDefault="00452D07" w:rsidP="008E2665">
      <w:pPr>
        <w:rPr>
          <w:lang w:eastAsia="en-AU"/>
        </w:rPr>
      </w:pPr>
      <w:r>
        <w:rPr>
          <w:lang w:eastAsia="en-AU"/>
        </w:rPr>
        <w:t xml:space="preserve">Evidence </w:t>
      </w:r>
      <w:r w:rsidR="001D2794">
        <w:rPr>
          <w:lang w:eastAsia="en-AU"/>
        </w:rPr>
        <w:t>consistently cited t</w:t>
      </w:r>
      <w:r w:rsidR="006C53B0">
        <w:rPr>
          <w:lang w:eastAsia="en-AU"/>
        </w:rPr>
        <w:t>hat t</w:t>
      </w:r>
      <w:r w:rsidR="00584604">
        <w:rPr>
          <w:lang w:eastAsia="en-AU"/>
        </w:rPr>
        <w:t xml:space="preserve">he needs of residents are highly individual and dependent on the </w:t>
      </w:r>
      <w:r w:rsidR="004902E9">
        <w:rPr>
          <w:lang w:eastAsia="en-AU"/>
        </w:rPr>
        <w:t xml:space="preserve">circumstances of the </w:t>
      </w:r>
      <w:r w:rsidR="0026704E">
        <w:rPr>
          <w:lang w:eastAsia="en-AU"/>
        </w:rPr>
        <w:t>residen</w:t>
      </w:r>
      <w:r w:rsidR="004902E9">
        <w:rPr>
          <w:lang w:eastAsia="en-AU"/>
        </w:rPr>
        <w:t>t</w:t>
      </w:r>
      <w:r w:rsidR="00544E00">
        <w:rPr>
          <w:lang w:eastAsia="en-AU"/>
        </w:rPr>
        <w:t xml:space="preserve">, which may change over time. </w:t>
      </w:r>
      <w:r w:rsidR="006C53B0">
        <w:rPr>
          <w:lang w:eastAsia="en-AU"/>
        </w:rPr>
        <w:t xml:space="preserve">Evidence </w:t>
      </w:r>
      <w:r w:rsidR="004B28D3">
        <w:rPr>
          <w:lang w:eastAsia="en-AU"/>
        </w:rPr>
        <w:t>indicated</w:t>
      </w:r>
      <w:r w:rsidR="006C53B0">
        <w:rPr>
          <w:lang w:eastAsia="en-AU"/>
        </w:rPr>
        <w:t xml:space="preserve"> that ultimately</w:t>
      </w:r>
      <w:r w:rsidR="00BA2400">
        <w:rPr>
          <w:lang w:eastAsia="en-AU"/>
        </w:rPr>
        <w:t>,</w:t>
      </w:r>
      <w:r w:rsidR="003F6FD7">
        <w:rPr>
          <w:lang w:eastAsia="en-AU"/>
        </w:rPr>
        <w:t xml:space="preserve"> </w:t>
      </w:r>
      <w:r w:rsidR="00F41BBB">
        <w:rPr>
          <w:lang w:eastAsia="en-AU"/>
        </w:rPr>
        <w:t>palliative care must be</w:t>
      </w:r>
      <w:r w:rsidR="00D80BC4">
        <w:rPr>
          <w:lang w:eastAsia="en-AU"/>
        </w:rPr>
        <w:t xml:space="preserve"> appropriate and</w:t>
      </w:r>
      <w:r w:rsidR="00F41BBB">
        <w:rPr>
          <w:lang w:eastAsia="en-AU"/>
        </w:rPr>
        <w:t xml:space="preserve"> flexible to these changing needs</w:t>
      </w:r>
      <w:r w:rsidR="00BA2400">
        <w:rPr>
          <w:lang w:eastAsia="en-AU"/>
        </w:rPr>
        <w:t xml:space="preserve"> and preferences</w:t>
      </w:r>
      <w:r w:rsidR="00F41BBB">
        <w:rPr>
          <w:lang w:eastAsia="en-AU"/>
        </w:rPr>
        <w:t>.</w:t>
      </w:r>
      <w:r w:rsidR="0037497F">
        <w:rPr>
          <w:lang w:eastAsia="en-AU"/>
        </w:rPr>
        <w:t xml:space="preserve"> </w:t>
      </w:r>
      <w:r w:rsidR="00C967E1">
        <w:rPr>
          <w:lang w:eastAsia="en-AU"/>
        </w:rPr>
        <w:t>I</w:t>
      </w:r>
      <w:r w:rsidR="00D80BC4">
        <w:rPr>
          <w:lang w:eastAsia="en-AU"/>
        </w:rPr>
        <w:t xml:space="preserve">t must also be </w:t>
      </w:r>
      <w:r w:rsidR="00024202">
        <w:rPr>
          <w:lang w:eastAsia="en-AU"/>
        </w:rPr>
        <w:t xml:space="preserve">respectful, culturally appropriate and </w:t>
      </w:r>
      <w:r w:rsidR="00067DD3">
        <w:rPr>
          <w:lang w:eastAsia="en-AU"/>
        </w:rPr>
        <w:t>designed around</w:t>
      </w:r>
      <w:r w:rsidR="00024202">
        <w:rPr>
          <w:lang w:eastAsia="en-AU"/>
        </w:rPr>
        <w:t xml:space="preserve"> the preference</w:t>
      </w:r>
      <w:r w:rsidR="00067DD3">
        <w:rPr>
          <w:lang w:eastAsia="en-AU"/>
        </w:rPr>
        <w:t>s</w:t>
      </w:r>
      <w:r w:rsidR="00A20C0A">
        <w:rPr>
          <w:lang w:eastAsia="en-AU"/>
        </w:rPr>
        <w:t xml:space="preserve"> and values</w:t>
      </w:r>
      <w:r w:rsidR="00024202">
        <w:rPr>
          <w:lang w:eastAsia="en-AU"/>
        </w:rPr>
        <w:t xml:space="preserve"> of the person</w:t>
      </w:r>
      <w:r w:rsidR="00604A77">
        <w:rPr>
          <w:lang w:eastAsia="en-AU"/>
        </w:rPr>
        <w:t xml:space="preserve"> receiving care</w:t>
      </w:r>
      <w:r w:rsidR="00024202">
        <w:rPr>
          <w:lang w:eastAsia="en-AU"/>
        </w:rPr>
        <w:t>.</w:t>
      </w:r>
      <w:r w:rsidR="00604A77">
        <w:rPr>
          <w:rStyle w:val="FootnoteReference"/>
          <w:lang w:eastAsia="en-AU"/>
        </w:rPr>
        <w:footnoteReference w:id="24"/>
      </w:r>
      <w:r w:rsidR="00024202">
        <w:rPr>
          <w:lang w:eastAsia="en-AU"/>
        </w:rPr>
        <w:t xml:space="preserve"> </w:t>
      </w:r>
    </w:p>
    <w:p w14:paraId="43C90910" w14:textId="6305578D" w:rsidR="0037497F" w:rsidRDefault="0037497F" w:rsidP="008E2665">
      <w:pPr>
        <w:rPr>
          <w:lang w:eastAsia="en-AU"/>
        </w:rPr>
      </w:pPr>
      <w:r>
        <w:t>The</w:t>
      </w:r>
      <w:r w:rsidR="00A1487B">
        <w:t xml:space="preserve"> commonly reported</w:t>
      </w:r>
      <w:r>
        <w:t xml:space="preserve"> needs of residents</w:t>
      </w:r>
      <w:r w:rsidR="00E54E73">
        <w:t xml:space="preserve">, as </w:t>
      </w:r>
      <w:r w:rsidR="00B36EBC">
        <w:t>outlined</w:t>
      </w:r>
      <w:r w:rsidR="00E54E73">
        <w:t xml:space="preserve"> in the literature,</w:t>
      </w:r>
      <w:r>
        <w:t xml:space="preserve"> are </w:t>
      </w:r>
      <w:r w:rsidR="00B36EBC">
        <w:t>shown</w:t>
      </w:r>
      <w:r>
        <w:t xml:space="preserve"> in </w:t>
      </w:r>
      <w:r>
        <w:fldChar w:fldCharType="begin"/>
      </w:r>
      <w:r>
        <w:instrText xml:space="preserve"> REF _Ref51232623 \h </w:instrText>
      </w:r>
      <w:r>
        <w:fldChar w:fldCharType="separate"/>
      </w:r>
      <w:r w:rsidR="000E59E1">
        <w:t xml:space="preserve">Figure </w:t>
      </w:r>
      <w:r w:rsidR="000E59E1">
        <w:rPr>
          <w:noProof/>
        </w:rPr>
        <w:t>3</w:t>
      </w:r>
      <w:r>
        <w:fldChar w:fldCharType="end"/>
      </w:r>
      <w:r>
        <w:t xml:space="preserve">. </w:t>
      </w:r>
    </w:p>
    <w:p w14:paraId="126D7944" w14:textId="0C063AFB" w:rsidR="003D2927" w:rsidRDefault="0037497F" w:rsidP="003D2927">
      <w:pPr>
        <w:pStyle w:val="Caption"/>
        <w:rPr>
          <w:vertAlign w:val="superscript"/>
        </w:rPr>
      </w:pPr>
      <w:bookmarkStart w:id="34" w:name="_Ref51232623"/>
      <w:r>
        <w:t xml:space="preserve">Figure </w:t>
      </w:r>
      <w:r>
        <w:fldChar w:fldCharType="begin"/>
      </w:r>
      <w:r>
        <w:instrText xml:space="preserve"> SEQ Figure \* ARABIC </w:instrText>
      </w:r>
      <w:r>
        <w:fldChar w:fldCharType="separate"/>
      </w:r>
      <w:r w:rsidR="000E59E1">
        <w:rPr>
          <w:noProof/>
        </w:rPr>
        <w:t>3</w:t>
      </w:r>
      <w:r>
        <w:fldChar w:fldCharType="end"/>
      </w:r>
      <w:bookmarkEnd w:id="34"/>
      <w:r>
        <w:t xml:space="preserve"> | </w:t>
      </w:r>
      <w:r w:rsidR="00045683">
        <w:t xml:space="preserve">Evidence </w:t>
      </w:r>
      <w:r w:rsidR="007107CC">
        <w:t>identified</w:t>
      </w:r>
      <w:r w:rsidR="00045683">
        <w:t xml:space="preserve"> eight </w:t>
      </w:r>
      <w:r w:rsidR="006D1027">
        <w:t>types of</w:t>
      </w:r>
      <w:r w:rsidR="00045683">
        <w:t xml:space="preserve"> palliative care needs for RACF residents</w:t>
      </w:r>
      <w:r w:rsidR="00BA7A08">
        <w:rPr>
          <w:rStyle w:val="FootnoteReference"/>
        </w:rPr>
        <w:footnoteReference w:id="25"/>
      </w:r>
      <w:r w:rsidR="00BA7A08" w:rsidRPr="00BA7A08">
        <w:rPr>
          <w:vertAlign w:val="superscript"/>
        </w:rPr>
        <w:t>,</w:t>
      </w:r>
      <w:r w:rsidR="00BA7A08">
        <w:rPr>
          <w:rStyle w:val="FootnoteReference"/>
        </w:rPr>
        <w:footnoteReference w:id="26"/>
      </w:r>
      <w:r w:rsidR="00BA7A08" w:rsidRPr="00BA7A08">
        <w:rPr>
          <w:vertAlign w:val="superscript"/>
        </w:rPr>
        <w:t>,</w:t>
      </w:r>
      <w:r w:rsidR="00BA7A08">
        <w:rPr>
          <w:rStyle w:val="FootnoteReference"/>
        </w:rPr>
        <w:footnoteReference w:id="27"/>
      </w:r>
    </w:p>
    <w:p w14:paraId="6D8187FF" w14:textId="0435D93E" w:rsidR="009A18F6" w:rsidRDefault="0073390F" w:rsidP="006F4E72">
      <w:r w:rsidRPr="0073390F">
        <w:rPr>
          <w:noProof/>
          <w:lang w:eastAsia="en-AU"/>
        </w:rPr>
        <w:drawing>
          <wp:inline distT="0" distB="0" distL="0" distR="0" wp14:anchorId="561D2626" wp14:editId="71943C9F">
            <wp:extent cx="5670551" cy="2860040"/>
            <wp:effectExtent l="0" t="0" r="635" b="4445"/>
            <wp:docPr id="9" name="Picture 9" descr="Figure 3 portrays the eight types of palliative care needs for RACF residents as identified by evidence&#10;&#10;These include nursing and medical support, pain and symptom management, multidisciplinary and specialist medical supports to manage complex medical needs, avoidance of unnecessary hospitalisations and procedures, involvement in decision making including advance care planning, case conferencing and care coordination, counselling and psychosocial support and spiritual support. Across these supports and services, evidence indicated RACF residents need care that is culturally appropriate, coordinated and flexible to meet their individual needs and pre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3 portrays the eight types of palliative care needs for RACF residents as identified by evidence&#10;&#10;These include nursing and medical support, pain and symptom management, multidisciplinary and specialist medical supports to manage complex medical needs, avoidance of unnecessary hospitalisations and procedures, involvement in decision making including advance care planning, case conferencing and care coordination, counselling and psychosocial support and spiritual support. Across these supports and services, evidence indicated RACF residents need care that is culturally appropriate, coordinated and flexible to meet their individual needs and preferenc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70551" cy="2860040"/>
                    </a:xfrm>
                    <a:prstGeom prst="rect">
                      <a:avLst/>
                    </a:prstGeom>
                    <a:noFill/>
                    <a:ln>
                      <a:noFill/>
                    </a:ln>
                  </pic:spPr>
                </pic:pic>
              </a:graphicData>
            </a:graphic>
          </wp:inline>
        </w:drawing>
      </w:r>
    </w:p>
    <w:p w14:paraId="5A60F5A2" w14:textId="48FCD731" w:rsidR="00294DBD" w:rsidRDefault="00294DBD" w:rsidP="00294DBD">
      <w:pPr>
        <w:rPr>
          <w:lang w:eastAsia="en-AU"/>
        </w:rPr>
      </w:pPr>
      <w:r>
        <w:rPr>
          <w:lang w:eastAsia="en-AU"/>
        </w:rPr>
        <w:t xml:space="preserve">Many residents have specific </w:t>
      </w:r>
      <w:r w:rsidR="00481CB1">
        <w:rPr>
          <w:lang w:eastAsia="en-AU"/>
        </w:rPr>
        <w:t>palliative</w:t>
      </w:r>
      <w:r>
        <w:rPr>
          <w:lang w:eastAsia="en-AU"/>
        </w:rPr>
        <w:t xml:space="preserve"> needs, including (but not limited to): </w:t>
      </w:r>
    </w:p>
    <w:p w14:paraId="54BC27C2" w14:textId="032CC262" w:rsidR="00294DBD" w:rsidRDefault="00294DBD" w:rsidP="00294DBD">
      <w:pPr>
        <w:pStyle w:val="Bullet"/>
      </w:pPr>
      <w:r>
        <w:lastRenderedPageBreak/>
        <w:t>People with dementia, who comprise approximately 52 per cent of people living in RACFs, are a population of particular need.</w:t>
      </w:r>
      <w:r>
        <w:rPr>
          <w:rStyle w:val="FootnoteReference"/>
        </w:rPr>
        <w:footnoteReference w:id="28"/>
      </w:r>
      <w:r>
        <w:rPr>
          <w:vertAlign w:val="superscript"/>
        </w:rPr>
        <w:t>,</w:t>
      </w:r>
      <w:r>
        <w:rPr>
          <w:rStyle w:val="FootnoteReference"/>
        </w:rPr>
        <w:footnoteReference w:id="29"/>
      </w:r>
      <w:r>
        <w:t xml:space="preserve"> The needs of people with dementia vary widely and vary over time, but may include the need for a tailored physical environment and additional support in communication, personal care and behaviour management.</w:t>
      </w:r>
      <w:r>
        <w:rPr>
          <w:rStyle w:val="FootnoteReference"/>
        </w:rPr>
        <w:footnoteReference w:id="30"/>
      </w:r>
      <w:r>
        <w:t xml:space="preserve"> The Royal Commission heard that there is a shortage of qualified staff experienced in caring for older people with complex conditions, such as dementia.</w:t>
      </w:r>
      <w:r>
        <w:rPr>
          <w:rStyle w:val="FootnoteReference"/>
        </w:rPr>
        <w:footnoteReference w:id="31"/>
      </w:r>
    </w:p>
    <w:p w14:paraId="514E2A7F" w14:textId="77777777" w:rsidR="00294DBD" w:rsidRDefault="00294DBD" w:rsidP="00294DBD">
      <w:pPr>
        <w:pStyle w:val="Bullet"/>
      </w:pPr>
      <w:r>
        <w:t xml:space="preserve">Aboriginal and Torres Strait Islander people. </w:t>
      </w:r>
      <w:r w:rsidRPr="00985F69">
        <w:t>The Royal Commission heard that it is important for providers to understand local practices</w:t>
      </w:r>
      <w:r>
        <w:t xml:space="preserve"> around death and dying</w:t>
      </w:r>
      <w:r w:rsidRPr="00985F69">
        <w:t xml:space="preserve"> or ask for advice from local communities on appropriate practices.</w:t>
      </w:r>
      <w:r>
        <w:rPr>
          <w:rStyle w:val="FootnoteReference"/>
        </w:rPr>
        <w:footnoteReference w:id="32"/>
      </w:r>
    </w:p>
    <w:p w14:paraId="3EC12EFE" w14:textId="77777777" w:rsidR="00294DBD" w:rsidRDefault="00294DBD" w:rsidP="00294DBD">
      <w:pPr>
        <w:pStyle w:val="Bullet"/>
      </w:pPr>
      <w:r>
        <w:t xml:space="preserve">People from CALD backgrounds. The Royal Commission heard that staff could benefit from increased understanding of peoples from diverse backgrounds </w:t>
      </w:r>
      <w:proofErr w:type="gramStart"/>
      <w:r>
        <w:t>in order to</w:t>
      </w:r>
      <w:proofErr w:type="gramEnd"/>
      <w:r>
        <w:t xml:space="preserve"> deliver personalised care.</w:t>
      </w:r>
      <w:r>
        <w:rPr>
          <w:rStyle w:val="FootnoteReference"/>
        </w:rPr>
        <w:footnoteReference w:id="33"/>
      </w:r>
      <w:r>
        <w:t xml:space="preserve"> </w:t>
      </w:r>
    </w:p>
    <w:p w14:paraId="6A8B1F9D" w14:textId="216A8167" w:rsidR="0080205A" w:rsidRDefault="0003670A" w:rsidP="0080205A">
      <w:pPr>
        <w:pStyle w:val="Heading3"/>
      </w:pPr>
      <w:bookmarkStart w:id="35" w:name="_Ref51330471"/>
      <w:bookmarkStart w:id="36" w:name="_Toc82767262"/>
      <w:r>
        <w:t>What are the needs of families and carers?</w:t>
      </w:r>
      <w:bookmarkEnd w:id="35"/>
      <w:bookmarkEnd w:id="36"/>
    </w:p>
    <w:p w14:paraId="7648AC0A" w14:textId="333E78AB" w:rsidR="00B359E3" w:rsidRPr="00B359E3" w:rsidRDefault="00B359E3" w:rsidP="00351182">
      <w:pPr>
        <w:pStyle w:val="Heading5"/>
      </w:pPr>
      <w:r>
        <w:t>Families</w:t>
      </w:r>
      <w:r w:rsidR="00A24C09">
        <w:t xml:space="preserve"> and carers of RACF residents need </w:t>
      </w:r>
      <w:r>
        <w:t>education</w:t>
      </w:r>
      <w:r w:rsidR="002454BB">
        <w:t>,</w:t>
      </w:r>
      <w:r>
        <w:t xml:space="preserve"> information, and emotional and psychological support</w:t>
      </w:r>
      <w:r w:rsidR="002454BB">
        <w:t xml:space="preserve"> delivered in a respectful and appropriate way</w:t>
      </w:r>
    </w:p>
    <w:p w14:paraId="5CFCEBF3" w14:textId="77777777" w:rsidR="0025639B" w:rsidRDefault="006C53B0" w:rsidP="0025639B">
      <w:pPr>
        <w:rPr>
          <w:lang w:eastAsia="en-AU"/>
        </w:rPr>
      </w:pPr>
      <w:r>
        <w:rPr>
          <w:lang w:eastAsia="en-AU"/>
        </w:rPr>
        <w:t xml:space="preserve">Evidence </w:t>
      </w:r>
      <w:r w:rsidR="00A11C0D">
        <w:rPr>
          <w:lang w:eastAsia="en-AU"/>
        </w:rPr>
        <w:t>suggested</w:t>
      </w:r>
      <w:r>
        <w:rPr>
          <w:lang w:eastAsia="en-AU"/>
        </w:rPr>
        <w:t xml:space="preserve"> that f</w:t>
      </w:r>
      <w:r w:rsidR="00120E16">
        <w:rPr>
          <w:lang w:eastAsia="en-AU"/>
        </w:rPr>
        <w:t>amilies and carers need the appropriate resources and support</w:t>
      </w:r>
      <w:r w:rsidR="00E22D42">
        <w:rPr>
          <w:lang w:eastAsia="en-AU"/>
        </w:rPr>
        <w:t>s</w:t>
      </w:r>
      <w:r w:rsidR="00120E16">
        <w:rPr>
          <w:lang w:eastAsia="en-AU"/>
        </w:rPr>
        <w:t xml:space="preserve"> to </w:t>
      </w:r>
      <w:r w:rsidR="00953BB9">
        <w:rPr>
          <w:lang w:eastAsia="en-AU"/>
        </w:rPr>
        <w:t>provide support</w:t>
      </w:r>
      <w:r w:rsidR="00621135">
        <w:rPr>
          <w:lang w:eastAsia="en-AU"/>
        </w:rPr>
        <w:t xml:space="preserve"> to the person receiving palliative care</w:t>
      </w:r>
      <w:r w:rsidR="00153363">
        <w:rPr>
          <w:lang w:eastAsia="en-AU"/>
        </w:rPr>
        <w:t xml:space="preserve"> and </w:t>
      </w:r>
      <w:r w:rsidR="00D71EA6">
        <w:rPr>
          <w:lang w:eastAsia="en-AU"/>
        </w:rPr>
        <w:t xml:space="preserve">to </w:t>
      </w:r>
      <w:r w:rsidR="00153363">
        <w:rPr>
          <w:lang w:eastAsia="en-AU"/>
        </w:rPr>
        <w:t>maintain their own health and wellbeing</w:t>
      </w:r>
      <w:r w:rsidR="00E22D42">
        <w:rPr>
          <w:lang w:eastAsia="en-AU"/>
        </w:rPr>
        <w:t>.</w:t>
      </w:r>
      <w:r w:rsidR="00153363">
        <w:rPr>
          <w:lang w:eastAsia="en-AU"/>
        </w:rPr>
        <w:t xml:space="preserve"> </w:t>
      </w:r>
      <w:r w:rsidR="0025639B">
        <w:rPr>
          <w:lang w:eastAsia="en-AU"/>
        </w:rPr>
        <w:t xml:space="preserve">Needs of families and carers </w:t>
      </w:r>
      <w:r>
        <w:rPr>
          <w:lang w:eastAsia="en-AU"/>
        </w:rPr>
        <w:t xml:space="preserve">identified in the evidence </w:t>
      </w:r>
      <w:r w:rsidR="0025639B">
        <w:rPr>
          <w:lang w:eastAsia="en-AU"/>
        </w:rPr>
        <w:t>can be considered in the following three categories:</w:t>
      </w:r>
    </w:p>
    <w:p w14:paraId="6DF4ADE7" w14:textId="4220850D" w:rsidR="0025639B" w:rsidRDefault="00272E06" w:rsidP="00F474C3">
      <w:pPr>
        <w:pStyle w:val="Listnumbered"/>
        <w:numPr>
          <w:ilvl w:val="0"/>
          <w:numId w:val="20"/>
        </w:numPr>
      </w:pPr>
      <w:r w:rsidRPr="008D3C26">
        <w:rPr>
          <w:rFonts w:ascii="Segoe UI Semilight" w:hAnsi="Segoe UI Semilight" w:cs="Segoe UI Semilight"/>
          <w:color w:val="00264D" w:themeColor="background2"/>
        </w:rPr>
        <w:t>Education and information:</w:t>
      </w:r>
      <w:r w:rsidR="006D1731" w:rsidRPr="008D3C26">
        <w:rPr>
          <w:color w:val="00264D" w:themeColor="background2"/>
        </w:rPr>
        <w:t xml:space="preserve"> </w:t>
      </w:r>
      <w:r w:rsidR="008E7329">
        <w:t>Families and carers</w:t>
      </w:r>
      <w:r w:rsidR="00073F41">
        <w:t xml:space="preserve"> need to receive th</w:t>
      </w:r>
      <w:r w:rsidR="0050215F">
        <w:t xml:space="preserve">e information that allows them to best support the person receiving palliative care, and </w:t>
      </w:r>
      <w:r w:rsidR="006606B6">
        <w:t xml:space="preserve">to understand what </w:t>
      </w:r>
      <w:r w:rsidR="0002643A">
        <w:t>to expect.</w:t>
      </w:r>
      <w:r w:rsidR="00A14048" w:rsidRPr="00A14048">
        <w:rPr>
          <w:rStyle w:val="FootnoteReference"/>
          <w:lang w:eastAsia="en-AU"/>
        </w:rPr>
        <w:t xml:space="preserve"> </w:t>
      </w:r>
      <w:r w:rsidR="00A14048">
        <w:rPr>
          <w:rStyle w:val="FootnoteReference"/>
          <w:lang w:eastAsia="en-AU"/>
        </w:rPr>
        <w:footnoteReference w:id="34"/>
      </w:r>
      <w:r w:rsidR="00BF4F65">
        <w:rPr>
          <w:rStyle w:val="FootnoteReference"/>
          <w:lang w:eastAsia="en-AU"/>
        </w:rPr>
        <w:t>,</w:t>
      </w:r>
      <w:r w:rsidR="00BF4F65">
        <w:rPr>
          <w:rStyle w:val="FootnoteReference"/>
        </w:rPr>
        <w:footnoteReference w:id="35"/>
      </w:r>
      <w:r w:rsidR="0002643A">
        <w:t xml:space="preserve"> </w:t>
      </w:r>
      <w:r w:rsidR="00F550AC">
        <w:t xml:space="preserve">This includes </w:t>
      </w:r>
      <w:r w:rsidR="00B36CBE">
        <w:t xml:space="preserve">information regarding and </w:t>
      </w:r>
      <w:r w:rsidR="00F550AC">
        <w:t xml:space="preserve">involvement in </w:t>
      </w:r>
      <w:r w:rsidR="005D2956">
        <w:t>end of life planning and decision making.</w:t>
      </w:r>
      <w:r w:rsidR="005D2956">
        <w:rPr>
          <w:rStyle w:val="FootnoteReference"/>
          <w:lang w:eastAsia="en-AU"/>
        </w:rPr>
        <w:footnoteReference w:id="36"/>
      </w:r>
      <w:r w:rsidR="005D2956">
        <w:t xml:space="preserve"> </w:t>
      </w:r>
      <w:r w:rsidR="00C0004D">
        <w:t xml:space="preserve">They also need to </w:t>
      </w:r>
      <w:r w:rsidR="00C0004D" w:rsidRPr="00C0004D">
        <w:t>understand the terminology around palliative care and what it entails</w:t>
      </w:r>
      <w:r w:rsidR="00C0004D">
        <w:t>.</w:t>
      </w:r>
      <w:r w:rsidR="00C0004D">
        <w:rPr>
          <w:rStyle w:val="FootnoteReference"/>
          <w:lang w:eastAsia="en-AU"/>
        </w:rPr>
        <w:footnoteReference w:id="37"/>
      </w:r>
    </w:p>
    <w:p w14:paraId="5EC074F2" w14:textId="38CF4EFF" w:rsidR="00272E06" w:rsidRDefault="00272E06" w:rsidP="001826E1">
      <w:pPr>
        <w:pStyle w:val="Listnumbered"/>
        <w:ind w:left="426" w:hanging="426"/>
      </w:pPr>
      <w:r w:rsidRPr="008E7329">
        <w:rPr>
          <w:rFonts w:ascii="Segoe UI Semilight" w:hAnsi="Segoe UI Semilight" w:cs="Segoe UI Semilight"/>
          <w:color w:val="00264D" w:themeColor="background2"/>
        </w:rPr>
        <w:t>Emotional</w:t>
      </w:r>
      <w:r w:rsidR="006D6870">
        <w:rPr>
          <w:rFonts w:ascii="Segoe UI Semilight" w:hAnsi="Segoe UI Semilight" w:cs="Segoe UI Semilight"/>
          <w:color w:val="00264D" w:themeColor="background2"/>
        </w:rPr>
        <w:t xml:space="preserve">, </w:t>
      </w:r>
      <w:proofErr w:type="gramStart"/>
      <w:r w:rsidR="006D6870">
        <w:rPr>
          <w:rFonts w:ascii="Segoe UI Semilight" w:hAnsi="Segoe UI Semilight" w:cs="Segoe UI Semilight"/>
          <w:color w:val="00264D" w:themeColor="background2"/>
        </w:rPr>
        <w:t>spiritual</w:t>
      </w:r>
      <w:proofErr w:type="gramEnd"/>
      <w:r w:rsidRPr="008E7329">
        <w:rPr>
          <w:rFonts w:ascii="Segoe UI Semilight" w:hAnsi="Segoe UI Semilight" w:cs="Segoe UI Semilight"/>
          <w:color w:val="00264D" w:themeColor="background2"/>
        </w:rPr>
        <w:t xml:space="preserve"> and psychological support:</w:t>
      </w:r>
      <w:r w:rsidR="00B65B6E">
        <w:t xml:space="preserve"> </w:t>
      </w:r>
      <w:r w:rsidR="008E7329">
        <w:t>Families and carers need emotional</w:t>
      </w:r>
      <w:r w:rsidR="00BF633D">
        <w:t>, spiritual</w:t>
      </w:r>
      <w:r w:rsidR="008E7329">
        <w:t xml:space="preserve"> and psychological support </w:t>
      </w:r>
      <w:r w:rsidR="00A14048">
        <w:t>throughout palliative care and during bereavement</w:t>
      </w:r>
      <w:r w:rsidR="00485DBF">
        <w:t>.</w:t>
      </w:r>
      <w:r w:rsidR="00A14048">
        <w:rPr>
          <w:rStyle w:val="FootnoteReference"/>
          <w:lang w:eastAsia="en-AU"/>
        </w:rPr>
        <w:footnoteReference w:id="38"/>
      </w:r>
      <w:r w:rsidR="006D6870">
        <w:t xml:space="preserve"> </w:t>
      </w:r>
    </w:p>
    <w:p w14:paraId="185355D6" w14:textId="3FF5173D" w:rsidR="00272E06" w:rsidRDefault="008D7194" w:rsidP="001826E1">
      <w:pPr>
        <w:pStyle w:val="Listnumbered"/>
        <w:ind w:left="426" w:hanging="426"/>
      </w:pPr>
      <w:r>
        <w:rPr>
          <w:rFonts w:ascii="Segoe UI Semilight" w:hAnsi="Segoe UI Semilight" w:cs="Segoe UI Semilight"/>
          <w:color w:val="00264D" w:themeColor="background2"/>
        </w:rPr>
        <w:t>Respect</w:t>
      </w:r>
      <w:r w:rsidR="006D5FDA">
        <w:rPr>
          <w:rFonts w:ascii="Segoe UI Semilight" w:hAnsi="Segoe UI Semilight" w:cs="Segoe UI Semilight"/>
          <w:color w:val="00264D" w:themeColor="background2"/>
        </w:rPr>
        <w:t xml:space="preserve">ful </w:t>
      </w:r>
      <w:r w:rsidR="008A524A">
        <w:rPr>
          <w:rFonts w:ascii="Segoe UI Semilight" w:hAnsi="Segoe UI Semilight" w:cs="Segoe UI Semilight"/>
          <w:color w:val="00264D" w:themeColor="background2"/>
        </w:rPr>
        <w:t>support</w:t>
      </w:r>
      <w:r w:rsidR="001967D5">
        <w:rPr>
          <w:rFonts w:ascii="Segoe UI Semilight" w:hAnsi="Segoe UI Semilight" w:cs="Segoe UI Semilight"/>
          <w:color w:val="00264D" w:themeColor="background2"/>
        </w:rPr>
        <w:t xml:space="preserve"> and involvement</w:t>
      </w:r>
      <w:r w:rsidR="00B909DF" w:rsidRPr="00883226">
        <w:rPr>
          <w:rFonts w:ascii="Segoe UI Semilight" w:hAnsi="Segoe UI Semilight" w:cs="Segoe UI Semilight"/>
          <w:color w:val="00264D" w:themeColor="background2"/>
        </w:rPr>
        <w:t>:</w:t>
      </w:r>
      <w:r w:rsidR="00B909DF">
        <w:t xml:space="preserve"> As for residents, families and carers </w:t>
      </w:r>
      <w:r w:rsidR="005B50B1">
        <w:t>need to</w:t>
      </w:r>
      <w:r w:rsidR="00367EF7">
        <w:t xml:space="preserve"> be treated </w:t>
      </w:r>
      <w:r w:rsidR="009402E2">
        <w:t>culturally appropriate</w:t>
      </w:r>
      <w:r w:rsidR="00162272">
        <w:t>ly</w:t>
      </w:r>
      <w:r w:rsidR="009402E2">
        <w:t xml:space="preserve"> and </w:t>
      </w:r>
      <w:r w:rsidR="00367EF7">
        <w:t>with respect</w:t>
      </w:r>
      <w:r w:rsidR="00B6520A">
        <w:t>, including</w:t>
      </w:r>
      <w:r w:rsidR="00BD66C8">
        <w:t xml:space="preserve"> support</w:t>
      </w:r>
      <w:r w:rsidR="00B6520A">
        <w:t xml:space="preserve"> during bereavement</w:t>
      </w:r>
      <w:r w:rsidR="009402E2">
        <w:t>.</w:t>
      </w:r>
      <w:r w:rsidR="009402E2">
        <w:rPr>
          <w:rStyle w:val="FootnoteReference"/>
          <w:lang w:eastAsia="en-AU"/>
        </w:rPr>
        <w:footnoteReference w:id="39"/>
      </w:r>
      <w:r w:rsidR="00A15541">
        <w:t xml:space="preserve"> </w:t>
      </w:r>
      <w:r w:rsidR="00D720E6">
        <w:t>Hearings from t</w:t>
      </w:r>
      <w:r w:rsidR="00944F61">
        <w:t>he Royal Commission in</w:t>
      </w:r>
      <w:r w:rsidR="00D720E6">
        <w:t>to Aged Care Quality and Safety highlighted that families and carers need</w:t>
      </w:r>
      <w:r w:rsidR="00B36998">
        <w:t xml:space="preserve"> to be involved in palliative care planning and </w:t>
      </w:r>
      <w:r w:rsidR="001118BB">
        <w:t xml:space="preserve">consulted regarding the </w:t>
      </w:r>
      <w:r w:rsidR="008F3275">
        <w:t>resident</w:t>
      </w:r>
      <w:r w:rsidR="001118BB">
        <w:t>’s ongoing health.</w:t>
      </w:r>
      <w:r w:rsidR="001118BB">
        <w:rPr>
          <w:rStyle w:val="FootnoteReference"/>
          <w:lang w:eastAsia="en-AU"/>
        </w:rPr>
        <w:footnoteReference w:id="40"/>
      </w:r>
      <w:r w:rsidR="00B36998">
        <w:t xml:space="preserve"> </w:t>
      </w:r>
    </w:p>
    <w:p w14:paraId="5010B820" w14:textId="30DCF132" w:rsidR="00C4601A" w:rsidRDefault="00C4601A" w:rsidP="00C4601A">
      <w:pPr>
        <w:pStyle w:val="Heading3"/>
      </w:pPr>
      <w:bookmarkStart w:id="37" w:name="_Toc82767263"/>
      <w:bookmarkStart w:id="38" w:name="_Ref51330484"/>
      <w:r>
        <w:lastRenderedPageBreak/>
        <w:t xml:space="preserve">What are the needs of </w:t>
      </w:r>
      <w:r w:rsidR="00796D51">
        <w:t xml:space="preserve">RACF </w:t>
      </w:r>
      <w:r>
        <w:t>staff</w:t>
      </w:r>
      <w:r w:rsidR="00F05FC7">
        <w:t>,</w:t>
      </w:r>
      <w:r w:rsidR="00224672">
        <w:t xml:space="preserve"> </w:t>
      </w:r>
      <w:r w:rsidR="00C77E04">
        <w:t xml:space="preserve">other clinical </w:t>
      </w:r>
      <w:proofErr w:type="gramStart"/>
      <w:r w:rsidR="00C77E04">
        <w:t>personnel</w:t>
      </w:r>
      <w:proofErr w:type="gramEnd"/>
      <w:r w:rsidR="00224672">
        <w:t xml:space="preserve"> and the system</w:t>
      </w:r>
      <w:r>
        <w:t>?</w:t>
      </w:r>
      <w:bookmarkEnd w:id="37"/>
      <w:r>
        <w:t xml:space="preserve"> </w:t>
      </w:r>
      <w:bookmarkEnd w:id="38"/>
    </w:p>
    <w:p w14:paraId="2C74851C" w14:textId="6C4DE860" w:rsidR="003863A5" w:rsidRPr="003863A5" w:rsidRDefault="003863A5" w:rsidP="00351182">
      <w:pPr>
        <w:pStyle w:val="Heading5"/>
      </w:pPr>
      <w:r>
        <w:t>Staff have varying needs based on their roles, but</w:t>
      </w:r>
      <w:r w:rsidR="00796D51">
        <w:t xml:space="preserve"> at a minimum</w:t>
      </w:r>
      <w:r>
        <w:t xml:space="preserve"> </w:t>
      </w:r>
      <w:r w:rsidR="00607C9E">
        <w:t xml:space="preserve">need access to appropriate education, </w:t>
      </w:r>
      <w:proofErr w:type="gramStart"/>
      <w:r w:rsidR="00607C9E">
        <w:t>training</w:t>
      </w:r>
      <w:proofErr w:type="gramEnd"/>
      <w:r w:rsidR="00607C9E">
        <w:t xml:space="preserve"> and resources</w:t>
      </w:r>
    </w:p>
    <w:p w14:paraId="0D2342B7" w14:textId="77777777" w:rsidR="00E27F29" w:rsidRDefault="00BD600B" w:rsidP="00E27F29">
      <w:pPr>
        <w:rPr>
          <w:lang w:eastAsia="en-AU"/>
        </w:rPr>
      </w:pPr>
      <w:r>
        <w:rPr>
          <w:lang w:eastAsia="en-AU"/>
        </w:rPr>
        <w:t>The term ‘staff’ in the context of RACFs encompasses</w:t>
      </w:r>
      <w:r w:rsidR="001C3B53">
        <w:rPr>
          <w:lang w:eastAsia="en-AU"/>
        </w:rPr>
        <w:t xml:space="preserve"> both non-clinical and clinical staff:</w:t>
      </w:r>
    </w:p>
    <w:p w14:paraId="1CC31B28" w14:textId="7B7E7324" w:rsidR="001C3B53" w:rsidRDefault="001C3B53" w:rsidP="001C3B53">
      <w:pPr>
        <w:pStyle w:val="Bullet"/>
      </w:pPr>
      <w:r w:rsidRPr="005C111B">
        <w:rPr>
          <w:rFonts w:ascii="Segoe UI Semilight" w:hAnsi="Segoe UI Semilight" w:cs="Segoe UI Semilight"/>
          <w:color w:val="00264D" w:themeColor="background2"/>
        </w:rPr>
        <w:t>Non-clinical staff:</w:t>
      </w:r>
      <w:r w:rsidRPr="005C111B">
        <w:rPr>
          <w:color w:val="00264D" w:themeColor="background2"/>
        </w:rPr>
        <w:t xml:space="preserve"> </w:t>
      </w:r>
      <w:r>
        <w:t>personal care workers and other employees of RACFs with caring duties</w:t>
      </w:r>
      <w:r w:rsidR="000E63E5">
        <w:t xml:space="preserve">, but </w:t>
      </w:r>
      <w:r w:rsidR="00247ADB">
        <w:t>that are not registered health practitioners</w:t>
      </w:r>
      <w:r w:rsidR="00C430E9">
        <w:t>.</w:t>
      </w:r>
      <w:r w:rsidR="00273718">
        <w:rPr>
          <w:rStyle w:val="FootnoteReference"/>
        </w:rPr>
        <w:footnoteReference w:id="41"/>
      </w:r>
      <w:r w:rsidR="00C430E9">
        <w:t xml:space="preserve"> </w:t>
      </w:r>
      <w:r w:rsidR="00FA2098">
        <w:t xml:space="preserve">RACF staff </w:t>
      </w:r>
      <w:r w:rsidR="00C408C3">
        <w:t>will generally</w:t>
      </w:r>
      <w:r w:rsidR="00FA2098">
        <w:t xml:space="preserve"> have qualifications such as a Certificate III or Certificate IV</w:t>
      </w:r>
      <w:r w:rsidR="00DF51F7">
        <w:t>, for example</w:t>
      </w:r>
      <w:r w:rsidR="00FA2098">
        <w:t xml:space="preserve"> in </w:t>
      </w:r>
      <w:r w:rsidR="00DF51F7">
        <w:t>Individual Support or Ageing Support.</w:t>
      </w:r>
      <w:r w:rsidR="00FA2098">
        <w:t xml:space="preserve"> </w:t>
      </w:r>
      <w:r w:rsidR="00F7568A">
        <w:t>In 2016, p</w:t>
      </w:r>
      <w:r w:rsidR="00C430E9">
        <w:t xml:space="preserve">ersonal care </w:t>
      </w:r>
      <w:r w:rsidR="00462E80">
        <w:t xml:space="preserve">attendants and community care workers </w:t>
      </w:r>
      <w:r w:rsidR="00D36E9C">
        <w:t>m</w:t>
      </w:r>
      <w:r w:rsidR="00462E80">
        <w:t>ade up</w:t>
      </w:r>
      <w:r w:rsidR="00D36E9C">
        <w:t xml:space="preserve"> 70 per cent of </w:t>
      </w:r>
      <w:r w:rsidR="0098646E">
        <w:t xml:space="preserve">direct care staff in </w:t>
      </w:r>
      <w:r w:rsidR="007535C5">
        <w:t>RACFs</w:t>
      </w:r>
      <w:r w:rsidR="00D36E9C">
        <w:t>.</w:t>
      </w:r>
      <w:r w:rsidR="0098646E">
        <w:rPr>
          <w:rStyle w:val="FootnoteReference"/>
        </w:rPr>
        <w:footnoteReference w:id="42"/>
      </w:r>
      <w:r w:rsidR="00D36E9C">
        <w:t xml:space="preserve"> </w:t>
      </w:r>
      <w:r w:rsidR="00E3046C">
        <w:t>There is high turnover of</w:t>
      </w:r>
      <w:r w:rsidR="00D36E9C">
        <w:t xml:space="preserve"> </w:t>
      </w:r>
      <w:r w:rsidR="00654399">
        <w:t>personal care workers</w:t>
      </w:r>
      <w:r w:rsidR="00273718">
        <w:t>.</w:t>
      </w:r>
      <w:r w:rsidR="00FB3C8F">
        <w:rPr>
          <w:rStyle w:val="FootnoteReference"/>
        </w:rPr>
        <w:footnoteReference w:id="43"/>
      </w:r>
      <w:r w:rsidR="00654399">
        <w:t xml:space="preserve"> </w:t>
      </w:r>
    </w:p>
    <w:p w14:paraId="57CC46F0" w14:textId="7AD617CF" w:rsidR="00942190" w:rsidRDefault="000E63E5" w:rsidP="001C3B53">
      <w:pPr>
        <w:pStyle w:val="Bullet"/>
      </w:pPr>
      <w:r w:rsidRPr="005C111B">
        <w:rPr>
          <w:rFonts w:ascii="Segoe UI Semilight" w:hAnsi="Segoe UI Semilight" w:cs="Segoe UI Semilight"/>
          <w:color w:val="00264D" w:themeColor="background2"/>
        </w:rPr>
        <w:t>Clinical staff:</w:t>
      </w:r>
      <w:r>
        <w:t xml:space="preserve"> </w:t>
      </w:r>
      <w:r w:rsidR="005440A4">
        <w:t>generalist</w:t>
      </w:r>
      <w:r w:rsidR="002F4B44">
        <w:t xml:space="preserve"> staff such as</w:t>
      </w:r>
      <w:r w:rsidR="005440A4">
        <w:t xml:space="preserve"> </w:t>
      </w:r>
      <w:r w:rsidR="00A50BCC">
        <w:t xml:space="preserve">registered </w:t>
      </w:r>
      <w:r w:rsidR="002F4B44">
        <w:t>nurse</w:t>
      </w:r>
      <w:r w:rsidR="00A50BCC">
        <w:t xml:space="preserve">s </w:t>
      </w:r>
      <w:r w:rsidR="002F4B44">
        <w:t>and</w:t>
      </w:r>
      <w:r w:rsidR="005440A4">
        <w:t xml:space="preserve"> </w:t>
      </w:r>
      <w:r w:rsidR="009F6CC6">
        <w:t xml:space="preserve">staff </w:t>
      </w:r>
      <w:r w:rsidR="006921EB">
        <w:t xml:space="preserve">with specialist palliative care </w:t>
      </w:r>
      <w:r w:rsidR="00942190">
        <w:t>qualifications</w:t>
      </w:r>
      <w:r w:rsidR="009574F6">
        <w:t>, who are em</w:t>
      </w:r>
      <w:r w:rsidR="002651A8">
        <w:t>ployed by the RACF</w:t>
      </w:r>
      <w:r w:rsidR="00C408C3">
        <w:t>.</w:t>
      </w:r>
      <w:r w:rsidR="000C1D3A">
        <w:t xml:space="preserve"> </w:t>
      </w:r>
    </w:p>
    <w:p w14:paraId="03F59B9C" w14:textId="655E09AF" w:rsidR="000E63E5" w:rsidRDefault="00942190" w:rsidP="001C3B53">
      <w:pPr>
        <w:pStyle w:val="Bullet"/>
      </w:pPr>
      <w:r>
        <w:rPr>
          <w:rFonts w:ascii="Segoe UI Semilight" w:hAnsi="Segoe UI Semilight" w:cs="Segoe UI Semilight"/>
          <w:color w:val="00264D" w:themeColor="background2"/>
        </w:rPr>
        <w:t xml:space="preserve">Other </w:t>
      </w:r>
      <w:r w:rsidR="00A813EE" w:rsidRPr="00E6038E">
        <w:rPr>
          <w:rFonts w:ascii="Segoe UI Semilight" w:hAnsi="Segoe UI Semilight" w:cs="Segoe UI Semilight"/>
          <w:color w:val="00264D" w:themeColor="background2"/>
        </w:rPr>
        <w:t>c</w:t>
      </w:r>
      <w:r w:rsidR="000C1D3A" w:rsidRPr="00E6038E">
        <w:rPr>
          <w:rFonts w:ascii="Segoe UI Semilight" w:hAnsi="Segoe UI Semilight" w:cs="Segoe UI Semilight"/>
          <w:color w:val="00264D" w:themeColor="background2"/>
        </w:rPr>
        <w:t xml:space="preserve">linical </w:t>
      </w:r>
      <w:r w:rsidRPr="00E6038E">
        <w:rPr>
          <w:rFonts w:ascii="Segoe UI Semilight" w:hAnsi="Segoe UI Semilight" w:cs="Segoe UI Semilight"/>
          <w:color w:val="00264D" w:themeColor="background2"/>
        </w:rPr>
        <w:t>personnel,</w:t>
      </w:r>
      <w:r>
        <w:t xml:space="preserve"> including </w:t>
      </w:r>
      <w:r w:rsidR="00A813EE">
        <w:t xml:space="preserve">General Practitioners, Nurse </w:t>
      </w:r>
      <w:proofErr w:type="gramStart"/>
      <w:r w:rsidR="00A813EE">
        <w:t>Practitioners</w:t>
      </w:r>
      <w:proofErr w:type="gramEnd"/>
      <w:r w:rsidR="00A813EE">
        <w:t xml:space="preserve"> and gerontologists, who </w:t>
      </w:r>
      <w:r w:rsidR="000C1D3A">
        <w:t xml:space="preserve">are </w:t>
      </w:r>
      <w:r w:rsidR="00336249">
        <w:t>unlikely</w:t>
      </w:r>
      <w:r w:rsidR="000C1D3A">
        <w:t xml:space="preserve"> to be </w:t>
      </w:r>
      <w:r w:rsidR="00A813EE">
        <w:t>empl</w:t>
      </w:r>
      <w:r w:rsidR="0007068B">
        <w:t>oyed by the facility but</w:t>
      </w:r>
      <w:r w:rsidR="00F56DE8">
        <w:t xml:space="preserve"> attend </w:t>
      </w:r>
      <w:r w:rsidR="00336249">
        <w:t>some days</w:t>
      </w:r>
      <w:r w:rsidR="00F56DE8">
        <w:t xml:space="preserve">, or in response to </w:t>
      </w:r>
      <w:r w:rsidR="00A45893">
        <w:t xml:space="preserve">a specific request. </w:t>
      </w:r>
    </w:p>
    <w:p w14:paraId="005F6D7E" w14:textId="6443E48A" w:rsidR="00EE2CB8" w:rsidRDefault="006E2245" w:rsidP="00EE2CB8">
      <w:r>
        <w:t xml:space="preserve">Staff </w:t>
      </w:r>
      <w:r w:rsidR="00354DF9">
        <w:t>have differing involvement</w:t>
      </w:r>
      <w:r w:rsidR="00524085">
        <w:t xml:space="preserve"> in palliative care</w:t>
      </w:r>
      <w:r>
        <w:t>, but evidence identified common needs (see</w:t>
      </w:r>
      <w:r w:rsidR="00865D2F">
        <w:t xml:space="preserve"> </w:t>
      </w:r>
      <w:r w:rsidR="00865D2F">
        <w:fldChar w:fldCharType="begin"/>
      </w:r>
      <w:r w:rsidR="00865D2F">
        <w:instrText xml:space="preserve"> REF _Ref51255562 \h </w:instrText>
      </w:r>
      <w:r w:rsidR="00865D2F">
        <w:fldChar w:fldCharType="separate"/>
      </w:r>
      <w:r w:rsidR="000E59E1">
        <w:t xml:space="preserve">Figure </w:t>
      </w:r>
      <w:r w:rsidR="000E59E1">
        <w:rPr>
          <w:noProof/>
        </w:rPr>
        <w:t>4</w:t>
      </w:r>
      <w:r w:rsidR="00865D2F">
        <w:fldChar w:fldCharType="end"/>
      </w:r>
      <w:r>
        <w:t>)</w:t>
      </w:r>
      <w:r w:rsidR="00865D2F">
        <w:t>.</w:t>
      </w:r>
    </w:p>
    <w:p w14:paraId="67F828A1" w14:textId="4E35DCC9" w:rsidR="00865D2F" w:rsidRDefault="002871AD" w:rsidP="00865D2F">
      <w:pPr>
        <w:pStyle w:val="Caption"/>
        <w:rPr>
          <w:vertAlign w:val="superscript"/>
        </w:rPr>
      </w:pPr>
      <w:bookmarkStart w:id="39" w:name="_Ref51255562"/>
      <w:r>
        <w:rPr>
          <w:noProof/>
          <w:lang w:eastAsia="en-AU"/>
        </w:rPr>
        <w:lastRenderedPageBreak/>
        <mc:AlternateContent>
          <mc:Choice Requires="wpc">
            <w:drawing>
              <wp:anchor distT="0" distB="0" distL="114300" distR="114300" simplePos="0" relativeHeight="251658246" behindDoc="0" locked="0" layoutInCell="1" allowOverlap="1" wp14:anchorId="0F099B10" wp14:editId="067B910A">
                <wp:simplePos x="0" y="0"/>
                <wp:positionH relativeFrom="column">
                  <wp:posOffset>-9831705</wp:posOffset>
                </wp:positionH>
                <wp:positionV relativeFrom="paragraph">
                  <wp:posOffset>-858520</wp:posOffset>
                </wp:positionV>
                <wp:extent cx="5676900" cy="3089275"/>
                <wp:effectExtent l="0" t="0" r="3175" b="0"/>
                <wp:wrapNone/>
                <wp:docPr id="836" name="Canvas 83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 name="Rectangle 5"/>
                        <wps:cNvSpPr>
                          <a:spLocks noChangeArrowheads="1"/>
                        </wps:cNvSpPr>
                        <wps:spPr bwMode="auto">
                          <a:xfrm>
                            <a:off x="0" y="0"/>
                            <a:ext cx="5676900" cy="3085465"/>
                          </a:xfrm>
                          <a:prstGeom prst="rect">
                            <a:avLst/>
                          </a:prstGeom>
                          <a:solidFill>
                            <a:srgbClr val="E6E6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6"/>
                        <wps:cNvSpPr>
                          <a:spLocks noChangeArrowheads="1"/>
                        </wps:cNvSpPr>
                        <wps:spPr bwMode="auto">
                          <a:xfrm>
                            <a:off x="261620" y="2204085"/>
                            <a:ext cx="5111750" cy="842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Freeform 7"/>
                        <wps:cNvSpPr>
                          <a:spLocks noEditPoints="1"/>
                        </wps:cNvSpPr>
                        <wps:spPr bwMode="auto">
                          <a:xfrm>
                            <a:off x="258445" y="2201545"/>
                            <a:ext cx="5117465" cy="847725"/>
                          </a:xfrm>
                          <a:custGeom>
                            <a:avLst/>
                            <a:gdLst>
                              <a:gd name="T0" fmla="*/ 16 w 13616"/>
                              <a:gd name="T1" fmla="*/ 1800 h 2256"/>
                              <a:gd name="T2" fmla="*/ 16 w 13616"/>
                              <a:gd name="T3" fmla="*/ 1239 h 2256"/>
                              <a:gd name="T4" fmla="*/ 0 w 13616"/>
                              <a:gd name="T5" fmla="*/ 727 h 2256"/>
                              <a:gd name="T6" fmla="*/ 0 w 13616"/>
                              <a:gd name="T7" fmla="*/ 262 h 2256"/>
                              <a:gd name="T8" fmla="*/ 203 w 13616"/>
                              <a:gd name="T9" fmla="*/ 0 h 2256"/>
                              <a:gd name="T10" fmla="*/ 715 w 13616"/>
                              <a:gd name="T11" fmla="*/ 16 h 2256"/>
                              <a:gd name="T12" fmla="*/ 1276 w 13616"/>
                              <a:gd name="T13" fmla="*/ 16 h 2256"/>
                              <a:gd name="T14" fmla="*/ 1788 w 13616"/>
                              <a:gd name="T15" fmla="*/ 0 h 2256"/>
                              <a:gd name="T16" fmla="*/ 2253 w 13616"/>
                              <a:gd name="T17" fmla="*/ 0 h 2256"/>
                              <a:gd name="T18" fmla="*/ 2701 w 13616"/>
                              <a:gd name="T19" fmla="*/ 0 h 2256"/>
                              <a:gd name="T20" fmla="*/ 3214 w 13616"/>
                              <a:gd name="T21" fmla="*/ 16 h 2256"/>
                              <a:gd name="T22" fmla="*/ 3774 w 13616"/>
                              <a:gd name="T23" fmla="*/ 16 h 2256"/>
                              <a:gd name="T24" fmla="*/ 4287 w 13616"/>
                              <a:gd name="T25" fmla="*/ 0 h 2256"/>
                              <a:gd name="T26" fmla="*/ 4751 w 13616"/>
                              <a:gd name="T27" fmla="*/ 0 h 2256"/>
                              <a:gd name="T28" fmla="*/ 5200 w 13616"/>
                              <a:gd name="T29" fmla="*/ 0 h 2256"/>
                              <a:gd name="T30" fmla="*/ 5712 w 13616"/>
                              <a:gd name="T31" fmla="*/ 16 h 2256"/>
                              <a:gd name="T32" fmla="*/ 6273 w 13616"/>
                              <a:gd name="T33" fmla="*/ 16 h 2256"/>
                              <a:gd name="T34" fmla="*/ 6786 w 13616"/>
                              <a:gd name="T35" fmla="*/ 0 h 2256"/>
                              <a:gd name="T36" fmla="*/ 7250 w 13616"/>
                              <a:gd name="T37" fmla="*/ 0 h 2256"/>
                              <a:gd name="T38" fmla="*/ 7698 w 13616"/>
                              <a:gd name="T39" fmla="*/ 0 h 2256"/>
                              <a:gd name="T40" fmla="*/ 8211 w 13616"/>
                              <a:gd name="T41" fmla="*/ 16 h 2256"/>
                              <a:gd name="T42" fmla="*/ 8772 w 13616"/>
                              <a:gd name="T43" fmla="*/ 16 h 2256"/>
                              <a:gd name="T44" fmla="*/ 9284 w 13616"/>
                              <a:gd name="T45" fmla="*/ 0 h 2256"/>
                              <a:gd name="T46" fmla="*/ 9748 w 13616"/>
                              <a:gd name="T47" fmla="*/ 0 h 2256"/>
                              <a:gd name="T48" fmla="*/ 10197 w 13616"/>
                              <a:gd name="T49" fmla="*/ 0 h 2256"/>
                              <a:gd name="T50" fmla="*/ 10709 w 13616"/>
                              <a:gd name="T51" fmla="*/ 16 h 2256"/>
                              <a:gd name="T52" fmla="*/ 11270 w 13616"/>
                              <a:gd name="T53" fmla="*/ 16 h 2256"/>
                              <a:gd name="T54" fmla="*/ 11783 w 13616"/>
                              <a:gd name="T55" fmla="*/ 0 h 2256"/>
                              <a:gd name="T56" fmla="*/ 12247 w 13616"/>
                              <a:gd name="T57" fmla="*/ 0 h 2256"/>
                              <a:gd name="T58" fmla="*/ 12696 w 13616"/>
                              <a:gd name="T59" fmla="*/ 0 h 2256"/>
                              <a:gd name="T60" fmla="*/ 13208 w 13616"/>
                              <a:gd name="T61" fmla="*/ 16 h 2256"/>
                              <a:gd name="T62" fmla="*/ 13600 w 13616"/>
                              <a:gd name="T63" fmla="*/ 57 h 2256"/>
                              <a:gd name="T64" fmla="*/ 13600 w 13616"/>
                              <a:gd name="T65" fmla="*/ 617 h 2256"/>
                              <a:gd name="T66" fmla="*/ 13616 w 13616"/>
                              <a:gd name="T67" fmla="*/ 1130 h 2256"/>
                              <a:gd name="T68" fmla="*/ 13616 w 13616"/>
                              <a:gd name="T69" fmla="*/ 1594 h 2256"/>
                              <a:gd name="T70" fmla="*/ 13616 w 13616"/>
                              <a:gd name="T71" fmla="*/ 2043 h 2256"/>
                              <a:gd name="T72" fmla="*/ 13366 w 13616"/>
                              <a:gd name="T73" fmla="*/ 2256 h 2256"/>
                              <a:gd name="T74" fmla="*/ 12853 w 13616"/>
                              <a:gd name="T75" fmla="*/ 2240 h 2256"/>
                              <a:gd name="T76" fmla="*/ 12293 w 13616"/>
                              <a:gd name="T77" fmla="*/ 2240 h 2256"/>
                              <a:gd name="T78" fmla="*/ 11780 w 13616"/>
                              <a:gd name="T79" fmla="*/ 2256 h 2256"/>
                              <a:gd name="T80" fmla="*/ 11316 w 13616"/>
                              <a:gd name="T81" fmla="*/ 2256 h 2256"/>
                              <a:gd name="T82" fmla="*/ 10867 w 13616"/>
                              <a:gd name="T83" fmla="*/ 2256 h 2256"/>
                              <a:gd name="T84" fmla="*/ 10355 w 13616"/>
                              <a:gd name="T85" fmla="*/ 2240 h 2256"/>
                              <a:gd name="T86" fmla="*/ 9794 w 13616"/>
                              <a:gd name="T87" fmla="*/ 2240 h 2256"/>
                              <a:gd name="T88" fmla="*/ 9282 w 13616"/>
                              <a:gd name="T89" fmla="*/ 2256 h 2256"/>
                              <a:gd name="T90" fmla="*/ 8817 w 13616"/>
                              <a:gd name="T91" fmla="*/ 2256 h 2256"/>
                              <a:gd name="T92" fmla="*/ 8369 w 13616"/>
                              <a:gd name="T93" fmla="*/ 2256 h 2256"/>
                              <a:gd name="T94" fmla="*/ 7856 w 13616"/>
                              <a:gd name="T95" fmla="*/ 2240 h 2256"/>
                              <a:gd name="T96" fmla="*/ 7296 w 13616"/>
                              <a:gd name="T97" fmla="*/ 2240 h 2256"/>
                              <a:gd name="T98" fmla="*/ 6783 w 13616"/>
                              <a:gd name="T99" fmla="*/ 2256 h 2256"/>
                              <a:gd name="T100" fmla="*/ 6319 w 13616"/>
                              <a:gd name="T101" fmla="*/ 2256 h 2256"/>
                              <a:gd name="T102" fmla="*/ 5870 w 13616"/>
                              <a:gd name="T103" fmla="*/ 2256 h 2256"/>
                              <a:gd name="T104" fmla="*/ 5358 w 13616"/>
                              <a:gd name="T105" fmla="*/ 2240 h 2256"/>
                              <a:gd name="T106" fmla="*/ 4797 w 13616"/>
                              <a:gd name="T107" fmla="*/ 2240 h 2256"/>
                              <a:gd name="T108" fmla="*/ 4285 w 13616"/>
                              <a:gd name="T109" fmla="*/ 2256 h 2256"/>
                              <a:gd name="T110" fmla="*/ 3820 w 13616"/>
                              <a:gd name="T111" fmla="*/ 2256 h 2256"/>
                              <a:gd name="T112" fmla="*/ 3372 w 13616"/>
                              <a:gd name="T113" fmla="*/ 2256 h 2256"/>
                              <a:gd name="T114" fmla="*/ 2859 w 13616"/>
                              <a:gd name="T115" fmla="*/ 2240 h 2256"/>
                              <a:gd name="T116" fmla="*/ 2299 w 13616"/>
                              <a:gd name="T117" fmla="*/ 2240 h 2256"/>
                              <a:gd name="T118" fmla="*/ 1786 w 13616"/>
                              <a:gd name="T119" fmla="*/ 2256 h 2256"/>
                              <a:gd name="T120" fmla="*/ 1322 w 13616"/>
                              <a:gd name="T121" fmla="*/ 2256 h 2256"/>
                              <a:gd name="T122" fmla="*/ 873 w 13616"/>
                              <a:gd name="T123" fmla="*/ 2256 h 2256"/>
                              <a:gd name="T124" fmla="*/ 361 w 13616"/>
                              <a:gd name="T125" fmla="*/ 2240 h 2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3616" h="2256">
                                <a:moveTo>
                                  <a:pt x="0" y="2248"/>
                                </a:moveTo>
                                <a:lnTo>
                                  <a:pt x="0" y="2200"/>
                                </a:lnTo>
                                <a:lnTo>
                                  <a:pt x="16" y="2200"/>
                                </a:lnTo>
                                <a:lnTo>
                                  <a:pt x="16" y="2248"/>
                                </a:lnTo>
                                <a:lnTo>
                                  <a:pt x="0" y="2248"/>
                                </a:lnTo>
                                <a:close/>
                                <a:moveTo>
                                  <a:pt x="0" y="2184"/>
                                </a:moveTo>
                                <a:lnTo>
                                  <a:pt x="0" y="2136"/>
                                </a:lnTo>
                                <a:lnTo>
                                  <a:pt x="16" y="2136"/>
                                </a:lnTo>
                                <a:lnTo>
                                  <a:pt x="16" y="2184"/>
                                </a:lnTo>
                                <a:lnTo>
                                  <a:pt x="0" y="2184"/>
                                </a:lnTo>
                                <a:close/>
                                <a:moveTo>
                                  <a:pt x="0" y="2120"/>
                                </a:moveTo>
                                <a:lnTo>
                                  <a:pt x="0" y="2072"/>
                                </a:lnTo>
                                <a:lnTo>
                                  <a:pt x="16" y="2072"/>
                                </a:lnTo>
                                <a:lnTo>
                                  <a:pt x="16" y="2120"/>
                                </a:lnTo>
                                <a:lnTo>
                                  <a:pt x="0" y="2120"/>
                                </a:lnTo>
                                <a:close/>
                                <a:moveTo>
                                  <a:pt x="0" y="2056"/>
                                </a:moveTo>
                                <a:lnTo>
                                  <a:pt x="0" y="2008"/>
                                </a:lnTo>
                                <a:lnTo>
                                  <a:pt x="16" y="2008"/>
                                </a:lnTo>
                                <a:lnTo>
                                  <a:pt x="16" y="2056"/>
                                </a:lnTo>
                                <a:lnTo>
                                  <a:pt x="0" y="2056"/>
                                </a:lnTo>
                                <a:close/>
                                <a:moveTo>
                                  <a:pt x="0" y="1992"/>
                                </a:moveTo>
                                <a:lnTo>
                                  <a:pt x="0" y="1944"/>
                                </a:lnTo>
                                <a:lnTo>
                                  <a:pt x="16" y="1944"/>
                                </a:lnTo>
                                <a:lnTo>
                                  <a:pt x="16" y="1992"/>
                                </a:lnTo>
                                <a:lnTo>
                                  <a:pt x="0" y="1992"/>
                                </a:lnTo>
                                <a:close/>
                                <a:moveTo>
                                  <a:pt x="0" y="1928"/>
                                </a:moveTo>
                                <a:lnTo>
                                  <a:pt x="0" y="1880"/>
                                </a:lnTo>
                                <a:lnTo>
                                  <a:pt x="16" y="1880"/>
                                </a:lnTo>
                                <a:lnTo>
                                  <a:pt x="16" y="1928"/>
                                </a:lnTo>
                                <a:lnTo>
                                  <a:pt x="0" y="1928"/>
                                </a:lnTo>
                                <a:close/>
                                <a:moveTo>
                                  <a:pt x="0" y="1864"/>
                                </a:moveTo>
                                <a:lnTo>
                                  <a:pt x="0" y="1816"/>
                                </a:lnTo>
                                <a:lnTo>
                                  <a:pt x="16" y="1816"/>
                                </a:lnTo>
                                <a:lnTo>
                                  <a:pt x="16" y="1864"/>
                                </a:lnTo>
                                <a:lnTo>
                                  <a:pt x="0" y="1864"/>
                                </a:lnTo>
                                <a:close/>
                                <a:moveTo>
                                  <a:pt x="0" y="1800"/>
                                </a:moveTo>
                                <a:lnTo>
                                  <a:pt x="0" y="1752"/>
                                </a:lnTo>
                                <a:lnTo>
                                  <a:pt x="16" y="1752"/>
                                </a:lnTo>
                                <a:lnTo>
                                  <a:pt x="16" y="1800"/>
                                </a:lnTo>
                                <a:lnTo>
                                  <a:pt x="0" y="1800"/>
                                </a:lnTo>
                                <a:close/>
                                <a:moveTo>
                                  <a:pt x="0" y="1736"/>
                                </a:moveTo>
                                <a:lnTo>
                                  <a:pt x="0" y="1688"/>
                                </a:lnTo>
                                <a:lnTo>
                                  <a:pt x="16" y="1688"/>
                                </a:lnTo>
                                <a:lnTo>
                                  <a:pt x="16" y="1736"/>
                                </a:lnTo>
                                <a:lnTo>
                                  <a:pt x="0" y="1736"/>
                                </a:lnTo>
                                <a:close/>
                                <a:moveTo>
                                  <a:pt x="0" y="1672"/>
                                </a:moveTo>
                                <a:lnTo>
                                  <a:pt x="0" y="1624"/>
                                </a:lnTo>
                                <a:lnTo>
                                  <a:pt x="16" y="1624"/>
                                </a:lnTo>
                                <a:lnTo>
                                  <a:pt x="16" y="1672"/>
                                </a:lnTo>
                                <a:lnTo>
                                  <a:pt x="0" y="1672"/>
                                </a:lnTo>
                                <a:close/>
                                <a:moveTo>
                                  <a:pt x="0" y="1608"/>
                                </a:moveTo>
                                <a:lnTo>
                                  <a:pt x="0" y="1560"/>
                                </a:lnTo>
                                <a:lnTo>
                                  <a:pt x="16" y="1560"/>
                                </a:lnTo>
                                <a:lnTo>
                                  <a:pt x="16" y="1608"/>
                                </a:lnTo>
                                <a:lnTo>
                                  <a:pt x="0" y="1608"/>
                                </a:lnTo>
                                <a:close/>
                                <a:moveTo>
                                  <a:pt x="0" y="1544"/>
                                </a:moveTo>
                                <a:lnTo>
                                  <a:pt x="0" y="1496"/>
                                </a:lnTo>
                                <a:lnTo>
                                  <a:pt x="16" y="1496"/>
                                </a:lnTo>
                                <a:lnTo>
                                  <a:pt x="16" y="1544"/>
                                </a:lnTo>
                                <a:lnTo>
                                  <a:pt x="0" y="1544"/>
                                </a:lnTo>
                                <a:close/>
                                <a:moveTo>
                                  <a:pt x="0" y="1480"/>
                                </a:moveTo>
                                <a:lnTo>
                                  <a:pt x="0" y="1432"/>
                                </a:lnTo>
                                <a:lnTo>
                                  <a:pt x="16" y="1432"/>
                                </a:lnTo>
                                <a:lnTo>
                                  <a:pt x="16" y="1480"/>
                                </a:lnTo>
                                <a:lnTo>
                                  <a:pt x="0" y="1480"/>
                                </a:lnTo>
                                <a:close/>
                                <a:moveTo>
                                  <a:pt x="0" y="1416"/>
                                </a:moveTo>
                                <a:lnTo>
                                  <a:pt x="0" y="1368"/>
                                </a:lnTo>
                                <a:lnTo>
                                  <a:pt x="16" y="1368"/>
                                </a:lnTo>
                                <a:lnTo>
                                  <a:pt x="16" y="1416"/>
                                </a:lnTo>
                                <a:lnTo>
                                  <a:pt x="0" y="1416"/>
                                </a:lnTo>
                                <a:close/>
                                <a:moveTo>
                                  <a:pt x="0" y="1352"/>
                                </a:moveTo>
                                <a:lnTo>
                                  <a:pt x="0" y="1304"/>
                                </a:lnTo>
                                <a:lnTo>
                                  <a:pt x="16" y="1304"/>
                                </a:lnTo>
                                <a:lnTo>
                                  <a:pt x="16" y="1352"/>
                                </a:lnTo>
                                <a:lnTo>
                                  <a:pt x="0" y="1352"/>
                                </a:lnTo>
                                <a:close/>
                                <a:moveTo>
                                  <a:pt x="0" y="1288"/>
                                </a:moveTo>
                                <a:lnTo>
                                  <a:pt x="0" y="1239"/>
                                </a:lnTo>
                                <a:lnTo>
                                  <a:pt x="16" y="1239"/>
                                </a:lnTo>
                                <a:lnTo>
                                  <a:pt x="16" y="1288"/>
                                </a:lnTo>
                                <a:lnTo>
                                  <a:pt x="0" y="1288"/>
                                </a:lnTo>
                                <a:close/>
                                <a:moveTo>
                                  <a:pt x="0" y="1223"/>
                                </a:moveTo>
                                <a:lnTo>
                                  <a:pt x="0" y="1175"/>
                                </a:lnTo>
                                <a:lnTo>
                                  <a:pt x="16" y="1175"/>
                                </a:lnTo>
                                <a:lnTo>
                                  <a:pt x="16" y="1223"/>
                                </a:lnTo>
                                <a:lnTo>
                                  <a:pt x="0" y="1223"/>
                                </a:lnTo>
                                <a:close/>
                                <a:moveTo>
                                  <a:pt x="0" y="1159"/>
                                </a:moveTo>
                                <a:lnTo>
                                  <a:pt x="0" y="1111"/>
                                </a:lnTo>
                                <a:lnTo>
                                  <a:pt x="16" y="1111"/>
                                </a:lnTo>
                                <a:lnTo>
                                  <a:pt x="16" y="1159"/>
                                </a:lnTo>
                                <a:lnTo>
                                  <a:pt x="0" y="1159"/>
                                </a:lnTo>
                                <a:close/>
                                <a:moveTo>
                                  <a:pt x="0" y="1095"/>
                                </a:moveTo>
                                <a:lnTo>
                                  <a:pt x="0" y="1047"/>
                                </a:lnTo>
                                <a:lnTo>
                                  <a:pt x="16" y="1047"/>
                                </a:lnTo>
                                <a:lnTo>
                                  <a:pt x="16" y="1095"/>
                                </a:lnTo>
                                <a:lnTo>
                                  <a:pt x="0" y="1095"/>
                                </a:lnTo>
                                <a:close/>
                                <a:moveTo>
                                  <a:pt x="0" y="1031"/>
                                </a:moveTo>
                                <a:lnTo>
                                  <a:pt x="0" y="983"/>
                                </a:lnTo>
                                <a:lnTo>
                                  <a:pt x="16" y="983"/>
                                </a:lnTo>
                                <a:lnTo>
                                  <a:pt x="16" y="1031"/>
                                </a:lnTo>
                                <a:lnTo>
                                  <a:pt x="0" y="1031"/>
                                </a:lnTo>
                                <a:close/>
                                <a:moveTo>
                                  <a:pt x="0" y="967"/>
                                </a:moveTo>
                                <a:lnTo>
                                  <a:pt x="0" y="919"/>
                                </a:lnTo>
                                <a:lnTo>
                                  <a:pt x="16" y="919"/>
                                </a:lnTo>
                                <a:lnTo>
                                  <a:pt x="16" y="967"/>
                                </a:lnTo>
                                <a:lnTo>
                                  <a:pt x="0" y="967"/>
                                </a:lnTo>
                                <a:close/>
                                <a:moveTo>
                                  <a:pt x="0" y="903"/>
                                </a:moveTo>
                                <a:lnTo>
                                  <a:pt x="0" y="855"/>
                                </a:lnTo>
                                <a:lnTo>
                                  <a:pt x="16" y="855"/>
                                </a:lnTo>
                                <a:lnTo>
                                  <a:pt x="16" y="903"/>
                                </a:lnTo>
                                <a:lnTo>
                                  <a:pt x="0" y="903"/>
                                </a:lnTo>
                                <a:close/>
                                <a:moveTo>
                                  <a:pt x="0" y="839"/>
                                </a:moveTo>
                                <a:lnTo>
                                  <a:pt x="0" y="791"/>
                                </a:lnTo>
                                <a:lnTo>
                                  <a:pt x="16" y="791"/>
                                </a:lnTo>
                                <a:lnTo>
                                  <a:pt x="16" y="839"/>
                                </a:lnTo>
                                <a:lnTo>
                                  <a:pt x="0" y="839"/>
                                </a:lnTo>
                                <a:close/>
                                <a:moveTo>
                                  <a:pt x="0" y="775"/>
                                </a:moveTo>
                                <a:lnTo>
                                  <a:pt x="0" y="727"/>
                                </a:lnTo>
                                <a:lnTo>
                                  <a:pt x="16" y="727"/>
                                </a:lnTo>
                                <a:lnTo>
                                  <a:pt x="16" y="775"/>
                                </a:lnTo>
                                <a:lnTo>
                                  <a:pt x="0" y="775"/>
                                </a:lnTo>
                                <a:close/>
                                <a:moveTo>
                                  <a:pt x="0" y="711"/>
                                </a:moveTo>
                                <a:lnTo>
                                  <a:pt x="0" y="663"/>
                                </a:lnTo>
                                <a:lnTo>
                                  <a:pt x="16" y="663"/>
                                </a:lnTo>
                                <a:lnTo>
                                  <a:pt x="16" y="711"/>
                                </a:lnTo>
                                <a:lnTo>
                                  <a:pt x="0" y="711"/>
                                </a:lnTo>
                                <a:close/>
                                <a:moveTo>
                                  <a:pt x="0" y="647"/>
                                </a:moveTo>
                                <a:lnTo>
                                  <a:pt x="0" y="599"/>
                                </a:lnTo>
                                <a:lnTo>
                                  <a:pt x="16" y="599"/>
                                </a:lnTo>
                                <a:lnTo>
                                  <a:pt x="16" y="647"/>
                                </a:lnTo>
                                <a:lnTo>
                                  <a:pt x="0" y="647"/>
                                </a:lnTo>
                                <a:close/>
                                <a:moveTo>
                                  <a:pt x="0" y="583"/>
                                </a:moveTo>
                                <a:lnTo>
                                  <a:pt x="0" y="535"/>
                                </a:lnTo>
                                <a:lnTo>
                                  <a:pt x="16" y="535"/>
                                </a:lnTo>
                                <a:lnTo>
                                  <a:pt x="16" y="583"/>
                                </a:lnTo>
                                <a:lnTo>
                                  <a:pt x="0" y="583"/>
                                </a:lnTo>
                                <a:close/>
                                <a:moveTo>
                                  <a:pt x="0" y="519"/>
                                </a:moveTo>
                                <a:lnTo>
                                  <a:pt x="0" y="471"/>
                                </a:lnTo>
                                <a:lnTo>
                                  <a:pt x="16" y="471"/>
                                </a:lnTo>
                                <a:lnTo>
                                  <a:pt x="16" y="519"/>
                                </a:lnTo>
                                <a:lnTo>
                                  <a:pt x="0" y="519"/>
                                </a:lnTo>
                                <a:close/>
                                <a:moveTo>
                                  <a:pt x="0" y="455"/>
                                </a:moveTo>
                                <a:lnTo>
                                  <a:pt x="0" y="407"/>
                                </a:lnTo>
                                <a:lnTo>
                                  <a:pt x="16" y="407"/>
                                </a:lnTo>
                                <a:lnTo>
                                  <a:pt x="16" y="455"/>
                                </a:lnTo>
                                <a:lnTo>
                                  <a:pt x="0" y="455"/>
                                </a:lnTo>
                                <a:close/>
                                <a:moveTo>
                                  <a:pt x="0" y="391"/>
                                </a:moveTo>
                                <a:lnTo>
                                  <a:pt x="0" y="343"/>
                                </a:lnTo>
                                <a:lnTo>
                                  <a:pt x="16" y="343"/>
                                </a:lnTo>
                                <a:lnTo>
                                  <a:pt x="16" y="391"/>
                                </a:lnTo>
                                <a:lnTo>
                                  <a:pt x="0" y="391"/>
                                </a:lnTo>
                                <a:close/>
                                <a:moveTo>
                                  <a:pt x="0" y="327"/>
                                </a:moveTo>
                                <a:lnTo>
                                  <a:pt x="0" y="278"/>
                                </a:lnTo>
                                <a:lnTo>
                                  <a:pt x="16" y="278"/>
                                </a:lnTo>
                                <a:lnTo>
                                  <a:pt x="16" y="327"/>
                                </a:lnTo>
                                <a:lnTo>
                                  <a:pt x="0" y="327"/>
                                </a:lnTo>
                                <a:close/>
                                <a:moveTo>
                                  <a:pt x="0" y="262"/>
                                </a:moveTo>
                                <a:lnTo>
                                  <a:pt x="0" y="214"/>
                                </a:lnTo>
                                <a:lnTo>
                                  <a:pt x="16" y="214"/>
                                </a:lnTo>
                                <a:lnTo>
                                  <a:pt x="16" y="262"/>
                                </a:lnTo>
                                <a:lnTo>
                                  <a:pt x="0" y="262"/>
                                </a:lnTo>
                                <a:close/>
                                <a:moveTo>
                                  <a:pt x="0" y="198"/>
                                </a:moveTo>
                                <a:lnTo>
                                  <a:pt x="0" y="150"/>
                                </a:lnTo>
                                <a:lnTo>
                                  <a:pt x="16" y="150"/>
                                </a:lnTo>
                                <a:lnTo>
                                  <a:pt x="16" y="198"/>
                                </a:lnTo>
                                <a:lnTo>
                                  <a:pt x="0" y="198"/>
                                </a:lnTo>
                                <a:close/>
                                <a:moveTo>
                                  <a:pt x="0" y="134"/>
                                </a:moveTo>
                                <a:lnTo>
                                  <a:pt x="0" y="86"/>
                                </a:lnTo>
                                <a:lnTo>
                                  <a:pt x="16" y="86"/>
                                </a:lnTo>
                                <a:lnTo>
                                  <a:pt x="16" y="134"/>
                                </a:lnTo>
                                <a:lnTo>
                                  <a:pt x="0" y="134"/>
                                </a:lnTo>
                                <a:close/>
                                <a:moveTo>
                                  <a:pt x="0" y="70"/>
                                </a:moveTo>
                                <a:lnTo>
                                  <a:pt x="0" y="22"/>
                                </a:lnTo>
                                <a:lnTo>
                                  <a:pt x="16" y="22"/>
                                </a:lnTo>
                                <a:lnTo>
                                  <a:pt x="16" y="70"/>
                                </a:lnTo>
                                <a:lnTo>
                                  <a:pt x="0" y="70"/>
                                </a:lnTo>
                                <a:close/>
                                <a:moveTo>
                                  <a:pt x="11" y="0"/>
                                </a:moveTo>
                                <a:lnTo>
                                  <a:pt x="59" y="0"/>
                                </a:lnTo>
                                <a:lnTo>
                                  <a:pt x="59" y="16"/>
                                </a:lnTo>
                                <a:lnTo>
                                  <a:pt x="11" y="16"/>
                                </a:lnTo>
                                <a:lnTo>
                                  <a:pt x="11" y="0"/>
                                </a:lnTo>
                                <a:close/>
                                <a:moveTo>
                                  <a:pt x="75" y="0"/>
                                </a:moveTo>
                                <a:lnTo>
                                  <a:pt x="123" y="0"/>
                                </a:lnTo>
                                <a:lnTo>
                                  <a:pt x="123" y="16"/>
                                </a:lnTo>
                                <a:lnTo>
                                  <a:pt x="75" y="16"/>
                                </a:lnTo>
                                <a:lnTo>
                                  <a:pt x="75" y="0"/>
                                </a:lnTo>
                                <a:close/>
                                <a:moveTo>
                                  <a:pt x="139" y="0"/>
                                </a:moveTo>
                                <a:lnTo>
                                  <a:pt x="187" y="0"/>
                                </a:lnTo>
                                <a:lnTo>
                                  <a:pt x="187" y="16"/>
                                </a:lnTo>
                                <a:lnTo>
                                  <a:pt x="139" y="16"/>
                                </a:lnTo>
                                <a:lnTo>
                                  <a:pt x="139" y="0"/>
                                </a:lnTo>
                                <a:close/>
                                <a:moveTo>
                                  <a:pt x="203" y="0"/>
                                </a:moveTo>
                                <a:lnTo>
                                  <a:pt x="251" y="0"/>
                                </a:lnTo>
                                <a:lnTo>
                                  <a:pt x="251" y="16"/>
                                </a:lnTo>
                                <a:lnTo>
                                  <a:pt x="203" y="16"/>
                                </a:lnTo>
                                <a:lnTo>
                                  <a:pt x="203" y="0"/>
                                </a:lnTo>
                                <a:close/>
                                <a:moveTo>
                                  <a:pt x="267" y="0"/>
                                </a:moveTo>
                                <a:lnTo>
                                  <a:pt x="315" y="0"/>
                                </a:lnTo>
                                <a:lnTo>
                                  <a:pt x="315" y="16"/>
                                </a:lnTo>
                                <a:lnTo>
                                  <a:pt x="267" y="16"/>
                                </a:lnTo>
                                <a:lnTo>
                                  <a:pt x="267" y="0"/>
                                </a:lnTo>
                                <a:close/>
                                <a:moveTo>
                                  <a:pt x="331" y="0"/>
                                </a:moveTo>
                                <a:lnTo>
                                  <a:pt x="379" y="0"/>
                                </a:lnTo>
                                <a:lnTo>
                                  <a:pt x="379" y="16"/>
                                </a:lnTo>
                                <a:lnTo>
                                  <a:pt x="331" y="16"/>
                                </a:lnTo>
                                <a:lnTo>
                                  <a:pt x="331" y="0"/>
                                </a:lnTo>
                                <a:close/>
                                <a:moveTo>
                                  <a:pt x="395" y="0"/>
                                </a:moveTo>
                                <a:lnTo>
                                  <a:pt x="443" y="0"/>
                                </a:lnTo>
                                <a:lnTo>
                                  <a:pt x="443" y="16"/>
                                </a:lnTo>
                                <a:lnTo>
                                  <a:pt x="395" y="16"/>
                                </a:lnTo>
                                <a:lnTo>
                                  <a:pt x="395" y="0"/>
                                </a:lnTo>
                                <a:close/>
                                <a:moveTo>
                                  <a:pt x="459" y="0"/>
                                </a:moveTo>
                                <a:lnTo>
                                  <a:pt x="507" y="0"/>
                                </a:lnTo>
                                <a:lnTo>
                                  <a:pt x="507" y="16"/>
                                </a:lnTo>
                                <a:lnTo>
                                  <a:pt x="459" y="16"/>
                                </a:lnTo>
                                <a:lnTo>
                                  <a:pt x="459" y="0"/>
                                </a:lnTo>
                                <a:close/>
                                <a:moveTo>
                                  <a:pt x="523" y="0"/>
                                </a:moveTo>
                                <a:lnTo>
                                  <a:pt x="571" y="0"/>
                                </a:lnTo>
                                <a:lnTo>
                                  <a:pt x="571" y="16"/>
                                </a:lnTo>
                                <a:lnTo>
                                  <a:pt x="523" y="16"/>
                                </a:lnTo>
                                <a:lnTo>
                                  <a:pt x="523" y="0"/>
                                </a:lnTo>
                                <a:close/>
                                <a:moveTo>
                                  <a:pt x="587" y="0"/>
                                </a:moveTo>
                                <a:lnTo>
                                  <a:pt x="635" y="0"/>
                                </a:lnTo>
                                <a:lnTo>
                                  <a:pt x="635" y="16"/>
                                </a:lnTo>
                                <a:lnTo>
                                  <a:pt x="587" y="16"/>
                                </a:lnTo>
                                <a:lnTo>
                                  <a:pt x="587" y="0"/>
                                </a:lnTo>
                                <a:close/>
                                <a:moveTo>
                                  <a:pt x="651" y="0"/>
                                </a:moveTo>
                                <a:lnTo>
                                  <a:pt x="699" y="0"/>
                                </a:lnTo>
                                <a:lnTo>
                                  <a:pt x="699" y="16"/>
                                </a:lnTo>
                                <a:lnTo>
                                  <a:pt x="651" y="16"/>
                                </a:lnTo>
                                <a:lnTo>
                                  <a:pt x="651" y="0"/>
                                </a:lnTo>
                                <a:close/>
                                <a:moveTo>
                                  <a:pt x="715" y="0"/>
                                </a:moveTo>
                                <a:lnTo>
                                  <a:pt x="763" y="0"/>
                                </a:lnTo>
                                <a:lnTo>
                                  <a:pt x="763" y="16"/>
                                </a:lnTo>
                                <a:lnTo>
                                  <a:pt x="715" y="16"/>
                                </a:lnTo>
                                <a:lnTo>
                                  <a:pt x="715" y="0"/>
                                </a:lnTo>
                                <a:close/>
                                <a:moveTo>
                                  <a:pt x="779" y="0"/>
                                </a:moveTo>
                                <a:lnTo>
                                  <a:pt x="828" y="0"/>
                                </a:lnTo>
                                <a:lnTo>
                                  <a:pt x="828" y="16"/>
                                </a:lnTo>
                                <a:lnTo>
                                  <a:pt x="779" y="16"/>
                                </a:lnTo>
                                <a:lnTo>
                                  <a:pt x="779" y="0"/>
                                </a:lnTo>
                                <a:close/>
                                <a:moveTo>
                                  <a:pt x="844" y="0"/>
                                </a:moveTo>
                                <a:lnTo>
                                  <a:pt x="892" y="0"/>
                                </a:lnTo>
                                <a:lnTo>
                                  <a:pt x="892" y="16"/>
                                </a:lnTo>
                                <a:lnTo>
                                  <a:pt x="844" y="16"/>
                                </a:lnTo>
                                <a:lnTo>
                                  <a:pt x="844" y="0"/>
                                </a:lnTo>
                                <a:close/>
                                <a:moveTo>
                                  <a:pt x="908" y="0"/>
                                </a:moveTo>
                                <a:lnTo>
                                  <a:pt x="956" y="0"/>
                                </a:lnTo>
                                <a:lnTo>
                                  <a:pt x="956" y="16"/>
                                </a:lnTo>
                                <a:lnTo>
                                  <a:pt x="908" y="16"/>
                                </a:lnTo>
                                <a:lnTo>
                                  <a:pt x="908" y="0"/>
                                </a:lnTo>
                                <a:close/>
                                <a:moveTo>
                                  <a:pt x="972" y="0"/>
                                </a:moveTo>
                                <a:lnTo>
                                  <a:pt x="1020" y="0"/>
                                </a:lnTo>
                                <a:lnTo>
                                  <a:pt x="1020" y="16"/>
                                </a:lnTo>
                                <a:lnTo>
                                  <a:pt x="972" y="16"/>
                                </a:lnTo>
                                <a:lnTo>
                                  <a:pt x="972" y="0"/>
                                </a:lnTo>
                                <a:close/>
                                <a:moveTo>
                                  <a:pt x="1036" y="0"/>
                                </a:moveTo>
                                <a:lnTo>
                                  <a:pt x="1084" y="0"/>
                                </a:lnTo>
                                <a:lnTo>
                                  <a:pt x="1084" y="16"/>
                                </a:lnTo>
                                <a:lnTo>
                                  <a:pt x="1036" y="16"/>
                                </a:lnTo>
                                <a:lnTo>
                                  <a:pt x="1036" y="0"/>
                                </a:lnTo>
                                <a:close/>
                                <a:moveTo>
                                  <a:pt x="1100" y="0"/>
                                </a:moveTo>
                                <a:lnTo>
                                  <a:pt x="1148" y="0"/>
                                </a:lnTo>
                                <a:lnTo>
                                  <a:pt x="1148" y="16"/>
                                </a:lnTo>
                                <a:lnTo>
                                  <a:pt x="1100" y="16"/>
                                </a:lnTo>
                                <a:lnTo>
                                  <a:pt x="1100" y="0"/>
                                </a:lnTo>
                                <a:close/>
                                <a:moveTo>
                                  <a:pt x="1164" y="0"/>
                                </a:moveTo>
                                <a:lnTo>
                                  <a:pt x="1212" y="0"/>
                                </a:lnTo>
                                <a:lnTo>
                                  <a:pt x="1212" y="16"/>
                                </a:lnTo>
                                <a:lnTo>
                                  <a:pt x="1164" y="16"/>
                                </a:lnTo>
                                <a:lnTo>
                                  <a:pt x="1164" y="0"/>
                                </a:lnTo>
                                <a:close/>
                                <a:moveTo>
                                  <a:pt x="1228" y="0"/>
                                </a:moveTo>
                                <a:lnTo>
                                  <a:pt x="1276" y="0"/>
                                </a:lnTo>
                                <a:lnTo>
                                  <a:pt x="1276" y="16"/>
                                </a:lnTo>
                                <a:lnTo>
                                  <a:pt x="1228" y="16"/>
                                </a:lnTo>
                                <a:lnTo>
                                  <a:pt x="1228" y="0"/>
                                </a:lnTo>
                                <a:close/>
                                <a:moveTo>
                                  <a:pt x="1292" y="0"/>
                                </a:moveTo>
                                <a:lnTo>
                                  <a:pt x="1340" y="0"/>
                                </a:lnTo>
                                <a:lnTo>
                                  <a:pt x="1340" y="16"/>
                                </a:lnTo>
                                <a:lnTo>
                                  <a:pt x="1292" y="16"/>
                                </a:lnTo>
                                <a:lnTo>
                                  <a:pt x="1292" y="0"/>
                                </a:lnTo>
                                <a:close/>
                                <a:moveTo>
                                  <a:pt x="1356" y="0"/>
                                </a:moveTo>
                                <a:lnTo>
                                  <a:pt x="1404" y="0"/>
                                </a:lnTo>
                                <a:lnTo>
                                  <a:pt x="1404" y="16"/>
                                </a:lnTo>
                                <a:lnTo>
                                  <a:pt x="1356" y="16"/>
                                </a:lnTo>
                                <a:lnTo>
                                  <a:pt x="1356" y="0"/>
                                </a:lnTo>
                                <a:close/>
                                <a:moveTo>
                                  <a:pt x="1420" y="0"/>
                                </a:moveTo>
                                <a:lnTo>
                                  <a:pt x="1468" y="0"/>
                                </a:lnTo>
                                <a:lnTo>
                                  <a:pt x="1468" y="16"/>
                                </a:lnTo>
                                <a:lnTo>
                                  <a:pt x="1420" y="16"/>
                                </a:lnTo>
                                <a:lnTo>
                                  <a:pt x="1420" y="0"/>
                                </a:lnTo>
                                <a:close/>
                                <a:moveTo>
                                  <a:pt x="1484" y="0"/>
                                </a:moveTo>
                                <a:lnTo>
                                  <a:pt x="1532" y="0"/>
                                </a:lnTo>
                                <a:lnTo>
                                  <a:pt x="1532" y="16"/>
                                </a:lnTo>
                                <a:lnTo>
                                  <a:pt x="1484" y="16"/>
                                </a:lnTo>
                                <a:lnTo>
                                  <a:pt x="1484" y="0"/>
                                </a:lnTo>
                                <a:close/>
                                <a:moveTo>
                                  <a:pt x="1548" y="0"/>
                                </a:moveTo>
                                <a:lnTo>
                                  <a:pt x="1596" y="0"/>
                                </a:lnTo>
                                <a:lnTo>
                                  <a:pt x="1596" y="16"/>
                                </a:lnTo>
                                <a:lnTo>
                                  <a:pt x="1548" y="16"/>
                                </a:lnTo>
                                <a:lnTo>
                                  <a:pt x="1548" y="0"/>
                                </a:lnTo>
                                <a:close/>
                                <a:moveTo>
                                  <a:pt x="1612" y="0"/>
                                </a:moveTo>
                                <a:lnTo>
                                  <a:pt x="1660" y="0"/>
                                </a:lnTo>
                                <a:lnTo>
                                  <a:pt x="1660" y="16"/>
                                </a:lnTo>
                                <a:lnTo>
                                  <a:pt x="1612" y="16"/>
                                </a:lnTo>
                                <a:lnTo>
                                  <a:pt x="1612" y="0"/>
                                </a:lnTo>
                                <a:close/>
                                <a:moveTo>
                                  <a:pt x="1676" y="0"/>
                                </a:moveTo>
                                <a:lnTo>
                                  <a:pt x="1724" y="0"/>
                                </a:lnTo>
                                <a:lnTo>
                                  <a:pt x="1724" y="16"/>
                                </a:lnTo>
                                <a:lnTo>
                                  <a:pt x="1676" y="16"/>
                                </a:lnTo>
                                <a:lnTo>
                                  <a:pt x="1676" y="0"/>
                                </a:lnTo>
                                <a:close/>
                                <a:moveTo>
                                  <a:pt x="1740" y="0"/>
                                </a:moveTo>
                                <a:lnTo>
                                  <a:pt x="1788" y="0"/>
                                </a:lnTo>
                                <a:lnTo>
                                  <a:pt x="1788" y="16"/>
                                </a:lnTo>
                                <a:lnTo>
                                  <a:pt x="1740" y="16"/>
                                </a:lnTo>
                                <a:lnTo>
                                  <a:pt x="1740" y="0"/>
                                </a:lnTo>
                                <a:close/>
                                <a:moveTo>
                                  <a:pt x="1805" y="0"/>
                                </a:moveTo>
                                <a:lnTo>
                                  <a:pt x="1853" y="0"/>
                                </a:lnTo>
                                <a:lnTo>
                                  <a:pt x="1853" y="16"/>
                                </a:lnTo>
                                <a:lnTo>
                                  <a:pt x="1805" y="16"/>
                                </a:lnTo>
                                <a:lnTo>
                                  <a:pt x="1805" y="0"/>
                                </a:lnTo>
                                <a:close/>
                                <a:moveTo>
                                  <a:pt x="1869" y="0"/>
                                </a:moveTo>
                                <a:lnTo>
                                  <a:pt x="1917" y="0"/>
                                </a:lnTo>
                                <a:lnTo>
                                  <a:pt x="1917" y="16"/>
                                </a:lnTo>
                                <a:lnTo>
                                  <a:pt x="1869" y="16"/>
                                </a:lnTo>
                                <a:lnTo>
                                  <a:pt x="1869" y="0"/>
                                </a:lnTo>
                                <a:close/>
                                <a:moveTo>
                                  <a:pt x="1933" y="0"/>
                                </a:moveTo>
                                <a:lnTo>
                                  <a:pt x="1981" y="0"/>
                                </a:lnTo>
                                <a:lnTo>
                                  <a:pt x="1981" y="16"/>
                                </a:lnTo>
                                <a:lnTo>
                                  <a:pt x="1933" y="16"/>
                                </a:lnTo>
                                <a:lnTo>
                                  <a:pt x="1933" y="0"/>
                                </a:lnTo>
                                <a:close/>
                                <a:moveTo>
                                  <a:pt x="1997" y="0"/>
                                </a:moveTo>
                                <a:lnTo>
                                  <a:pt x="2045" y="0"/>
                                </a:lnTo>
                                <a:lnTo>
                                  <a:pt x="2045" y="16"/>
                                </a:lnTo>
                                <a:lnTo>
                                  <a:pt x="1997" y="16"/>
                                </a:lnTo>
                                <a:lnTo>
                                  <a:pt x="1997" y="0"/>
                                </a:lnTo>
                                <a:close/>
                                <a:moveTo>
                                  <a:pt x="2061" y="0"/>
                                </a:moveTo>
                                <a:lnTo>
                                  <a:pt x="2109" y="0"/>
                                </a:lnTo>
                                <a:lnTo>
                                  <a:pt x="2109" y="16"/>
                                </a:lnTo>
                                <a:lnTo>
                                  <a:pt x="2061" y="16"/>
                                </a:lnTo>
                                <a:lnTo>
                                  <a:pt x="2061" y="0"/>
                                </a:lnTo>
                                <a:close/>
                                <a:moveTo>
                                  <a:pt x="2125" y="0"/>
                                </a:moveTo>
                                <a:lnTo>
                                  <a:pt x="2173" y="0"/>
                                </a:lnTo>
                                <a:lnTo>
                                  <a:pt x="2173" y="16"/>
                                </a:lnTo>
                                <a:lnTo>
                                  <a:pt x="2125" y="16"/>
                                </a:lnTo>
                                <a:lnTo>
                                  <a:pt x="2125" y="0"/>
                                </a:lnTo>
                                <a:close/>
                                <a:moveTo>
                                  <a:pt x="2189" y="0"/>
                                </a:moveTo>
                                <a:lnTo>
                                  <a:pt x="2237" y="0"/>
                                </a:lnTo>
                                <a:lnTo>
                                  <a:pt x="2237" y="16"/>
                                </a:lnTo>
                                <a:lnTo>
                                  <a:pt x="2189" y="16"/>
                                </a:lnTo>
                                <a:lnTo>
                                  <a:pt x="2189" y="0"/>
                                </a:lnTo>
                                <a:close/>
                                <a:moveTo>
                                  <a:pt x="2253" y="0"/>
                                </a:moveTo>
                                <a:lnTo>
                                  <a:pt x="2301" y="0"/>
                                </a:lnTo>
                                <a:lnTo>
                                  <a:pt x="2301" y="16"/>
                                </a:lnTo>
                                <a:lnTo>
                                  <a:pt x="2253" y="16"/>
                                </a:lnTo>
                                <a:lnTo>
                                  <a:pt x="2253" y="0"/>
                                </a:lnTo>
                                <a:close/>
                                <a:moveTo>
                                  <a:pt x="2317" y="0"/>
                                </a:moveTo>
                                <a:lnTo>
                                  <a:pt x="2365" y="0"/>
                                </a:lnTo>
                                <a:lnTo>
                                  <a:pt x="2365" y="16"/>
                                </a:lnTo>
                                <a:lnTo>
                                  <a:pt x="2317" y="16"/>
                                </a:lnTo>
                                <a:lnTo>
                                  <a:pt x="2317" y="0"/>
                                </a:lnTo>
                                <a:close/>
                                <a:moveTo>
                                  <a:pt x="2381" y="0"/>
                                </a:moveTo>
                                <a:lnTo>
                                  <a:pt x="2429" y="0"/>
                                </a:lnTo>
                                <a:lnTo>
                                  <a:pt x="2429" y="16"/>
                                </a:lnTo>
                                <a:lnTo>
                                  <a:pt x="2381" y="16"/>
                                </a:lnTo>
                                <a:lnTo>
                                  <a:pt x="2381" y="0"/>
                                </a:lnTo>
                                <a:close/>
                                <a:moveTo>
                                  <a:pt x="2445" y="0"/>
                                </a:moveTo>
                                <a:lnTo>
                                  <a:pt x="2493" y="0"/>
                                </a:lnTo>
                                <a:lnTo>
                                  <a:pt x="2493" y="16"/>
                                </a:lnTo>
                                <a:lnTo>
                                  <a:pt x="2445" y="16"/>
                                </a:lnTo>
                                <a:lnTo>
                                  <a:pt x="2445" y="0"/>
                                </a:lnTo>
                                <a:close/>
                                <a:moveTo>
                                  <a:pt x="2509" y="0"/>
                                </a:moveTo>
                                <a:lnTo>
                                  <a:pt x="2557" y="0"/>
                                </a:lnTo>
                                <a:lnTo>
                                  <a:pt x="2557" y="16"/>
                                </a:lnTo>
                                <a:lnTo>
                                  <a:pt x="2509" y="16"/>
                                </a:lnTo>
                                <a:lnTo>
                                  <a:pt x="2509" y="0"/>
                                </a:lnTo>
                                <a:close/>
                                <a:moveTo>
                                  <a:pt x="2573" y="0"/>
                                </a:moveTo>
                                <a:lnTo>
                                  <a:pt x="2621" y="0"/>
                                </a:lnTo>
                                <a:lnTo>
                                  <a:pt x="2621" y="16"/>
                                </a:lnTo>
                                <a:lnTo>
                                  <a:pt x="2573" y="16"/>
                                </a:lnTo>
                                <a:lnTo>
                                  <a:pt x="2573" y="0"/>
                                </a:lnTo>
                                <a:close/>
                                <a:moveTo>
                                  <a:pt x="2637" y="0"/>
                                </a:moveTo>
                                <a:lnTo>
                                  <a:pt x="2685" y="0"/>
                                </a:lnTo>
                                <a:lnTo>
                                  <a:pt x="2685" y="16"/>
                                </a:lnTo>
                                <a:lnTo>
                                  <a:pt x="2637" y="16"/>
                                </a:lnTo>
                                <a:lnTo>
                                  <a:pt x="2637" y="0"/>
                                </a:lnTo>
                                <a:close/>
                                <a:moveTo>
                                  <a:pt x="2701" y="0"/>
                                </a:moveTo>
                                <a:lnTo>
                                  <a:pt x="2749" y="0"/>
                                </a:lnTo>
                                <a:lnTo>
                                  <a:pt x="2749" y="16"/>
                                </a:lnTo>
                                <a:lnTo>
                                  <a:pt x="2701" y="16"/>
                                </a:lnTo>
                                <a:lnTo>
                                  <a:pt x="2701" y="0"/>
                                </a:lnTo>
                                <a:close/>
                                <a:moveTo>
                                  <a:pt x="2765" y="0"/>
                                </a:moveTo>
                                <a:lnTo>
                                  <a:pt x="2814" y="0"/>
                                </a:lnTo>
                                <a:lnTo>
                                  <a:pt x="2814" y="16"/>
                                </a:lnTo>
                                <a:lnTo>
                                  <a:pt x="2765" y="16"/>
                                </a:lnTo>
                                <a:lnTo>
                                  <a:pt x="2765" y="0"/>
                                </a:lnTo>
                                <a:close/>
                                <a:moveTo>
                                  <a:pt x="2830" y="0"/>
                                </a:moveTo>
                                <a:lnTo>
                                  <a:pt x="2878" y="0"/>
                                </a:lnTo>
                                <a:lnTo>
                                  <a:pt x="2878" y="16"/>
                                </a:lnTo>
                                <a:lnTo>
                                  <a:pt x="2830" y="16"/>
                                </a:lnTo>
                                <a:lnTo>
                                  <a:pt x="2830" y="0"/>
                                </a:lnTo>
                                <a:close/>
                                <a:moveTo>
                                  <a:pt x="2894" y="0"/>
                                </a:moveTo>
                                <a:lnTo>
                                  <a:pt x="2942" y="0"/>
                                </a:lnTo>
                                <a:lnTo>
                                  <a:pt x="2942" y="16"/>
                                </a:lnTo>
                                <a:lnTo>
                                  <a:pt x="2894" y="16"/>
                                </a:lnTo>
                                <a:lnTo>
                                  <a:pt x="2894" y="0"/>
                                </a:lnTo>
                                <a:close/>
                                <a:moveTo>
                                  <a:pt x="2958" y="0"/>
                                </a:moveTo>
                                <a:lnTo>
                                  <a:pt x="3006" y="0"/>
                                </a:lnTo>
                                <a:lnTo>
                                  <a:pt x="3006" y="16"/>
                                </a:lnTo>
                                <a:lnTo>
                                  <a:pt x="2958" y="16"/>
                                </a:lnTo>
                                <a:lnTo>
                                  <a:pt x="2958" y="0"/>
                                </a:lnTo>
                                <a:close/>
                                <a:moveTo>
                                  <a:pt x="3022" y="0"/>
                                </a:moveTo>
                                <a:lnTo>
                                  <a:pt x="3070" y="0"/>
                                </a:lnTo>
                                <a:lnTo>
                                  <a:pt x="3070" y="16"/>
                                </a:lnTo>
                                <a:lnTo>
                                  <a:pt x="3022" y="16"/>
                                </a:lnTo>
                                <a:lnTo>
                                  <a:pt x="3022" y="0"/>
                                </a:lnTo>
                                <a:close/>
                                <a:moveTo>
                                  <a:pt x="3086" y="0"/>
                                </a:moveTo>
                                <a:lnTo>
                                  <a:pt x="3134" y="0"/>
                                </a:lnTo>
                                <a:lnTo>
                                  <a:pt x="3134" y="16"/>
                                </a:lnTo>
                                <a:lnTo>
                                  <a:pt x="3086" y="16"/>
                                </a:lnTo>
                                <a:lnTo>
                                  <a:pt x="3086" y="0"/>
                                </a:lnTo>
                                <a:close/>
                                <a:moveTo>
                                  <a:pt x="3150" y="0"/>
                                </a:moveTo>
                                <a:lnTo>
                                  <a:pt x="3198" y="0"/>
                                </a:lnTo>
                                <a:lnTo>
                                  <a:pt x="3198" y="16"/>
                                </a:lnTo>
                                <a:lnTo>
                                  <a:pt x="3150" y="16"/>
                                </a:lnTo>
                                <a:lnTo>
                                  <a:pt x="3150" y="0"/>
                                </a:lnTo>
                                <a:close/>
                                <a:moveTo>
                                  <a:pt x="3214" y="0"/>
                                </a:moveTo>
                                <a:lnTo>
                                  <a:pt x="3262" y="0"/>
                                </a:lnTo>
                                <a:lnTo>
                                  <a:pt x="3262" y="16"/>
                                </a:lnTo>
                                <a:lnTo>
                                  <a:pt x="3214" y="16"/>
                                </a:lnTo>
                                <a:lnTo>
                                  <a:pt x="3214" y="0"/>
                                </a:lnTo>
                                <a:close/>
                                <a:moveTo>
                                  <a:pt x="3278" y="0"/>
                                </a:moveTo>
                                <a:lnTo>
                                  <a:pt x="3326" y="0"/>
                                </a:lnTo>
                                <a:lnTo>
                                  <a:pt x="3326" y="16"/>
                                </a:lnTo>
                                <a:lnTo>
                                  <a:pt x="3278" y="16"/>
                                </a:lnTo>
                                <a:lnTo>
                                  <a:pt x="3278" y="0"/>
                                </a:lnTo>
                                <a:close/>
                                <a:moveTo>
                                  <a:pt x="3342" y="0"/>
                                </a:moveTo>
                                <a:lnTo>
                                  <a:pt x="3390" y="0"/>
                                </a:lnTo>
                                <a:lnTo>
                                  <a:pt x="3390" y="16"/>
                                </a:lnTo>
                                <a:lnTo>
                                  <a:pt x="3342" y="16"/>
                                </a:lnTo>
                                <a:lnTo>
                                  <a:pt x="3342" y="0"/>
                                </a:lnTo>
                                <a:close/>
                                <a:moveTo>
                                  <a:pt x="3406" y="0"/>
                                </a:moveTo>
                                <a:lnTo>
                                  <a:pt x="3454" y="0"/>
                                </a:lnTo>
                                <a:lnTo>
                                  <a:pt x="3454" y="16"/>
                                </a:lnTo>
                                <a:lnTo>
                                  <a:pt x="3406" y="16"/>
                                </a:lnTo>
                                <a:lnTo>
                                  <a:pt x="3406" y="0"/>
                                </a:lnTo>
                                <a:close/>
                                <a:moveTo>
                                  <a:pt x="3470" y="0"/>
                                </a:moveTo>
                                <a:lnTo>
                                  <a:pt x="3518" y="0"/>
                                </a:lnTo>
                                <a:lnTo>
                                  <a:pt x="3518" y="16"/>
                                </a:lnTo>
                                <a:lnTo>
                                  <a:pt x="3470" y="16"/>
                                </a:lnTo>
                                <a:lnTo>
                                  <a:pt x="3470" y="0"/>
                                </a:lnTo>
                                <a:close/>
                                <a:moveTo>
                                  <a:pt x="3534" y="0"/>
                                </a:moveTo>
                                <a:lnTo>
                                  <a:pt x="3582" y="0"/>
                                </a:lnTo>
                                <a:lnTo>
                                  <a:pt x="3582" y="16"/>
                                </a:lnTo>
                                <a:lnTo>
                                  <a:pt x="3534" y="16"/>
                                </a:lnTo>
                                <a:lnTo>
                                  <a:pt x="3534" y="0"/>
                                </a:lnTo>
                                <a:close/>
                                <a:moveTo>
                                  <a:pt x="3598" y="0"/>
                                </a:moveTo>
                                <a:lnTo>
                                  <a:pt x="3646" y="0"/>
                                </a:lnTo>
                                <a:lnTo>
                                  <a:pt x="3646" y="16"/>
                                </a:lnTo>
                                <a:lnTo>
                                  <a:pt x="3598" y="16"/>
                                </a:lnTo>
                                <a:lnTo>
                                  <a:pt x="3598" y="0"/>
                                </a:lnTo>
                                <a:close/>
                                <a:moveTo>
                                  <a:pt x="3662" y="0"/>
                                </a:moveTo>
                                <a:lnTo>
                                  <a:pt x="3710" y="0"/>
                                </a:lnTo>
                                <a:lnTo>
                                  <a:pt x="3710" y="16"/>
                                </a:lnTo>
                                <a:lnTo>
                                  <a:pt x="3662" y="16"/>
                                </a:lnTo>
                                <a:lnTo>
                                  <a:pt x="3662" y="0"/>
                                </a:lnTo>
                                <a:close/>
                                <a:moveTo>
                                  <a:pt x="3726" y="0"/>
                                </a:moveTo>
                                <a:lnTo>
                                  <a:pt x="3774" y="0"/>
                                </a:lnTo>
                                <a:lnTo>
                                  <a:pt x="3774" y="16"/>
                                </a:lnTo>
                                <a:lnTo>
                                  <a:pt x="3726" y="16"/>
                                </a:lnTo>
                                <a:lnTo>
                                  <a:pt x="3726" y="0"/>
                                </a:lnTo>
                                <a:close/>
                                <a:moveTo>
                                  <a:pt x="3790" y="0"/>
                                </a:moveTo>
                                <a:lnTo>
                                  <a:pt x="3839" y="0"/>
                                </a:lnTo>
                                <a:lnTo>
                                  <a:pt x="3839" y="16"/>
                                </a:lnTo>
                                <a:lnTo>
                                  <a:pt x="3790" y="16"/>
                                </a:lnTo>
                                <a:lnTo>
                                  <a:pt x="3790" y="0"/>
                                </a:lnTo>
                                <a:close/>
                                <a:moveTo>
                                  <a:pt x="3855" y="0"/>
                                </a:moveTo>
                                <a:lnTo>
                                  <a:pt x="3903" y="0"/>
                                </a:lnTo>
                                <a:lnTo>
                                  <a:pt x="3903" y="16"/>
                                </a:lnTo>
                                <a:lnTo>
                                  <a:pt x="3855" y="16"/>
                                </a:lnTo>
                                <a:lnTo>
                                  <a:pt x="3855" y="0"/>
                                </a:lnTo>
                                <a:close/>
                                <a:moveTo>
                                  <a:pt x="3919" y="0"/>
                                </a:moveTo>
                                <a:lnTo>
                                  <a:pt x="3967" y="0"/>
                                </a:lnTo>
                                <a:lnTo>
                                  <a:pt x="3967" y="16"/>
                                </a:lnTo>
                                <a:lnTo>
                                  <a:pt x="3919" y="16"/>
                                </a:lnTo>
                                <a:lnTo>
                                  <a:pt x="3919" y="0"/>
                                </a:lnTo>
                                <a:close/>
                                <a:moveTo>
                                  <a:pt x="3983" y="0"/>
                                </a:moveTo>
                                <a:lnTo>
                                  <a:pt x="4031" y="0"/>
                                </a:lnTo>
                                <a:lnTo>
                                  <a:pt x="4031" y="16"/>
                                </a:lnTo>
                                <a:lnTo>
                                  <a:pt x="3983" y="16"/>
                                </a:lnTo>
                                <a:lnTo>
                                  <a:pt x="3983" y="0"/>
                                </a:lnTo>
                                <a:close/>
                                <a:moveTo>
                                  <a:pt x="4047" y="0"/>
                                </a:moveTo>
                                <a:lnTo>
                                  <a:pt x="4095" y="0"/>
                                </a:lnTo>
                                <a:lnTo>
                                  <a:pt x="4095" y="16"/>
                                </a:lnTo>
                                <a:lnTo>
                                  <a:pt x="4047" y="16"/>
                                </a:lnTo>
                                <a:lnTo>
                                  <a:pt x="4047" y="0"/>
                                </a:lnTo>
                                <a:close/>
                                <a:moveTo>
                                  <a:pt x="4111" y="0"/>
                                </a:moveTo>
                                <a:lnTo>
                                  <a:pt x="4159" y="0"/>
                                </a:lnTo>
                                <a:lnTo>
                                  <a:pt x="4159" y="16"/>
                                </a:lnTo>
                                <a:lnTo>
                                  <a:pt x="4111" y="16"/>
                                </a:lnTo>
                                <a:lnTo>
                                  <a:pt x="4111" y="0"/>
                                </a:lnTo>
                                <a:close/>
                                <a:moveTo>
                                  <a:pt x="4175" y="0"/>
                                </a:moveTo>
                                <a:lnTo>
                                  <a:pt x="4223" y="0"/>
                                </a:lnTo>
                                <a:lnTo>
                                  <a:pt x="4223" y="16"/>
                                </a:lnTo>
                                <a:lnTo>
                                  <a:pt x="4175" y="16"/>
                                </a:lnTo>
                                <a:lnTo>
                                  <a:pt x="4175" y="0"/>
                                </a:lnTo>
                                <a:close/>
                                <a:moveTo>
                                  <a:pt x="4239" y="0"/>
                                </a:moveTo>
                                <a:lnTo>
                                  <a:pt x="4287" y="0"/>
                                </a:lnTo>
                                <a:lnTo>
                                  <a:pt x="4287" y="16"/>
                                </a:lnTo>
                                <a:lnTo>
                                  <a:pt x="4239" y="16"/>
                                </a:lnTo>
                                <a:lnTo>
                                  <a:pt x="4239" y="0"/>
                                </a:lnTo>
                                <a:close/>
                                <a:moveTo>
                                  <a:pt x="4303" y="0"/>
                                </a:moveTo>
                                <a:lnTo>
                                  <a:pt x="4351" y="0"/>
                                </a:lnTo>
                                <a:lnTo>
                                  <a:pt x="4351" y="16"/>
                                </a:lnTo>
                                <a:lnTo>
                                  <a:pt x="4303" y="16"/>
                                </a:lnTo>
                                <a:lnTo>
                                  <a:pt x="4303" y="0"/>
                                </a:lnTo>
                                <a:close/>
                                <a:moveTo>
                                  <a:pt x="4367" y="0"/>
                                </a:moveTo>
                                <a:lnTo>
                                  <a:pt x="4415" y="0"/>
                                </a:lnTo>
                                <a:lnTo>
                                  <a:pt x="4415" y="16"/>
                                </a:lnTo>
                                <a:lnTo>
                                  <a:pt x="4367" y="16"/>
                                </a:lnTo>
                                <a:lnTo>
                                  <a:pt x="4367" y="0"/>
                                </a:lnTo>
                                <a:close/>
                                <a:moveTo>
                                  <a:pt x="4431" y="0"/>
                                </a:moveTo>
                                <a:lnTo>
                                  <a:pt x="4479" y="0"/>
                                </a:lnTo>
                                <a:lnTo>
                                  <a:pt x="4479" y="16"/>
                                </a:lnTo>
                                <a:lnTo>
                                  <a:pt x="4431" y="16"/>
                                </a:lnTo>
                                <a:lnTo>
                                  <a:pt x="4431" y="0"/>
                                </a:lnTo>
                                <a:close/>
                                <a:moveTo>
                                  <a:pt x="4495" y="0"/>
                                </a:moveTo>
                                <a:lnTo>
                                  <a:pt x="4543" y="0"/>
                                </a:lnTo>
                                <a:lnTo>
                                  <a:pt x="4543" y="16"/>
                                </a:lnTo>
                                <a:lnTo>
                                  <a:pt x="4495" y="16"/>
                                </a:lnTo>
                                <a:lnTo>
                                  <a:pt x="4495" y="0"/>
                                </a:lnTo>
                                <a:close/>
                                <a:moveTo>
                                  <a:pt x="4559" y="0"/>
                                </a:moveTo>
                                <a:lnTo>
                                  <a:pt x="4607" y="0"/>
                                </a:lnTo>
                                <a:lnTo>
                                  <a:pt x="4607" y="16"/>
                                </a:lnTo>
                                <a:lnTo>
                                  <a:pt x="4559" y="16"/>
                                </a:lnTo>
                                <a:lnTo>
                                  <a:pt x="4559" y="0"/>
                                </a:lnTo>
                                <a:close/>
                                <a:moveTo>
                                  <a:pt x="4623" y="0"/>
                                </a:moveTo>
                                <a:lnTo>
                                  <a:pt x="4671" y="0"/>
                                </a:lnTo>
                                <a:lnTo>
                                  <a:pt x="4671" y="16"/>
                                </a:lnTo>
                                <a:lnTo>
                                  <a:pt x="4623" y="16"/>
                                </a:lnTo>
                                <a:lnTo>
                                  <a:pt x="4623" y="0"/>
                                </a:lnTo>
                                <a:close/>
                                <a:moveTo>
                                  <a:pt x="4687" y="0"/>
                                </a:moveTo>
                                <a:lnTo>
                                  <a:pt x="4735" y="0"/>
                                </a:lnTo>
                                <a:lnTo>
                                  <a:pt x="4735" y="16"/>
                                </a:lnTo>
                                <a:lnTo>
                                  <a:pt x="4687" y="16"/>
                                </a:lnTo>
                                <a:lnTo>
                                  <a:pt x="4687" y="0"/>
                                </a:lnTo>
                                <a:close/>
                                <a:moveTo>
                                  <a:pt x="4751" y="0"/>
                                </a:moveTo>
                                <a:lnTo>
                                  <a:pt x="4800" y="0"/>
                                </a:lnTo>
                                <a:lnTo>
                                  <a:pt x="4800" y="16"/>
                                </a:lnTo>
                                <a:lnTo>
                                  <a:pt x="4751" y="16"/>
                                </a:lnTo>
                                <a:lnTo>
                                  <a:pt x="4751" y="0"/>
                                </a:lnTo>
                                <a:close/>
                                <a:moveTo>
                                  <a:pt x="4816" y="0"/>
                                </a:moveTo>
                                <a:lnTo>
                                  <a:pt x="4864" y="0"/>
                                </a:lnTo>
                                <a:lnTo>
                                  <a:pt x="4864" y="16"/>
                                </a:lnTo>
                                <a:lnTo>
                                  <a:pt x="4816" y="16"/>
                                </a:lnTo>
                                <a:lnTo>
                                  <a:pt x="4816" y="0"/>
                                </a:lnTo>
                                <a:close/>
                                <a:moveTo>
                                  <a:pt x="4880" y="0"/>
                                </a:moveTo>
                                <a:lnTo>
                                  <a:pt x="4928" y="0"/>
                                </a:lnTo>
                                <a:lnTo>
                                  <a:pt x="4928" y="16"/>
                                </a:lnTo>
                                <a:lnTo>
                                  <a:pt x="4880" y="16"/>
                                </a:lnTo>
                                <a:lnTo>
                                  <a:pt x="4880" y="0"/>
                                </a:lnTo>
                                <a:close/>
                                <a:moveTo>
                                  <a:pt x="4944" y="0"/>
                                </a:moveTo>
                                <a:lnTo>
                                  <a:pt x="4992" y="0"/>
                                </a:lnTo>
                                <a:lnTo>
                                  <a:pt x="4992" y="16"/>
                                </a:lnTo>
                                <a:lnTo>
                                  <a:pt x="4944" y="16"/>
                                </a:lnTo>
                                <a:lnTo>
                                  <a:pt x="4944" y="0"/>
                                </a:lnTo>
                                <a:close/>
                                <a:moveTo>
                                  <a:pt x="5008" y="0"/>
                                </a:moveTo>
                                <a:lnTo>
                                  <a:pt x="5056" y="0"/>
                                </a:lnTo>
                                <a:lnTo>
                                  <a:pt x="5056" y="16"/>
                                </a:lnTo>
                                <a:lnTo>
                                  <a:pt x="5008" y="16"/>
                                </a:lnTo>
                                <a:lnTo>
                                  <a:pt x="5008" y="0"/>
                                </a:lnTo>
                                <a:close/>
                                <a:moveTo>
                                  <a:pt x="5072" y="0"/>
                                </a:moveTo>
                                <a:lnTo>
                                  <a:pt x="5120" y="0"/>
                                </a:lnTo>
                                <a:lnTo>
                                  <a:pt x="5120" y="16"/>
                                </a:lnTo>
                                <a:lnTo>
                                  <a:pt x="5072" y="16"/>
                                </a:lnTo>
                                <a:lnTo>
                                  <a:pt x="5072" y="0"/>
                                </a:lnTo>
                                <a:close/>
                                <a:moveTo>
                                  <a:pt x="5136" y="0"/>
                                </a:moveTo>
                                <a:lnTo>
                                  <a:pt x="5184" y="0"/>
                                </a:lnTo>
                                <a:lnTo>
                                  <a:pt x="5184" y="16"/>
                                </a:lnTo>
                                <a:lnTo>
                                  <a:pt x="5136" y="16"/>
                                </a:lnTo>
                                <a:lnTo>
                                  <a:pt x="5136" y="0"/>
                                </a:lnTo>
                                <a:close/>
                                <a:moveTo>
                                  <a:pt x="5200" y="0"/>
                                </a:moveTo>
                                <a:lnTo>
                                  <a:pt x="5248" y="0"/>
                                </a:lnTo>
                                <a:lnTo>
                                  <a:pt x="5248" y="16"/>
                                </a:lnTo>
                                <a:lnTo>
                                  <a:pt x="5200" y="16"/>
                                </a:lnTo>
                                <a:lnTo>
                                  <a:pt x="5200" y="0"/>
                                </a:lnTo>
                                <a:close/>
                                <a:moveTo>
                                  <a:pt x="5264" y="0"/>
                                </a:moveTo>
                                <a:lnTo>
                                  <a:pt x="5312" y="0"/>
                                </a:lnTo>
                                <a:lnTo>
                                  <a:pt x="5312" y="16"/>
                                </a:lnTo>
                                <a:lnTo>
                                  <a:pt x="5264" y="16"/>
                                </a:lnTo>
                                <a:lnTo>
                                  <a:pt x="5264" y="0"/>
                                </a:lnTo>
                                <a:close/>
                                <a:moveTo>
                                  <a:pt x="5328" y="0"/>
                                </a:moveTo>
                                <a:lnTo>
                                  <a:pt x="5376" y="0"/>
                                </a:lnTo>
                                <a:lnTo>
                                  <a:pt x="5376" y="16"/>
                                </a:lnTo>
                                <a:lnTo>
                                  <a:pt x="5328" y="16"/>
                                </a:lnTo>
                                <a:lnTo>
                                  <a:pt x="5328" y="0"/>
                                </a:lnTo>
                                <a:close/>
                                <a:moveTo>
                                  <a:pt x="5392" y="0"/>
                                </a:moveTo>
                                <a:lnTo>
                                  <a:pt x="5440" y="0"/>
                                </a:lnTo>
                                <a:lnTo>
                                  <a:pt x="5440" y="16"/>
                                </a:lnTo>
                                <a:lnTo>
                                  <a:pt x="5392" y="16"/>
                                </a:lnTo>
                                <a:lnTo>
                                  <a:pt x="5392" y="0"/>
                                </a:lnTo>
                                <a:close/>
                                <a:moveTo>
                                  <a:pt x="5456" y="0"/>
                                </a:moveTo>
                                <a:lnTo>
                                  <a:pt x="5504" y="0"/>
                                </a:lnTo>
                                <a:lnTo>
                                  <a:pt x="5504" y="16"/>
                                </a:lnTo>
                                <a:lnTo>
                                  <a:pt x="5456" y="16"/>
                                </a:lnTo>
                                <a:lnTo>
                                  <a:pt x="5456" y="0"/>
                                </a:lnTo>
                                <a:close/>
                                <a:moveTo>
                                  <a:pt x="5520" y="0"/>
                                </a:moveTo>
                                <a:lnTo>
                                  <a:pt x="5568" y="0"/>
                                </a:lnTo>
                                <a:lnTo>
                                  <a:pt x="5568" y="16"/>
                                </a:lnTo>
                                <a:lnTo>
                                  <a:pt x="5520" y="16"/>
                                </a:lnTo>
                                <a:lnTo>
                                  <a:pt x="5520" y="0"/>
                                </a:lnTo>
                                <a:close/>
                                <a:moveTo>
                                  <a:pt x="5584" y="0"/>
                                </a:moveTo>
                                <a:lnTo>
                                  <a:pt x="5632" y="0"/>
                                </a:lnTo>
                                <a:lnTo>
                                  <a:pt x="5632" y="16"/>
                                </a:lnTo>
                                <a:lnTo>
                                  <a:pt x="5584" y="16"/>
                                </a:lnTo>
                                <a:lnTo>
                                  <a:pt x="5584" y="0"/>
                                </a:lnTo>
                                <a:close/>
                                <a:moveTo>
                                  <a:pt x="5648" y="0"/>
                                </a:moveTo>
                                <a:lnTo>
                                  <a:pt x="5696" y="0"/>
                                </a:lnTo>
                                <a:lnTo>
                                  <a:pt x="5696" y="16"/>
                                </a:lnTo>
                                <a:lnTo>
                                  <a:pt x="5648" y="16"/>
                                </a:lnTo>
                                <a:lnTo>
                                  <a:pt x="5648" y="0"/>
                                </a:lnTo>
                                <a:close/>
                                <a:moveTo>
                                  <a:pt x="5712" y="0"/>
                                </a:moveTo>
                                <a:lnTo>
                                  <a:pt x="5760" y="0"/>
                                </a:lnTo>
                                <a:lnTo>
                                  <a:pt x="5760" y="16"/>
                                </a:lnTo>
                                <a:lnTo>
                                  <a:pt x="5712" y="16"/>
                                </a:lnTo>
                                <a:lnTo>
                                  <a:pt x="5712" y="0"/>
                                </a:lnTo>
                                <a:close/>
                                <a:moveTo>
                                  <a:pt x="5776" y="0"/>
                                </a:moveTo>
                                <a:lnTo>
                                  <a:pt x="5825" y="0"/>
                                </a:lnTo>
                                <a:lnTo>
                                  <a:pt x="5825" y="16"/>
                                </a:lnTo>
                                <a:lnTo>
                                  <a:pt x="5776" y="16"/>
                                </a:lnTo>
                                <a:lnTo>
                                  <a:pt x="5776" y="0"/>
                                </a:lnTo>
                                <a:close/>
                                <a:moveTo>
                                  <a:pt x="5841" y="0"/>
                                </a:moveTo>
                                <a:lnTo>
                                  <a:pt x="5889" y="0"/>
                                </a:lnTo>
                                <a:lnTo>
                                  <a:pt x="5889" y="16"/>
                                </a:lnTo>
                                <a:lnTo>
                                  <a:pt x="5841" y="16"/>
                                </a:lnTo>
                                <a:lnTo>
                                  <a:pt x="5841" y="0"/>
                                </a:lnTo>
                                <a:close/>
                                <a:moveTo>
                                  <a:pt x="5905" y="0"/>
                                </a:moveTo>
                                <a:lnTo>
                                  <a:pt x="5953" y="0"/>
                                </a:lnTo>
                                <a:lnTo>
                                  <a:pt x="5953" y="16"/>
                                </a:lnTo>
                                <a:lnTo>
                                  <a:pt x="5905" y="16"/>
                                </a:lnTo>
                                <a:lnTo>
                                  <a:pt x="5905" y="0"/>
                                </a:lnTo>
                                <a:close/>
                                <a:moveTo>
                                  <a:pt x="5969" y="0"/>
                                </a:moveTo>
                                <a:lnTo>
                                  <a:pt x="6017" y="0"/>
                                </a:lnTo>
                                <a:lnTo>
                                  <a:pt x="6017" y="16"/>
                                </a:lnTo>
                                <a:lnTo>
                                  <a:pt x="5969" y="16"/>
                                </a:lnTo>
                                <a:lnTo>
                                  <a:pt x="5969" y="0"/>
                                </a:lnTo>
                                <a:close/>
                                <a:moveTo>
                                  <a:pt x="6033" y="0"/>
                                </a:moveTo>
                                <a:lnTo>
                                  <a:pt x="6081" y="0"/>
                                </a:lnTo>
                                <a:lnTo>
                                  <a:pt x="6081" y="16"/>
                                </a:lnTo>
                                <a:lnTo>
                                  <a:pt x="6033" y="16"/>
                                </a:lnTo>
                                <a:lnTo>
                                  <a:pt x="6033" y="0"/>
                                </a:lnTo>
                                <a:close/>
                                <a:moveTo>
                                  <a:pt x="6097" y="0"/>
                                </a:moveTo>
                                <a:lnTo>
                                  <a:pt x="6145" y="0"/>
                                </a:lnTo>
                                <a:lnTo>
                                  <a:pt x="6145" y="16"/>
                                </a:lnTo>
                                <a:lnTo>
                                  <a:pt x="6097" y="16"/>
                                </a:lnTo>
                                <a:lnTo>
                                  <a:pt x="6097" y="0"/>
                                </a:lnTo>
                                <a:close/>
                                <a:moveTo>
                                  <a:pt x="6161" y="0"/>
                                </a:moveTo>
                                <a:lnTo>
                                  <a:pt x="6209" y="0"/>
                                </a:lnTo>
                                <a:lnTo>
                                  <a:pt x="6209" y="16"/>
                                </a:lnTo>
                                <a:lnTo>
                                  <a:pt x="6161" y="16"/>
                                </a:lnTo>
                                <a:lnTo>
                                  <a:pt x="6161" y="0"/>
                                </a:lnTo>
                                <a:close/>
                                <a:moveTo>
                                  <a:pt x="6225" y="0"/>
                                </a:moveTo>
                                <a:lnTo>
                                  <a:pt x="6273" y="0"/>
                                </a:lnTo>
                                <a:lnTo>
                                  <a:pt x="6273" y="16"/>
                                </a:lnTo>
                                <a:lnTo>
                                  <a:pt x="6225" y="16"/>
                                </a:lnTo>
                                <a:lnTo>
                                  <a:pt x="6225" y="0"/>
                                </a:lnTo>
                                <a:close/>
                                <a:moveTo>
                                  <a:pt x="6289" y="0"/>
                                </a:moveTo>
                                <a:lnTo>
                                  <a:pt x="6337" y="0"/>
                                </a:lnTo>
                                <a:lnTo>
                                  <a:pt x="6337" y="16"/>
                                </a:lnTo>
                                <a:lnTo>
                                  <a:pt x="6289" y="16"/>
                                </a:lnTo>
                                <a:lnTo>
                                  <a:pt x="6289" y="0"/>
                                </a:lnTo>
                                <a:close/>
                                <a:moveTo>
                                  <a:pt x="6353" y="0"/>
                                </a:moveTo>
                                <a:lnTo>
                                  <a:pt x="6401" y="0"/>
                                </a:lnTo>
                                <a:lnTo>
                                  <a:pt x="6401" y="16"/>
                                </a:lnTo>
                                <a:lnTo>
                                  <a:pt x="6353" y="16"/>
                                </a:lnTo>
                                <a:lnTo>
                                  <a:pt x="6353" y="0"/>
                                </a:lnTo>
                                <a:close/>
                                <a:moveTo>
                                  <a:pt x="6417" y="0"/>
                                </a:moveTo>
                                <a:lnTo>
                                  <a:pt x="6465" y="0"/>
                                </a:lnTo>
                                <a:lnTo>
                                  <a:pt x="6465" y="16"/>
                                </a:lnTo>
                                <a:lnTo>
                                  <a:pt x="6417" y="16"/>
                                </a:lnTo>
                                <a:lnTo>
                                  <a:pt x="6417" y="0"/>
                                </a:lnTo>
                                <a:close/>
                                <a:moveTo>
                                  <a:pt x="6481" y="0"/>
                                </a:moveTo>
                                <a:lnTo>
                                  <a:pt x="6529" y="0"/>
                                </a:lnTo>
                                <a:lnTo>
                                  <a:pt x="6529" y="16"/>
                                </a:lnTo>
                                <a:lnTo>
                                  <a:pt x="6481" y="16"/>
                                </a:lnTo>
                                <a:lnTo>
                                  <a:pt x="6481" y="0"/>
                                </a:lnTo>
                                <a:close/>
                                <a:moveTo>
                                  <a:pt x="6545" y="0"/>
                                </a:moveTo>
                                <a:lnTo>
                                  <a:pt x="6593" y="0"/>
                                </a:lnTo>
                                <a:lnTo>
                                  <a:pt x="6593" y="16"/>
                                </a:lnTo>
                                <a:lnTo>
                                  <a:pt x="6545" y="16"/>
                                </a:lnTo>
                                <a:lnTo>
                                  <a:pt x="6545" y="0"/>
                                </a:lnTo>
                                <a:close/>
                                <a:moveTo>
                                  <a:pt x="6609" y="0"/>
                                </a:moveTo>
                                <a:lnTo>
                                  <a:pt x="6657" y="0"/>
                                </a:lnTo>
                                <a:lnTo>
                                  <a:pt x="6657" y="16"/>
                                </a:lnTo>
                                <a:lnTo>
                                  <a:pt x="6609" y="16"/>
                                </a:lnTo>
                                <a:lnTo>
                                  <a:pt x="6609" y="0"/>
                                </a:lnTo>
                                <a:close/>
                                <a:moveTo>
                                  <a:pt x="6673" y="0"/>
                                </a:moveTo>
                                <a:lnTo>
                                  <a:pt x="6721" y="0"/>
                                </a:lnTo>
                                <a:lnTo>
                                  <a:pt x="6721" y="16"/>
                                </a:lnTo>
                                <a:lnTo>
                                  <a:pt x="6673" y="16"/>
                                </a:lnTo>
                                <a:lnTo>
                                  <a:pt x="6673" y="0"/>
                                </a:lnTo>
                                <a:close/>
                                <a:moveTo>
                                  <a:pt x="6737" y="0"/>
                                </a:moveTo>
                                <a:lnTo>
                                  <a:pt x="6786" y="0"/>
                                </a:lnTo>
                                <a:lnTo>
                                  <a:pt x="6786" y="16"/>
                                </a:lnTo>
                                <a:lnTo>
                                  <a:pt x="6737" y="16"/>
                                </a:lnTo>
                                <a:lnTo>
                                  <a:pt x="6737" y="0"/>
                                </a:lnTo>
                                <a:close/>
                                <a:moveTo>
                                  <a:pt x="6802" y="0"/>
                                </a:moveTo>
                                <a:lnTo>
                                  <a:pt x="6850" y="0"/>
                                </a:lnTo>
                                <a:lnTo>
                                  <a:pt x="6850" y="16"/>
                                </a:lnTo>
                                <a:lnTo>
                                  <a:pt x="6802" y="16"/>
                                </a:lnTo>
                                <a:lnTo>
                                  <a:pt x="6802" y="0"/>
                                </a:lnTo>
                                <a:close/>
                                <a:moveTo>
                                  <a:pt x="6866" y="0"/>
                                </a:moveTo>
                                <a:lnTo>
                                  <a:pt x="6914" y="0"/>
                                </a:lnTo>
                                <a:lnTo>
                                  <a:pt x="6914" y="16"/>
                                </a:lnTo>
                                <a:lnTo>
                                  <a:pt x="6866" y="16"/>
                                </a:lnTo>
                                <a:lnTo>
                                  <a:pt x="6866" y="0"/>
                                </a:lnTo>
                                <a:close/>
                                <a:moveTo>
                                  <a:pt x="6930" y="0"/>
                                </a:moveTo>
                                <a:lnTo>
                                  <a:pt x="6978" y="0"/>
                                </a:lnTo>
                                <a:lnTo>
                                  <a:pt x="6978" y="16"/>
                                </a:lnTo>
                                <a:lnTo>
                                  <a:pt x="6930" y="16"/>
                                </a:lnTo>
                                <a:lnTo>
                                  <a:pt x="6930" y="0"/>
                                </a:lnTo>
                                <a:close/>
                                <a:moveTo>
                                  <a:pt x="6994" y="0"/>
                                </a:moveTo>
                                <a:lnTo>
                                  <a:pt x="7042" y="0"/>
                                </a:lnTo>
                                <a:lnTo>
                                  <a:pt x="7042" y="16"/>
                                </a:lnTo>
                                <a:lnTo>
                                  <a:pt x="6994" y="16"/>
                                </a:lnTo>
                                <a:lnTo>
                                  <a:pt x="6994" y="0"/>
                                </a:lnTo>
                                <a:close/>
                                <a:moveTo>
                                  <a:pt x="7058" y="0"/>
                                </a:moveTo>
                                <a:lnTo>
                                  <a:pt x="7106" y="0"/>
                                </a:lnTo>
                                <a:lnTo>
                                  <a:pt x="7106" y="16"/>
                                </a:lnTo>
                                <a:lnTo>
                                  <a:pt x="7058" y="16"/>
                                </a:lnTo>
                                <a:lnTo>
                                  <a:pt x="7058" y="0"/>
                                </a:lnTo>
                                <a:close/>
                                <a:moveTo>
                                  <a:pt x="7122" y="0"/>
                                </a:moveTo>
                                <a:lnTo>
                                  <a:pt x="7170" y="0"/>
                                </a:lnTo>
                                <a:lnTo>
                                  <a:pt x="7170" y="16"/>
                                </a:lnTo>
                                <a:lnTo>
                                  <a:pt x="7122" y="16"/>
                                </a:lnTo>
                                <a:lnTo>
                                  <a:pt x="7122" y="0"/>
                                </a:lnTo>
                                <a:close/>
                                <a:moveTo>
                                  <a:pt x="7186" y="0"/>
                                </a:moveTo>
                                <a:lnTo>
                                  <a:pt x="7234" y="0"/>
                                </a:lnTo>
                                <a:lnTo>
                                  <a:pt x="7234" y="16"/>
                                </a:lnTo>
                                <a:lnTo>
                                  <a:pt x="7186" y="16"/>
                                </a:lnTo>
                                <a:lnTo>
                                  <a:pt x="7186" y="0"/>
                                </a:lnTo>
                                <a:close/>
                                <a:moveTo>
                                  <a:pt x="7250" y="0"/>
                                </a:moveTo>
                                <a:lnTo>
                                  <a:pt x="7298" y="0"/>
                                </a:lnTo>
                                <a:lnTo>
                                  <a:pt x="7298" y="16"/>
                                </a:lnTo>
                                <a:lnTo>
                                  <a:pt x="7250" y="16"/>
                                </a:lnTo>
                                <a:lnTo>
                                  <a:pt x="7250" y="0"/>
                                </a:lnTo>
                                <a:close/>
                                <a:moveTo>
                                  <a:pt x="7314" y="0"/>
                                </a:moveTo>
                                <a:lnTo>
                                  <a:pt x="7362" y="0"/>
                                </a:lnTo>
                                <a:lnTo>
                                  <a:pt x="7362" y="16"/>
                                </a:lnTo>
                                <a:lnTo>
                                  <a:pt x="7314" y="16"/>
                                </a:lnTo>
                                <a:lnTo>
                                  <a:pt x="7314" y="0"/>
                                </a:lnTo>
                                <a:close/>
                                <a:moveTo>
                                  <a:pt x="7378" y="0"/>
                                </a:moveTo>
                                <a:lnTo>
                                  <a:pt x="7426" y="0"/>
                                </a:lnTo>
                                <a:lnTo>
                                  <a:pt x="7426" y="16"/>
                                </a:lnTo>
                                <a:lnTo>
                                  <a:pt x="7378" y="16"/>
                                </a:lnTo>
                                <a:lnTo>
                                  <a:pt x="7378" y="0"/>
                                </a:lnTo>
                                <a:close/>
                                <a:moveTo>
                                  <a:pt x="7442" y="0"/>
                                </a:moveTo>
                                <a:lnTo>
                                  <a:pt x="7490" y="0"/>
                                </a:lnTo>
                                <a:lnTo>
                                  <a:pt x="7490" y="16"/>
                                </a:lnTo>
                                <a:lnTo>
                                  <a:pt x="7442" y="16"/>
                                </a:lnTo>
                                <a:lnTo>
                                  <a:pt x="7442" y="0"/>
                                </a:lnTo>
                                <a:close/>
                                <a:moveTo>
                                  <a:pt x="7506" y="0"/>
                                </a:moveTo>
                                <a:lnTo>
                                  <a:pt x="7554" y="0"/>
                                </a:lnTo>
                                <a:lnTo>
                                  <a:pt x="7554" y="16"/>
                                </a:lnTo>
                                <a:lnTo>
                                  <a:pt x="7506" y="16"/>
                                </a:lnTo>
                                <a:lnTo>
                                  <a:pt x="7506" y="0"/>
                                </a:lnTo>
                                <a:close/>
                                <a:moveTo>
                                  <a:pt x="7570" y="0"/>
                                </a:moveTo>
                                <a:lnTo>
                                  <a:pt x="7618" y="0"/>
                                </a:lnTo>
                                <a:lnTo>
                                  <a:pt x="7618" y="16"/>
                                </a:lnTo>
                                <a:lnTo>
                                  <a:pt x="7570" y="16"/>
                                </a:lnTo>
                                <a:lnTo>
                                  <a:pt x="7570" y="0"/>
                                </a:lnTo>
                                <a:close/>
                                <a:moveTo>
                                  <a:pt x="7634" y="0"/>
                                </a:moveTo>
                                <a:lnTo>
                                  <a:pt x="7682" y="0"/>
                                </a:lnTo>
                                <a:lnTo>
                                  <a:pt x="7682" y="16"/>
                                </a:lnTo>
                                <a:lnTo>
                                  <a:pt x="7634" y="16"/>
                                </a:lnTo>
                                <a:lnTo>
                                  <a:pt x="7634" y="0"/>
                                </a:lnTo>
                                <a:close/>
                                <a:moveTo>
                                  <a:pt x="7698" y="0"/>
                                </a:moveTo>
                                <a:lnTo>
                                  <a:pt x="7746" y="0"/>
                                </a:lnTo>
                                <a:lnTo>
                                  <a:pt x="7746" y="16"/>
                                </a:lnTo>
                                <a:lnTo>
                                  <a:pt x="7698" y="16"/>
                                </a:lnTo>
                                <a:lnTo>
                                  <a:pt x="7698" y="0"/>
                                </a:lnTo>
                                <a:close/>
                                <a:moveTo>
                                  <a:pt x="7762" y="0"/>
                                </a:moveTo>
                                <a:lnTo>
                                  <a:pt x="7811" y="0"/>
                                </a:lnTo>
                                <a:lnTo>
                                  <a:pt x="7811" y="16"/>
                                </a:lnTo>
                                <a:lnTo>
                                  <a:pt x="7762" y="16"/>
                                </a:lnTo>
                                <a:lnTo>
                                  <a:pt x="7762" y="0"/>
                                </a:lnTo>
                                <a:close/>
                                <a:moveTo>
                                  <a:pt x="7827" y="0"/>
                                </a:moveTo>
                                <a:lnTo>
                                  <a:pt x="7875" y="0"/>
                                </a:lnTo>
                                <a:lnTo>
                                  <a:pt x="7875" y="16"/>
                                </a:lnTo>
                                <a:lnTo>
                                  <a:pt x="7827" y="16"/>
                                </a:lnTo>
                                <a:lnTo>
                                  <a:pt x="7827" y="0"/>
                                </a:lnTo>
                                <a:close/>
                                <a:moveTo>
                                  <a:pt x="7891" y="0"/>
                                </a:moveTo>
                                <a:lnTo>
                                  <a:pt x="7939" y="0"/>
                                </a:lnTo>
                                <a:lnTo>
                                  <a:pt x="7939" y="16"/>
                                </a:lnTo>
                                <a:lnTo>
                                  <a:pt x="7891" y="16"/>
                                </a:lnTo>
                                <a:lnTo>
                                  <a:pt x="7891" y="0"/>
                                </a:lnTo>
                                <a:close/>
                                <a:moveTo>
                                  <a:pt x="7955" y="0"/>
                                </a:moveTo>
                                <a:lnTo>
                                  <a:pt x="8003" y="0"/>
                                </a:lnTo>
                                <a:lnTo>
                                  <a:pt x="8003" y="16"/>
                                </a:lnTo>
                                <a:lnTo>
                                  <a:pt x="7955" y="16"/>
                                </a:lnTo>
                                <a:lnTo>
                                  <a:pt x="7955" y="0"/>
                                </a:lnTo>
                                <a:close/>
                                <a:moveTo>
                                  <a:pt x="8019" y="0"/>
                                </a:moveTo>
                                <a:lnTo>
                                  <a:pt x="8067" y="0"/>
                                </a:lnTo>
                                <a:lnTo>
                                  <a:pt x="8067" y="16"/>
                                </a:lnTo>
                                <a:lnTo>
                                  <a:pt x="8019" y="16"/>
                                </a:lnTo>
                                <a:lnTo>
                                  <a:pt x="8019" y="0"/>
                                </a:lnTo>
                                <a:close/>
                                <a:moveTo>
                                  <a:pt x="8083" y="0"/>
                                </a:moveTo>
                                <a:lnTo>
                                  <a:pt x="8131" y="0"/>
                                </a:lnTo>
                                <a:lnTo>
                                  <a:pt x="8131" y="16"/>
                                </a:lnTo>
                                <a:lnTo>
                                  <a:pt x="8083" y="16"/>
                                </a:lnTo>
                                <a:lnTo>
                                  <a:pt x="8083" y="0"/>
                                </a:lnTo>
                                <a:close/>
                                <a:moveTo>
                                  <a:pt x="8147" y="0"/>
                                </a:moveTo>
                                <a:lnTo>
                                  <a:pt x="8195" y="0"/>
                                </a:lnTo>
                                <a:lnTo>
                                  <a:pt x="8195" y="16"/>
                                </a:lnTo>
                                <a:lnTo>
                                  <a:pt x="8147" y="16"/>
                                </a:lnTo>
                                <a:lnTo>
                                  <a:pt x="8147" y="0"/>
                                </a:lnTo>
                                <a:close/>
                                <a:moveTo>
                                  <a:pt x="8211" y="0"/>
                                </a:moveTo>
                                <a:lnTo>
                                  <a:pt x="8259" y="0"/>
                                </a:lnTo>
                                <a:lnTo>
                                  <a:pt x="8259" y="16"/>
                                </a:lnTo>
                                <a:lnTo>
                                  <a:pt x="8211" y="16"/>
                                </a:lnTo>
                                <a:lnTo>
                                  <a:pt x="8211" y="0"/>
                                </a:lnTo>
                                <a:close/>
                                <a:moveTo>
                                  <a:pt x="8275" y="0"/>
                                </a:moveTo>
                                <a:lnTo>
                                  <a:pt x="8323" y="0"/>
                                </a:lnTo>
                                <a:lnTo>
                                  <a:pt x="8323" y="16"/>
                                </a:lnTo>
                                <a:lnTo>
                                  <a:pt x="8275" y="16"/>
                                </a:lnTo>
                                <a:lnTo>
                                  <a:pt x="8275" y="0"/>
                                </a:lnTo>
                                <a:close/>
                                <a:moveTo>
                                  <a:pt x="8339" y="0"/>
                                </a:moveTo>
                                <a:lnTo>
                                  <a:pt x="8387" y="0"/>
                                </a:lnTo>
                                <a:lnTo>
                                  <a:pt x="8387" y="16"/>
                                </a:lnTo>
                                <a:lnTo>
                                  <a:pt x="8339" y="16"/>
                                </a:lnTo>
                                <a:lnTo>
                                  <a:pt x="8339" y="0"/>
                                </a:lnTo>
                                <a:close/>
                                <a:moveTo>
                                  <a:pt x="8403" y="0"/>
                                </a:moveTo>
                                <a:lnTo>
                                  <a:pt x="8451" y="0"/>
                                </a:lnTo>
                                <a:lnTo>
                                  <a:pt x="8451" y="16"/>
                                </a:lnTo>
                                <a:lnTo>
                                  <a:pt x="8403" y="16"/>
                                </a:lnTo>
                                <a:lnTo>
                                  <a:pt x="8403" y="0"/>
                                </a:lnTo>
                                <a:close/>
                                <a:moveTo>
                                  <a:pt x="8467" y="0"/>
                                </a:moveTo>
                                <a:lnTo>
                                  <a:pt x="8515" y="0"/>
                                </a:lnTo>
                                <a:lnTo>
                                  <a:pt x="8515" y="16"/>
                                </a:lnTo>
                                <a:lnTo>
                                  <a:pt x="8467" y="16"/>
                                </a:lnTo>
                                <a:lnTo>
                                  <a:pt x="8467" y="0"/>
                                </a:lnTo>
                                <a:close/>
                                <a:moveTo>
                                  <a:pt x="8531" y="0"/>
                                </a:moveTo>
                                <a:lnTo>
                                  <a:pt x="8579" y="0"/>
                                </a:lnTo>
                                <a:lnTo>
                                  <a:pt x="8579" y="16"/>
                                </a:lnTo>
                                <a:lnTo>
                                  <a:pt x="8531" y="16"/>
                                </a:lnTo>
                                <a:lnTo>
                                  <a:pt x="8531" y="0"/>
                                </a:lnTo>
                                <a:close/>
                                <a:moveTo>
                                  <a:pt x="8595" y="0"/>
                                </a:moveTo>
                                <a:lnTo>
                                  <a:pt x="8643" y="0"/>
                                </a:lnTo>
                                <a:lnTo>
                                  <a:pt x="8643" y="16"/>
                                </a:lnTo>
                                <a:lnTo>
                                  <a:pt x="8595" y="16"/>
                                </a:lnTo>
                                <a:lnTo>
                                  <a:pt x="8595" y="0"/>
                                </a:lnTo>
                                <a:close/>
                                <a:moveTo>
                                  <a:pt x="8659" y="0"/>
                                </a:moveTo>
                                <a:lnTo>
                                  <a:pt x="8707" y="0"/>
                                </a:lnTo>
                                <a:lnTo>
                                  <a:pt x="8707" y="16"/>
                                </a:lnTo>
                                <a:lnTo>
                                  <a:pt x="8659" y="16"/>
                                </a:lnTo>
                                <a:lnTo>
                                  <a:pt x="8659" y="0"/>
                                </a:lnTo>
                                <a:close/>
                                <a:moveTo>
                                  <a:pt x="8723" y="0"/>
                                </a:moveTo>
                                <a:lnTo>
                                  <a:pt x="8772" y="0"/>
                                </a:lnTo>
                                <a:lnTo>
                                  <a:pt x="8772" y="16"/>
                                </a:lnTo>
                                <a:lnTo>
                                  <a:pt x="8723" y="16"/>
                                </a:lnTo>
                                <a:lnTo>
                                  <a:pt x="8723" y="0"/>
                                </a:lnTo>
                                <a:close/>
                                <a:moveTo>
                                  <a:pt x="8788" y="0"/>
                                </a:moveTo>
                                <a:lnTo>
                                  <a:pt x="8836" y="0"/>
                                </a:lnTo>
                                <a:lnTo>
                                  <a:pt x="8836" y="16"/>
                                </a:lnTo>
                                <a:lnTo>
                                  <a:pt x="8788" y="16"/>
                                </a:lnTo>
                                <a:lnTo>
                                  <a:pt x="8788" y="0"/>
                                </a:lnTo>
                                <a:close/>
                                <a:moveTo>
                                  <a:pt x="8852" y="0"/>
                                </a:moveTo>
                                <a:lnTo>
                                  <a:pt x="8900" y="0"/>
                                </a:lnTo>
                                <a:lnTo>
                                  <a:pt x="8900" y="16"/>
                                </a:lnTo>
                                <a:lnTo>
                                  <a:pt x="8852" y="16"/>
                                </a:lnTo>
                                <a:lnTo>
                                  <a:pt x="8852" y="0"/>
                                </a:lnTo>
                                <a:close/>
                                <a:moveTo>
                                  <a:pt x="8916" y="0"/>
                                </a:moveTo>
                                <a:lnTo>
                                  <a:pt x="8964" y="0"/>
                                </a:lnTo>
                                <a:lnTo>
                                  <a:pt x="8964" y="16"/>
                                </a:lnTo>
                                <a:lnTo>
                                  <a:pt x="8916" y="16"/>
                                </a:lnTo>
                                <a:lnTo>
                                  <a:pt x="8916" y="0"/>
                                </a:lnTo>
                                <a:close/>
                                <a:moveTo>
                                  <a:pt x="8980" y="0"/>
                                </a:moveTo>
                                <a:lnTo>
                                  <a:pt x="9028" y="0"/>
                                </a:lnTo>
                                <a:lnTo>
                                  <a:pt x="9028" y="16"/>
                                </a:lnTo>
                                <a:lnTo>
                                  <a:pt x="8980" y="16"/>
                                </a:lnTo>
                                <a:lnTo>
                                  <a:pt x="8980" y="0"/>
                                </a:lnTo>
                                <a:close/>
                                <a:moveTo>
                                  <a:pt x="9044" y="0"/>
                                </a:moveTo>
                                <a:lnTo>
                                  <a:pt x="9092" y="0"/>
                                </a:lnTo>
                                <a:lnTo>
                                  <a:pt x="9092" y="16"/>
                                </a:lnTo>
                                <a:lnTo>
                                  <a:pt x="9044" y="16"/>
                                </a:lnTo>
                                <a:lnTo>
                                  <a:pt x="9044" y="0"/>
                                </a:lnTo>
                                <a:close/>
                                <a:moveTo>
                                  <a:pt x="9108" y="0"/>
                                </a:moveTo>
                                <a:lnTo>
                                  <a:pt x="9156" y="0"/>
                                </a:lnTo>
                                <a:lnTo>
                                  <a:pt x="9156" y="16"/>
                                </a:lnTo>
                                <a:lnTo>
                                  <a:pt x="9108" y="16"/>
                                </a:lnTo>
                                <a:lnTo>
                                  <a:pt x="9108" y="0"/>
                                </a:lnTo>
                                <a:close/>
                                <a:moveTo>
                                  <a:pt x="9172" y="0"/>
                                </a:moveTo>
                                <a:lnTo>
                                  <a:pt x="9220" y="0"/>
                                </a:lnTo>
                                <a:lnTo>
                                  <a:pt x="9220" y="16"/>
                                </a:lnTo>
                                <a:lnTo>
                                  <a:pt x="9172" y="16"/>
                                </a:lnTo>
                                <a:lnTo>
                                  <a:pt x="9172" y="0"/>
                                </a:lnTo>
                                <a:close/>
                                <a:moveTo>
                                  <a:pt x="9236" y="0"/>
                                </a:moveTo>
                                <a:lnTo>
                                  <a:pt x="9284" y="0"/>
                                </a:lnTo>
                                <a:lnTo>
                                  <a:pt x="9284" y="16"/>
                                </a:lnTo>
                                <a:lnTo>
                                  <a:pt x="9236" y="16"/>
                                </a:lnTo>
                                <a:lnTo>
                                  <a:pt x="9236" y="0"/>
                                </a:lnTo>
                                <a:close/>
                                <a:moveTo>
                                  <a:pt x="9300" y="0"/>
                                </a:moveTo>
                                <a:lnTo>
                                  <a:pt x="9348" y="0"/>
                                </a:lnTo>
                                <a:lnTo>
                                  <a:pt x="9348" y="16"/>
                                </a:lnTo>
                                <a:lnTo>
                                  <a:pt x="9300" y="16"/>
                                </a:lnTo>
                                <a:lnTo>
                                  <a:pt x="9300" y="0"/>
                                </a:lnTo>
                                <a:close/>
                                <a:moveTo>
                                  <a:pt x="9364" y="0"/>
                                </a:moveTo>
                                <a:lnTo>
                                  <a:pt x="9412" y="0"/>
                                </a:lnTo>
                                <a:lnTo>
                                  <a:pt x="9412" y="16"/>
                                </a:lnTo>
                                <a:lnTo>
                                  <a:pt x="9364" y="16"/>
                                </a:lnTo>
                                <a:lnTo>
                                  <a:pt x="9364" y="0"/>
                                </a:lnTo>
                                <a:close/>
                                <a:moveTo>
                                  <a:pt x="9428" y="0"/>
                                </a:moveTo>
                                <a:lnTo>
                                  <a:pt x="9476" y="0"/>
                                </a:lnTo>
                                <a:lnTo>
                                  <a:pt x="9476" y="16"/>
                                </a:lnTo>
                                <a:lnTo>
                                  <a:pt x="9428" y="16"/>
                                </a:lnTo>
                                <a:lnTo>
                                  <a:pt x="9428" y="0"/>
                                </a:lnTo>
                                <a:close/>
                                <a:moveTo>
                                  <a:pt x="9492" y="0"/>
                                </a:moveTo>
                                <a:lnTo>
                                  <a:pt x="9540" y="0"/>
                                </a:lnTo>
                                <a:lnTo>
                                  <a:pt x="9540" y="16"/>
                                </a:lnTo>
                                <a:lnTo>
                                  <a:pt x="9492" y="16"/>
                                </a:lnTo>
                                <a:lnTo>
                                  <a:pt x="9492" y="0"/>
                                </a:lnTo>
                                <a:close/>
                                <a:moveTo>
                                  <a:pt x="9556" y="0"/>
                                </a:moveTo>
                                <a:lnTo>
                                  <a:pt x="9604" y="0"/>
                                </a:lnTo>
                                <a:lnTo>
                                  <a:pt x="9604" y="16"/>
                                </a:lnTo>
                                <a:lnTo>
                                  <a:pt x="9556" y="16"/>
                                </a:lnTo>
                                <a:lnTo>
                                  <a:pt x="9556" y="0"/>
                                </a:lnTo>
                                <a:close/>
                                <a:moveTo>
                                  <a:pt x="9620" y="0"/>
                                </a:moveTo>
                                <a:lnTo>
                                  <a:pt x="9668" y="0"/>
                                </a:lnTo>
                                <a:lnTo>
                                  <a:pt x="9668" y="16"/>
                                </a:lnTo>
                                <a:lnTo>
                                  <a:pt x="9620" y="16"/>
                                </a:lnTo>
                                <a:lnTo>
                                  <a:pt x="9620" y="0"/>
                                </a:lnTo>
                                <a:close/>
                                <a:moveTo>
                                  <a:pt x="9684" y="0"/>
                                </a:moveTo>
                                <a:lnTo>
                                  <a:pt x="9732" y="0"/>
                                </a:lnTo>
                                <a:lnTo>
                                  <a:pt x="9732" y="16"/>
                                </a:lnTo>
                                <a:lnTo>
                                  <a:pt x="9684" y="16"/>
                                </a:lnTo>
                                <a:lnTo>
                                  <a:pt x="9684" y="0"/>
                                </a:lnTo>
                                <a:close/>
                                <a:moveTo>
                                  <a:pt x="9748" y="0"/>
                                </a:moveTo>
                                <a:lnTo>
                                  <a:pt x="9797" y="0"/>
                                </a:lnTo>
                                <a:lnTo>
                                  <a:pt x="9797" y="16"/>
                                </a:lnTo>
                                <a:lnTo>
                                  <a:pt x="9748" y="16"/>
                                </a:lnTo>
                                <a:lnTo>
                                  <a:pt x="9748" y="0"/>
                                </a:lnTo>
                                <a:close/>
                                <a:moveTo>
                                  <a:pt x="9813" y="0"/>
                                </a:moveTo>
                                <a:lnTo>
                                  <a:pt x="9861" y="0"/>
                                </a:lnTo>
                                <a:lnTo>
                                  <a:pt x="9861" y="16"/>
                                </a:lnTo>
                                <a:lnTo>
                                  <a:pt x="9813" y="16"/>
                                </a:lnTo>
                                <a:lnTo>
                                  <a:pt x="9813" y="0"/>
                                </a:lnTo>
                                <a:close/>
                                <a:moveTo>
                                  <a:pt x="9877" y="0"/>
                                </a:moveTo>
                                <a:lnTo>
                                  <a:pt x="9925" y="0"/>
                                </a:lnTo>
                                <a:lnTo>
                                  <a:pt x="9925" y="16"/>
                                </a:lnTo>
                                <a:lnTo>
                                  <a:pt x="9877" y="16"/>
                                </a:lnTo>
                                <a:lnTo>
                                  <a:pt x="9877" y="0"/>
                                </a:lnTo>
                                <a:close/>
                                <a:moveTo>
                                  <a:pt x="9941" y="0"/>
                                </a:moveTo>
                                <a:lnTo>
                                  <a:pt x="9989" y="0"/>
                                </a:lnTo>
                                <a:lnTo>
                                  <a:pt x="9989" y="16"/>
                                </a:lnTo>
                                <a:lnTo>
                                  <a:pt x="9941" y="16"/>
                                </a:lnTo>
                                <a:lnTo>
                                  <a:pt x="9941" y="0"/>
                                </a:lnTo>
                                <a:close/>
                                <a:moveTo>
                                  <a:pt x="10005" y="0"/>
                                </a:moveTo>
                                <a:lnTo>
                                  <a:pt x="10053" y="0"/>
                                </a:lnTo>
                                <a:lnTo>
                                  <a:pt x="10053" y="16"/>
                                </a:lnTo>
                                <a:lnTo>
                                  <a:pt x="10005" y="16"/>
                                </a:lnTo>
                                <a:lnTo>
                                  <a:pt x="10005" y="0"/>
                                </a:lnTo>
                                <a:close/>
                                <a:moveTo>
                                  <a:pt x="10069" y="0"/>
                                </a:moveTo>
                                <a:lnTo>
                                  <a:pt x="10117" y="0"/>
                                </a:lnTo>
                                <a:lnTo>
                                  <a:pt x="10117" y="16"/>
                                </a:lnTo>
                                <a:lnTo>
                                  <a:pt x="10069" y="16"/>
                                </a:lnTo>
                                <a:lnTo>
                                  <a:pt x="10069" y="0"/>
                                </a:lnTo>
                                <a:close/>
                                <a:moveTo>
                                  <a:pt x="10133" y="0"/>
                                </a:moveTo>
                                <a:lnTo>
                                  <a:pt x="10181" y="0"/>
                                </a:lnTo>
                                <a:lnTo>
                                  <a:pt x="10181" y="16"/>
                                </a:lnTo>
                                <a:lnTo>
                                  <a:pt x="10133" y="16"/>
                                </a:lnTo>
                                <a:lnTo>
                                  <a:pt x="10133" y="0"/>
                                </a:lnTo>
                                <a:close/>
                                <a:moveTo>
                                  <a:pt x="10197" y="0"/>
                                </a:moveTo>
                                <a:lnTo>
                                  <a:pt x="10245" y="0"/>
                                </a:lnTo>
                                <a:lnTo>
                                  <a:pt x="10245" y="16"/>
                                </a:lnTo>
                                <a:lnTo>
                                  <a:pt x="10197" y="16"/>
                                </a:lnTo>
                                <a:lnTo>
                                  <a:pt x="10197" y="0"/>
                                </a:lnTo>
                                <a:close/>
                                <a:moveTo>
                                  <a:pt x="10261" y="0"/>
                                </a:moveTo>
                                <a:lnTo>
                                  <a:pt x="10309" y="0"/>
                                </a:lnTo>
                                <a:lnTo>
                                  <a:pt x="10309" y="16"/>
                                </a:lnTo>
                                <a:lnTo>
                                  <a:pt x="10261" y="16"/>
                                </a:lnTo>
                                <a:lnTo>
                                  <a:pt x="10261" y="0"/>
                                </a:lnTo>
                                <a:close/>
                                <a:moveTo>
                                  <a:pt x="10325" y="0"/>
                                </a:moveTo>
                                <a:lnTo>
                                  <a:pt x="10373" y="0"/>
                                </a:lnTo>
                                <a:lnTo>
                                  <a:pt x="10373" y="16"/>
                                </a:lnTo>
                                <a:lnTo>
                                  <a:pt x="10325" y="16"/>
                                </a:lnTo>
                                <a:lnTo>
                                  <a:pt x="10325" y="0"/>
                                </a:lnTo>
                                <a:close/>
                                <a:moveTo>
                                  <a:pt x="10389" y="0"/>
                                </a:moveTo>
                                <a:lnTo>
                                  <a:pt x="10437" y="0"/>
                                </a:lnTo>
                                <a:lnTo>
                                  <a:pt x="10437" y="16"/>
                                </a:lnTo>
                                <a:lnTo>
                                  <a:pt x="10389" y="16"/>
                                </a:lnTo>
                                <a:lnTo>
                                  <a:pt x="10389" y="0"/>
                                </a:lnTo>
                                <a:close/>
                                <a:moveTo>
                                  <a:pt x="10453" y="0"/>
                                </a:moveTo>
                                <a:lnTo>
                                  <a:pt x="10501" y="0"/>
                                </a:lnTo>
                                <a:lnTo>
                                  <a:pt x="10501" y="16"/>
                                </a:lnTo>
                                <a:lnTo>
                                  <a:pt x="10453" y="16"/>
                                </a:lnTo>
                                <a:lnTo>
                                  <a:pt x="10453" y="0"/>
                                </a:lnTo>
                                <a:close/>
                                <a:moveTo>
                                  <a:pt x="10517" y="0"/>
                                </a:moveTo>
                                <a:lnTo>
                                  <a:pt x="10565" y="0"/>
                                </a:lnTo>
                                <a:lnTo>
                                  <a:pt x="10565" y="16"/>
                                </a:lnTo>
                                <a:lnTo>
                                  <a:pt x="10517" y="16"/>
                                </a:lnTo>
                                <a:lnTo>
                                  <a:pt x="10517" y="0"/>
                                </a:lnTo>
                                <a:close/>
                                <a:moveTo>
                                  <a:pt x="10581" y="0"/>
                                </a:moveTo>
                                <a:lnTo>
                                  <a:pt x="10629" y="0"/>
                                </a:lnTo>
                                <a:lnTo>
                                  <a:pt x="10629" y="16"/>
                                </a:lnTo>
                                <a:lnTo>
                                  <a:pt x="10581" y="16"/>
                                </a:lnTo>
                                <a:lnTo>
                                  <a:pt x="10581" y="0"/>
                                </a:lnTo>
                                <a:close/>
                                <a:moveTo>
                                  <a:pt x="10645" y="0"/>
                                </a:moveTo>
                                <a:lnTo>
                                  <a:pt x="10693" y="0"/>
                                </a:lnTo>
                                <a:lnTo>
                                  <a:pt x="10693" y="16"/>
                                </a:lnTo>
                                <a:lnTo>
                                  <a:pt x="10645" y="16"/>
                                </a:lnTo>
                                <a:lnTo>
                                  <a:pt x="10645" y="0"/>
                                </a:lnTo>
                                <a:close/>
                                <a:moveTo>
                                  <a:pt x="10709" y="0"/>
                                </a:moveTo>
                                <a:lnTo>
                                  <a:pt x="10758" y="0"/>
                                </a:lnTo>
                                <a:lnTo>
                                  <a:pt x="10758" y="16"/>
                                </a:lnTo>
                                <a:lnTo>
                                  <a:pt x="10709" y="16"/>
                                </a:lnTo>
                                <a:lnTo>
                                  <a:pt x="10709" y="0"/>
                                </a:lnTo>
                                <a:close/>
                                <a:moveTo>
                                  <a:pt x="10774" y="0"/>
                                </a:moveTo>
                                <a:lnTo>
                                  <a:pt x="10822" y="0"/>
                                </a:lnTo>
                                <a:lnTo>
                                  <a:pt x="10822" y="16"/>
                                </a:lnTo>
                                <a:lnTo>
                                  <a:pt x="10774" y="16"/>
                                </a:lnTo>
                                <a:lnTo>
                                  <a:pt x="10774" y="0"/>
                                </a:lnTo>
                                <a:close/>
                                <a:moveTo>
                                  <a:pt x="10838" y="0"/>
                                </a:moveTo>
                                <a:lnTo>
                                  <a:pt x="10886" y="0"/>
                                </a:lnTo>
                                <a:lnTo>
                                  <a:pt x="10886" y="16"/>
                                </a:lnTo>
                                <a:lnTo>
                                  <a:pt x="10838" y="16"/>
                                </a:lnTo>
                                <a:lnTo>
                                  <a:pt x="10838" y="0"/>
                                </a:lnTo>
                                <a:close/>
                                <a:moveTo>
                                  <a:pt x="10902" y="0"/>
                                </a:moveTo>
                                <a:lnTo>
                                  <a:pt x="10950" y="0"/>
                                </a:lnTo>
                                <a:lnTo>
                                  <a:pt x="10950" y="16"/>
                                </a:lnTo>
                                <a:lnTo>
                                  <a:pt x="10902" y="16"/>
                                </a:lnTo>
                                <a:lnTo>
                                  <a:pt x="10902" y="0"/>
                                </a:lnTo>
                                <a:close/>
                                <a:moveTo>
                                  <a:pt x="10966" y="0"/>
                                </a:moveTo>
                                <a:lnTo>
                                  <a:pt x="11014" y="0"/>
                                </a:lnTo>
                                <a:lnTo>
                                  <a:pt x="11014" y="16"/>
                                </a:lnTo>
                                <a:lnTo>
                                  <a:pt x="10966" y="16"/>
                                </a:lnTo>
                                <a:lnTo>
                                  <a:pt x="10966" y="0"/>
                                </a:lnTo>
                                <a:close/>
                                <a:moveTo>
                                  <a:pt x="11030" y="0"/>
                                </a:moveTo>
                                <a:lnTo>
                                  <a:pt x="11078" y="0"/>
                                </a:lnTo>
                                <a:lnTo>
                                  <a:pt x="11078" y="16"/>
                                </a:lnTo>
                                <a:lnTo>
                                  <a:pt x="11030" y="16"/>
                                </a:lnTo>
                                <a:lnTo>
                                  <a:pt x="11030" y="0"/>
                                </a:lnTo>
                                <a:close/>
                                <a:moveTo>
                                  <a:pt x="11094" y="0"/>
                                </a:moveTo>
                                <a:lnTo>
                                  <a:pt x="11142" y="0"/>
                                </a:lnTo>
                                <a:lnTo>
                                  <a:pt x="11142" y="16"/>
                                </a:lnTo>
                                <a:lnTo>
                                  <a:pt x="11094" y="16"/>
                                </a:lnTo>
                                <a:lnTo>
                                  <a:pt x="11094" y="0"/>
                                </a:lnTo>
                                <a:close/>
                                <a:moveTo>
                                  <a:pt x="11158" y="0"/>
                                </a:moveTo>
                                <a:lnTo>
                                  <a:pt x="11206" y="0"/>
                                </a:lnTo>
                                <a:lnTo>
                                  <a:pt x="11206" y="16"/>
                                </a:lnTo>
                                <a:lnTo>
                                  <a:pt x="11158" y="16"/>
                                </a:lnTo>
                                <a:lnTo>
                                  <a:pt x="11158" y="0"/>
                                </a:lnTo>
                                <a:close/>
                                <a:moveTo>
                                  <a:pt x="11222" y="0"/>
                                </a:moveTo>
                                <a:lnTo>
                                  <a:pt x="11270" y="0"/>
                                </a:lnTo>
                                <a:lnTo>
                                  <a:pt x="11270" y="16"/>
                                </a:lnTo>
                                <a:lnTo>
                                  <a:pt x="11222" y="16"/>
                                </a:lnTo>
                                <a:lnTo>
                                  <a:pt x="11222" y="0"/>
                                </a:lnTo>
                                <a:close/>
                                <a:moveTo>
                                  <a:pt x="11286" y="0"/>
                                </a:moveTo>
                                <a:lnTo>
                                  <a:pt x="11334" y="0"/>
                                </a:lnTo>
                                <a:lnTo>
                                  <a:pt x="11334" y="16"/>
                                </a:lnTo>
                                <a:lnTo>
                                  <a:pt x="11286" y="16"/>
                                </a:lnTo>
                                <a:lnTo>
                                  <a:pt x="11286" y="0"/>
                                </a:lnTo>
                                <a:close/>
                                <a:moveTo>
                                  <a:pt x="11350" y="0"/>
                                </a:moveTo>
                                <a:lnTo>
                                  <a:pt x="11398" y="0"/>
                                </a:lnTo>
                                <a:lnTo>
                                  <a:pt x="11398" y="16"/>
                                </a:lnTo>
                                <a:lnTo>
                                  <a:pt x="11350" y="16"/>
                                </a:lnTo>
                                <a:lnTo>
                                  <a:pt x="11350" y="0"/>
                                </a:lnTo>
                                <a:close/>
                                <a:moveTo>
                                  <a:pt x="11414" y="0"/>
                                </a:moveTo>
                                <a:lnTo>
                                  <a:pt x="11462" y="0"/>
                                </a:lnTo>
                                <a:lnTo>
                                  <a:pt x="11462" y="16"/>
                                </a:lnTo>
                                <a:lnTo>
                                  <a:pt x="11414" y="16"/>
                                </a:lnTo>
                                <a:lnTo>
                                  <a:pt x="11414" y="0"/>
                                </a:lnTo>
                                <a:close/>
                                <a:moveTo>
                                  <a:pt x="11478" y="0"/>
                                </a:moveTo>
                                <a:lnTo>
                                  <a:pt x="11526" y="0"/>
                                </a:lnTo>
                                <a:lnTo>
                                  <a:pt x="11526" y="16"/>
                                </a:lnTo>
                                <a:lnTo>
                                  <a:pt x="11478" y="16"/>
                                </a:lnTo>
                                <a:lnTo>
                                  <a:pt x="11478" y="0"/>
                                </a:lnTo>
                                <a:close/>
                                <a:moveTo>
                                  <a:pt x="11542" y="0"/>
                                </a:moveTo>
                                <a:lnTo>
                                  <a:pt x="11590" y="0"/>
                                </a:lnTo>
                                <a:lnTo>
                                  <a:pt x="11590" y="16"/>
                                </a:lnTo>
                                <a:lnTo>
                                  <a:pt x="11542" y="16"/>
                                </a:lnTo>
                                <a:lnTo>
                                  <a:pt x="11542" y="0"/>
                                </a:lnTo>
                                <a:close/>
                                <a:moveTo>
                                  <a:pt x="11606" y="0"/>
                                </a:moveTo>
                                <a:lnTo>
                                  <a:pt x="11654" y="0"/>
                                </a:lnTo>
                                <a:lnTo>
                                  <a:pt x="11654" y="16"/>
                                </a:lnTo>
                                <a:lnTo>
                                  <a:pt x="11606" y="16"/>
                                </a:lnTo>
                                <a:lnTo>
                                  <a:pt x="11606" y="0"/>
                                </a:lnTo>
                                <a:close/>
                                <a:moveTo>
                                  <a:pt x="11670" y="0"/>
                                </a:moveTo>
                                <a:lnTo>
                                  <a:pt x="11719" y="0"/>
                                </a:lnTo>
                                <a:lnTo>
                                  <a:pt x="11719" y="16"/>
                                </a:lnTo>
                                <a:lnTo>
                                  <a:pt x="11670" y="16"/>
                                </a:lnTo>
                                <a:lnTo>
                                  <a:pt x="11670" y="0"/>
                                </a:lnTo>
                                <a:close/>
                                <a:moveTo>
                                  <a:pt x="11735" y="0"/>
                                </a:moveTo>
                                <a:lnTo>
                                  <a:pt x="11783" y="0"/>
                                </a:lnTo>
                                <a:lnTo>
                                  <a:pt x="11783" y="16"/>
                                </a:lnTo>
                                <a:lnTo>
                                  <a:pt x="11735" y="16"/>
                                </a:lnTo>
                                <a:lnTo>
                                  <a:pt x="11735" y="0"/>
                                </a:lnTo>
                                <a:close/>
                                <a:moveTo>
                                  <a:pt x="11799" y="0"/>
                                </a:moveTo>
                                <a:lnTo>
                                  <a:pt x="11847" y="0"/>
                                </a:lnTo>
                                <a:lnTo>
                                  <a:pt x="11847" y="16"/>
                                </a:lnTo>
                                <a:lnTo>
                                  <a:pt x="11799" y="16"/>
                                </a:lnTo>
                                <a:lnTo>
                                  <a:pt x="11799" y="0"/>
                                </a:lnTo>
                                <a:close/>
                                <a:moveTo>
                                  <a:pt x="11863" y="0"/>
                                </a:moveTo>
                                <a:lnTo>
                                  <a:pt x="11911" y="0"/>
                                </a:lnTo>
                                <a:lnTo>
                                  <a:pt x="11911" y="16"/>
                                </a:lnTo>
                                <a:lnTo>
                                  <a:pt x="11863" y="16"/>
                                </a:lnTo>
                                <a:lnTo>
                                  <a:pt x="11863" y="0"/>
                                </a:lnTo>
                                <a:close/>
                                <a:moveTo>
                                  <a:pt x="11927" y="0"/>
                                </a:moveTo>
                                <a:lnTo>
                                  <a:pt x="11975" y="0"/>
                                </a:lnTo>
                                <a:lnTo>
                                  <a:pt x="11975" y="16"/>
                                </a:lnTo>
                                <a:lnTo>
                                  <a:pt x="11927" y="16"/>
                                </a:lnTo>
                                <a:lnTo>
                                  <a:pt x="11927" y="0"/>
                                </a:lnTo>
                                <a:close/>
                                <a:moveTo>
                                  <a:pt x="11991" y="0"/>
                                </a:moveTo>
                                <a:lnTo>
                                  <a:pt x="12039" y="0"/>
                                </a:lnTo>
                                <a:lnTo>
                                  <a:pt x="12039" y="16"/>
                                </a:lnTo>
                                <a:lnTo>
                                  <a:pt x="11991" y="16"/>
                                </a:lnTo>
                                <a:lnTo>
                                  <a:pt x="11991" y="0"/>
                                </a:lnTo>
                                <a:close/>
                                <a:moveTo>
                                  <a:pt x="12055" y="0"/>
                                </a:moveTo>
                                <a:lnTo>
                                  <a:pt x="12103" y="0"/>
                                </a:lnTo>
                                <a:lnTo>
                                  <a:pt x="12103" y="16"/>
                                </a:lnTo>
                                <a:lnTo>
                                  <a:pt x="12055" y="16"/>
                                </a:lnTo>
                                <a:lnTo>
                                  <a:pt x="12055" y="0"/>
                                </a:lnTo>
                                <a:close/>
                                <a:moveTo>
                                  <a:pt x="12119" y="0"/>
                                </a:moveTo>
                                <a:lnTo>
                                  <a:pt x="12167" y="0"/>
                                </a:lnTo>
                                <a:lnTo>
                                  <a:pt x="12167" y="16"/>
                                </a:lnTo>
                                <a:lnTo>
                                  <a:pt x="12119" y="16"/>
                                </a:lnTo>
                                <a:lnTo>
                                  <a:pt x="12119" y="0"/>
                                </a:lnTo>
                                <a:close/>
                                <a:moveTo>
                                  <a:pt x="12183" y="0"/>
                                </a:moveTo>
                                <a:lnTo>
                                  <a:pt x="12231" y="0"/>
                                </a:lnTo>
                                <a:lnTo>
                                  <a:pt x="12231" y="16"/>
                                </a:lnTo>
                                <a:lnTo>
                                  <a:pt x="12183" y="16"/>
                                </a:lnTo>
                                <a:lnTo>
                                  <a:pt x="12183" y="0"/>
                                </a:lnTo>
                                <a:close/>
                                <a:moveTo>
                                  <a:pt x="12247" y="0"/>
                                </a:moveTo>
                                <a:lnTo>
                                  <a:pt x="12295" y="0"/>
                                </a:lnTo>
                                <a:lnTo>
                                  <a:pt x="12295" y="16"/>
                                </a:lnTo>
                                <a:lnTo>
                                  <a:pt x="12247" y="16"/>
                                </a:lnTo>
                                <a:lnTo>
                                  <a:pt x="12247" y="0"/>
                                </a:lnTo>
                                <a:close/>
                                <a:moveTo>
                                  <a:pt x="12311" y="0"/>
                                </a:moveTo>
                                <a:lnTo>
                                  <a:pt x="12359" y="0"/>
                                </a:lnTo>
                                <a:lnTo>
                                  <a:pt x="12359" y="16"/>
                                </a:lnTo>
                                <a:lnTo>
                                  <a:pt x="12311" y="16"/>
                                </a:lnTo>
                                <a:lnTo>
                                  <a:pt x="12311" y="0"/>
                                </a:lnTo>
                                <a:close/>
                                <a:moveTo>
                                  <a:pt x="12375" y="0"/>
                                </a:moveTo>
                                <a:lnTo>
                                  <a:pt x="12423" y="0"/>
                                </a:lnTo>
                                <a:lnTo>
                                  <a:pt x="12423" y="16"/>
                                </a:lnTo>
                                <a:lnTo>
                                  <a:pt x="12375" y="16"/>
                                </a:lnTo>
                                <a:lnTo>
                                  <a:pt x="12375" y="0"/>
                                </a:lnTo>
                                <a:close/>
                                <a:moveTo>
                                  <a:pt x="12439" y="0"/>
                                </a:moveTo>
                                <a:lnTo>
                                  <a:pt x="12487" y="0"/>
                                </a:lnTo>
                                <a:lnTo>
                                  <a:pt x="12487" y="16"/>
                                </a:lnTo>
                                <a:lnTo>
                                  <a:pt x="12439" y="16"/>
                                </a:lnTo>
                                <a:lnTo>
                                  <a:pt x="12439" y="0"/>
                                </a:lnTo>
                                <a:close/>
                                <a:moveTo>
                                  <a:pt x="12503" y="0"/>
                                </a:moveTo>
                                <a:lnTo>
                                  <a:pt x="12551" y="0"/>
                                </a:lnTo>
                                <a:lnTo>
                                  <a:pt x="12551" y="16"/>
                                </a:lnTo>
                                <a:lnTo>
                                  <a:pt x="12503" y="16"/>
                                </a:lnTo>
                                <a:lnTo>
                                  <a:pt x="12503" y="0"/>
                                </a:lnTo>
                                <a:close/>
                                <a:moveTo>
                                  <a:pt x="12567" y="0"/>
                                </a:moveTo>
                                <a:lnTo>
                                  <a:pt x="12615" y="0"/>
                                </a:lnTo>
                                <a:lnTo>
                                  <a:pt x="12615" y="16"/>
                                </a:lnTo>
                                <a:lnTo>
                                  <a:pt x="12567" y="16"/>
                                </a:lnTo>
                                <a:lnTo>
                                  <a:pt x="12567" y="0"/>
                                </a:lnTo>
                                <a:close/>
                                <a:moveTo>
                                  <a:pt x="12631" y="0"/>
                                </a:moveTo>
                                <a:lnTo>
                                  <a:pt x="12680" y="0"/>
                                </a:lnTo>
                                <a:lnTo>
                                  <a:pt x="12680" y="16"/>
                                </a:lnTo>
                                <a:lnTo>
                                  <a:pt x="12631" y="16"/>
                                </a:lnTo>
                                <a:lnTo>
                                  <a:pt x="12631" y="0"/>
                                </a:lnTo>
                                <a:close/>
                                <a:moveTo>
                                  <a:pt x="12696" y="0"/>
                                </a:moveTo>
                                <a:lnTo>
                                  <a:pt x="12744" y="0"/>
                                </a:lnTo>
                                <a:lnTo>
                                  <a:pt x="12744" y="16"/>
                                </a:lnTo>
                                <a:lnTo>
                                  <a:pt x="12696" y="16"/>
                                </a:lnTo>
                                <a:lnTo>
                                  <a:pt x="12696" y="0"/>
                                </a:lnTo>
                                <a:close/>
                                <a:moveTo>
                                  <a:pt x="12760" y="0"/>
                                </a:moveTo>
                                <a:lnTo>
                                  <a:pt x="12808" y="0"/>
                                </a:lnTo>
                                <a:lnTo>
                                  <a:pt x="12808" y="16"/>
                                </a:lnTo>
                                <a:lnTo>
                                  <a:pt x="12760" y="16"/>
                                </a:lnTo>
                                <a:lnTo>
                                  <a:pt x="12760" y="0"/>
                                </a:lnTo>
                                <a:close/>
                                <a:moveTo>
                                  <a:pt x="12824" y="0"/>
                                </a:moveTo>
                                <a:lnTo>
                                  <a:pt x="12872" y="0"/>
                                </a:lnTo>
                                <a:lnTo>
                                  <a:pt x="12872" y="16"/>
                                </a:lnTo>
                                <a:lnTo>
                                  <a:pt x="12824" y="16"/>
                                </a:lnTo>
                                <a:lnTo>
                                  <a:pt x="12824" y="0"/>
                                </a:lnTo>
                                <a:close/>
                                <a:moveTo>
                                  <a:pt x="12888" y="0"/>
                                </a:moveTo>
                                <a:lnTo>
                                  <a:pt x="12936" y="0"/>
                                </a:lnTo>
                                <a:lnTo>
                                  <a:pt x="12936" y="16"/>
                                </a:lnTo>
                                <a:lnTo>
                                  <a:pt x="12888" y="16"/>
                                </a:lnTo>
                                <a:lnTo>
                                  <a:pt x="12888" y="0"/>
                                </a:lnTo>
                                <a:close/>
                                <a:moveTo>
                                  <a:pt x="12952" y="0"/>
                                </a:moveTo>
                                <a:lnTo>
                                  <a:pt x="13000" y="0"/>
                                </a:lnTo>
                                <a:lnTo>
                                  <a:pt x="13000" y="16"/>
                                </a:lnTo>
                                <a:lnTo>
                                  <a:pt x="12952" y="16"/>
                                </a:lnTo>
                                <a:lnTo>
                                  <a:pt x="12952" y="0"/>
                                </a:lnTo>
                                <a:close/>
                                <a:moveTo>
                                  <a:pt x="13016" y="0"/>
                                </a:moveTo>
                                <a:lnTo>
                                  <a:pt x="13064" y="0"/>
                                </a:lnTo>
                                <a:lnTo>
                                  <a:pt x="13064" y="16"/>
                                </a:lnTo>
                                <a:lnTo>
                                  <a:pt x="13016" y="16"/>
                                </a:lnTo>
                                <a:lnTo>
                                  <a:pt x="13016" y="0"/>
                                </a:lnTo>
                                <a:close/>
                                <a:moveTo>
                                  <a:pt x="13080" y="0"/>
                                </a:moveTo>
                                <a:lnTo>
                                  <a:pt x="13128" y="0"/>
                                </a:lnTo>
                                <a:lnTo>
                                  <a:pt x="13128" y="16"/>
                                </a:lnTo>
                                <a:lnTo>
                                  <a:pt x="13080" y="16"/>
                                </a:lnTo>
                                <a:lnTo>
                                  <a:pt x="13080" y="0"/>
                                </a:lnTo>
                                <a:close/>
                                <a:moveTo>
                                  <a:pt x="13144" y="0"/>
                                </a:moveTo>
                                <a:lnTo>
                                  <a:pt x="13192" y="0"/>
                                </a:lnTo>
                                <a:lnTo>
                                  <a:pt x="13192" y="16"/>
                                </a:lnTo>
                                <a:lnTo>
                                  <a:pt x="13144" y="16"/>
                                </a:lnTo>
                                <a:lnTo>
                                  <a:pt x="13144" y="0"/>
                                </a:lnTo>
                                <a:close/>
                                <a:moveTo>
                                  <a:pt x="13208" y="0"/>
                                </a:moveTo>
                                <a:lnTo>
                                  <a:pt x="13256" y="0"/>
                                </a:lnTo>
                                <a:lnTo>
                                  <a:pt x="13256" y="16"/>
                                </a:lnTo>
                                <a:lnTo>
                                  <a:pt x="13208" y="16"/>
                                </a:lnTo>
                                <a:lnTo>
                                  <a:pt x="13208" y="0"/>
                                </a:lnTo>
                                <a:close/>
                                <a:moveTo>
                                  <a:pt x="13272" y="0"/>
                                </a:moveTo>
                                <a:lnTo>
                                  <a:pt x="13320" y="0"/>
                                </a:lnTo>
                                <a:lnTo>
                                  <a:pt x="13320" y="16"/>
                                </a:lnTo>
                                <a:lnTo>
                                  <a:pt x="13272" y="16"/>
                                </a:lnTo>
                                <a:lnTo>
                                  <a:pt x="13272" y="0"/>
                                </a:lnTo>
                                <a:close/>
                                <a:moveTo>
                                  <a:pt x="13336" y="0"/>
                                </a:moveTo>
                                <a:lnTo>
                                  <a:pt x="13384" y="0"/>
                                </a:lnTo>
                                <a:lnTo>
                                  <a:pt x="13384" y="16"/>
                                </a:lnTo>
                                <a:lnTo>
                                  <a:pt x="13336" y="16"/>
                                </a:lnTo>
                                <a:lnTo>
                                  <a:pt x="13336" y="0"/>
                                </a:lnTo>
                                <a:close/>
                                <a:moveTo>
                                  <a:pt x="13400" y="0"/>
                                </a:moveTo>
                                <a:lnTo>
                                  <a:pt x="13448" y="0"/>
                                </a:lnTo>
                                <a:lnTo>
                                  <a:pt x="13448" y="16"/>
                                </a:lnTo>
                                <a:lnTo>
                                  <a:pt x="13400" y="16"/>
                                </a:lnTo>
                                <a:lnTo>
                                  <a:pt x="13400" y="0"/>
                                </a:lnTo>
                                <a:close/>
                                <a:moveTo>
                                  <a:pt x="13464" y="0"/>
                                </a:moveTo>
                                <a:lnTo>
                                  <a:pt x="13512" y="0"/>
                                </a:lnTo>
                                <a:lnTo>
                                  <a:pt x="13512" y="16"/>
                                </a:lnTo>
                                <a:lnTo>
                                  <a:pt x="13464" y="16"/>
                                </a:lnTo>
                                <a:lnTo>
                                  <a:pt x="13464" y="0"/>
                                </a:lnTo>
                                <a:close/>
                                <a:moveTo>
                                  <a:pt x="13528" y="0"/>
                                </a:moveTo>
                                <a:lnTo>
                                  <a:pt x="13576" y="0"/>
                                </a:lnTo>
                                <a:lnTo>
                                  <a:pt x="13576" y="16"/>
                                </a:lnTo>
                                <a:lnTo>
                                  <a:pt x="13528" y="16"/>
                                </a:lnTo>
                                <a:lnTo>
                                  <a:pt x="13528" y="0"/>
                                </a:lnTo>
                                <a:close/>
                                <a:moveTo>
                                  <a:pt x="13592" y="0"/>
                                </a:moveTo>
                                <a:lnTo>
                                  <a:pt x="13608" y="0"/>
                                </a:lnTo>
                                <a:cubicBezTo>
                                  <a:pt x="13613" y="0"/>
                                  <a:pt x="13616" y="4"/>
                                  <a:pt x="13616" y="8"/>
                                </a:cubicBezTo>
                                <a:lnTo>
                                  <a:pt x="13616" y="41"/>
                                </a:lnTo>
                                <a:lnTo>
                                  <a:pt x="13600" y="41"/>
                                </a:lnTo>
                                <a:lnTo>
                                  <a:pt x="13600" y="8"/>
                                </a:lnTo>
                                <a:lnTo>
                                  <a:pt x="13608" y="16"/>
                                </a:lnTo>
                                <a:lnTo>
                                  <a:pt x="13592" y="16"/>
                                </a:lnTo>
                                <a:lnTo>
                                  <a:pt x="13592" y="0"/>
                                </a:lnTo>
                                <a:close/>
                                <a:moveTo>
                                  <a:pt x="13616" y="57"/>
                                </a:moveTo>
                                <a:lnTo>
                                  <a:pt x="13616" y="105"/>
                                </a:lnTo>
                                <a:lnTo>
                                  <a:pt x="13600" y="105"/>
                                </a:lnTo>
                                <a:lnTo>
                                  <a:pt x="13600" y="57"/>
                                </a:lnTo>
                                <a:lnTo>
                                  <a:pt x="13616" y="57"/>
                                </a:lnTo>
                                <a:close/>
                                <a:moveTo>
                                  <a:pt x="13616" y="121"/>
                                </a:moveTo>
                                <a:lnTo>
                                  <a:pt x="13616" y="169"/>
                                </a:lnTo>
                                <a:lnTo>
                                  <a:pt x="13600" y="169"/>
                                </a:lnTo>
                                <a:lnTo>
                                  <a:pt x="13600" y="121"/>
                                </a:lnTo>
                                <a:lnTo>
                                  <a:pt x="13616" y="121"/>
                                </a:lnTo>
                                <a:close/>
                                <a:moveTo>
                                  <a:pt x="13616" y="185"/>
                                </a:moveTo>
                                <a:lnTo>
                                  <a:pt x="13616" y="233"/>
                                </a:lnTo>
                                <a:lnTo>
                                  <a:pt x="13600" y="233"/>
                                </a:lnTo>
                                <a:lnTo>
                                  <a:pt x="13600" y="185"/>
                                </a:lnTo>
                                <a:lnTo>
                                  <a:pt x="13616" y="185"/>
                                </a:lnTo>
                                <a:close/>
                                <a:moveTo>
                                  <a:pt x="13616" y="249"/>
                                </a:moveTo>
                                <a:lnTo>
                                  <a:pt x="13616" y="297"/>
                                </a:lnTo>
                                <a:lnTo>
                                  <a:pt x="13600" y="297"/>
                                </a:lnTo>
                                <a:lnTo>
                                  <a:pt x="13600" y="249"/>
                                </a:lnTo>
                                <a:lnTo>
                                  <a:pt x="13616" y="249"/>
                                </a:lnTo>
                                <a:close/>
                                <a:moveTo>
                                  <a:pt x="13616" y="313"/>
                                </a:moveTo>
                                <a:lnTo>
                                  <a:pt x="13616" y="361"/>
                                </a:lnTo>
                                <a:lnTo>
                                  <a:pt x="13600" y="361"/>
                                </a:lnTo>
                                <a:lnTo>
                                  <a:pt x="13600" y="313"/>
                                </a:lnTo>
                                <a:lnTo>
                                  <a:pt x="13616" y="313"/>
                                </a:lnTo>
                                <a:close/>
                                <a:moveTo>
                                  <a:pt x="13616" y="377"/>
                                </a:moveTo>
                                <a:lnTo>
                                  <a:pt x="13616" y="425"/>
                                </a:lnTo>
                                <a:lnTo>
                                  <a:pt x="13600" y="425"/>
                                </a:lnTo>
                                <a:lnTo>
                                  <a:pt x="13600" y="377"/>
                                </a:lnTo>
                                <a:lnTo>
                                  <a:pt x="13616" y="377"/>
                                </a:lnTo>
                                <a:close/>
                                <a:moveTo>
                                  <a:pt x="13616" y="441"/>
                                </a:moveTo>
                                <a:lnTo>
                                  <a:pt x="13616" y="489"/>
                                </a:lnTo>
                                <a:lnTo>
                                  <a:pt x="13600" y="489"/>
                                </a:lnTo>
                                <a:lnTo>
                                  <a:pt x="13600" y="441"/>
                                </a:lnTo>
                                <a:lnTo>
                                  <a:pt x="13616" y="441"/>
                                </a:lnTo>
                                <a:close/>
                                <a:moveTo>
                                  <a:pt x="13616" y="505"/>
                                </a:moveTo>
                                <a:lnTo>
                                  <a:pt x="13616" y="553"/>
                                </a:lnTo>
                                <a:lnTo>
                                  <a:pt x="13600" y="553"/>
                                </a:lnTo>
                                <a:lnTo>
                                  <a:pt x="13600" y="505"/>
                                </a:lnTo>
                                <a:lnTo>
                                  <a:pt x="13616" y="505"/>
                                </a:lnTo>
                                <a:close/>
                                <a:moveTo>
                                  <a:pt x="13616" y="569"/>
                                </a:moveTo>
                                <a:lnTo>
                                  <a:pt x="13616" y="617"/>
                                </a:lnTo>
                                <a:lnTo>
                                  <a:pt x="13600" y="617"/>
                                </a:lnTo>
                                <a:lnTo>
                                  <a:pt x="13600" y="569"/>
                                </a:lnTo>
                                <a:lnTo>
                                  <a:pt x="13616" y="569"/>
                                </a:lnTo>
                                <a:close/>
                                <a:moveTo>
                                  <a:pt x="13616" y="633"/>
                                </a:moveTo>
                                <a:lnTo>
                                  <a:pt x="13616" y="681"/>
                                </a:lnTo>
                                <a:lnTo>
                                  <a:pt x="13600" y="681"/>
                                </a:lnTo>
                                <a:lnTo>
                                  <a:pt x="13600" y="633"/>
                                </a:lnTo>
                                <a:lnTo>
                                  <a:pt x="13616" y="633"/>
                                </a:lnTo>
                                <a:close/>
                                <a:moveTo>
                                  <a:pt x="13616" y="697"/>
                                </a:moveTo>
                                <a:lnTo>
                                  <a:pt x="13616" y="745"/>
                                </a:lnTo>
                                <a:lnTo>
                                  <a:pt x="13600" y="745"/>
                                </a:lnTo>
                                <a:lnTo>
                                  <a:pt x="13600" y="697"/>
                                </a:lnTo>
                                <a:lnTo>
                                  <a:pt x="13616" y="697"/>
                                </a:lnTo>
                                <a:close/>
                                <a:moveTo>
                                  <a:pt x="13616" y="761"/>
                                </a:moveTo>
                                <a:lnTo>
                                  <a:pt x="13616" y="809"/>
                                </a:lnTo>
                                <a:lnTo>
                                  <a:pt x="13600" y="809"/>
                                </a:lnTo>
                                <a:lnTo>
                                  <a:pt x="13600" y="761"/>
                                </a:lnTo>
                                <a:lnTo>
                                  <a:pt x="13616" y="761"/>
                                </a:lnTo>
                                <a:close/>
                                <a:moveTo>
                                  <a:pt x="13616" y="825"/>
                                </a:moveTo>
                                <a:lnTo>
                                  <a:pt x="13616" y="873"/>
                                </a:lnTo>
                                <a:lnTo>
                                  <a:pt x="13600" y="873"/>
                                </a:lnTo>
                                <a:lnTo>
                                  <a:pt x="13600" y="825"/>
                                </a:lnTo>
                                <a:lnTo>
                                  <a:pt x="13616" y="825"/>
                                </a:lnTo>
                                <a:close/>
                                <a:moveTo>
                                  <a:pt x="13616" y="889"/>
                                </a:moveTo>
                                <a:lnTo>
                                  <a:pt x="13616" y="937"/>
                                </a:lnTo>
                                <a:lnTo>
                                  <a:pt x="13600" y="937"/>
                                </a:lnTo>
                                <a:lnTo>
                                  <a:pt x="13600" y="889"/>
                                </a:lnTo>
                                <a:lnTo>
                                  <a:pt x="13616" y="889"/>
                                </a:lnTo>
                                <a:close/>
                                <a:moveTo>
                                  <a:pt x="13616" y="953"/>
                                </a:moveTo>
                                <a:lnTo>
                                  <a:pt x="13616" y="1001"/>
                                </a:lnTo>
                                <a:lnTo>
                                  <a:pt x="13600" y="1001"/>
                                </a:lnTo>
                                <a:lnTo>
                                  <a:pt x="13600" y="953"/>
                                </a:lnTo>
                                <a:lnTo>
                                  <a:pt x="13616" y="953"/>
                                </a:lnTo>
                                <a:close/>
                                <a:moveTo>
                                  <a:pt x="13616" y="1018"/>
                                </a:moveTo>
                                <a:lnTo>
                                  <a:pt x="13616" y="1066"/>
                                </a:lnTo>
                                <a:lnTo>
                                  <a:pt x="13600" y="1066"/>
                                </a:lnTo>
                                <a:lnTo>
                                  <a:pt x="13600" y="1018"/>
                                </a:lnTo>
                                <a:lnTo>
                                  <a:pt x="13616" y="1018"/>
                                </a:lnTo>
                                <a:close/>
                                <a:moveTo>
                                  <a:pt x="13616" y="1082"/>
                                </a:moveTo>
                                <a:lnTo>
                                  <a:pt x="13616" y="1130"/>
                                </a:lnTo>
                                <a:lnTo>
                                  <a:pt x="13600" y="1130"/>
                                </a:lnTo>
                                <a:lnTo>
                                  <a:pt x="13600" y="1082"/>
                                </a:lnTo>
                                <a:lnTo>
                                  <a:pt x="13616" y="1082"/>
                                </a:lnTo>
                                <a:close/>
                                <a:moveTo>
                                  <a:pt x="13616" y="1146"/>
                                </a:moveTo>
                                <a:lnTo>
                                  <a:pt x="13616" y="1194"/>
                                </a:lnTo>
                                <a:lnTo>
                                  <a:pt x="13600" y="1194"/>
                                </a:lnTo>
                                <a:lnTo>
                                  <a:pt x="13600" y="1146"/>
                                </a:lnTo>
                                <a:lnTo>
                                  <a:pt x="13616" y="1146"/>
                                </a:lnTo>
                                <a:close/>
                                <a:moveTo>
                                  <a:pt x="13616" y="1210"/>
                                </a:moveTo>
                                <a:lnTo>
                                  <a:pt x="13616" y="1258"/>
                                </a:lnTo>
                                <a:lnTo>
                                  <a:pt x="13600" y="1258"/>
                                </a:lnTo>
                                <a:lnTo>
                                  <a:pt x="13600" y="1210"/>
                                </a:lnTo>
                                <a:lnTo>
                                  <a:pt x="13616" y="1210"/>
                                </a:lnTo>
                                <a:close/>
                                <a:moveTo>
                                  <a:pt x="13616" y="1274"/>
                                </a:moveTo>
                                <a:lnTo>
                                  <a:pt x="13616" y="1322"/>
                                </a:lnTo>
                                <a:lnTo>
                                  <a:pt x="13600" y="1322"/>
                                </a:lnTo>
                                <a:lnTo>
                                  <a:pt x="13600" y="1274"/>
                                </a:lnTo>
                                <a:lnTo>
                                  <a:pt x="13616" y="1274"/>
                                </a:lnTo>
                                <a:close/>
                                <a:moveTo>
                                  <a:pt x="13616" y="1338"/>
                                </a:moveTo>
                                <a:lnTo>
                                  <a:pt x="13616" y="1386"/>
                                </a:lnTo>
                                <a:lnTo>
                                  <a:pt x="13600" y="1386"/>
                                </a:lnTo>
                                <a:lnTo>
                                  <a:pt x="13600" y="1338"/>
                                </a:lnTo>
                                <a:lnTo>
                                  <a:pt x="13616" y="1338"/>
                                </a:lnTo>
                                <a:close/>
                                <a:moveTo>
                                  <a:pt x="13616" y="1402"/>
                                </a:moveTo>
                                <a:lnTo>
                                  <a:pt x="13616" y="1450"/>
                                </a:lnTo>
                                <a:lnTo>
                                  <a:pt x="13600" y="1450"/>
                                </a:lnTo>
                                <a:lnTo>
                                  <a:pt x="13600" y="1402"/>
                                </a:lnTo>
                                <a:lnTo>
                                  <a:pt x="13616" y="1402"/>
                                </a:lnTo>
                                <a:close/>
                                <a:moveTo>
                                  <a:pt x="13616" y="1466"/>
                                </a:moveTo>
                                <a:lnTo>
                                  <a:pt x="13616" y="1514"/>
                                </a:lnTo>
                                <a:lnTo>
                                  <a:pt x="13600" y="1514"/>
                                </a:lnTo>
                                <a:lnTo>
                                  <a:pt x="13600" y="1466"/>
                                </a:lnTo>
                                <a:lnTo>
                                  <a:pt x="13616" y="1466"/>
                                </a:lnTo>
                                <a:close/>
                                <a:moveTo>
                                  <a:pt x="13616" y="1530"/>
                                </a:moveTo>
                                <a:lnTo>
                                  <a:pt x="13616" y="1578"/>
                                </a:lnTo>
                                <a:lnTo>
                                  <a:pt x="13600" y="1578"/>
                                </a:lnTo>
                                <a:lnTo>
                                  <a:pt x="13600" y="1530"/>
                                </a:lnTo>
                                <a:lnTo>
                                  <a:pt x="13616" y="1530"/>
                                </a:lnTo>
                                <a:close/>
                                <a:moveTo>
                                  <a:pt x="13616" y="1594"/>
                                </a:moveTo>
                                <a:lnTo>
                                  <a:pt x="13616" y="1642"/>
                                </a:lnTo>
                                <a:lnTo>
                                  <a:pt x="13600" y="1642"/>
                                </a:lnTo>
                                <a:lnTo>
                                  <a:pt x="13600" y="1594"/>
                                </a:lnTo>
                                <a:lnTo>
                                  <a:pt x="13616" y="1594"/>
                                </a:lnTo>
                                <a:close/>
                                <a:moveTo>
                                  <a:pt x="13616" y="1658"/>
                                </a:moveTo>
                                <a:lnTo>
                                  <a:pt x="13616" y="1706"/>
                                </a:lnTo>
                                <a:lnTo>
                                  <a:pt x="13600" y="1706"/>
                                </a:lnTo>
                                <a:lnTo>
                                  <a:pt x="13600" y="1658"/>
                                </a:lnTo>
                                <a:lnTo>
                                  <a:pt x="13616" y="1658"/>
                                </a:lnTo>
                                <a:close/>
                                <a:moveTo>
                                  <a:pt x="13616" y="1722"/>
                                </a:moveTo>
                                <a:lnTo>
                                  <a:pt x="13616" y="1770"/>
                                </a:lnTo>
                                <a:lnTo>
                                  <a:pt x="13600" y="1770"/>
                                </a:lnTo>
                                <a:lnTo>
                                  <a:pt x="13600" y="1722"/>
                                </a:lnTo>
                                <a:lnTo>
                                  <a:pt x="13616" y="1722"/>
                                </a:lnTo>
                                <a:close/>
                                <a:moveTo>
                                  <a:pt x="13616" y="1786"/>
                                </a:moveTo>
                                <a:lnTo>
                                  <a:pt x="13616" y="1834"/>
                                </a:lnTo>
                                <a:lnTo>
                                  <a:pt x="13600" y="1834"/>
                                </a:lnTo>
                                <a:lnTo>
                                  <a:pt x="13600" y="1786"/>
                                </a:lnTo>
                                <a:lnTo>
                                  <a:pt x="13616" y="1786"/>
                                </a:lnTo>
                                <a:close/>
                                <a:moveTo>
                                  <a:pt x="13616" y="1850"/>
                                </a:moveTo>
                                <a:lnTo>
                                  <a:pt x="13616" y="1898"/>
                                </a:lnTo>
                                <a:lnTo>
                                  <a:pt x="13600" y="1898"/>
                                </a:lnTo>
                                <a:lnTo>
                                  <a:pt x="13600" y="1850"/>
                                </a:lnTo>
                                <a:lnTo>
                                  <a:pt x="13616" y="1850"/>
                                </a:lnTo>
                                <a:close/>
                                <a:moveTo>
                                  <a:pt x="13616" y="1914"/>
                                </a:moveTo>
                                <a:lnTo>
                                  <a:pt x="13616" y="1962"/>
                                </a:lnTo>
                                <a:lnTo>
                                  <a:pt x="13600" y="1962"/>
                                </a:lnTo>
                                <a:lnTo>
                                  <a:pt x="13600" y="1914"/>
                                </a:lnTo>
                                <a:lnTo>
                                  <a:pt x="13616" y="1914"/>
                                </a:lnTo>
                                <a:close/>
                                <a:moveTo>
                                  <a:pt x="13616" y="1978"/>
                                </a:moveTo>
                                <a:lnTo>
                                  <a:pt x="13616" y="2027"/>
                                </a:lnTo>
                                <a:lnTo>
                                  <a:pt x="13600" y="2027"/>
                                </a:lnTo>
                                <a:lnTo>
                                  <a:pt x="13600" y="1978"/>
                                </a:lnTo>
                                <a:lnTo>
                                  <a:pt x="13616" y="1978"/>
                                </a:lnTo>
                                <a:close/>
                                <a:moveTo>
                                  <a:pt x="13616" y="2043"/>
                                </a:moveTo>
                                <a:lnTo>
                                  <a:pt x="13616" y="2091"/>
                                </a:lnTo>
                                <a:lnTo>
                                  <a:pt x="13600" y="2091"/>
                                </a:lnTo>
                                <a:lnTo>
                                  <a:pt x="13600" y="2043"/>
                                </a:lnTo>
                                <a:lnTo>
                                  <a:pt x="13616" y="2043"/>
                                </a:lnTo>
                                <a:close/>
                                <a:moveTo>
                                  <a:pt x="13616" y="2107"/>
                                </a:moveTo>
                                <a:lnTo>
                                  <a:pt x="13616" y="2155"/>
                                </a:lnTo>
                                <a:lnTo>
                                  <a:pt x="13600" y="2155"/>
                                </a:lnTo>
                                <a:lnTo>
                                  <a:pt x="13600" y="2107"/>
                                </a:lnTo>
                                <a:lnTo>
                                  <a:pt x="13616" y="2107"/>
                                </a:lnTo>
                                <a:close/>
                                <a:moveTo>
                                  <a:pt x="13616" y="2171"/>
                                </a:moveTo>
                                <a:lnTo>
                                  <a:pt x="13616" y="2219"/>
                                </a:lnTo>
                                <a:lnTo>
                                  <a:pt x="13600" y="2219"/>
                                </a:lnTo>
                                <a:lnTo>
                                  <a:pt x="13600" y="2171"/>
                                </a:lnTo>
                                <a:lnTo>
                                  <a:pt x="13616" y="2171"/>
                                </a:lnTo>
                                <a:close/>
                                <a:moveTo>
                                  <a:pt x="13616" y="2235"/>
                                </a:moveTo>
                                <a:lnTo>
                                  <a:pt x="13616" y="2248"/>
                                </a:lnTo>
                                <a:cubicBezTo>
                                  <a:pt x="13616" y="2253"/>
                                  <a:pt x="13613" y="2256"/>
                                  <a:pt x="13608" y="2256"/>
                                </a:cubicBezTo>
                                <a:lnTo>
                                  <a:pt x="13574" y="2256"/>
                                </a:lnTo>
                                <a:lnTo>
                                  <a:pt x="13574" y="2240"/>
                                </a:lnTo>
                                <a:lnTo>
                                  <a:pt x="13608" y="2240"/>
                                </a:lnTo>
                                <a:lnTo>
                                  <a:pt x="13600" y="2248"/>
                                </a:lnTo>
                                <a:lnTo>
                                  <a:pt x="13600" y="2235"/>
                                </a:lnTo>
                                <a:lnTo>
                                  <a:pt x="13616" y="2235"/>
                                </a:lnTo>
                                <a:close/>
                                <a:moveTo>
                                  <a:pt x="13558" y="2256"/>
                                </a:moveTo>
                                <a:lnTo>
                                  <a:pt x="13510" y="2256"/>
                                </a:lnTo>
                                <a:lnTo>
                                  <a:pt x="13510" y="2240"/>
                                </a:lnTo>
                                <a:lnTo>
                                  <a:pt x="13558" y="2240"/>
                                </a:lnTo>
                                <a:lnTo>
                                  <a:pt x="13558" y="2256"/>
                                </a:lnTo>
                                <a:close/>
                                <a:moveTo>
                                  <a:pt x="13494" y="2256"/>
                                </a:moveTo>
                                <a:lnTo>
                                  <a:pt x="13446" y="2256"/>
                                </a:lnTo>
                                <a:lnTo>
                                  <a:pt x="13446" y="2240"/>
                                </a:lnTo>
                                <a:lnTo>
                                  <a:pt x="13494" y="2240"/>
                                </a:lnTo>
                                <a:lnTo>
                                  <a:pt x="13494" y="2256"/>
                                </a:lnTo>
                                <a:close/>
                                <a:moveTo>
                                  <a:pt x="13430" y="2256"/>
                                </a:moveTo>
                                <a:lnTo>
                                  <a:pt x="13382" y="2256"/>
                                </a:lnTo>
                                <a:lnTo>
                                  <a:pt x="13382" y="2240"/>
                                </a:lnTo>
                                <a:lnTo>
                                  <a:pt x="13430" y="2240"/>
                                </a:lnTo>
                                <a:lnTo>
                                  <a:pt x="13430" y="2256"/>
                                </a:lnTo>
                                <a:close/>
                                <a:moveTo>
                                  <a:pt x="13366" y="2256"/>
                                </a:moveTo>
                                <a:lnTo>
                                  <a:pt x="13318" y="2256"/>
                                </a:lnTo>
                                <a:lnTo>
                                  <a:pt x="13318" y="2240"/>
                                </a:lnTo>
                                <a:lnTo>
                                  <a:pt x="13366" y="2240"/>
                                </a:lnTo>
                                <a:lnTo>
                                  <a:pt x="13366" y="2256"/>
                                </a:lnTo>
                                <a:close/>
                                <a:moveTo>
                                  <a:pt x="13302" y="2256"/>
                                </a:moveTo>
                                <a:lnTo>
                                  <a:pt x="13254" y="2256"/>
                                </a:lnTo>
                                <a:lnTo>
                                  <a:pt x="13254" y="2240"/>
                                </a:lnTo>
                                <a:lnTo>
                                  <a:pt x="13302" y="2240"/>
                                </a:lnTo>
                                <a:lnTo>
                                  <a:pt x="13302" y="2256"/>
                                </a:lnTo>
                                <a:close/>
                                <a:moveTo>
                                  <a:pt x="13238" y="2256"/>
                                </a:moveTo>
                                <a:lnTo>
                                  <a:pt x="13190" y="2256"/>
                                </a:lnTo>
                                <a:lnTo>
                                  <a:pt x="13190" y="2240"/>
                                </a:lnTo>
                                <a:lnTo>
                                  <a:pt x="13238" y="2240"/>
                                </a:lnTo>
                                <a:lnTo>
                                  <a:pt x="13238" y="2256"/>
                                </a:lnTo>
                                <a:close/>
                                <a:moveTo>
                                  <a:pt x="13174" y="2256"/>
                                </a:moveTo>
                                <a:lnTo>
                                  <a:pt x="13126" y="2256"/>
                                </a:lnTo>
                                <a:lnTo>
                                  <a:pt x="13126" y="2240"/>
                                </a:lnTo>
                                <a:lnTo>
                                  <a:pt x="13174" y="2240"/>
                                </a:lnTo>
                                <a:lnTo>
                                  <a:pt x="13174" y="2256"/>
                                </a:lnTo>
                                <a:close/>
                                <a:moveTo>
                                  <a:pt x="13110" y="2256"/>
                                </a:moveTo>
                                <a:lnTo>
                                  <a:pt x="13062" y="2256"/>
                                </a:lnTo>
                                <a:lnTo>
                                  <a:pt x="13062" y="2240"/>
                                </a:lnTo>
                                <a:lnTo>
                                  <a:pt x="13110" y="2240"/>
                                </a:lnTo>
                                <a:lnTo>
                                  <a:pt x="13110" y="2256"/>
                                </a:lnTo>
                                <a:close/>
                                <a:moveTo>
                                  <a:pt x="13046" y="2256"/>
                                </a:moveTo>
                                <a:lnTo>
                                  <a:pt x="12998" y="2256"/>
                                </a:lnTo>
                                <a:lnTo>
                                  <a:pt x="12998" y="2240"/>
                                </a:lnTo>
                                <a:lnTo>
                                  <a:pt x="13046" y="2240"/>
                                </a:lnTo>
                                <a:lnTo>
                                  <a:pt x="13046" y="2256"/>
                                </a:lnTo>
                                <a:close/>
                                <a:moveTo>
                                  <a:pt x="12982" y="2256"/>
                                </a:moveTo>
                                <a:lnTo>
                                  <a:pt x="12933" y="2256"/>
                                </a:lnTo>
                                <a:lnTo>
                                  <a:pt x="12933" y="2240"/>
                                </a:lnTo>
                                <a:lnTo>
                                  <a:pt x="12982" y="2240"/>
                                </a:lnTo>
                                <a:lnTo>
                                  <a:pt x="12982" y="2256"/>
                                </a:lnTo>
                                <a:close/>
                                <a:moveTo>
                                  <a:pt x="12917" y="2256"/>
                                </a:moveTo>
                                <a:lnTo>
                                  <a:pt x="12869" y="2256"/>
                                </a:lnTo>
                                <a:lnTo>
                                  <a:pt x="12869" y="2240"/>
                                </a:lnTo>
                                <a:lnTo>
                                  <a:pt x="12917" y="2240"/>
                                </a:lnTo>
                                <a:lnTo>
                                  <a:pt x="12917" y="2256"/>
                                </a:lnTo>
                                <a:close/>
                                <a:moveTo>
                                  <a:pt x="12853" y="2256"/>
                                </a:moveTo>
                                <a:lnTo>
                                  <a:pt x="12805" y="2256"/>
                                </a:lnTo>
                                <a:lnTo>
                                  <a:pt x="12805" y="2240"/>
                                </a:lnTo>
                                <a:lnTo>
                                  <a:pt x="12853" y="2240"/>
                                </a:lnTo>
                                <a:lnTo>
                                  <a:pt x="12853" y="2256"/>
                                </a:lnTo>
                                <a:close/>
                                <a:moveTo>
                                  <a:pt x="12789" y="2256"/>
                                </a:moveTo>
                                <a:lnTo>
                                  <a:pt x="12741" y="2256"/>
                                </a:lnTo>
                                <a:lnTo>
                                  <a:pt x="12741" y="2240"/>
                                </a:lnTo>
                                <a:lnTo>
                                  <a:pt x="12789" y="2240"/>
                                </a:lnTo>
                                <a:lnTo>
                                  <a:pt x="12789" y="2256"/>
                                </a:lnTo>
                                <a:close/>
                                <a:moveTo>
                                  <a:pt x="12725" y="2256"/>
                                </a:moveTo>
                                <a:lnTo>
                                  <a:pt x="12677" y="2256"/>
                                </a:lnTo>
                                <a:lnTo>
                                  <a:pt x="12677" y="2240"/>
                                </a:lnTo>
                                <a:lnTo>
                                  <a:pt x="12725" y="2240"/>
                                </a:lnTo>
                                <a:lnTo>
                                  <a:pt x="12725" y="2256"/>
                                </a:lnTo>
                                <a:close/>
                                <a:moveTo>
                                  <a:pt x="12661" y="2256"/>
                                </a:moveTo>
                                <a:lnTo>
                                  <a:pt x="12613" y="2256"/>
                                </a:lnTo>
                                <a:lnTo>
                                  <a:pt x="12613" y="2240"/>
                                </a:lnTo>
                                <a:lnTo>
                                  <a:pt x="12661" y="2240"/>
                                </a:lnTo>
                                <a:lnTo>
                                  <a:pt x="12661" y="2256"/>
                                </a:lnTo>
                                <a:close/>
                                <a:moveTo>
                                  <a:pt x="12597" y="2256"/>
                                </a:moveTo>
                                <a:lnTo>
                                  <a:pt x="12549" y="2256"/>
                                </a:lnTo>
                                <a:lnTo>
                                  <a:pt x="12549" y="2240"/>
                                </a:lnTo>
                                <a:lnTo>
                                  <a:pt x="12597" y="2240"/>
                                </a:lnTo>
                                <a:lnTo>
                                  <a:pt x="12597" y="2256"/>
                                </a:lnTo>
                                <a:close/>
                                <a:moveTo>
                                  <a:pt x="12533" y="2256"/>
                                </a:moveTo>
                                <a:lnTo>
                                  <a:pt x="12485" y="2256"/>
                                </a:lnTo>
                                <a:lnTo>
                                  <a:pt x="12485" y="2240"/>
                                </a:lnTo>
                                <a:lnTo>
                                  <a:pt x="12533" y="2240"/>
                                </a:lnTo>
                                <a:lnTo>
                                  <a:pt x="12533" y="2256"/>
                                </a:lnTo>
                                <a:close/>
                                <a:moveTo>
                                  <a:pt x="12469" y="2256"/>
                                </a:moveTo>
                                <a:lnTo>
                                  <a:pt x="12421" y="2256"/>
                                </a:lnTo>
                                <a:lnTo>
                                  <a:pt x="12421" y="2240"/>
                                </a:lnTo>
                                <a:lnTo>
                                  <a:pt x="12469" y="2240"/>
                                </a:lnTo>
                                <a:lnTo>
                                  <a:pt x="12469" y="2256"/>
                                </a:lnTo>
                                <a:close/>
                                <a:moveTo>
                                  <a:pt x="12405" y="2256"/>
                                </a:moveTo>
                                <a:lnTo>
                                  <a:pt x="12357" y="2256"/>
                                </a:lnTo>
                                <a:lnTo>
                                  <a:pt x="12357" y="2240"/>
                                </a:lnTo>
                                <a:lnTo>
                                  <a:pt x="12405" y="2240"/>
                                </a:lnTo>
                                <a:lnTo>
                                  <a:pt x="12405" y="2256"/>
                                </a:lnTo>
                                <a:close/>
                                <a:moveTo>
                                  <a:pt x="12341" y="2256"/>
                                </a:moveTo>
                                <a:lnTo>
                                  <a:pt x="12293" y="2256"/>
                                </a:lnTo>
                                <a:lnTo>
                                  <a:pt x="12293" y="2240"/>
                                </a:lnTo>
                                <a:lnTo>
                                  <a:pt x="12341" y="2240"/>
                                </a:lnTo>
                                <a:lnTo>
                                  <a:pt x="12341" y="2256"/>
                                </a:lnTo>
                                <a:close/>
                                <a:moveTo>
                                  <a:pt x="12277" y="2256"/>
                                </a:moveTo>
                                <a:lnTo>
                                  <a:pt x="12229" y="2256"/>
                                </a:lnTo>
                                <a:lnTo>
                                  <a:pt x="12229" y="2240"/>
                                </a:lnTo>
                                <a:lnTo>
                                  <a:pt x="12277" y="2240"/>
                                </a:lnTo>
                                <a:lnTo>
                                  <a:pt x="12277" y="2256"/>
                                </a:lnTo>
                                <a:close/>
                                <a:moveTo>
                                  <a:pt x="12213" y="2256"/>
                                </a:moveTo>
                                <a:lnTo>
                                  <a:pt x="12165" y="2256"/>
                                </a:lnTo>
                                <a:lnTo>
                                  <a:pt x="12165" y="2240"/>
                                </a:lnTo>
                                <a:lnTo>
                                  <a:pt x="12213" y="2240"/>
                                </a:lnTo>
                                <a:lnTo>
                                  <a:pt x="12213" y="2256"/>
                                </a:lnTo>
                                <a:close/>
                                <a:moveTo>
                                  <a:pt x="12149" y="2256"/>
                                </a:moveTo>
                                <a:lnTo>
                                  <a:pt x="12101" y="2256"/>
                                </a:lnTo>
                                <a:lnTo>
                                  <a:pt x="12101" y="2240"/>
                                </a:lnTo>
                                <a:lnTo>
                                  <a:pt x="12149" y="2240"/>
                                </a:lnTo>
                                <a:lnTo>
                                  <a:pt x="12149" y="2256"/>
                                </a:lnTo>
                                <a:close/>
                                <a:moveTo>
                                  <a:pt x="12085" y="2256"/>
                                </a:moveTo>
                                <a:lnTo>
                                  <a:pt x="12037" y="2256"/>
                                </a:lnTo>
                                <a:lnTo>
                                  <a:pt x="12037" y="2240"/>
                                </a:lnTo>
                                <a:lnTo>
                                  <a:pt x="12085" y="2240"/>
                                </a:lnTo>
                                <a:lnTo>
                                  <a:pt x="12085" y="2256"/>
                                </a:lnTo>
                                <a:close/>
                                <a:moveTo>
                                  <a:pt x="12021" y="2256"/>
                                </a:moveTo>
                                <a:lnTo>
                                  <a:pt x="11973" y="2256"/>
                                </a:lnTo>
                                <a:lnTo>
                                  <a:pt x="11973" y="2240"/>
                                </a:lnTo>
                                <a:lnTo>
                                  <a:pt x="12021" y="2240"/>
                                </a:lnTo>
                                <a:lnTo>
                                  <a:pt x="12021" y="2256"/>
                                </a:lnTo>
                                <a:close/>
                                <a:moveTo>
                                  <a:pt x="11956" y="2256"/>
                                </a:moveTo>
                                <a:lnTo>
                                  <a:pt x="11908" y="2256"/>
                                </a:lnTo>
                                <a:lnTo>
                                  <a:pt x="11908" y="2240"/>
                                </a:lnTo>
                                <a:lnTo>
                                  <a:pt x="11956" y="2240"/>
                                </a:lnTo>
                                <a:lnTo>
                                  <a:pt x="11956" y="2256"/>
                                </a:lnTo>
                                <a:close/>
                                <a:moveTo>
                                  <a:pt x="11892" y="2256"/>
                                </a:moveTo>
                                <a:lnTo>
                                  <a:pt x="11844" y="2256"/>
                                </a:lnTo>
                                <a:lnTo>
                                  <a:pt x="11844" y="2240"/>
                                </a:lnTo>
                                <a:lnTo>
                                  <a:pt x="11892" y="2240"/>
                                </a:lnTo>
                                <a:lnTo>
                                  <a:pt x="11892" y="2256"/>
                                </a:lnTo>
                                <a:close/>
                                <a:moveTo>
                                  <a:pt x="11828" y="2256"/>
                                </a:moveTo>
                                <a:lnTo>
                                  <a:pt x="11780" y="2256"/>
                                </a:lnTo>
                                <a:lnTo>
                                  <a:pt x="11780" y="2240"/>
                                </a:lnTo>
                                <a:lnTo>
                                  <a:pt x="11828" y="2240"/>
                                </a:lnTo>
                                <a:lnTo>
                                  <a:pt x="11828" y="2256"/>
                                </a:lnTo>
                                <a:close/>
                                <a:moveTo>
                                  <a:pt x="11764" y="2256"/>
                                </a:moveTo>
                                <a:lnTo>
                                  <a:pt x="11716" y="2256"/>
                                </a:lnTo>
                                <a:lnTo>
                                  <a:pt x="11716" y="2240"/>
                                </a:lnTo>
                                <a:lnTo>
                                  <a:pt x="11764" y="2240"/>
                                </a:lnTo>
                                <a:lnTo>
                                  <a:pt x="11764" y="2256"/>
                                </a:lnTo>
                                <a:close/>
                                <a:moveTo>
                                  <a:pt x="11700" y="2256"/>
                                </a:moveTo>
                                <a:lnTo>
                                  <a:pt x="11652" y="2256"/>
                                </a:lnTo>
                                <a:lnTo>
                                  <a:pt x="11652" y="2240"/>
                                </a:lnTo>
                                <a:lnTo>
                                  <a:pt x="11700" y="2240"/>
                                </a:lnTo>
                                <a:lnTo>
                                  <a:pt x="11700" y="2256"/>
                                </a:lnTo>
                                <a:close/>
                                <a:moveTo>
                                  <a:pt x="11636" y="2256"/>
                                </a:moveTo>
                                <a:lnTo>
                                  <a:pt x="11588" y="2256"/>
                                </a:lnTo>
                                <a:lnTo>
                                  <a:pt x="11588" y="2240"/>
                                </a:lnTo>
                                <a:lnTo>
                                  <a:pt x="11636" y="2240"/>
                                </a:lnTo>
                                <a:lnTo>
                                  <a:pt x="11636" y="2256"/>
                                </a:lnTo>
                                <a:close/>
                                <a:moveTo>
                                  <a:pt x="11572" y="2256"/>
                                </a:moveTo>
                                <a:lnTo>
                                  <a:pt x="11524" y="2256"/>
                                </a:lnTo>
                                <a:lnTo>
                                  <a:pt x="11524" y="2240"/>
                                </a:lnTo>
                                <a:lnTo>
                                  <a:pt x="11572" y="2240"/>
                                </a:lnTo>
                                <a:lnTo>
                                  <a:pt x="11572" y="2256"/>
                                </a:lnTo>
                                <a:close/>
                                <a:moveTo>
                                  <a:pt x="11508" y="2256"/>
                                </a:moveTo>
                                <a:lnTo>
                                  <a:pt x="11460" y="2256"/>
                                </a:lnTo>
                                <a:lnTo>
                                  <a:pt x="11460" y="2240"/>
                                </a:lnTo>
                                <a:lnTo>
                                  <a:pt x="11508" y="2240"/>
                                </a:lnTo>
                                <a:lnTo>
                                  <a:pt x="11508" y="2256"/>
                                </a:lnTo>
                                <a:close/>
                                <a:moveTo>
                                  <a:pt x="11444" y="2256"/>
                                </a:moveTo>
                                <a:lnTo>
                                  <a:pt x="11396" y="2256"/>
                                </a:lnTo>
                                <a:lnTo>
                                  <a:pt x="11396" y="2240"/>
                                </a:lnTo>
                                <a:lnTo>
                                  <a:pt x="11444" y="2240"/>
                                </a:lnTo>
                                <a:lnTo>
                                  <a:pt x="11444" y="2256"/>
                                </a:lnTo>
                                <a:close/>
                                <a:moveTo>
                                  <a:pt x="11380" y="2256"/>
                                </a:moveTo>
                                <a:lnTo>
                                  <a:pt x="11332" y="2256"/>
                                </a:lnTo>
                                <a:lnTo>
                                  <a:pt x="11332" y="2240"/>
                                </a:lnTo>
                                <a:lnTo>
                                  <a:pt x="11380" y="2240"/>
                                </a:lnTo>
                                <a:lnTo>
                                  <a:pt x="11380" y="2256"/>
                                </a:lnTo>
                                <a:close/>
                                <a:moveTo>
                                  <a:pt x="11316" y="2256"/>
                                </a:moveTo>
                                <a:lnTo>
                                  <a:pt x="11268" y="2256"/>
                                </a:lnTo>
                                <a:lnTo>
                                  <a:pt x="11268" y="2240"/>
                                </a:lnTo>
                                <a:lnTo>
                                  <a:pt x="11316" y="2240"/>
                                </a:lnTo>
                                <a:lnTo>
                                  <a:pt x="11316" y="2256"/>
                                </a:lnTo>
                                <a:close/>
                                <a:moveTo>
                                  <a:pt x="11252" y="2256"/>
                                </a:moveTo>
                                <a:lnTo>
                                  <a:pt x="11204" y="2256"/>
                                </a:lnTo>
                                <a:lnTo>
                                  <a:pt x="11204" y="2240"/>
                                </a:lnTo>
                                <a:lnTo>
                                  <a:pt x="11252" y="2240"/>
                                </a:lnTo>
                                <a:lnTo>
                                  <a:pt x="11252" y="2256"/>
                                </a:lnTo>
                                <a:close/>
                                <a:moveTo>
                                  <a:pt x="11188" y="2256"/>
                                </a:moveTo>
                                <a:lnTo>
                                  <a:pt x="11140" y="2256"/>
                                </a:lnTo>
                                <a:lnTo>
                                  <a:pt x="11140" y="2240"/>
                                </a:lnTo>
                                <a:lnTo>
                                  <a:pt x="11188" y="2240"/>
                                </a:lnTo>
                                <a:lnTo>
                                  <a:pt x="11188" y="2256"/>
                                </a:lnTo>
                                <a:close/>
                                <a:moveTo>
                                  <a:pt x="11124" y="2256"/>
                                </a:moveTo>
                                <a:lnTo>
                                  <a:pt x="11076" y="2256"/>
                                </a:lnTo>
                                <a:lnTo>
                                  <a:pt x="11076" y="2240"/>
                                </a:lnTo>
                                <a:lnTo>
                                  <a:pt x="11124" y="2240"/>
                                </a:lnTo>
                                <a:lnTo>
                                  <a:pt x="11124" y="2256"/>
                                </a:lnTo>
                                <a:close/>
                                <a:moveTo>
                                  <a:pt x="11060" y="2256"/>
                                </a:moveTo>
                                <a:lnTo>
                                  <a:pt x="11012" y="2256"/>
                                </a:lnTo>
                                <a:lnTo>
                                  <a:pt x="11012" y="2240"/>
                                </a:lnTo>
                                <a:lnTo>
                                  <a:pt x="11060" y="2240"/>
                                </a:lnTo>
                                <a:lnTo>
                                  <a:pt x="11060" y="2256"/>
                                </a:lnTo>
                                <a:close/>
                                <a:moveTo>
                                  <a:pt x="10996" y="2256"/>
                                </a:moveTo>
                                <a:lnTo>
                                  <a:pt x="10947" y="2256"/>
                                </a:lnTo>
                                <a:lnTo>
                                  <a:pt x="10947" y="2240"/>
                                </a:lnTo>
                                <a:lnTo>
                                  <a:pt x="10996" y="2240"/>
                                </a:lnTo>
                                <a:lnTo>
                                  <a:pt x="10996" y="2256"/>
                                </a:lnTo>
                                <a:close/>
                                <a:moveTo>
                                  <a:pt x="10931" y="2256"/>
                                </a:moveTo>
                                <a:lnTo>
                                  <a:pt x="10883" y="2256"/>
                                </a:lnTo>
                                <a:lnTo>
                                  <a:pt x="10883" y="2240"/>
                                </a:lnTo>
                                <a:lnTo>
                                  <a:pt x="10931" y="2240"/>
                                </a:lnTo>
                                <a:lnTo>
                                  <a:pt x="10931" y="2256"/>
                                </a:lnTo>
                                <a:close/>
                                <a:moveTo>
                                  <a:pt x="10867" y="2256"/>
                                </a:moveTo>
                                <a:lnTo>
                                  <a:pt x="10819" y="2256"/>
                                </a:lnTo>
                                <a:lnTo>
                                  <a:pt x="10819" y="2240"/>
                                </a:lnTo>
                                <a:lnTo>
                                  <a:pt x="10867" y="2240"/>
                                </a:lnTo>
                                <a:lnTo>
                                  <a:pt x="10867" y="2256"/>
                                </a:lnTo>
                                <a:close/>
                                <a:moveTo>
                                  <a:pt x="10803" y="2256"/>
                                </a:moveTo>
                                <a:lnTo>
                                  <a:pt x="10755" y="2256"/>
                                </a:lnTo>
                                <a:lnTo>
                                  <a:pt x="10755" y="2240"/>
                                </a:lnTo>
                                <a:lnTo>
                                  <a:pt x="10803" y="2240"/>
                                </a:lnTo>
                                <a:lnTo>
                                  <a:pt x="10803" y="2256"/>
                                </a:lnTo>
                                <a:close/>
                                <a:moveTo>
                                  <a:pt x="10739" y="2256"/>
                                </a:moveTo>
                                <a:lnTo>
                                  <a:pt x="10691" y="2256"/>
                                </a:lnTo>
                                <a:lnTo>
                                  <a:pt x="10691" y="2240"/>
                                </a:lnTo>
                                <a:lnTo>
                                  <a:pt x="10739" y="2240"/>
                                </a:lnTo>
                                <a:lnTo>
                                  <a:pt x="10739" y="2256"/>
                                </a:lnTo>
                                <a:close/>
                                <a:moveTo>
                                  <a:pt x="10675" y="2256"/>
                                </a:moveTo>
                                <a:lnTo>
                                  <a:pt x="10627" y="2256"/>
                                </a:lnTo>
                                <a:lnTo>
                                  <a:pt x="10627" y="2240"/>
                                </a:lnTo>
                                <a:lnTo>
                                  <a:pt x="10675" y="2240"/>
                                </a:lnTo>
                                <a:lnTo>
                                  <a:pt x="10675" y="2256"/>
                                </a:lnTo>
                                <a:close/>
                                <a:moveTo>
                                  <a:pt x="10611" y="2256"/>
                                </a:moveTo>
                                <a:lnTo>
                                  <a:pt x="10563" y="2256"/>
                                </a:lnTo>
                                <a:lnTo>
                                  <a:pt x="10563" y="2240"/>
                                </a:lnTo>
                                <a:lnTo>
                                  <a:pt x="10611" y="2240"/>
                                </a:lnTo>
                                <a:lnTo>
                                  <a:pt x="10611" y="2256"/>
                                </a:lnTo>
                                <a:close/>
                                <a:moveTo>
                                  <a:pt x="10547" y="2256"/>
                                </a:moveTo>
                                <a:lnTo>
                                  <a:pt x="10499" y="2256"/>
                                </a:lnTo>
                                <a:lnTo>
                                  <a:pt x="10499" y="2240"/>
                                </a:lnTo>
                                <a:lnTo>
                                  <a:pt x="10547" y="2240"/>
                                </a:lnTo>
                                <a:lnTo>
                                  <a:pt x="10547" y="2256"/>
                                </a:lnTo>
                                <a:close/>
                                <a:moveTo>
                                  <a:pt x="10483" y="2256"/>
                                </a:moveTo>
                                <a:lnTo>
                                  <a:pt x="10435" y="2256"/>
                                </a:lnTo>
                                <a:lnTo>
                                  <a:pt x="10435" y="2240"/>
                                </a:lnTo>
                                <a:lnTo>
                                  <a:pt x="10483" y="2240"/>
                                </a:lnTo>
                                <a:lnTo>
                                  <a:pt x="10483" y="2256"/>
                                </a:lnTo>
                                <a:close/>
                                <a:moveTo>
                                  <a:pt x="10419" y="2256"/>
                                </a:moveTo>
                                <a:lnTo>
                                  <a:pt x="10371" y="2256"/>
                                </a:lnTo>
                                <a:lnTo>
                                  <a:pt x="10371" y="2240"/>
                                </a:lnTo>
                                <a:lnTo>
                                  <a:pt x="10419" y="2240"/>
                                </a:lnTo>
                                <a:lnTo>
                                  <a:pt x="10419" y="2256"/>
                                </a:lnTo>
                                <a:close/>
                                <a:moveTo>
                                  <a:pt x="10355" y="2256"/>
                                </a:moveTo>
                                <a:lnTo>
                                  <a:pt x="10307" y="2256"/>
                                </a:lnTo>
                                <a:lnTo>
                                  <a:pt x="10307" y="2240"/>
                                </a:lnTo>
                                <a:lnTo>
                                  <a:pt x="10355" y="2240"/>
                                </a:lnTo>
                                <a:lnTo>
                                  <a:pt x="10355" y="2256"/>
                                </a:lnTo>
                                <a:close/>
                                <a:moveTo>
                                  <a:pt x="10291" y="2256"/>
                                </a:moveTo>
                                <a:lnTo>
                                  <a:pt x="10243" y="2256"/>
                                </a:lnTo>
                                <a:lnTo>
                                  <a:pt x="10243" y="2240"/>
                                </a:lnTo>
                                <a:lnTo>
                                  <a:pt x="10291" y="2240"/>
                                </a:lnTo>
                                <a:lnTo>
                                  <a:pt x="10291" y="2256"/>
                                </a:lnTo>
                                <a:close/>
                                <a:moveTo>
                                  <a:pt x="10227" y="2256"/>
                                </a:moveTo>
                                <a:lnTo>
                                  <a:pt x="10179" y="2256"/>
                                </a:lnTo>
                                <a:lnTo>
                                  <a:pt x="10179" y="2240"/>
                                </a:lnTo>
                                <a:lnTo>
                                  <a:pt x="10227" y="2240"/>
                                </a:lnTo>
                                <a:lnTo>
                                  <a:pt x="10227" y="2256"/>
                                </a:lnTo>
                                <a:close/>
                                <a:moveTo>
                                  <a:pt x="10163" y="2256"/>
                                </a:moveTo>
                                <a:lnTo>
                                  <a:pt x="10115" y="2256"/>
                                </a:lnTo>
                                <a:lnTo>
                                  <a:pt x="10115" y="2240"/>
                                </a:lnTo>
                                <a:lnTo>
                                  <a:pt x="10163" y="2240"/>
                                </a:lnTo>
                                <a:lnTo>
                                  <a:pt x="10163" y="2256"/>
                                </a:lnTo>
                                <a:close/>
                                <a:moveTo>
                                  <a:pt x="10099" y="2256"/>
                                </a:moveTo>
                                <a:lnTo>
                                  <a:pt x="10051" y="2256"/>
                                </a:lnTo>
                                <a:lnTo>
                                  <a:pt x="10051" y="2240"/>
                                </a:lnTo>
                                <a:lnTo>
                                  <a:pt x="10099" y="2240"/>
                                </a:lnTo>
                                <a:lnTo>
                                  <a:pt x="10099" y="2256"/>
                                </a:lnTo>
                                <a:close/>
                                <a:moveTo>
                                  <a:pt x="10035" y="2256"/>
                                </a:moveTo>
                                <a:lnTo>
                                  <a:pt x="9986" y="2256"/>
                                </a:lnTo>
                                <a:lnTo>
                                  <a:pt x="9986" y="2240"/>
                                </a:lnTo>
                                <a:lnTo>
                                  <a:pt x="10035" y="2240"/>
                                </a:lnTo>
                                <a:lnTo>
                                  <a:pt x="10035" y="2256"/>
                                </a:lnTo>
                                <a:close/>
                                <a:moveTo>
                                  <a:pt x="9970" y="2256"/>
                                </a:moveTo>
                                <a:lnTo>
                                  <a:pt x="9922" y="2256"/>
                                </a:lnTo>
                                <a:lnTo>
                                  <a:pt x="9922" y="2240"/>
                                </a:lnTo>
                                <a:lnTo>
                                  <a:pt x="9970" y="2240"/>
                                </a:lnTo>
                                <a:lnTo>
                                  <a:pt x="9970" y="2256"/>
                                </a:lnTo>
                                <a:close/>
                                <a:moveTo>
                                  <a:pt x="9906" y="2256"/>
                                </a:moveTo>
                                <a:lnTo>
                                  <a:pt x="9858" y="2256"/>
                                </a:lnTo>
                                <a:lnTo>
                                  <a:pt x="9858" y="2240"/>
                                </a:lnTo>
                                <a:lnTo>
                                  <a:pt x="9906" y="2240"/>
                                </a:lnTo>
                                <a:lnTo>
                                  <a:pt x="9906" y="2256"/>
                                </a:lnTo>
                                <a:close/>
                                <a:moveTo>
                                  <a:pt x="9842" y="2256"/>
                                </a:moveTo>
                                <a:lnTo>
                                  <a:pt x="9794" y="2256"/>
                                </a:lnTo>
                                <a:lnTo>
                                  <a:pt x="9794" y="2240"/>
                                </a:lnTo>
                                <a:lnTo>
                                  <a:pt x="9842" y="2240"/>
                                </a:lnTo>
                                <a:lnTo>
                                  <a:pt x="9842" y="2256"/>
                                </a:lnTo>
                                <a:close/>
                                <a:moveTo>
                                  <a:pt x="9778" y="2256"/>
                                </a:moveTo>
                                <a:lnTo>
                                  <a:pt x="9730" y="2256"/>
                                </a:lnTo>
                                <a:lnTo>
                                  <a:pt x="9730" y="2240"/>
                                </a:lnTo>
                                <a:lnTo>
                                  <a:pt x="9778" y="2240"/>
                                </a:lnTo>
                                <a:lnTo>
                                  <a:pt x="9778" y="2256"/>
                                </a:lnTo>
                                <a:close/>
                                <a:moveTo>
                                  <a:pt x="9714" y="2256"/>
                                </a:moveTo>
                                <a:lnTo>
                                  <a:pt x="9666" y="2256"/>
                                </a:lnTo>
                                <a:lnTo>
                                  <a:pt x="9666" y="2240"/>
                                </a:lnTo>
                                <a:lnTo>
                                  <a:pt x="9714" y="2240"/>
                                </a:lnTo>
                                <a:lnTo>
                                  <a:pt x="9714" y="2256"/>
                                </a:lnTo>
                                <a:close/>
                                <a:moveTo>
                                  <a:pt x="9650" y="2256"/>
                                </a:moveTo>
                                <a:lnTo>
                                  <a:pt x="9602" y="2256"/>
                                </a:lnTo>
                                <a:lnTo>
                                  <a:pt x="9602" y="2240"/>
                                </a:lnTo>
                                <a:lnTo>
                                  <a:pt x="9650" y="2240"/>
                                </a:lnTo>
                                <a:lnTo>
                                  <a:pt x="9650" y="2256"/>
                                </a:lnTo>
                                <a:close/>
                                <a:moveTo>
                                  <a:pt x="9586" y="2256"/>
                                </a:moveTo>
                                <a:lnTo>
                                  <a:pt x="9538" y="2256"/>
                                </a:lnTo>
                                <a:lnTo>
                                  <a:pt x="9538" y="2240"/>
                                </a:lnTo>
                                <a:lnTo>
                                  <a:pt x="9586" y="2240"/>
                                </a:lnTo>
                                <a:lnTo>
                                  <a:pt x="9586" y="2256"/>
                                </a:lnTo>
                                <a:close/>
                                <a:moveTo>
                                  <a:pt x="9522" y="2256"/>
                                </a:moveTo>
                                <a:lnTo>
                                  <a:pt x="9474" y="2256"/>
                                </a:lnTo>
                                <a:lnTo>
                                  <a:pt x="9474" y="2240"/>
                                </a:lnTo>
                                <a:lnTo>
                                  <a:pt x="9522" y="2240"/>
                                </a:lnTo>
                                <a:lnTo>
                                  <a:pt x="9522" y="2256"/>
                                </a:lnTo>
                                <a:close/>
                                <a:moveTo>
                                  <a:pt x="9458" y="2256"/>
                                </a:moveTo>
                                <a:lnTo>
                                  <a:pt x="9410" y="2256"/>
                                </a:lnTo>
                                <a:lnTo>
                                  <a:pt x="9410" y="2240"/>
                                </a:lnTo>
                                <a:lnTo>
                                  <a:pt x="9458" y="2240"/>
                                </a:lnTo>
                                <a:lnTo>
                                  <a:pt x="9458" y="2256"/>
                                </a:lnTo>
                                <a:close/>
                                <a:moveTo>
                                  <a:pt x="9394" y="2256"/>
                                </a:moveTo>
                                <a:lnTo>
                                  <a:pt x="9346" y="2256"/>
                                </a:lnTo>
                                <a:lnTo>
                                  <a:pt x="9346" y="2240"/>
                                </a:lnTo>
                                <a:lnTo>
                                  <a:pt x="9394" y="2240"/>
                                </a:lnTo>
                                <a:lnTo>
                                  <a:pt x="9394" y="2256"/>
                                </a:lnTo>
                                <a:close/>
                                <a:moveTo>
                                  <a:pt x="9330" y="2256"/>
                                </a:moveTo>
                                <a:lnTo>
                                  <a:pt x="9282" y="2256"/>
                                </a:lnTo>
                                <a:lnTo>
                                  <a:pt x="9282" y="2240"/>
                                </a:lnTo>
                                <a:lnTo>
                                  <a:pt x="9330" y="2240"/>
                                </a:lnTo>
                                <a:lnTo>
                                  <a:pt x="9330" y="2256"/>
                                </a:lnTo>
                                <a:close/>
                                <a:moveTo>
                                  <a:pt x="9266" y="2256"/>
                                </a:moveTo>
                                <a:lnTo>
                                  <a:pt x="9218" y="2256"/>
                                </a:lnTo>
                                <a:lnTo>
                                  <a:pt x="9218" y="2240"/>
                                </a:lnTo>
                                <a:lnTo>
                                  <a:pt x="9266" y="2240"/>
                                </a:lnTo>
                                <a:lnTo>
                                  <a:pt x="9266" y="2256"/>
                                </a:lnTo>
                                <a:close/>
                                <a:moveTo>
                                  <a:pt x="9202" y="2256"/>
                                </a:moveTo>
                                <a:lnTo>
                                  <a:pt x="9154" y="2256"/>
                                </a:lnTo>
                                <a:lnTo>
                                  <a:pt x="9154" y="2240"/>
                                </a:lnTo>
                                <a:lnTo>
                                  <a:pt x="9202" y="2240"/>
                                </a:lnTo>
                                <a:lnTo>
                                  <a:pt x="9202" y="2256"/>
                                </a:lnTo>
                                <a:close/>
                                <a:moveTo>
                                  <a:pt x="9138" y="2256"/>
                                </a:moveTo>
                                <a:lnTo>
                                  <a:pt x="9090" y="2256"/>
                                </a:lnTo>
                                <a:lnTo>
                                  <a:pt x="9090" y="2240"/>
                                </a:lnTo>
                                <a:lnTo>
                                  <a:pt x="9138" y="2240"/>
                                </a:lnTo>
                                <a:lnTo>
                                  <a:pt x="9138" y="2256"/>
                                </a:lnTo>
                                <a:close/>
                                <a:moveTo>
                                  <a:pt x="9074" y="2256"/>
                                </a:moveTo>
                                <a:lnTo>
                                  <a:pt x="9025" y="2256"/>
                                </a:lnTo>
                                <a:lnTo>
                                  <a:pt x="9025" y="2240"/>
                                </a:lnTo>
                                <a:lnTo>
                                  <a:pt x="9074" y="2240"/>
                                </a:lnTo>
                                <a:lnTo>
                                  <a:pt x="9074" y="2256"/>
                                </a:lnTo>
                                <a:close/>
                                <a:moveTo>
                                  <a:pt x="9009" y="2256"/>
                                </a:moveTo>
                                <a:lnTo>
                                  <a:pt x="8961" y="2256"/>
                                </a:lnTo>
                                <a:lnTo>
                                  <a:pt x="8961" y="2240"/>
                                </a:lnTo>
                                <a:lnTo>
                                  <a:pt x="9009" y="2240"/>
                                </a:lnTo>
                                <a:lnTo>
                                  <a:pt x="9009" y="2256"/>
                                </a:lnTo>
                                <a:close/>
                                <a:moveTo>
                                  <a:pt x="8945" y="2256"/>
                                </a:moveTo>
                                <a:lnTo>
                                  <a:pt x="8897" y="2256"/>
                                </a:lnTo>
                                <a:lnTo>
                                  <a:pt x="8897" y="2240"/>
                                </a:lnTo>
                                <a:lnTo>
                                  <a:pt x="8945" y="2240"/>
                                </a:lnTo>
                                <a:lnTo>
                                  <a:pt x="8945" y="2256"/>
                                </a:lnTo>
                                <a:close/>
                                <a:moveTo>
                                  <a:pt x="8881" y="2256"/>
                                </a:moveTo>
                                <a:lnTo>
                                  <a:pt x="8833" y="2256"/>
                                </a:lnTo>
                                <a:lnTo>
                                  <a:pt x="8833" y="2240"/>
                                </a:lnTo>
                                <a:lnTo>
                                  <a:pt x="8881" y="2240"/>
                                </a:lnTo>
                                <a:lnTo>
                                  <a:pt x="8881" y="2256"/>
                                </a:lnTo>
                                <a:close/>
                                <a:moveTo>
                                  <a:pt x="8817" y="2256"/>
                                </a:moveTo>
                                <a:lnTo>
                                  <a:pt x="8769" y="2256"/>
                                </a:lnTo>
                                <a:lnTo>
                                  <a:pt x="8769" y="2240"/>
                                </a:lnTo>
                                <a:lnTo>
                                  <a:pt x="8817" y="2240"/>
                                </a:lnTo>
                                <a:lnTo>
                                  <a:pt x="8817" y="2256"/>
                                </a:lnTo>
                                <a:close/>
                                <a:moveTo>
                                  <a:pt x="8753" y="2256"/>
                                </a:moveTo>
                                <a:lnTo>
                                  <a:pt x="8705" y="2256"/>
                                </a:lnTo>
                                <a:lnTo>
                                  <a:pt x="8705" y="2240"/>
                                </a:lnTo>
                                <a:lnTo>
                                  <a:pt x="8753" y="2240"/>
                                </a:lnTo>
                                <a:lnTo>
                                  <a:pt x="8753" y="2256"/>
                                </a:lnTo>
                                <a:close/>
                                <a:moveTo>
                                  <a:pt x="8689" y="2256"/>
                                </a:moveTo>
                                <a:lnTo>
                                  <a:pt x="8641" y="2256"/>
                                </a:lnTo>
                                <a:lnTo>
                                  <a:pt x="8641" y="2240"/>
                                </a:lnTo>
                                <a:lnTo>
                                  <a:pt x="8689" y="2240"/>
                                </a:lnTo>
                                <a:lnTo>
                                  <a:pt x="8689" y="2256"/>
                                </a:lnTo>
                                <a:close/>
                                <a:moveTo>
                                  <a:pt x="8625" y="2256"/>
                                </a:moveTo>
                                <a:lnTo>
                                  <a:pt x="8577" y="2256"/>
                                </a:lnTo>
                                <a:lnTo>
                                  <a:pt x="8577" y="2240"/>
                                </a:lnTo>
                                <a:lnTo>
                                  <a:pt x="8625" y="2240"/>
                                </a:lnTo>
                                <a:lnTo>
                                  <a:pt x="8625" y="2256"/>
                                </a:lnTo>
                                <a:close/>
                                <a:moveTo>
                                  <a:pt x="8561" y="2256"/>
                                </a:moveTo>
                                <a:lnTo>
                                  <a:pt x="8513" y="2256"/>
                                </a:lnTo>
                                <a:lnTo>
                                  <a:pt x="8513" y="2240"/>
                                </a:lnTo>
                                <a:lnTo>
                                  <a:pt x="8561" y="2240"/>
                                </a:lnTo>
                                <a:lnTo>
                                  <a:pt x="8561" y="2256"/>
                                </a:lnTo>
                                <a:close/>
                                <a:moveTo>
                                  <a:pt x="8497" y="2256"/>
                                </a:moveTo>
                                <a:lnTo>
                                  <a:pt x="8449" y="2256"/>
                                </a:lnTo>
                                <a:lnTo>
                                  <a:pt x="8449" y="2240"/>
                                </a:lnTo>
                                <a:lnTo>
                                  <a:pt x="8497" y="2240"/>
                                </a:lnTo>
                                <a:lnTo>
                                  <a:pt x="8497" y="2256"/>
                                </a:lnTo>
                                <a:close/>
                                <a:moveTo>
                                  <a:pt x="8433" y="2256"/>
                                </a:moveTo>
                                <a:lnTo>
                                  <a:pt x="8385" y="2256"/>
                                </a:lnTo>
                                <a:lnTo>
                                  <a:pt x="8385" y="2240"/>
                                </a:lnTo>
                                <a:lnTo>
                                  <a:pt x="8433" y="2240"/>
                                </a:lnTo>
                                <a:lnTo>
                                  <a:pt x="8433" y="2256"/>
                                </a:lnTo>
                                <a:close/>
                                <a:moveTo>
                                  <a:pt x="8369" y="2256"/>
                                </a:moveTo>
                                <a:lnTo>
                                  <a:pt x="8321" y="2256"/>
                                </a:lnTo>
                                <a:lnTo>
                                  <a:pt x="8321" y="2240"/>
                                </a:lnTo>
                                <a:lnTo>
                                  <a:pt x="8369" y="2240"/>
                                </a:lnTo>
                                <a:lnTo>
                                  <a:pt x="8369" y="2256"/>
                                </a:lnTo>
                                <a:close/>
                                <a:moveTo>
                                  <a:pt x="8305" y="2256"/>
                                </a:moveTo>
                                <a:lnTo>
                                  <a:pt x="8257" y="2256"/>
                                </a:lnTo>
                                <a:lnTo>
                                  <a:pt x="8257" y="2240"/>
                                </a:lnTo>
                                <a:lnTo>
                                  <a:pt x="8305" y="2240"/>
                                </a:lnTo>
                                <a:lnTo>
                                  <a:pt x="8305" y="2256"/>
                                </a:lnTo>
                                <a:close/>
                                <a:moveTo>
                                  <a:pt x="8241" y="2256"/>
                                </a:moveTo>
                                <a:lnTo>
                                  <a:pt x="8193" y="2256"/>
                                </a:lnTo>
                                <a:lnTo>
                                  <a:pt x="8193" y="2240"/>
                                </a:lnTo>
                                <a:lnTo>
                                  <a:pt x="8241" y="2240"/>
                                </a:lnTo>
                                <a:lnTo>
                                  <a:pt x="8241" y="2256"/>
                                </a:lnTo>
                                <a:close/>
                                <a:moveTo>
                                  <a:pt x="8177" y="2256"/>
                                </a:moveTo>
                                <a:lnTo>
                                  <a:pt x="8129" y="2256"/>
                                </a:lnTo>
                                <a:lnTo>
                                  <a:pt x="8129" y="2240"/>
                                </a:lnTo>
                                <a:lnTo>
                                  <a:pt x="8177" y="2240"/>
                                </a:lnTo>
                                <a:lnTo>
                                  <a:pt x="8177" y="2256"/>
                                </a:lnTo>
                                <a:close/>
                                <a:moveTo>
                                  <a:pt x="8113" y="2256"/>
                                </a:moveTo>
                                <a:lnTo>
                                  <a:pt x="8065" y="2256"/>
                                </a:lnTo>
                                <a:lnTo>
                                  <a:pt x="8065" y="2240"/>
                                </a:lnTo>
                                <a:lnTo>
                                  <a:pt x="8113" y="2240"/>
                                </a:lnTo>
                                <a:lnTo>
                                  <a:pt x="8113" y="2256"/>
                                </a:lnTo>
                                <a:close/>
                                <a:moveTo>
                                  <a:pt x="8048" y="2256"/>
                                </a:moveTo>
                                <a:lnTo>
                                  <a:pt x="8000" y="2256"/>
                                </a:lnTo>
                                <a:lnTo>
                                  <a:pt x="8000" y="2240"/>
                                </a:lnTo>
                                <a:lnTo>
                                  <a:pt x="8048" y="2240"/>
                                </a:lnTo>
                                <a:lnTo>
                                  <a:pt x="8048" y="2256"/>
                                </a:lnTo>
                                <a:close/>
                                <a:moveTo>
                                  <a:pt x="7984" y="2256"/>
                                </a:moveTo>
                                <a:lnTo>
                                  <a:pt x="7936" y="2256"/>
                                </a:lnTo>
                                <a:lnTo>
                                  <a:pt x="7936" y="2240"/>
                                </a:lnTo>
                                <a:lnTo>
                                  <a:pt x="7984" y="2240"/>
                                </a:lnTo>
                                <a:lnTo>
                                  <a:pt x="7984" y="2256"/>
                                </a:lnTo>
                                <a:close/>
                                <a:moveTo>
                                  <a:pt x="7920" y="2256"/>
                                </a:moveTo>
                                <a:lnTo>
                                  <a:pt x="7872" y="2256"/>
                                </a:lnTo>
                                <a:lnTo>
                                  <a:pt x="7872" y="2240"/>
                                </a:lnTo>
                                <a:lnTo>
                                  <a:pt x="7920" y="2240"/>
                                </a:lnTo>
                                <a:lnTo>
                                  <a:pt x="7920" y="2256"/>
                                </a:lnTo>
                                <a:close/>
                                <a:moveTo>
                                  <a:pt x="7856" y="2256"/>
                                </a:moveTo>
                                <a:lnTo>
                                  <a:pt x="7808" y="2256"/>
                                </a:lnTo>
                                <a:lnTo>
                                  <a:pt x="7808" y="2240"/>
                                </a:lnTo>
                                <a:lnTo>
                                  <a:pt x="7856" y="2240"/>
                                </a:lnTo>
                                <a:lnTo>
                                  <a:pt x="7856" y="2256"/>
                                </a:lnTo>
                                <a:close/>
                                <a:moveTo>
                                  <a:pt x="7792" y="2256"/>
                                </a:moveTo>
                                <a:lnTo>
                                  <a:pt x="7744" y="2256"/>
                                </a:lnTo>
                                <a:lnTo>
                                  <a:pt x="7744" y="2240"/>
                                </a:lnTo>
                                <a:lnTo>
                                  <a:pt x="7792" y="2240"/>
                                </a:lnTo>
                                <a:lnTo>
                                  <a:pt x="7792" y="2256"/>
                                </a:lnTo>
                                <a:close/>
                                <a:moveTo>
                                  <a:pt x="7728" y="2256"/>
                                </a:moveTo>
                                <a:lnTo>
                                  <a:pt x="7680" y="2256"/>
                                </a:lnTo>
                                <a:lnTo>
                                  <a:pt x="7680" y="2240"/>
                                </a:lnTo>
                                <a:lnTo>
                                  <a:pt x="7728" y="2240"/>
                                </a:lnTo>
                                <a:lnTo>
                                  <a:pt x="7728" y="2256"/>
                                </a:lnTo>
                                <a:close/>
                                <a:moveTo>
                                  <a:pt x="7664" y="2256"/>
                                </a:moveTo>
                                <a:lnTo>
                                  <a:pt x="7616" y="2256"/>
                                </a:lnTo>
                                <a:lnTo>
                                  <a:pt x="7616" y="2240"/>
                                </a:lnTo>
                                <a:lnTo>
                                  <a:pt x="7664" y="2240"/>
                                </a:lnTo>
                                <a:lnTo>
                                  <a:pt x="7664" y="2256"/>
                                </a:lnTo>
                                <a:close/>
                                <a:moveTo>
                                  <a:pt x="7600" y="2256"/>
                                </a:moveTo>
                                <a:lnTo>
                                  <a:pt x="7552" y="2256"/>
                                </a:lnTo>
                                <a:lnTo>
                                  <a:pt x="7552" y="2240"/>
                                </a:lnTo>
                                <a:lnTo>
                                  <a:pt x="7600" y="2240"/>
                                </a:lnTo>
                                <a:lnTo>
                                  <a:pt x="7600" y="2256"/>
                                </a:lnTo>
                                <a:close/>
                                <a:moveTo>
                                  <a:pt x="7536" y="2256"/>
                                </a:moveTo>
                                <a:lnTo>
                                  <a:pt x="7488" y="2256"/>
                                </a:lnTo>
                                <a:lnTo>
                                  <a:pt x="7488" y="2240"/>
                                </a:lnTo>
                                <a:lnTo>
                                  <a:pt x="7536" y="2240"/>
                                </a:lnTo>
                                <a:lnTo>
                                  <a:pt x="7536" y="2256"/>
                                </a:lnTo>
                                <a:close/>
                                <a:moveTo>
                                  <a:pt x="7472" y="2256"/>
                                </a:moveTo>
                                <a:lnTo>
                                  <a:pt x="7424" y="2256"/>
                                </a:lnTo>
                                <a:lnTo>
                                  <a:pt x="7424" y="2240"/>
                                </a:lnTo>
                                <a:lnTo>
                                  <a:pt x="7472" y="2240"/>
                                </a:lnTo>
                                <a:lnTo>
                                  <a:pt x="7472" y="2256"/>
                                </a:lnTo>
                                <a:close/>
                                <a:moveTo>
                                  <a:pt x="7408" y="2256"/>
                                </a:moveTo>
                                <a:lnTo>
                                  <a:pt x="7360" y="2256"/>
                                </a:lnTo>
                                <a:lnTo>
                                  <a:pt x="7360" y="2240"/>
                                </a:lnTo>
                                <a:lnTo>
                                  <a:pt x="7408" y="2240"/>
                                </a:lnTo>
                                <a:lnTo>
                                  <a:pt x="7408" y="2256"/>
                                </a:lnTo>
                                <a:close/>
                                <a:moveTo>
                                  <a:pt x="7344" y="2256"/>
                                </a:moveTo>
                                <a:lnTo>
                                  <a:pt x="7296" y="2256"/>
                                </a:lnTo>
                                <a:lnTo>
                                  <a:pt x="7296" y="2240"/>
                                </a:lnTo>
                                <a:lnTo>
                                  <a:pt x="7344" y="2240"/>
                                </a:lnTo>
                                <a:lnTo>
                                  <a:pt x="7344" y="2256"/>
                                </a:lnTo>
                                <a:close/>
                                <a:moveTo>
                                  <a:pt x="7280" y="2256"/>
                                </a:moveTo>
                                <a:lnTo>
                                  <a:pt x="7232" y="2256"/>
                                </a:lnTo>
                                <a:lnTo>
                                  <a:pt x="7232" y="2240"/>
                                </a:lnTo>
                                <a:lnTo>
                                  <a:pt x="7280" y="2240"/>
                                </a:lnTo>
                                <a:lnTo>
                                  <a:pt x="7280" y="2256"/>
                                </a:lnTo>
                                <a:close/>
                                <a:moveTo>
                                  <a:pt x="7216" y="2256"/>
                                </a:moveTo>
                                <a:lnTo>
                                  <a:pt x="7168" y="2256"/>
                                </a:lnTo>
                                <a:lnTo>
                                  <a:pt x="7168" y="2240"/>
                                </a:lnTo>
                                <a:lnTo>
                                  <a:pt x="7216" y="2240"/>
                                </a:lnTo>
                                <a:lnTo>
                                  <a:pt x="7216" y="2256"/>
                                </a:lnTo>
                                <a:close/>
                                <a:moveTo>
                                  <a:pt x="7152" y="2256"/>
                                </a:moveTo>
                                <a:lnTo>
                                  <a:pt x="7104" y="2256"/>
                                </a:lnTo>
                                <a:lnTo>
                                  <a:pt x="7104" y="2240"/>
                                </a:lnTo>
                                <a:lnTo>
                                  <a:pt x="7152" y="2240"/>
                                </a:lnTo>
                                <a:lnTo>
                                  <a:pt x="7152" y="2256"/>
                                </a:lnTo>
                                <a:close/>
                                <a:moveTo>
                                  <a:pt x="7088" y="2256"/>
                                </a:moveTo>
                                <a:lnTo>
                                  <a:pt x="7039" y="2256"/>
                                </a:lnTo>
                                <a:lnTo>
                                  <a:pt x="7039" y="2240"/>
                                </a:lnTo>
                                <a:lnTo>
                                  <a:pt x="7088" y="2240"/>
                                </a:lnTo>
                                <a:lnTo>
                                  <a:pt x="7088" y="2256"/>
                                </a:lnTo>
                                <a:close/>
                                <a:moveTo>
                                  <a:pt x="7023" y="2256"/>
                                </a:moveTo>
                                <a:lnTo>
                                  <a:pt x="6975" y="2256"/>
                                </a:lnTo>
                                <a:lnTo>
                                  <a:pt x="6975" y="2240"/>
                                </a:lnTo>
                                <a:lnTo>
                                  <a:pt x="7023" y="2240"/>
                                </a:lnTo>
                                <a:lnTo>
                                  <a:pt x="7023" y="2256"/>
                                </a:lnTo>
                                <a:close/>
                                <a:moveTo>
                                  <a:pt x="6959" y="2256"/>
                                </a:moveTo>
                                <a:lnTo>
                                  <a:pt x="6911" y="2256"/>
                                </a:lnTo>
                                <a:lnTo>
                                  <a:pt x="6911" y="2240"/>
                                </a:lnTo>
                                <a:lnTo>
                                  <a:pt x="6959" y="2240"/>
                                </a:lnTo>
                                <a:lnTo>
                                  <a:pt x="6959" y="2256"/>
                                </a:lnTo>
                                <a:close/>
                                <a:moveTo>
                                  <a:pt x="6895" y="2256"/>
                                </a:moveTo>
                                <a:lnTo>
                                  <a:pt x="6847" y="2256"/>
                                </a:lnTo>
                                <a:lnTo>
                                  <a:pt x="6847" y="2240"/>
                                </a:lnTo>
                                <a:lnTo>
                                  <a:pt x="6895" y="2240"/>
                                </a:lnTo>
                                <a:lnTo>
                                  <a:pt x="6895" y="2256"/>
                                </a:lnTo>
                                <a:close/>
                                <a:moveTo>
                                  <a:pt x="6831" y="2256"/>
                                </a:moveTo>
                                <a:lnTo>
                                  <a:pt x="6783" y="2256"/>
                                </a:lnTo>
                                <a:lnTo>
                                  <a:pt x="6783" y="2240"/>
                                </a:lnTo>
                                <a:lnTo>
                                  <a:pt x="6831" y="2240"/>
                                </a:lnTo>
                                <a:lnTo>
                                  <a:pt x="6831" y="2256"/>
                                </a:lnTo>
                                <a:close/>
                                <a:moveTo>
                                  <a:pt x="6767" y="2256"/>
                                </a:moveTo>
                                <a:lnTo>
                                  <a:pt x="6719" y="2256"/>
                                </a:lnTo>
                                <a:lnTo>
                                  <a:pt x="6719" y="2240"/>
                                </a:lnTo>
                                <a:lnTo>
                                  <a:pt x="6767" y="2240"/>
                                </a:lnTo>
                                <a:lnTo>
                                  <a:pt x="6767" y="2256"/>
                                </a:lnTo>
                                <a:close/>
                                <a:moveTo>
                                  <a:pt x="6703" y="2256"/>
                                </a:moveTo>
                                <a:lnTo>
                                  <a:pt x="6655" y="2256"/>
                                </a:lnTo>
                                <a:lnTo>
                                  <a:pt x="6655" y="2240"/>
                                </a:lnTo>
                                <a:lnTo>
                                  <a:pt x="6703" y="2240"/>
                                </a:lnTo>
                                <a:lnTo>
                                  <a:pt x="6703" y="2256"/>
                                </a:lnTo>
                                <a:close/>
                                <a:moveTo>
                                  <a:pt x="6639" y="2256"/>
                                </a:moveTo>
                                <a:lnTo>
                                  <a:pt x="6591" y="2256"/>
                                </a:lnTo>
                                <a:lnTo>
                                  <a:pt x="6591" y="2240"/>
                                </a:lnTo>
                                <a:lnTo>
                                  <a:pt x="6639" y="2240"/>
                                </a:lnTo>
                                <a:lnTo>
                                  <a:pt x="6639" y="2256"/>
                                </a:lnTo>
                                <a:close/>
                                <a:moveTo>
                                  <a:pt x="6575" y="2256"/>
                                </a:moveTo>
                                <a:lnTo>
                                  <a:pt x="6527" y="2256"/>
                                </a:lnTo>
                                <a:lnTo>
                                  <a:pt x="6527" y="2240"/>
                                </a:lnTo>
                                <a:lnTo>
                                  <a:pt x="6575" y="2240"/>
                                </a:lnTo>
                                <a:lnTo>
                                  <a:pt x="6575" y="2256"/>
                                </a:lnTo>
                                <a:close/>
                                <a:moveTo>
                                  <a:pt x="6511" y="2256"/>
                                </a:moveTo>
                                <a:lnTo>
                                  <a:pt x="6463" y="2256"/>
                                </a:lnTo>
                                <a:lnTo>
                                  <a:pt x="6463" y="2240"/>
                                </a:lnTo>
                                <a:lnTo>
                                  <a:pt x="6511" y="2240"/>
                                </a:lnTo>
                                <a:lnTo>
                                  <a:pt x="6511" y="2256"/>
                                </a:lnTo>
                                <a:close/>
                                <a:moveTo>
                                  <a:pt x="6447" y="2256"/>
                                </a:moveTo>
                                <a:lnTo>
                                  <a:pt x="6399" y="2256"/>
                                </a:lnTo>
                                <a:lnTo>
                                  <a:pt x="6399" y="2240"/>
                                </a:lnTo>
                                <a:lnTo>
                                  <a:pt x="6447" y="2240"/>
                                </a:lnTo>
                                <a:lnTo>
                                  <a:pt x="6447" y="2256"/>
                                </a:lnTo>
                                <a:close/>
                                <a:moveTo>
                                  <a:pt x="6383" y="2256"/>
                                </a:moveTo>
                                <a:lnTo>
                                  <a:pt x="6335" y="2256"/>
                                </a:lnTo>
                                <a:lnTo>
                                  <a:pt x="6335" y="2240"/>
                                </a:lnTo>
                                <a:lnTo>
                                  <a:pt x="6383" y="2240"/>
                                </a:lnTo>
                                <a:lnTo>
                                  <a:pt x="6383" y="2256"/>
                                </a:lnTo>
                                <a:close/>
                                <a:moveTo>
                                  <a:pt x="6319" y="2256"/>
                                </a:moveTo>
                                <a:lnTo>
                                  <a:pt x="6271" y="2256"/>
                                </a:lnTo>
                                <a:lnTo>
                                  <a:pt x="6271" y="2240"/>
                                </a:lnTo>
                                <a:lnTo>
                                  <a:pt x="6319" y="2240"/>
                                </a:lnTo>
                                <a:lnTo>
                                  <a:pt x="6319" y="2256"/>
                                </a:lnTo>
                                <a:close/>
                                <a:moveTo>
                                  <a:pt x="6255" y="2256"/>
                                </a:moveTo>
                                <a:lnTo>
                                  <a:pt x="6207" y="2256"/>
                                </a:lnTo>
                                <a:lnTo>
                                  <a:pt x="6207" y="2240"/>
                                </a:lnTo>
                                <a:lnTo>
                                  <a:pt x="6255" y="2240"/>
                                </a:lnTo>
                                <a:lnTo>
                                  <a:pt x="6255" y="2256"/>
                                </a:lnTo>
                                <a:close/>
                                <a:moveTo>
                                  <a:pt x="6191" y="2256"/>
                                </a:moveTo>
                                <a:lnTo>
                                  <a:pt x="6143" y="2256"/>
                                </a:lnTo>
                                <a:lnTo>
                                  <a:pt x="6143" y="2240"/>
                                </a:lnTo>
                                <a:lnTo>
                                  <a:pt x="6191" y="2240"/>
                                </a:lnTo>
                                <a:lnTo>
                                  <a:pt x="6191" y="2256"/>
                                </a:lnTo>
                                <a:close/>
                                <a:moveTo>
                                  <a:pt x="6127" y="2256"/>
                                </a:moveTo>
                                <a:lnTo>
                                  <a:pt x="6078" y="2256"/>
                                </a:lnTo>
                                <a:lnTo>
                                  <a:pt x="6078" y="2240"/>
                                </a:lnTo>
                                <a:lnTo>
                                  <a:pt x="6127" y="2240"/>
                                </a:lnTo>
                                <a:lnTo>
                                  <a:pt x="6127" y="2256"/>
                                </a:lnTo>
                                <a:close/>
                                <a:moveTo>
                                  <a:pt x="6062" y="2256"/>
                                </a:moveTo>
                                <a:lnTo>
                                  <a:pt x="6014" y="2256"/>
                                </a:lnTo>
                                <a:lnTo>
                                  <a:pt x="6014" y="2240"/>
                                </a:lnTo>
                                <a:lnTo>
                                  <a:pt x="6062" y="2240"/>
                                </a:lnTo>
                                <a:lnTo>
                                  <a:pt x="6062" y="2256"/>
                                </a:lnTo>
                                <a:close/>
                                <a:moveTo>
                                  <a:pt x="5998" y="2256"/>
                                </a:moveTo>
                                <a:lnTo>
                                  <a:pt x="5950" y="2256"/>
                                </a:lnTo>
                                <a:lnTo>
                                  <a:pt x="5950" y="2240"/>
                                </a:lnTo>
                                <a:lnTo>
                                  <a:pt x="5998" y="2240"/>
                                </a:lnTo>
                                <a:lnTo>
                                  <a:pt x="5998" y="2256"/>
                                </a:lnTo>
                                <a:close/>
                                <a:moveTo>
                                  <a:pt x="5934" y="2256"/>
                                </a:moveTo>
                                <a:lnTo>
                                  <a:pt x="5886" y="2256"/>
                                </a:lnTo>
                                <a:lnTo>
                                  <a:pt x="5886" y="2240"/>
                                </a:lnTo>
                                <a:lnTo>
                                  <a:pt x="5934" y="2240"/>
                                </a:lnTo>
                                <a:lnTo>
                                  <a:pt x="5934" y="2256"/>
                                </a:lnTo>
                                <a:close/>
                                <a:moveTo>
                                  <a:pt x="5870" y="2256"/>
                                </a:moveTo>
                                <a:lnTo>
                                  <a:pt x="5822" y="2256"/>
                                </a:lnTo>
                                <a:lnTo>
                                  <a:pt x="5822" y="2240"/>
                                </a:lnTo>
                                <a:lnTo>
                                  <a:pt x="5870" y="2240"/>
                                </a:lnTo>
                                <a:lnTo>
                                  <a:pt x="5870" y="2256"/>
                                </a:lnTo>
                                <a:close/>
                                <a:moveTo>
                                  <a:pt x="5806" y="2256"/>
                                </a:moveTo>
                                <a:lnTo>
                                  <a:pt x="5758" y="2256"/>
                                </a:lnTo>
                                <a:lnTo>
                                  <a:pt x="5758" y="2240"/>
                                </a:lnTo>
                                <a:lnTo>
                                  <a:pt x="5806" y="2240"/>
                                </a:lnTo>
                                <a:lnTo>
                                  <a:pt x="5806" y="2256"/>
                                </a:lnTo>
                                <a:close/>
                                <a:moveTo>
                                  <a:pt x="5742" y="2256"/>
                                </a:moveTo>
                                <a:lnTo>
                                  <a:pt x="5694" y="2256"/>
                                </a:lnTo>
                                <a:lnTo>
                                  <a:pt x="5694" y="2240"/>
                                </a:lnTo>
                                <a:lnTo>
                                  <a:pt x="5742" y="2240"/>
                                </a:lnTo>
                                <a:lnTo>
                                  <a:pt x="5742" y="2256"/>
                                </a:lnTo>
                                <a:close/>
                                <a:moveTo>
                                  <a:pt x="5678" y="2256"/>
                                </a:moveTo>
                                <a:lnTo>
                                  <a:pt x="5630" y="2256"/>
                                </a:lnTo>
                                <a:lnTo>
                                  <a:pt x="5630" y="2240"/>
                                </a:lnTo>
                                <a:lnTo>
                                  <a:pt x="5678" y="2240"/>
                                </a:lnTo>
                                <a:lnTo>
                                  <a:pt x="5678" y="2256"/>
                                </a:lnTo>
                                <a:close/>
                                <a:moveTo>
                                  <a:pt x="5614" y="2256"/>
                                </a:moveTo>
                                <a:lnTo>
                                  <a:pt x="5566" y="2256"/>
                                </a:lnTo>
                                <a:lnTo>
                                  <a:pt x="5566" y="2240"/>
                                </a:lnTo>
                                <a:lnTo>
                                  <a:pt x="5614" y="2240"/>
                                </a:lnTo>
                                <a:lnTo>
                                  <a:pt x="5614" y="2256"/>
                                </a:lnTo>
                                <a:close/>
                                <a:moveTo>
                                  <a:pt x="5550" y="2256"/>
                                </a:moveTo>
                                <a:lnTo>
                                  <a:pt x="5502" y="2256"/>
                                </a:lnTo>
                                <a:lnTo>
                                  <a:pt x="5502" y="2240"/>
                                </a:lnTo>
                                <a:lnTo>
                                  <a:pt x="5550" y="2240"/>
                                </a:lnTo>
                                <a:lnTo>
                                  <a:pt x="5550" y="2256"/>
                                </a:lnTo>
                                <a:close/>
                                <a:moveTo>
                                  <a:pt x="5486" y="2256"/>
                                </a:moveTo>
                                <a:lnTo>
                                  <a:pt x="5438" y="2256"/>
                                </a:lnTo>
                                <a:lnTo>
                                  <a:pt x="5438" y="2240"/>
                                </a:lnTo>
                                <a:lnTo>
                                  <a:pt x="5486" y="2240"/>
                                </a:lnTo>
                                <a:lnTo>
                                  <a:pt x="5486" y="2256"/>
                                </a:lnTo>
                                <a:close/>
                                <a:moveTo>
                                  <a:pt x="5422" y="2256"/>
                                </a:moveTo>
                                <a:lnTo>
                                  <a:pt x="5374" y="2256"/>
                                </a:lnTo>
                                <a:lnTo>
                                  <a:pt x="5374" y="2240"/>
                                </a:lnTo>
                                <a:lnTo>
                                  <a:pt x="5422" y="2240"/>
                                </a:lnTo>
                                <a:lnTo>
                                  <a:pt x="5422" y="2256"/>
                                </a:lnTo>
                                <a:close/>
                                <a:moveTo>
                                  <a:pt x="5358" y="2256"/>
                                </a:moveTo>
                                <a:lnTo>
                                  <a:pt x="5310" y="2256"/>
                                </a:lnTo>
                                <a:lnTo>
                                  <a:pt x="5310" y="2240"/>
                                </a:lnTo>
                                <a:lnTo>
                                  <a:pt x="5358" y="2240"/>
                                </a:lnTo>
                                <a:lnTo>
                                  <a:pt x="5358" y="2256"/>
                                </a:lnTo>
                                <a:close/>
                                <a:moveTo>
                                  <a:pt x="5294" y="2256"/>
                                </a:moveTo>
                                <a:lnTo>
                                  <a:pt x="5246" y="2256"/>
                                </a:lnTo>
                                <a:lnTo>
                                  <a:pt x="5246" y="2240"/>
                                </a:lnTo>
                                <a:lnTo>
                                  <a:pt x="5294" y="2240"/>
                                </a:lnTo>
                                <a:lnTo>
                                  <a:pt x="5294" y="2256"/>
                                </a:lnTo>
                                <a:close/>
                                <a:moveTo>
                                  <a:pt x="5230" y="2256"/>
                                </a:moveTo>
                                <a:lnTo>
                                  <a:pt x="5182" y="2256"/>
                                </a:lnTo>
                                <a:lnTo>
                                  <a:pt x="5182" y="2240"/>
                                </a:lnTo>
                                <a:lnTo>
                                  <a:pt x="5230" y="2240"/>
                                </a:lnTo>
                                <a:lnTo>
                                  <a:pt x="5230" y="2256"/>
                                </a:lnTo>
                                <a:close/>
                                <a:moveTo>
                                  <a:pt x="5166" y="2256"/>
                                </a:moveTo>
                                <a:lnTo>
                                  <a:pt x="5118" y="2256"/>
                                </a:lnTo>
                                <a:lnTo>
                                  <a:pt x="5118" y="2240"/>
                                </a:lnTo>
                                <a:lnTo>
                                  <a:pt x="5166" y="2240"/>
                                </a:lnTo>
                                <a:lnTo>
                                  <a:pt x="5166" y="2256"/>
                                </a:lnTo>
                                <a:close/>
                                <a:moveTo>
                                  <a:pt x="5102" y="2256"/>
                                </a:moveTo>
                                <a:lnTo>
                                  <a:pt x="5053" y="2256"/>
                                </a:lnTo>
                                <a:lnTo>
                                  <a:pt x="5053" y="2240"/>
                                </a:lnTo>
                                <a:lnTo>
                                  <a:pt x="5102" y="2240"/>
                                </a:lnTo>
                                <a:lnTo>
                                  <a:pt x="5102" y="2256"/>
                                </a:lnTo>
                                <a:close/>
                                <a:moveTo>
                                  <a:pt x="5037" y="2256"/>
                                </a:moveTo>
                                <a:lnTo>
                                  <a:pt x="4989" y="2256"/>
                                </a:lnTo>
                                <a:lnTo>
                                  <a:pt x="4989" y="2240"/>
                                </a:lnTo>
                                <a:lnTo>
                                  <a:pt x="5037" y="2240"/>
                                </a:lnTo>
                                <a:lnTo>
                                  <a:pt x="5037" y="2256"/>
                                </a:lnTo>
                                <a:close/>
                                <a:moveTo>
                                  <a:pt x="4973" y="2256"/>
                                </a:moveTo>
                                <a:lnTo>
                                  <a:pt x="4925" y="2256"/>
                                </a:lnTo>
                                <a:lnTo>
                                  <a:pt x="4925" y="2240"/>
                                </a:lnTo>
                                <a:lnTo>
                                  <a:pt x="4973" y="2240"/>
                                </a:lnTo>
                                <a:lnTo>
                                  <a:pt x="4973" y="2256"/>
                                </a:lnTo>
                                <a:close/>
                                <a:moveTo>
                                  <a:pt x="4909" y="2256"/>
                                </a:moveTo>
                                <a:lnTo>
                                  <a:pt x="4861" y="2256"/>
                                </a:lnTo>
                                <a:lnTo>
                                  <a:pt x="4861" y="2240"/>
                                </a:lnTo>
                                <a:lnTo>
                                  <a:pt x="4909" y="2240"/>
                                </a:lnTo>
                                <a:lnTo>
                                  <a:pt x="4909" y="2256"/>
                                </a:lnTo>
                                <a:close/>
                                <a:moveTo>
                                  <a:pt x="4845" y="2256"/>
                                </a:moveTo>
                                <a:lnTo>
                                  <a:pt x="4797" y="2256"/>
                                </a:lnTo>
                                <a:lnTo>
                                  <a:pt x="4797" y="2240"/>
                                </a:lnTo>
                                <a:lnTo>
                                  <a:pt x="4845" y="2240"/>
                                </a:lnTo>
                                <a:lnTo>
                                  <a:pt x="4845" y="2256"/>
                                </a:lnTo>
                                <a:close/>
                                <a:moveTo>
                                  <a:pt x="4781" y="2256"/>
                                </a:moveTo>
                                <a:lnTo>
                                  <a:pt x="4733" y="2256"/>
                                </a:lnTo>
                                <a:lnTo>
                                  <a:pt x="4733" y="2240"/>
                                </a:lnTo>
                                <a:lnTo>
                                  <a:pt x="4781" y="2240"/>
                                </a:lnTo>
                                <a:lnTo>
                                  <a:pt x="4781" y="2256"/>
                                </a:lnTo>
                                <a:close/>
                                <a:moveTo>
                                  <a:pt x="4717" y="2256"/>
                                </a:moveTo>
                                <a:lnTo>
                                  <a:pt x="4669" y="2256"/>
                                </a:lnTo>
                                <a:lnTo>
                                  <a:pt x="4669" y="2240"/>
                                </a:lnTo>
                                <a:lnTo>
                                  <a:pt x="4717" y="2240"/>
                                </a:lnTo>
                                <a:lnTo>
                                  <a:pt x="4717" y="2256"/>
                                </a:lnTo>
                                <a:close/>
                                <a:moveTo>
                                  <a:pt x="4653" y="2256"/>
                                </a:moveTo>
                                <a:lnTo>
                                  <a:pt x="4605" y="2256"/>
                                </a:lnTo>
                                <a:lnTo>
                                  <a:pt x="4605" y="2240"/>
                                </a:lnTo>
                                <a:lnTo>
                                  <a:pt x="4653" y="2240"/>
                                </a:lnTo>
                                <a:lnTo>
                                  <a:pt x="4653" y="2256"/>
                                </a:lnTo>
                                <a:close/>
                                <a:moveTo>
                                  <a:pt x="4589" y="2256"/>
                                </a:moveTo>
                                <a:lnTo>
                                  <a:pt x="4541" y="2256"/>
                                </a:lnTo>
                                <a:lnTo>
                                  <a:pt x="4541" y="2240"/>
                                </a:lnTo>
                                <a:lnTo>
                                  <a:pt x="4589" y="2240"/>
                                </a:lnTo>
                                <a:lnTo>
                                  <a:pt x="4589" y="2256"/>
                                </a:lnTo>
                                <a:close/>
                                <a:moveTo>
                                  <a:pt x="4525" y="2256"/>
                                </a:moveTo>
                                <a:lnTo>
                                  <a:pt x="4477" y="2256"/>
                                </a:lnTo>
                                <a:lnTo>
                                  <a:pt x="4477" y="2240"/>
                                </a:lnTo>
                                <a:lnTo>
                                  <a:pt x="4525" y="2240"/>
                                </a:lnTo>
                                <a:lnTo>
                                  <a:pt x="4525" y="2256"/>
                                </a:lnTo>
                                <a:close/>
                                <a:moveTo>
                                  <a:pt x="4461" y="2256"/>
                                </a:moveTo>
                                <a:lnTo>
                                  <a:pt x="4413" y="2256"/>
                                </a:lnTo>
                                <a:lnTo>
                                  <a:pt x="4413" y="2240"/>
                                </a:lnTo>
                                <a:lnTo>
                                  <a:pt x="4461" y="2240"/>
                                </a:lnTo>
                                <a:lnTo>
                                  <a:pt x="4461" y="2256"/>
                                </a:lnTo>
                                <a:close/>
                                <a:moveTo>
                                  <a:pt x="4397" y="2256"/>
                                </a:moveTo>
                                <a:lnTo>
                                  <a:pt x="4349" y="2256"/>
                                </a:lnTo>
                                <a:lnTo>
                                  <a:pt x="4349" y="2240"/>
                                </a:lnTo>
                                <a:lnTo>
                                  <a:pt x="4397" y="2240"/>
                                </a:lnTo>
                                <a:lnTo>
                                  <a:pt x="4397" y="2256"/>
                                </a:lnTo>
                                <a:close/>
                                <a:moveTo>
                                  <a:pt x="4333" y="2256"/>
                                </a:moveTo>
                                <a:lnTo>
                                  <a:pt x="4285" y="2256"/>
                                </a:lnTo>
                                <a:lnTo>
                                  <a:pt x="4285" y="2240"/>
                                </a:lnTo>
                                <a:lnTo>
                                  <a:pt x="4333" y="2240"/>
                                </a:lnTo>
                                <a:lnTo>
                                  <a:pt x="4333" y="2256"/>
                                </a:lnTo>
                                <a:close/>
                                <a:moveTo>
                                  <a:pt x="4269" y="2256"/>
                                </a:moveTo>
                                <a:lnTo>
                                  <a:pt x="4221" y="2256"/>
                                </a:lnTo>
                                <a:lnTo>
                                  <a:pt x="4221" y="2240"/>
                                </a:lnTo>
                                <a:lnTo>
                                  <a:pt x="4269" y="2240"/>
                                </a:lnTo>
                                <a:lnTo>
                                  <a:pt x="4269" y="2256"/>
                                </a:lnTo>
                                <a:close/>
                                <a:moveTo>
                                  <a:pt x="4205" y="2256"/>
                                </a:moveTo>
                                <a:lnTo>
                                  <a:pt x="4157" y="2256"/>
                                </a:lnTo>
                                <a:lnTo>
                                  <a:pt x="4157" y="2240"/>
                                </a:lnTo>
                                <a:lnTo>
                                  <a:pt x="4205" y="2240"/>
                                </a:lnTo>
                                <a:lnTo>
                                  <a:pt x="4205" y="2256"/>
                                </a:lnTo>
                                <a:close/>
                                <a:moveTo>
                                  <a:pt x="4141" y="2256"/>
                                </a:moveTo>
                                <a:lnTo>
                                  <a:pt x="4092" y="2256"/>
                                </a:lnTo>
                                <a:lnTo>
                                  <a:pt x="4092" y="2240"/>
                                </a:lnTo>
                                <a:lnTo>
                                  <a:pt x="4141" y="2240"/>
                                </a:lnTo>
                                <a:lnTo>
                                  <a:pt x="4141" y="2256"/>
                                </a:lnTo>
                                <a:close/>
                                <a:moveTo>
                                  <a:pt x="4076" y="2256"/>
                                </a:moveTo>
                                <a:lnTo>
                                  <a:pt x="4028" y="2256"/>
                                </a:lnTo>
                                <a:lnTo>
                                  <a:pt x="4028" y="2240"/>
                                </a:lnTo>
                                <a:lnTo>
                                  <a:pt x="4076" y="2240"/>
                                </a:lnTo>
                                <a:lnTo>
                                  <a:pt x="4076" y="2256"/>
                                </a:lnTo>
                                <a:close/>
                                <a:moveTo>
                                  <a:pt x="4012" y="2256"/>
                                </a:moveTo>
                                <a:lnTo>
                                  <a:pt x="3964" y="2256"/>
                                </a:lnTo>
                                <a:lnTo>
                                  <a:pt x="3964" y="2240"/>
                                </a:lnTo>
                                <a:lnTo>
                                  <a:pt x="4012" y="2240"/>
                                </a:lnTo>
                                <a:lnTo>
                                  <a:pt x="4012" y="2256"/>
                                </a:lnTo>
                                <a:close/>
                                <a:moveTo>
                                  <a:pt x="3948" y="2256"/>
                                </a:moveTo>
                                <a:lnTo>
                                  <a:pt x="3900" y="2256"/>
                                </a:lnTo>
                                <a:lnTo>
                                  <a:pt x="3900" y="2240"/>
                                </a:lnTo>
                                <a:lnTo>
                                  <a:pt x="3948" y="2240"/>
                                </a:lnTo>
                                <a:lnTo>
                                  <a:pt x="3948" y="2256"/>
                                </a:lnTo>
                                <a:close/>
                                <a:moveTo>
                                  <a:pt x="3884" y="2256"/>
                                </a:moveTo>
                                <a:lnTo>
                                  <a:pt x="3836" y="2256"/>
                                </a:lnTo>
                                <a:lnTo>
                                  <a:pt x="3836" y="2240"/>
                                </a:lnTo>
                                <a:lnTo>
                                  <a:pt x="3884" y="2240"/>
                                </a:lnTo>
                                <a:lnTo>
                                  <a:pt x="3884" y="2256"/>
                                </a:lnTo>
                                <a:close/>
                                <a:moveTo>
                                  <a:pt x="3820" y="2256"/>
                                </a:moveTo>
                                <a:lnTo>
                                  <a:pt x="3772" y="2256"/>
                                </a:lnTo>
                                <a:lnTo>
                                  <a:pt x="3772" y="2240"/>
                                </a:lnTo>
                                <a:lnTo>
                                  <a:pt x="3820" y="2240"/>
                                </a:lnTo>
                                <a:lnTo>
                                  <a:pt x="3820" y="2256"/>
                                </a:lnTo>
                                <a:close/>
                                <a:moveTo>
                                  <a:pt x="3756" y="2256"/>
                                </a:moveTo>
                                <a:lnTo>
                                  <a:pt x="3708" y="2256"/>
                                </a:lnTo>
                                <a:lnTo>
                                  <a:pt x="3708" y="2240"/>
                                </a:lnTo>
                                <a:lnTo>
                                  <a:pt x="3756" y="2240"/>
                                </a:lnTo>
                                <a:lnTo>
                                  <a:pt x="3756" y="2256"/>
                                </a:lnTo>
                                <a:close/>
                                <a:moveTo>
                                  <a:pt x="3692" y="2256"/>
                                </a:moveTo>
                                <a:lnTo>
                                  <a:pt x="3644" y="2256"/>
                                </a:lnTo>
                                <a:lnTo>
                                  <a:pt x="3644" y="2240"/>
                                </a:lnTo>
                                <a:lnTo>
                                  <a:pt x="3692" y="2240"/>
                                </a:lnTo>
                                <a:lnTo>
                                  <a:pt x="3692" y="2256"/>
                                </a:lnTo>
                                <a:close/>
                                <a:moveTo>
                                  <a:pt x="3628" y="2256"/>
                                </a:moveTo>
                                <a:lnTo>
                                  <a:pt x="3580" y="2256"/>
                                </a:lnTo>
                                <a:lnTo>
                                  <a:pt x="3580" y="2240"/>
                                </a:lnTo>
                                <a:lnTo>
                                  <a:pt x="3628" y="2240"/>
                                </a:lnTo>
                                <a:lnTo>
                                  <a:pt x="3628" y="2256"/>
                                </a:lnTo>
                                <a:close/>
                                <a:moveTo>
                                  <a:pt x="3564" y="2256"/>
                                </a:moveTo>
                                <a:lnTo>
                                  <a:pt x="3516" y="2256"/>
                                </a:lnTo>
                                <a:lnTo>
                                  <a:pt x="3516" y="2240"/>
                                </a:lnTo>
                                <a:lnTo>
                                  <a:pt x="3564" y="2240"/>
                                </a:lnTo>
                                <a:lnTo>
                                  <a:pt x="3564" y="2256"/>
                                </a:lnTo>
                                <a:close/>
                                <a:moveTo>
                                  <a:pt x="3500" y="2256"/>
                                </a:moveTo>
                                <a:lnTo>
                                  <a:pt x="3452" y="2256"/>
                                </a:lnTo>
                                <a:lnTo>
                                  <a:pt x="3452" y="2240"/>
                                </a:lnTo>
                                <a:lnTo>
                                  <a:pt x="3500" y="2240"/>
                                </a:lnTo>
                                <a:lnTo>
                                  <a:pt x="3500" y="2256"/>
                                </a:lnTo>
                                <a:close/>
                                <a:moveTo>
                                  <a:pt x="3436" y="2256"/>
                                </a:moveTo>
                                <a:lnTo>
                                  <a:pt x="3388" y="2256"/>
                                </a:lnTo>
                                <a:lnTo>
                                  <a:pt x="3388" y="2240"/>
                                </a:lnTo>
                                <a:lnTo>
                                  <a:pt x="3436" y="2240"/>
                                </a:lnTo>
                                <a:lnTo>
                                  <a:pt x="3436" y="2256"/>
                                </a:lnTo>
                                <a:close/>
                                <a:moveTo>
                                  <a:pt x="3372" y="2256"/>
                                </a:moveTo>
                                <a:lnTo>
                                  <a:pt x="3324" y="2256"/>
                                </a:lnTo>
                                <a:lnTo>
                                  <a:pt x="3324" y="2240"/>
                                </a:lnTo>
                                <a:lnTo>
                                  <a:pt x="3372" y="2240"/>
                                </a:lnTo>
                                <a:lnTo>
                                  <a:pt x="3372" y="2256"/>
                                </a:lnTo>
                                <a:close/>
                                <a:moveTo>
                                  <a:pt x="3308" y="2256"/>
                                </a:moveTo>
                                <a:lnTo>
                                  <a:pt x="3260" y="2256"/>
                                </a:lnTo>
                                <a:lnTo>
                                  <a:pt x="3260" y="2240"/>
                                </a:lnTo>
                                <a:lnTo>
                                  <a:pt x="3308" y="2240"/>
                                </a:lnTo>
                                <a:lnTo>
                                  <a:pt x="3308" y="2256"/>
                                </a:lnTo>
                                <a:close/>
                                <a:moveTo>
                                  <a:pt x="3244" y="2256"/>
                                </a:moveTo>
                                <a:lnTo>
                                  <a:pt x="3196" y="2256"/>
                                </a:lnTo>
                                <a:lnTo>
                                  <a:pt x="3196" y="2240"/>
                                </a:lnTo>
                                <a:lnTo>
                                  <a:pt x="3244" y="2240"/>
                                </a:lnTo>
                                <a:lnTo>
                                  <a:pt x="3244" y="2256"/>
                                </a:lnTo>
                                <a:close/>
                                <a:moveTo>
                                  <a:pt x="3180" y="2256"/>
                                </a:moveTo>
                                <a:lnTo>
                                  <a:pt x="3132" y="2256"/>
                                </a:lnTo>
                                <a:lnTo>
                                  <a:pt x="3132" y="2240"/>
                                </a:lnTo>
                                <a:lnTo>
                                  <a:pt x="3180" y="2240"/>
                                </a:lnTo>
                                <a:lnTo>
                                  <a:pt x="3180" y="2256"/>
                                </a:lnTo>
                                <a:close/>
                                <a:moveTo>
                                  <a:pt x="3116" y="2256"/>
                                </a:moveTo>
                                <a:lnTo>
                                  <a:pt x="3067" y="2256"/>
                                </a:lnTo>
                                <a:lnTo>
                                  <a:pt x="3067" y="2240"/>
                                </a:lnTo>
                                <a:lnTo>
                                  <a:pt x="3116" y="2240"/>
                                </a:lnTo>
                                <a:lnTo>
                                  <a:pt x="3116" y="2256"/>
                                </a:lnTo>
                                <a:close/>
                                <a:moveTo>
                                  <a:pt x="3051" y="2256"/>
                                </a:moveTo>
                                <a:lnTo>
                                  <a:pt x="3003" y="2256"/>
                                </a:lnTo>
                                <a:lnTo>
                                  <a:pt x="3003" y="2240"/>
                                </a:lnTo>
                                <a:lnTo>
                                  <a:pt x="3051" y="2240"/>
                                </a:lnTo>
                                <a:lnTo>
                                  <a:pt x="3051" y="2256"/>
                                </a:lnTo>
                                <a:close/>
                                <a:moveTo>
                                  <a:pt x="2987" y="2256"/>
                                </a:moveTo>
                                <a:lnTo>
                                  <a:pt x="2939" y="2256"/>
                                </a:lnTo>
                                <a:lnTo>
                                  <a:pt x="2939" y="2240"/>
                                </a:lnTo>
                                <a:lnTo>
                                  <a:pt x="2987" y="2240"/>
                                </a:lnTo>
                                <a:lnTo>
                                  <a:pt x="2987" y="2256"/>
                                </a:lnTo>
                                <a:close/>
                                <a:moveTo>
                                  <a:pt x="2923" y="2256"/>
                                </a:moveTo>
                                <a:lnTo>
                                  <a:pt x="2875" y="2256"/>
                                </a:lnTo>
                                <a:lnTo>
                                  <a:pt x="2875" y="2240"/>
                                </a:lnTo>
                                <a:lnTo>
                                  <a:pt x="2923" y="2240"/>
                                </a:lnTo>
                                <a:lnTo>
                                  <a:pt x="2923" y="2256"/>
                                </a:lnTo>
                                <a:close/>
                                <a:moveTo>
                                  <a:pt x="2859" y="2256"/>
                                </a:moveTo>
                                <a:lnTo>
                                  <a:pt x="2811" y="2256"/>
                                </a:lnTo>
                                <a:lnTo>
                                  <a:pt x="2811" y="2240"/>
                                </a:lnTo>
                                <a:lnTo>
                                  <a:pt x="2859" y="2240"/>
                                </a:lnTo>
                                <a:lnTo>
                                  <a:pt x="2859" y="2256"/>
                                </a:lnTo>
                                <a:close/>
                                <a:moveTo>
                                  <a:pt x="2795" y="2256"/>
                                </a:moveTo>
                                <a:lnTo>
                                  <a:pt x="2747" y="2256"/>
                                </a:lnTo>
                                <a:lnTo>
                                  <a:pt x="2747" y="2240"/>
                                </a:lnTo>
                                <a:lnTo>
                                  <a:pt x="2795" y="2240"/>
                                </a:lnTo>
                                <a:lnTo>
                                  <a:pt x="2795" y="2256"/>
                                </a:lnTo>
                                <a:close/>
                                <a:moveTo>
                                  <a:pt x="2731" y="2256"/>
                                </a:moveTo>
                                <a:lnTo>
                                  <a:pt x="2683" y="2256"/>
                                </a:lnTo>
                                <a:lnTo>
                                  <a:pt x="2683" y="2240"/>
                                </a:lnTo>
                                <a:lnTo>
                                  <a:pt x="2731" y="2240"/>
                                </a:lnTo>
                                <a:lnTo>
                                  <a:pt x="2731" y="2256"/>
                                </a:lnTo>
                                <a:close/>
                                <a:moveTo>
                                  <a:pt x="2667" y="2256"/>
                                </a:moveTo>
                                <a:lnTo>
                                  <a:pt x="2619" y="2256"/>
                                </a:lnTo>
                                <a:lnTo>
                                  <a:pt x="2619" y="2240"/>
                                </a:lnTo>
                                <a:lnTo>
                                  <a:pt x="2667" y="2240"/>
                                </a:lnTo>
                                <a:lnTo>
                                  <a:pt x="2667" y="2256"/>
                                </a:lnTo>
                                <a:close/>
                                <a:moveTo>
                                  <a:pt x="2603" y="2256"/>
                                </a:moveTo>
                                <a:lnTo>
                                  <a:pt x="2555" y="2256"/>
                                </a:lnTo>
                                <a:lnTo>
                                  <a:pt x="2555" y="2240"/>
                                </a:lnTo>
                                <a:lnTo>
                                  <a:pt x="2603" y="2240"/>
                                </a:lnTo>
                                <a:lnTo>
                                  <a:pt x="2603" y="2256"/>
                                </a:lnTo>
                                <a:close/>
                                <a:moveTo>
                                  <a:pt x="2539" y="2256"/>
                                </a:moveTo>
                                <a:lnTo>
                                  <a:pt x="2491" y="2256"/>
                                </a:lnTo>
                                <a:lnTo>
                                  <a:pt x="2491" y="2240"/>
                                </a:lnTo>
                                <a:lnTo>
                                  <a:pt x="2539" y="2240"/>
                                </a:lnTo>
                                <a:lnTo>
                                  <a:pt x="2539" y="2256"/>
                                </a:lnTo>
                                <a:close/>
                                <a:moveTo>
                                  <a:pt x="2475" y="2256"/>
                                </a:moveTo>
                                <a:lnTo>
                                  <a:pt x="2427" y="2256"/>
                                </a:lnTo>
                                <a:lnTo>
                                  <a:pt x="2427" y="2240"/>
                                </a:lnTo>
                                <a:lnTo>
                                  <a:pt x="2475" y="2240"/>
                                </a:lnTo>
                                <a:lnTo>
                                  <a:pt x="2475" y="2256"/>
                                </a:lnTo>
                                <a:close/>
                                <a:moveTo>
                                  <a:pt x="2411" y="2256"/>
                                </a:moveTo>
                                <a:lnTo>
                                  <a:pt x="2363" y="2256"/>
                                </a:lnTo>
                                <a:lnTo>
                                  <a:pt x="2363" y="2240"/>
                                </a:lnTo>
                                <a:lnTo>
                                  <a:pt x="2411" y="2240"/>
                                </a:lnTo>
                                <a:lnTo>
                                  <a:pt x="2411" y="2256"/>
                                </a:lnTo>
                                <a:close/>
                                <a:moveTo>
                                  <a:pt x="2347" y="2256"/>
                                </a:moveTo>
                                <a:lnTo>
                                  <a:pt x="2299" y="2256"/>
                                </a:lnTo>
                                <a:lnTo>
                                  <a:pt x="2299" y="2240"/>
                                </a:lnTo>
                                <a:lnTo>
                                  <a:pt x="2347" y="2240"/>
                                </a:lnTo>
                                <a:lnTo>
                                  <a:pt x="2347" y="2256"/>
                                </a:lnTo>
                                <a:close/>
                                <a:moveTo>
                                  <a:pt x="2283" y="2256"/>
                                </a:moveTo>
                                <a:lnTo>
                                  <a:pt x="2235" y="2256"/>
                                </a:lnTo>
                                <a:lnTo>
                                  <a:pt x="2235" y="2240"/>
                                </a:lnTo>
                                <a:lnTo>
                                  <a:pt x="2283" y="2240"/>
                                </a:lnTo>
                                <a:lnTo>
                                  <a:pt x="2283" y="2256"/>
                                </a:lnTo>
                                <a:close/>
                                <a:moveTo>
                                  <a:pt x="2219" y="2256"/>
                                </a:moveTo>
                                <a:lnTo>
                                  <a:pt x="2171" y="2256"/>
                                </a:lnTo>
                                <a:lnTo>
                                  <a:pt x="2171" y="2240"/>
                                </a:lnTo>
                                <a:lnTo>
                                  <a:pt x="2219" y="2240"/>
                                </a:lnTo>
                                <a:lnTo>
                                  <a:pt x="2219" y="2256"/>
                                </a:lnTo>
                                <a:close/>
                                <a:moveTo>
                                  <a:pt x="2155" y="2256"/>
                                </a:moveTo>
                                <a:lnTo>
                                  <a:pt x="2106" y="2256"/>
                                </a:lnTo>
                                <a:lnTo>
                                  <a:pt x="2106" y="2240"/>
                                </a:lnTo>
                                <a:lnTo>
                                  <a:pt x="2155" y="2240"/>
                                </a:lnTo>
                                <a:lnTo>
                                  <a:pt x="2155" y="2256"/>
                                </a:lnTo>
                                <a:close/>
                                <a:moveTo>
                                  <a:pt x="2090" y="2256"/>
                                </a:moveTo>
                                <a:lnTo>
                                  <a:pt x="2042" y="2256"/>
                                </a:lnTo>
                                <a:lnTo>
                                  <a:pt x="2042" y="2240"/>
                                </a:lnTo>
                                <a:lnTo>
                                  <a:pt x="2090" y="2240"/>
                                </a:lnTo>
                                <a:lnTo>
                                  <a:pt x="2090" y="2256"/>
                                </a:lnTo>
                                <a:close/>
                                <a:moveTo>
                                  <a:pt x="2026" y="2256"/>
                                </a:moveTo>
                                <a:lnTo>
                                  <a:pt x="1978" y="2256"/>
                                </a:lnTo>
                                <a:lnTo>
                                  <a:pt x="1978" y="2240"/>
                                </a:lnTo>
                                <a:lnTo>
                                  <a:pt x="2026" y="2240"/>
                                </a:lnTo>
                                <a:lnTo>
                                  <a:pt x="2026" y="2256"/>
                                </a:lnTo>
                                <a:close/>
                                <a:moveTo>
                                  <a:pt x="1962" y="2256"/>
                                </a:moveTo>
                                <a:lnTo>
                                  <a:pt x="1914" y="2256"/>
                                </a:lnTo>
                                <a:lnTo>
                                  <a:pt x="1914" y="2240"/>
                                </a:lnTo>
                                <a:lnTo>
                                  <a:pt x="1962" y="2240"/>
                                </a:lnTo>
                                <a:lnTo>
                                  <a:pt x="1962" y="2256"/>
                                </a:lnTo>
                                <a:close/>
                                <a:moveTo>
                                  <a:pt x="1898" y="2256"/>
                                </a:moveTo>
                                <a:lnTo>
                                  <a:pt x="1850" y="2256"/>
                                </a:lnTo>
                                <a:lnTo>
                                  <a:pt x="1850" y="2240"/>
                                </a:lnTo>
                                <a:lnTo>
                                  <a:pt x="1898" y="2240"/>
                                </a:lnTo>
                                <a:lnTo>
                                  <a:pt x="1898" y="2256"/>
                                </a:lnTo>
                                <a:close/>
                                <a:moveTo>
                                  <a:pt x="1834" y="2256"/>
                                </a:moveTo>
                                <a:lnTo>
                                  <a:pt x="1786" y="2256"/>
                                </a:lnTo>
                                <a:lnTo>
                                  <a:pt x="1786" y="2240"/>
                                </a:lnTo>
                                <a:lnTo>
                                  <a:pt x="1834" y="2240"/>
                                </a:lnTo>
                                <a:lnTo>
                                  <a:pt x="1834" y="2256"/>
                                </a:lnTo>
                                <a:close/>
                                <a:moveTo>
                                  <a:pt x="1770" y="2256"/>
                                </a:moveTo>
                                <a:lnTo>
                                  <a:pt x="1722" y="2256"/>
                                </a:lnTo>
                                <a:lnTo>
                                  <a:pt x="1722" y="2240"/>
                                </a:lnTo>
                                <a:lnTo>
                                  <a:pt x="1770" y="2240"/>
                                </a:lnTo>
                                <a:lnTo>
                                  <a:pt x="1770" y="2256"/>
                                </a:lnTo>
                                <a:close/>
                                <a:moveTo>
                                  <a:pt x="1706" y="2256"/>
                                </a:moveTo>
                                <a:lnTo>
                                  <a:pt x="1658" y="2256"/>
                                </a:lnTo>
                                <a:lnTo>
                                  <a:pt x="1658" y="2240"/>
                                </a:lnTo>
                                <a:lnTo>
                                  <a:pt x="1706" y="2240"/>
                                </a:lnTo>
                                <a:lnTo>
                                  <a:pt x="1706" y="2256"/>
                                </a:lnTo>
                                <a:close/>
                                <a:moveTo>
                                  <a:pt x="1642" y="2256"/>
                                </a:moveTo>
                                <a:lnTo>
                                  <a:pt x="1594" y="2256"/>
                                </a:lnTo>
                                <a:lnTo>
                                  <a:pt x="1594" y="2240"/>
                                </a:lnTo>
                                <a:lnTo>
                                  <a:pt x="1642" y="2240"/>
                                </a:lnTo>
                                <a:lnTo>
                                  <a:pt x="1642" y="2256"/>
                                </a:lnTo>
                                <a:close/>
                                <a:moveTo>
                                  <a:pt x="1578" y="2256"/>
                                </a:moveTo>
                                <a:lnTo>
                                  <a:pt x="1530" y="2256"/>
                                </a:lnTo>
                                <a:lnTo>
                                  <a:pt x="1530" y="2240"/>
                                </a:lnTo>
                                <a:lnTo>
                                  <a:pt x="1578" y="2240"/>
                                </a:lnTo>
                                <a:lnTo>
                                  <a:pt x="1578" y="2256"/>
                                </a:lnTo>
                                <a:close/>
                                <a:moveTo>
                                  <a:pt x="1514" y="2256"/>
                                </a:moveTo>
                                <a:lnTo>
                                  <a:pt x="1466" y="2256"/>
                                </a:lnTo>
                                <a:lnTo>
                                  <a:pt x="1466" y="2240"/>
                                </a:lnTo>
                                <a:lnTo>
                                  <a:pt x="1514" y="2240"/>
                                </a:lnTo>
                                <a:lnTo>
                                  <a:pt x="1514" y="2256"/>
                                </a:lnTo>
                                <a:close/>
                                <a:moveTo>
                                  <a:pt x="1450" y="2256"/>
                                </a:moveTo>
                                <a:lnTo>
                                  <a:pt x="1402" y="2256"/>
                                </a:lnTo>
                                <a:lnTo>
                                  <a:pt x="1402" y="2240"/>
                                </a:lnTo>
                                <a:lnTo>
                                  <a:pt x="1450" y="2240"/>
                                </a:lnTo>
                                <a:lnTo>
                                  <a:pt x="1450" y="2256"/>
                                </a:lnTo>
                                <a:close/>
                                <a:moveTo>
                                  <a:pt x="1386" y="2256"/>
                                </a:moveTo>
                                <a:lnTo>
                                  <a:pt x="1338" y="2256"/>
                                </a:lnTo>
                                <a:lnTo>
                                  <a:pt x="1338" y="2240"/>
                                </a:lnTo>
                                <a:lnTo>
                                  <a:pt x="1386" y="2240"/>
                                </a:lnTo>
                                <a:lnTo>
                                  <a:pt x="1386" y="2256"/>
                                </a:lnTo>
                                <a:close/>
                                <a:moveTo>
                                  <a:pt x="1322" y="2256"/>
                                </a:moveTo>
                                <a:lnTo>
                                  <a:pt x="1274" y="2256"/>
                                </a:lnTo>
                                <a:lnTo>
                                  <a:pt x="1274" y="2240"/>
                                </a:lnTo>
                                <a:lnTo>
                                  <a:pt x="1322" y="2240"/>
                                </a:lnTo>
                                <a:lnTo>
                                  <a:pt x="1322" y="2256"/>
                                </a:lnTo>
                                <a:close/>
                                <a:moveTo>
                                  <a:pt x="1258" y="2256"/>
                                </a:moveTo>
                                <a:lnTo>
                                  <a:pt x="1210" y="2256"/>
                                </a:lnTo>
                                <a:lnTo>
                                  <a:pt x="1210" y="2240"/>
                                </a:lnTo>
                                <a:lnTo>
                                  <a:pt x="1258" y="2240"/>
                                </a:lnTo>
                                <a:lnTo>
                                  <a:pt x="1258" y="2256"/>
                                </a:lnTo>
                                <a:close/>
                                <a:moveTo>
                                  <a:pt x="1194" y="2256"/>
                                </a:moveTo>
                                <a:lnTo>
                                  <a:pt x="1146" y="2256"/>
                                </a:lnTo>
                                <a:lnTo>
                                  <a:pt x="1146" y="2240"/>
                                </a:lnTo>
                                <a:lnTo>
                                  <a:pt x="1194" y="2240"/>
                                </a:lnTo>
                                <a:lnTo>
                                  <a:pt x="1194" y="2256"/>
                                </a:lnTo>
                                <a:close/>
                                <a:moveTo>
                                  <a:pt x="1130" y="2256"/>
                                </a:moveTo>
                                <a:lnTo>
                                  <a:pt x="1081" y="2256"/>
                                </a:lnTo>
                                <a:lnTo>
                                  <a:pt x="1081" y="2240"/>
                                </a:lnTo>
                                <a:lnTo>
                                  <a:pt x="1130" y="2240"/>
                                </a:lnTo>
                                <a:lnTo>
                                  <a:pt x="1130" y="2256"/>
                                </a:lnTo>
                                <a:close/>
                                <a:moveTo>
                                  <a:pt x="1065" y="2256"/>
                                </a:moveTo>
                                <a:lnTo>
                                  <a:pt x="1017" y="2256"/>
                                </a:lnTo>
                                <a:lnTo>
                                  <a:pt x="1017" y="2240"/>
                                </a:lnTo>
                                <a:lnTo>
                                  <a:pt x="1065" y="2240"/>
                                </a:lnTo>
                                <a:lnTo>
                                  <a:pt x="1065" y="2256"/>
                                </a:lnTo>
                                <a:close/>
                                <a:moveTo>
                                  <a:pt x="1001" y="2256"/>
                                </a:moveTo>
                                <a:lnTo>
                                  <a:pt x="953" y="2256"/>
                                </a:lnTo>
                                <a:lnTo>
                                  <a:pt x="953" y="2240"/>
                                </a:lnTo>
                                <a:lnTo>
                                  <a:pt x="1001" y="2240"/>
                                </a:lnTo>
                                <a:lnTo>
                                  <a:pt x="1001" y="2256"/>
                                </a:lnTo>
                                <a:close/>
                                <a:moveTo>
                                  <a:pt x="937" y="2256"/>
                                </a:moveTo>
                                <a:lnTo>
                                  <a:pt x="889" y="2256"/>
                                </a:lnTo>
                                <a:lnTo>
                                  <a:pt x="889" y="2240"/>
                                </a:lnTo>
                                <a:lnTo>
                                  <a:pt x="937" y="2240"/>
                                </a:lnTo>
                                <a:lnTo>
                                  <a:pt x="937" y="2256"/>
                                </a:lnTo>
                                <a:close/>
                                <a:moveTo>
                                  <a:pt x="873" y="2256"/>
                                </a:moveTo>
                                <a:lnTo>
                                  <a:pt x="825" y="2256"/>
                                </a:lnTo>
                                <a:lnTo>
                                  <a:pt x="825" y="2240"/>
                                </a:lnTo>
                                <a:lnTo>
                                  <a:pt x="873" y="2240"/>
                                </a:lnTo>
                                <a:lnTo>
                                  <a:pt x="873" y="2256"/>
                                </a:lnTo>
                                <a:close/>
                                <a:moveTo>
                                  <a:pt x="809" y="2256"/>
                                </a:moveTo>
                                <a:lnTo>
                                  <a:pt x="761" y="2256"/>
                                </a:lnTo>
                                <a:lnTo>
                                  <a:pt x="761" y="2240"/>
                                </a:lnTo>
                                <a:lnTo>
                                  <a:pt x="809" y="2240"/>
                                </a:lnTo>
                                <a:lnTo>
                                  <a:pt x="809" y="2256"/>
                                </a:lnTo>
                                <a:close/>
                                <a:moveTo>
                                  <a:pt x="745" y="2256"/>
                                </a:moveTo>
                                <a:lnTo>
                                  <a:pt x="697" y="2256"/>
                                </a:lnTo>
                                <a:lnTo>
                                  <a:pt x="697" y="2240"/>
                                </a:lnTo>
                                <a:lnTo>
                                  <a:pt x="745" y="2240"/>
                                </a:lnTo>
                                <a:lnTo>
                                  <a:pt x="745" y="2256"/>
                                </a:lnTo>
                                <a:close/>
                                <a:moveTo>
                                  <a:pt x="681" y="2256"/>
                                </a:moveTo>
                                <a:lnTo>
                                  <a:pt x="633" y="2256"/>
                                </a:lnTo>
                                <a:lnTo>
                                  <a:pt x="633" y="2240"/>
                                </a:lnTo>
                                <a:lnTo>
                                  <a:pt x="681" y="2240"/>
                                </a:lnTo>
                                <a:lnTo>
                                  <a:pt x="681" y="2256"/>
                                </a:lnTo>
                                <a:close/>
                                <a:moveTo>
                                  <a:pt x="617" y="2256"/>
                                </a:moveTo>
                                <a:lnTo>
                                  <a:pt x="569" y="2256"/>
                                </a:lnTo>
                                <a:lnTo>
                                  <a:pt x="569" y="2240"/>
                                </a:lnTo>
                                <a:lnTo>
                                  <a:pt x="617" y="2240"/>
                                </a:lnTo>
                                <a:lnTo>
                                  <a:pt x="617" y="2256"/>
                                </a:lnTo>
                                <a:close/>
                                <a:moveTo>
                                  <a:pt x="553" y="2256"/>
                                </a:moveTo>
                                <a:lnTo>
                                  <a:pt x="505" y="2256"/>
                                </a:lnTo>
                                <a:lnTo>
                                  <a:pt x="505" y="2240"/>
                                </a:lnTo>
                                <a:lnTo>
                                  <a:pt x="553" y="2240"/>
                                </a:lnTo>
                                <a:lnTo>
                                  <a:pt x="553" y="2256"/>
                                </a:lnTo>
                                <a:close/>
                                <a:moveTo>
                                  <a:pt x="489" y="2256"/>
                                </a:moveTo>
                                <a:lnTo>
                                  <a:pt x="441" y="2256"/>
                                </a:lnTo>
                                <a:lnTo>
                                  <a:pt x="441" y="2240"/>
                                </a:lnTo>
                                <a:lnTo>
                                  <a:pt x="489" y="2240"/>
                                </a:lnTo>
                                <a:lnTo>
                                  <a:pt x="489" y="2256"/>
                                </a:lnTo>
                                <a:close/>
                                <a:moveTo>
                                  <a:pt x="425" y="2256"/>
                                </a:moveTo>
                                <a:lnTo>
                                  <a:pt x="377" y="2256"/>
                                </a:lnTo>
                                <a:lnTo>
                                  <a:pt x="377" y="2240"/>
                                </a:lnTo>
                                <a:lnTo>
                                  <a:pt x="425" y="2240"/>
                                </a:lnTo>
                                <a:lnTo>
                                  <a:pt x="425" y="2256"/>
                                </a:lnTo>
                                <a:close/>
                                <a:moveTo>
                                  <a:pt x="361" y="2256"/>
                                </a:moveTo>
                                <a:lnTo>
                                  <a:pt x="313" y="2256"/>
                                </a:lnTo>
                                <a:lnTo>
                                  <a:pt x="313" y="2240"/>
                                </a:lnTo>
                                <a:lnTo>
                                  <a:pt x="361" y="2240"/>
                                </a:lnTo>
                                <a:lnTo>
                                  <a:pt x="361" y="2256"/>
                                </a:lnTo>
                                <a:close/>
                                <a:moveTo>
                                  <a:pt x="297" y="2256"/>
                                </a:moveTo>
                                <a:lnTo>
                                  <a:pt x="249" y="2256"/>
                                </a:lnTo>
                                <a:lnTo>
                                  <a:pt x="249" y="2240"/>
                                </a:lnTo>
                                <a:lnTo>
                                  <a:pt x="297" y="2240"/>
                                </a:lnTo>
                                <a:lnTo>
                                  <a:pt x="297" y="2256"/>
                                </a:lnTo>
                                <a:close/>
                                <a:moveTo>
                                  <a:pt x="233" y="2256"/>
                                </a:moveTo>
                                <a:lnTo>
                                  <a:pt x="185" y="2256"/>
                                </a:lnTo>
                                <a:lnTo>
                                  <a:pt x="185" y="2240"/>
                                </a:lnTo>
                                <a:lnTo>
                                  <a:pt x="233" y="2240"/>
                                </a:lnTo>
                                <a:lnTo>
                                  <a:pt x="233" y="2256"/>
                                </a:lnTo>
                                <a:close/>
                                <a:moveTo>
                                  <a:pt x="169" y="2256"/>
                                </a:moveTo>
                                <a:lnTo>
                                  <a:pt x="121" y="2256"/>
                                </a:lnTo>
                                <a:lnTo>
                                  <a:pt x="121" y="2240"/>
                                </a:lnTo>
                                <a:lnTo>
                                  <a:pt x="169" y="2240"/>
                                </a:lnTo>
                                <a:lnTo>
                                  <a:pt x="169" y="2256"/>
                                </a:lnTo>
                                <a:close/>
                                <a:moveTo>
                                  <a:pt x="104" y="2256"/>
                                </a:moveTo>
                                <a:lnTo>
                                  <a:pt x="56" y="2256"/>
                                </a:lnTo>
                                <a:lnTo>
                                  <a:pt x="56" y="2240"/>
                                </a:lnTo>
                                <a:lnTo>
                                  <a:pt x="104" y="2240"/>
                                </a:lnTo>
                                <a:lnTo>
                                  <a:pt x="104" y="2256"/>
                                </a:lnTo>
                                <a:close/>
                                <a:moveTo>
                                  <a:pt x="40" y="2256"/>
                                </a:moveTo>
                                <a:lnTo>
                                  <a:pt x="8" y="2256"/>
                                </a:lnTo>
                                <a:lnTo>
                                  <a:pt x="8" y="2240"/>
                                </a:lnTo>
                                <a:lnTo>
                                  <a:pt x="40" y="2240"/>
                                </a:lnTo>
                                <a:lnTo>
                                  <a:pt x="40" y="2256"/>
                                </a:lnTo>
                                <a:close/>
                              </a:path>
                            </a:pathLst>
                          </a:custGeom>
                          <a:solidFill>
                            <a:srgbClr val="FFFFFF"/>
                          </a:solidFill>
                          <a:ln w="635" cap="flat">
                            <a:solidFill>
                              <a:srgbClr val="FFFFFF"/>
                            </a:solidFill>
                            <a:prstDash val="solid"/>
                            <a:round/>
                            <a:headEnd/>
                            <a:tailEnd/>
                          </a:ln>
                        </wps:spPr>
                        <wps:bodyPr rot="0" vert="horz" wrap="square" lIns="91440" tIns="45720" rIns="91440" bIns="45720" anchor="t" anchorCtr="0" upright="1">
                          <a:noAutofit/>
                        </wps:bodyPr>
                      </wps:wsp>
                      <wps:wsp>
                        <wps:cNvPr id="13" name="Rectangle 8"/>
                        <wps:cNvSpPr>
                          <a:spLocks noChangeArrowheads="1"/>
                        </wps:cNvSpPr>
                        <wps:spPr bwMode="auto">
                          <a:xfrm>
                            <a:off x="284480" y="2219325"/>
                            <a:ext cx="48260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3A300" w14:textId="2740F0E3" w:rsidR="002871AD" w:rsidRDefault="002871AD">
                              <w:r>
                                <w:rPr>
                                  <w:rFonts w:ascii="Segoe UI Semibold" w:hAnsi="Segoe UI Semibold" w:cs="Segoe UI Semibold"/>
                                  <w:color w:val="00264D"/>
                                  <w:sz w:val="16"/>
                                  <w:szCs w:val="16"/>
                                  <w:lang w:val="en-US"/>
                                </w:rPr>
                                <w:t xml:space="preserve">COMMON </w:t>
                              </w:r>
                            </w:p>
                          </w:txbxContent>
                        </wps:txbx>
                        <wps:bodyPr rot="0" vert="horz" wrap="none" lIns="0" tIns="0" rIns="0" bIns="0" anchor="t" anchorCtr="0">
                          <a:spAutoFit/>
                        </wps:bodyPr>
                      </wps:wsp>
                      <wps:wsp>
                        <wps:cNvPr id="15" name="Rectangle 9"/>
                        <wps:cNvSpPr>
                          <a:spLocks noChangeArrowheads="1"/>
                        </wps:cNvSpPr>
                        <wps:spPr bwMode="auto">
                          <a:xfrm>
                            <a:off x="771525" y="2219325"/>
                            <a:ext cx="311785"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DD39D" w14:textId="6B226F8E" w:rsidR="002871AD" w:rsidRDefault="002871AD">
                              <w:r>
                                <w:rPr>
                                  <w:rFonts w:ascii="Segoe UI Semibold" w:hAnsi="Segoe UI Semibold" w:cs="Segoe UI Semibold"/>
                                  <w:color w:val="00264D"/>
                                  <w:sz w:val="16"/>
                                  <w:szCs w:val="16"/>
                                  <w:lang w:val="en-US"/>
                                </w:rPr>
                                <w:t>NEEDS</w:t>
                              </w:r>
                            </w:p>
                          </w:txbxContent>
                        </wps:txbx>
                        <wps:bodyPr rot="0" vert="horz" wrap="none" lIns="0" tIns="0" rIns="0" bIns="0" anchor="t" anchorCtr="0">
                          <a:spAutoFit/>
                        </wps:bodyPr>
                      </wps:wsp>
                      <wps:wsp>
                        <wps:cNvPr id="44" name="Rectangle 10"/>
                        <wps:cNvSpPr>
                          <a:spLocks noChangeArrowheads="1"/>
                        </wps:cNvSpPr>
                        <wps:spPr bwMode="auto">
                          <a:xfrm>
                            <a:off x="284480" y="2399665"/>
                            <a:ext cx="5588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DFF17" w14:textId="5F9AD4D1" w:rsidR="002871AD" w:rsidRDefault="002871AD"/>
                          </w:txbxContent>
                        </wps:txbx>
                        <wps:bodyPr rot="0" vert="horz" wrap="none" lIns="0" tIns="0" rIns="0" bIns="0" anchor="t" anchorCtr="0">
                          <a:spAutoFit/>
                        </wps:bodyPr>
                      </wps:wsp>
                      <wps:wsp>
                        <wps:cNvPr id="55" name="Rectangle 11"/>
                        <wps:cNvSpPr>
                          <a:spLocks noChangeArrowheads="1"/>
                        </wps:cNvSpPr>
                        <wps:spPr bwMode="auto">
                          <a:xfrm>
                            <a:off x="392430" y="2381885"/>
                            <a:ext cx="4533265"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110A6" w14:textId="697E54FA" w:rsidR="002871AD" w:rsidRDefault="002871AD">
                              <w:r>
                                <w:rPr>
                                  <w:rFonts w:cs="Segoe UI"/>
                                  <w:color w:val="00264D"/>
                                  <w:sz w:val="16"/>
                                  <w:szCs w:val="16"/>
                                  <w:lang w:val="en-US"/>
                                </w:rPr>
                                <w:t xml:space="preserve">Ability to communicate with patients, </w:t>
                              </w:r>
                              <w:r>
                                <w:rPr>
                                  <w:rFonts w:cs="Segoe UI"/>
                                  <w:color w:val="00264D"/>
                                  <w:sz w:val="16"/>
                                  <w:szCs w:val="16"/>
                                  <w:lang w:val="en-US"/>
                                </w:rPr>
                                <w:t>carers and families about palliative care needs, death and dying</w:t>
                              </w:r>
                            </w:p>
                          </w:txbxContent>
                        </wps:txbx>
                        <wps:bodyPr rot="0" vert="horz" wrap="none" lIns="0" tIns="0" rIns="0" bIns="0" anchor="t" anchorCtr="0">
                          <a:spAutoFit/>
                        </wps:bodyPr>
                      </wps:wsp>
                      <wps:wsp>
                        <wps:cNvPr id="56" name="Rectangle 12"/>
                        <wps:cNvSpPr>
                          <a:spLocks noChangeArrowheads="1"/>
                        </wps:cNvSpPr>
                        <wps:spPr bwMode="auto">
                          <a:xfrm>
                            <a:off x="284480" y="2562860"/>
                            <a:ext cx="5588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C525C" w14:textId="41D5E186" w:rsidR="002871AD" w:rsidRDefault="002871AD"/>
                          </w:txbxContent>
                        </wps:txbx>
                        <wps:bodyPr rot="0" vert="horz" wrap="none" lIns="0" tIns="0" rIns="0" bIns="0" anchor="t" anchorCtr="0">
                          <a:spAutoFit/>
                        </wps:bodyPr>
                      </wps:wsp>
                      <wps:wsp>
                        <wps:cNvPr id="57" name="Rectangle 13"/>
                        <wps:cNvSpPr>
                          <a:spLocks noChangeArrowheads="1"/>
                        </wps:cNvSpPr>
                        <wps:spPr bwMode="auto">
                          <a:xfrm>
                            <a:off x="392430" y="2544445"/>
                            <a:ext cx="2299335"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0D848" w14:textId="3A0110BC" w:rsidR="002871AD" w:rsidRDefault="002871AD">
                              <w:r>
                                <w:rPr>
                                  <w:rFonts w:cs="Segoe UI"/>
                                  <w:color w:val="00264D"/>
                                  <w:sz w:val="16"/>
                                  <w:szCs w:val="16"/>
                                  <w:lang w:val="en-US"/>
                                </w:rPr>
                                <w:t xml:space="preserve">Appropriate facilities, </w:t>
                              </w:r>
                              <w:r>
                                <w:rPr>
                                  <w:rFonts w:cs="Segoe UI"/>
                                  <w:color w:val="00264D"/>
                                  <w:sz w:val="16"/>
                                  <w:szCs w:val="16"/>
                                  <w:lang w:val="en-US"/>
                                </w:rPr>
                                <w:t>workforce and funding to pro</w:t>
                              </w:r>
                            </w:p>
                          </w:txbxContent>
                        </wps:txbx>
                        <wps:bodyPr rot="0" vert="horz" wrap="none" lIns="0" tIns="0" rIns="0" bIns="0" anchor="t" anchorCtr="0">
                          <a:spAutoFit/>
                        </wps:bodyPr>
                      </wps:wsp>
                      <wps:wsp>
                        <wps:cNvPr id="58" name="Rectangle 14"/>
                        <wps:cNvSpPr>
                          <a:spLocks noChangeArrowheads="1"/>
                        </wps:cNvSpPr>
                        <wps:spPr bwMode="auto">
                          <a:xfrm>
                            <a:off x="284480" y="2724150"/>
                            <a:ext cx="5588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730CE" w14:textId="01981278" w:rsidR="002871AD" w:rsidRDefault="002871AD"/>
                          </w:txbxContent>
                        </wps:txbx>
                        <wps:bodyPr rot="0" vert="horz" wrap="none" lIns="0" tIns="0" rIns="0" bIns="0" anchor="t" anchorCtr="0">
                          <a:spAutoFit/>
                        </wps:bodyPr>
                      </wps:wsp>
                      <wps:wsp>
                        <wps:cNvPr id="59" name="Rectangle 15"/>
                        <wps:cNvSpPr>
                          <a:spLocks noChangeArrowheads="1"/>
                        </wps:cNvSpPr>
                        <wps:spPr bwMode="auto">
                          <a:xfrm>
                            <a:off x="392430" y="2706370"/>
                            <a:ext cx="4316095"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CA22D" w14:textId="1F74D0C8" w:rsidR="002871AD" w:rsidRDefault="002871AD">
                              <w:r>
                                <w:rPr>
                                  <w:rFonts w:cs="Segoe UI"/>
                                  <w:color w:val="00264D"/>
                                  <w:sz w:val="16"/>
                                  <w:szCs w:val="16"/>
                                  <w:lang w:val="en-US"/>
                                </w:rPr>
                                <w:t>Communication channels across the health system, including with other RACF staff and hospitals</w:t>
                              </w:r>
                            </w:p>
                          </w:txbxContent>
                        </wps:txbx>
                        <wps:bodyPr rot="0" vert="horz" wrap="none" lIns="0" tIns="0" rIns="0" bIns="0" anchor="t" anchorCtr="0">
                          <a:spAutoFit/>
                        </wps:bodyPr>
                      </wps:wsp>
                      <wps:wsp>
                        <wps:cNvPr id="775" name="Rectangle 16"/>
                        <wps:cNvSpPr>
                          <a:spLocks noChangeArrowheads="1"/>
                        </wps:cNvSpPr>
                        <wps:spPr bwMode="auto">
                          <a:xfrm>
                            <a:off x="284480" y="2886710"/>
                            <a:ext cx="36195"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8B8D1" w14:textId="7DC1D301" w:rsidR="002871AD" w:rsidRDefault="002871AD">
                              <w:r>
                                <w:rPr>
                                  <w:rFonts w:ascii="Arial" w:hAnsi="Arial" w:cs="Arial"/>
                                  <w:color w:val="00264D"/>
                                  <w:sz w:val="16"/>
                                  <w:szCs w:val="16"/>
                                  <w:lang w:val="en-US"/>
                                </w:rPr>
                                <w:t>•</w:t>
                              </w:r>
                            </w:p>
                          </w:txbxContent>
                        </wps:txbx>
                        <wps:bodyPr rot="0" vert="horz" wrap="none" lIns="0" tIns="0" rIns="0" bIns="0" anchor="t" anchorCtr="0">
                          <a:spAutoFit/>
                        </wps:bodyPr>
                      </wps:wsp>
                      <wps:wsp>
                        <wps:cNvPr id="776" name="Rectangle 17"/>
                        <wps:cNvSpPr>
                          <a:spLocks noChangeArrowheads="1"/>
                        </wps:cNvSpPr>
                        <wps:spPr bwMode="auto">
                          <a:xfrm>
                            <a:off x="392430" y="2868930"/>
                            <a:ext cx="446532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0DCFA" w14:textId="45C0CF9B" w:rsidR="002871AD" w:rsidRDefault="002871AD">
                              <w:r>
                                <w:rPr>
                                  <w:rFonts w:cs="Segoe UI"/>
                                  <w:color w:val="00264D"/>
                                  <w:sz w:val="16"/>
                                  <w:szCs w:val="16"/>
                                  <w:lang w:val="en-US"/>
                                </w:rPr>
                                <w:t>Appropriate education and training options underpinned by competency and capability frameworks</w:t>
                              </w:r>
                            </w:p>
                          </w:txbxContent>
                        </wps:txbx>
                        <wps:bodyPr rot="0" vert="horz" wrap="none" lIns="0" tIns="0" rIns="0" bIns="0" anchor="t" anchorCtr="0">
                          <a:spAutoFit/>
                        </wps:bodyPr>
                      </wps:wsp>
                      <wps:wsp>
                        <wps:cNvPr id="778" name="Freeform 18"/>
                        <wps:cNvSpPr>
                          <a:spLocks noEditPoints="1"/>
                        </wps:cNvSpPr>
                        <wps:spPr bwMode="auto">
                          <a:xfrm>
                            <a:off x="1082675" y="854075"/>
                            <a:ext cx="17780" cy="1353820"/>
                          </a:xfrm>
                          <a:custGeom>
                            <a:avLst/>
                            <a:gdLst>
                              <a:gd name="T0" fmla="*/ 0 w 48"/>
                              <a:gd name="T1" fmla="*/ 24 h 3602"/>
                              <a:gd name="T2" fmla="*/ 24 w 48"/>
                              <a:gd name="T3" fmla="*/ 145 h 3602"/>
                              <a:gd name="T4" fmla="*/ 48 w 48"/>
                              <a:gd name="T5" fmla="*/ 217 h 3602"/>
                              <a:gd name="T6" fmla="*/ 24 w 48"/>
                              <a:gd name="T7" fmla="*/ 193 h 3602"/>
                              <a:gd name="T8" fmla="*/ 0 w 48"/>
                              <a:gd name="T9" fmla="*/ 313 h 3602"/>
                              <a:gd name="T10" fmla="*/ 48 w 48"/>
                              <a:gd name="T11" fmla="*/ 409 h 3602"/>
                              <a:gd name="T12" fmla="*/ 48 w 48"/>
                              <a:gd name="T13" fmla="*/ 409 h 3602"/>
                              <a:gd name="T14" fmla="*/ 0 w 48"/>
                              <a:gd name="T15" fmla="*/ 505 h 3602"/>
                              <a:gd name="T16" fmla="*/ 24 w 48"/>
                              <a:gd name="T17" fmla="*/ 625 h 3602"/>
                              <a:gd name="T18" fmla="*/ 48 w 48"/>
                              <a:gd name="T19" fmla="*/ 697 h 3602"/>
                              <a:gd name="T20" fmla="*/ 24 w 48"/>
                              <a:gd name="T21" fmla="*/ 673 h 3602"/>
                              <a:gd name="T22" fmla="*/ 0 w 48"/>
                              <a:gd name="T23" fmla="*/ 793 h 3602"/>
                              <a:gd name="T24" fmla="*/ 48 w 48"/>
                              <a:gd name="T25" fmla="*/ 889 h 3602"/>
                              <a:gd name="T26" fmla="*/ 48 w 48"/>
                              <a:gd name="T27" fmla="*/ 889 h 3602"/>
                              <a:gd name="T28" fmla="*/ 0 w 48"/>
                              <a:gd name="T29" fmla="*/ 985 h 3602"/>
                              <a:gd name="T30" fmla="*/ 24 w 48"/>
                              <a:gd name="T31" fmla="*/ 1105 h 3602"/>
                              <a:gd name="T32" fmla="*/ 48 w 48"/>
                              <a:gd name="T33" fmla="*/ 1177 h 3602"/>
                              <a:gd name="T34" fmla="*/ 24 w 48"/>
                              <a:gd name="T35" fmla="*/ 1153 h 3602"/>
                              <a:gd name="T36" fmla="*/ 0 w 48"/>
                              <a:gd name="T37" fmla="*/ 1273 h 3602"/>
                              <a:gd name="T38" fmla="*/ 48 w 48"/>
                              <a:gd name="T39" fmla="*/ 1369 h 3602"/>
                              <a:gd name="T40" fmla="*/ 48 w 48"/>
                              <a:gd name="T41" fmla="*/ 1369 h 3602"/>
                              <a:gd name="T42" fmla="*/ 0 w 48"/>
                              <a:gd name="T43" fmla="*/ 1465 h 3602"/>
                              <a:gd name="T44" fmla="*/ 24 w 48"/>
                              <a:gd name="T45" fmla="*/ 1585 h 3602"/>
                              <a:gd name="T46" fmla="*/ 48 w 48"/>
                              <a:gd name="T47" fmla="*/ 1657 h 3602"/>
                              <a:gd name="T48" fmla="*/ 24 w 48"/>
                              <a:gd name="T49" fmla="*/ 1633 h 3602"/>
                              <a:gd name="T50" fmla="*/ 0 w 48"/>
                              <a:gd name="T51" fmla="*/ 1753 h 3602"/>
                              <a:gd name="T52" fmla="*/ 48 w 48"/>
                              <a:gd name="T53" fmla="*/ 1849 h 3602"/>
                              <a:gd name="T54" fmla="*/ 48 w 48"/>
                              <a:gd name="T55" fmla="*/ 1849 h 3602"/>
                              <a:gd name="T56" fmla="*/ 0 w 48"/>
                              <a:gd name="T57" fmla="*/ 1945 h 3602"/>
                              <a:gd name="T58" fmla="*/ 24 w 48"/>
                              <a:gd name="T59" fmla="*/ 2066 h 3602"/>
                              <a:gd name="T60" fmla="*/ 48 w 48"/>
                              <a:gd name="T61" fmla="*/ 2138 h 3602"/>
                              <a:gd name="T62" fmla="*/ 24 w 48"/>
                              <a:gd name="T63" fmla="*/ 2114 h 3602"/>
                              <a:gd name="T64" fmla="*/ 0 w 48"/>
                              <a:gd name="T65" fmla="*/ 2234 h 3602"/>
                              <a:gd name="T66" fmla="*/ 48 w 48"/>
                              <a:gd name="T67" fmla="*/ 2330 h 3602"/>
                              <a:gd name="T68" fmla="*/ 48 w 48"/>
                              <a:gd name="T69" fmla="*/ 2330 h 3602"/>
                              <a:gd name="T70" fmla="*/ 0 w 48"/>
                              <a:gd name="T71" fmla="*/ 2426 h 3602"/>
                              <a:gd name="T72" fmla="*/ 24 w 48"/>
                              <a:gd name="T73" fmla="*/ 2546 h 3602"/>
                              <a:gd name="T74" fmla="*/ 48 w 48"/>
                              <a:gd name="T75" fmla="*/ 2618 h 3602"/>
                              <a:gd name="T76" fmla="*/ 24 w 48"/>
                              <a:gd name="T77" fmla="*/ 2594 h 3602"/>
                              <a:gd name="T78" fmla="*/ 0 w 48"/>
                              <a:gd name="T79" fmla="*/ 2714 h 3602"/>
                              <a:gd name="T80" fmla="*/ 48 w 48"/>
                              <a:gd name="T81" fmla="*/ 2810 h 3602"/>
                              <a:gd name="T82" fmla="*/ 48 w 48"/>
                              <a:gd name="T83" fmla="*/ 2810 h 3602"/>
                              <a:gd name="T84" fmla="*/ 0 w 48"/>
                              <a:gd name="T85" fmla="*/ 2906 h 3602"/>
                              <a:gd name="T86" fmla="*/ 24 w 48"/>
                              <a:gd name="T87" fmla="*/ 3026 h 3602"/>
                              <a:gd name="T88" fmla="*/ 48 w 48"/>
                              <a:gd name="T89" fmla="*/ 3098 h 3602"/>
                              <a:gd name="T90" fmla="*/ 24 w 48"/>
                              <a:gd name="T91" fmla="*/ 3074 h 3602"/>
                              <a:gd name="T92" fmla="*/ 0 w 48"/>
                              <a:gd name="T93" fmla="*/ 3194 h 3602"/>
                              <a:gd name="T94" fmla="*/ 48 w 48"/>
                              <a:gd name="T95" fmla="*/ 3290 h 3602"/>
                              <a:gd name="T96" fmla="*/ 48 w 48"/>
                              <a:gd name="T97" fmla="*/ 3290 h 3602"/>
                              <a:gd name="T98" fmla="*/ 0 w 48"/>
                              <a:gd name="T99" fmla="*/ 3386 h 3602"/>
                              <a:gd name="T100" fmla="*/ 24 w 48"/>
                              <a:gd name="T101" fmla="*/ 3506 h 3602"/>
                              <a:gd name="T102" fmla="*/ 48 w 48"/>
                              <a:gd name="T103" fmla="*/ 3578 h 3602"/>
                              <a:gd name="T104" fmla="*/ 24 w 48"/>
                              <a:gd name="T105" fmla="*/ 3554 h 36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8" h="3602">
                                <a:moveTo>
                                  <a:pt x="48" y="24"/>
                                </a:moveTo>
                                <a:lnTo>
                                  <a:pt x="48" y="25"/>
                                </a:lnTo>
                                <a:cubicBezTo>
                                  <a:pt x="48" y="38"/>
                                  <a:pt x="38" y="49"/>
                                  <a:pt x="24" y="49"/>
                                </a:cubicBezTo>
                                <a:cubicBezTo>
                                  <a:pt x="11" y="49"/>
                                  <a:pt x="0" y="38"/>
                                  <a:pt x="0" y="25"/>
                                </a:cubicBezTo>
                                <a:lnTo>
                                  <a:pt x="0" y="24"/>
                                </a:lnTo>
                                <a:cubicBezTo>
                                  <a:pt x="0" y="11"/>
                                  <a:pt x="11" y="0"/>
                                  <a:pt x="24" y="0"/>
                                </a:cubicBezTo>
                                <a:cubicBezTo>
                                  <a:pt x="38" y="0"/>
                                  <a:pt x="48" y="11"/>
                                  <a:pt x="48" y="24"/>
                                </a:cubicBezTo>
                                <a:close/>
                                <a:moveTo>
                                  <a:pt x="48" y="121"/>
                                </a:moveTo>
                                <a:lnTo>
                                  <a:pt x="48" y="121"/>
                                </a:lnTo>
                                <a:cubicBezTo>
                                  <a:pt x="48" y="134"/>
                                  <a:pt x="38" y="145"/>
                                  <a:pt x="24" y="145"/>
                                </a:cubicBezTo>
                                <a:cubicBezTo>
                                  <a:pt x="11" y="145"/>
                                  <a:pt x="0" y="134"/>
                                  <a:pt x="0" y="121"/>
                                </a:cubicBezTo>
                                <a:lnTo>
                                  <a:pt x="0" y="121"/>
                                </a:lnTo>
                                <a:cubicBezTo>
                                  <a:pt x="0" y="107"/>
                                  <a:pt x="11" y="97"/>
                                  <a:pt x="24" y="97"/>
                                </a:cubicBezTo>
                                <a:cubicBezTo>
                                  <a:pt x="38" y="97"/>
                                  <a:pt x="48" y="107"/>
                                  <a:pt x="48" y="121"/>
                                </a:cubicBezTo>
                                <a:close/>
                                <a:moveTo>
                                  <a:pt x="48" y="217"/>
                                </a:moveTo>
                                <a:lnTo>
                                  <a:pt x="48" y="217"/>
                                </a:lnTo>
                                <a:cubicBezTo>
                                  <a:pt x="48" y="230"/>
                                  <a:pt x="38" y="241"/>
                                  <a:pt x="24" y="241"/>
                                </a:cubicBezTo>
                                <a:cubicBezTo>
                                  <a:pt x="11" y="241"/>
                                  <a:pt x="0" y="230"/>
                                  <a:pt x="0" y="217"/>
                                </a:cubicBezTo>
                                <a:lnTo>
                                  <a:pt x="0" y="217"/>
                                </a:lnTo>
                                <a:cubicBezTo>
                                  <a:pt x="0" y="203"/>
                                  <a:pt x="11" y="193"/>
                                  <a:pt x="24" y="193"/>
                                </a:cubicBezTo>
                                <a:cubicBezTo>
                                  <a:pt x="38" y="193"/>
                                  <a:pt x="48" y="203"/>
                                  <a:pt x="48" y="217"/>
                                </a:cubicBezTo>
                                <a:close/>
                                <a:moveTo>
                                  <a:pt x="48" y="313"/>
                                </a:moveTo>
                                <a:lnTo>
                                  <a:pt x="48" y="313"/>
                                </a:lnTo>
                                <a:cubicBezTo>
                                  <a:pt x="48" y="326"/>
                                  <a:pt x="38" y="337"/>
                                  <a:pt x="24" y="337"/>
                                </a:cubicBezTo>
                                <a:cubicBezTo>
                                  <a:pt x="11" y="337"/>
                                  <a:pt x="0" y="326"/>
                                  <a:pt x="0" y="313"/>
                                </a:cubicBezTo>
                                <a:lnTo>
                                  <a:pt x="0" y="313"/>
                                </a:lnTo>
                                <a:cubicBezTo>
                                  <a:pt x="0" y="299"/>
                                  <a:pt x="11" y="289"/>
                                  <a:pt x="24" y="289"/>
                                </a:cubicBezTo>
                                <a:cubicBezTo>
                                  <a:pt x="38" y="289"/>
                                  <a:pt x="48" y="299"/>
                                  <a:pt x="48" y="313"/>
                                </a:cubicBezTo>
                                <a:close/>
                                <a:moveTo>
                                  <a:pt x="48" y="409"/>
                                </a:moveTo>
                                <a:lnTo>
                                  <a:pt x="48" y="409"/>
                                </a:lnTo>
                                <a:cubicBezTo>
                                  <a:pt x="48" y="422"/>
                                  <a:pt x="38" y="433"/>
                                  <a:pt x="24" y="433"/>
                                </a:cubicBezTo>
                                <a:cubicBezTo>
                                  <a:pt x="11" y="433"/>
                                  <a:pt x="0" y="422"/>
                                  <a:pt x="0" y="409"/>
                                </a:cubicBezTo>
                                <a:lnTo>
                                  <a:pt x="0" y="409"/>
                                </a:lnTo>
                                <a:cubicBezTo>
                                  <a:pt x="0" y="395"/>
                                  <a:pt x="11" y="385"/>
                                  <a:pt x="24" y="385"/>
                                </a:cubicBezTo>
                                <a:cubicBezTo>
                                  <a:pt x="38" y="385"/>
                                  <a:pt x="48" y="395"/>
                                  <a:pt x="48" y="409"/>
                                </a:cubicBezTo>
                                <a:close/>
                                <a:moveTo>
                                  <a:pt x="48" y="505"/>
                                </a:moveTo>
                                <a:lnTo>
                                  <a:pt x="48" y="505"/>
                                </a:lnTo>
                                <a:cubicBezTo>
                                  <a:pt x="48" y="518"/>
                                  <a:pt x="38" y="529"/>
                                  <a:pt x="24" y="529"/>
                                </a:cubicBezTo>
                                <a:cubicBezTo>
                                  <a:pt x="11" y="529"/>
                                  <a:pt x="0" y="518"/>
                                  <a:pt x="0" y="505"/>
                                </a:cubicBezTo>
                                <a:lnTo>
                                  <a:pt x="0" y="505"/>
                                </a:lnTo>
                                <a:cubicBezTo>
                                  <a:pt x="0" y="491"/>
                                  <a:pt x="11" y="481"/>
                                  <a:pt x="24" y="481"/>
                                </a:cubicBezTo>
                                <a:cubicBezTo>
                                  <a:pt x="38" y="481"/>
                                  <a:pt x="48" y="491"/>
                                  <a:pt x="48" y="505"/>
                                </a:cubicBezTo>
                                <a:close/>
                                <a:moveTo>
                                  <a:pt x="48" y="601"/>
                                </a:moveTo>
                                <a:lnTo>
                                  <a:pt x="48" y="601"/>
                                </a:lnTo>
                                <a:cubicBezTo>
                                  <a:pt x="48" y="614"/>
                                  <a:pt x="38" y="625"/>
                                  <a:pt x="24" y="625"/>
                                </a:cubicBezTo>
                                <a:cubicBezTo>
                                  <a:pt x="11" y="625"/>
                                  <a:pt x="0" y="614"/>
                                  <a:pt x="0" y="601"/>
                                </a:cubicBezTo>
                                <a:lnTo>
                                  <a:pt x="0" y="601"/>
                                </a:lnTo>
                                <a:cubicBezTo>
                                  <a:pt x="0" y="588"/>
                                  <a:pt x="11" y="577"/>
                                  <a:pt x="24" y="577"/>
                                </a:cubicBezTo>
                                <a:cubicBezTo>
                                  <a:pt x="38" y="577"/>
                                  <a:pt x="48" y="588"/>
                                  <a:pt x="48" y="601"/>
                                </a:cubicBezTo>
                                <a:close/>
                                <a:moveTo>
                                  <a:pt x="48" y="697"/>
                                </a:moveTo>
                                <a:lnTo>
                                  <a:pt x="48" y="697"/>
                                </a:lnTo>
                                <a:cubicBezTo>
                                  <a:pt x="48" y="710"/>
                                  <a:pt x="38" y="721"/>
                                  <a:pt x="24" y="721"/>
                                </a:cubicBezTo>
                                <a:cubicBezTo>
                                  <a:pt x="11" y="721"/>
                                  <a:pt x="0" y="710"/>
                                  <a:pt x="0" y="697"/>
                                </a:cubicBezTo>
                                <a:lnTo>
                                  <a:pt x="0" y="697"/>
                                </a:lnTo>
                                <a:cubicBezTo>
                                  <a:pt x="0" y="684"/>
                                  <a:pt x="11" y="673"/>
                                  <a:pt x="24" y="673"/>
                                </a:cubicBezTo>
                                <a:cubicBezTo>
                                  <a:pt x="38" y="673"/>
                                  <a:pt x="48" y="684"/>
                                  <a:pt x="48" y="697"/>
                                </a:cubicBezTo>
                                <a:close/>
                                <a:moveTo>
                                  <a:pt x="48" y="793"/>
                                </a:moveTo>
                                <a:lnTo>
                                  <a:pt x="48" y="793"/>
                                </a:lnTo>
                                <a:cubicBezTo>
                                  <a:pt x="48" y="806"/>
                                  <a:pt x="38" y="817"/>
                                  <a:pt x="24" y="817"/>
                                </a:cubicBezTo>
                                <a:cubicBezTo>
                                  <a:pt x="11" y="817"/>
                                  <a:pt x="0" y="806"/>
                                  <a:pt x="0" y="793"/>
                                </a:cubicBezTo>
                                <a:lnTo>
                                  <a:pt x="0" y="793"/>
                                </a:lnTo>
                                <a:cubicBezTo>
                                  <a:pt x="0" y="780"/>
                                  <a:pt x="11" y="769"/>
                                  <a:pt x="24" y="769"/>
                                </a:cubicBezTo>
                                <a:cubicBezTo>
                                  <a:pt x="38" y="769"/>
                                  <a:pt x="48" y="780"/>
                                  <a:pt x="48" y="793"/>
                                </a:cubicBezTo>
                                <a:close/>
                                <a:moveTo>
                                  <a:pt x="48" y="889"/>
                                </a:moveTo>
                                <a:lnTo>
                                  <a:pt x="48" y="889"/>
                                </a:lnTo>
                                <a:cubicBezTo>
                                  <a:pt x="48" y="902"/>
                                  <a:pt x="38" y="913"/>
                                  <a:pt x="24" y="913"/>
                                </a:cubicBezTo>
                                <a:cubicBezTo>
                                  <a:pt x="11" y="913"/>
                                  <a:pt x="0" y="902"/>
                                  <a:pt x="0" y="889"/>
                                </a:cubicBezTo>
                                <a:lnTo>
                                  <a:pt x="0" y="889"/>
                                </a:lnTo>
                                <a:cubicBezTo>
                                  <a:pt x="0" y="876"/>
                                  <a:pt x="11" y="865"/>
                                  <a:pt x="24" y="865"/>
                                </a:cubicBezTo>
                                <a:cubicBezTo>
                                  <a:pt x="38" y="865"/>
                                  <a:pt x="48" y="876"/>
                                  <a:pt x="48" y="889"/>
                                </a:cubicBezTo>
                                <a:close/>
                                <a:moveTo>
                                  <a:pt x="48" y="985"/>
                                </a:moveTo>
                                <a:lnTo>
                                  <a:pt x="48" y="985"/>
                                </a:lnTo>
                                <a:cubicBezTo>
                                  <a:pt x="48" y="998"/>
                                  <a:pt x="38" y="1009"/>
                                  <a:pt x="24" y="1009"/>
                                </a:cubicBezTo>
                                <a:cubicBezTo>
                                  <a:pt x="11" y="1009"/>
                                  <a:pt x="0" y="998"/>
                                  <a:pt x="0" y="985"/>
                                </a:cubicBezTo>
                                <a:lnTo>
                                  <a:pt x="0" y="985"/>
                                </a:lnTo>
                                <a:cubicBezTo>
                                  <a:pt x="0" y="972"/>
                                  <a:pt x="11" y="961"/>
                                  <a:pt x="24" y="961"/>
                                </a:cubicBezTo>
                                <a:cubicBezTo>
                                  <a:pt x="38" y="961"/>
                                  <a:pt x="48" y="972"/>
                                  <a:pt x="48" y="985"/>
                                </a:cubicBezTo>
                                <a:close/>
                                <a:moveTo>
                                  <a:pt x="48" y="1081"/>
                                </a:moveTo>
                                <a:lnTo>
                                  <a:pt x="48" y="1081"/>
                                </a:lnTo>
                                <a:cubicBezTo>
                                  <a:pt x="48" y="1094"/>
                                  <a:pt x="38" y="1105"/>
                                  <a:pt x="24" y="1105"/>
                                </a:cubicBezTo>
                                <a:cubicBezTo>
                                  <a:pt x="11" y="1105"/>
                                  <a:pt x="0" y="1094"/>
                                  <a:pt x="0" y="1081"/>
                                </a:cubicBezTo>
                                <a:lnTo>
                                  <a:pt x="0" y="1081"/>
                                </a:lnTo>
                                <a:cubicBezTo>
                                  <a:pt x="0" y="1068"/>
                                  <a:pt x="11" y="1057"/>
                                  <a:pt x="24" y="1057"/>
                                </a:cubicBezTo>
                                <a:cubicBezTo>
                                  <a:pt x="38" y="1057"/>
                                  <a:pt x="48" y="1068"/>
                                  <a:pt x="48" y="1081"/>
                                </a:cubicBezTo>
                                <a:close/>
                                <a:moveTo>
                                  <a:pt x="48" y="1177"/>
                                </a:moveTo>
                                <a:lnTo>
                                  <a:pt x="48" y="1177"/>
                                </a:lnTo>
                                <a:cubicBezTo>
                                  <a:pt x="48" y="1190"/>
                                  <a:pt x="38" y="1201"/>
                                  <a:pt x="24" y="1201"/>
                                </a:cubicBezTo>
                                <a:cubicBezTo>
                                  <a:pt x="11" y="1201"/>
                                  <a:pt x="0" y="1190"/>
                                  <a:pt x="0" y="1177"/>
                                </a:cubicBezTo>
                                <a:lnTo>
                                  <a:pt x="0" y="1177"/>
                                </a:lnTo>
                                <a:cubicBezTo>
                                  <a:pt x="0" y="1164"/>
                                  <a:pt x="11" y="1153"/>
                                  <a:pt x="24" y="1153"/>
                                </a:cubicBezTo>
                                <a:cubicBezTo>
                                  <a:pt x="38" y="1153"/>
                                  <a:pt x="48" y="1164"/>
                                  <a:pt x="48" y="1177"/>
                                </a:cubicBezTo>
                                <a:close/>
                                <a:moveTo>
                                  <a:pt x="48" y="1273"/>
                                </a:moveTo>
                                <a:lnTo>
                                  <a:pt x="48" y="1273"/>
                                </a:lnTo>
                                <a:cubicBezTo>
                                  <a:pt x="48" y="1286"/>
                                  <a:pt x="38" y="1297"/>
                                  <a:pt x="24" y="1297"/>
                                </a:cubicBezTo>
                                <a:cubicBezTo>
                                  <a:pt x="11" y="1297"/>
                                  <a:pt x="0" y="1286"/>
                                  <a:pt x="0" y="1273"/>
                                </a:cubicBezTo>
                                <a:lnTo>
                                  <a:pt x="0" y="1273"/>
                                </a:lnTo>
                                <a:cubicBezTo>
                                  <a:pt x="0" y="1260"/>
                                  <a:pt x="11" y="1249"/>
                                  <a:pt x="24" y="1249"/>
                                </a:cubicBezTo>
                                <a:cubicBezTo>
                                  <a:pt x="38" y="1249"/>
                                  <a:pt x="48" y="1260"/>
                                  <a:pt x="48" y="1273"/>
                                </a:cubicBezTo>
                                <a:close/>
                                <a:moveTo>
                                  <a:pt x="48" y="1369"/>
                                </a:moveTo>
                                <a:lnTo>
                                  <a:pt x="48" y="1369"/>
                                </a:lnTo>
                                <a:cubicBezTo>
                                  <a:pt x="48" y="1382"/>
                                  <a:pt x="38" y="1393"/>
                                  <a:pt x="24" y="1393"/>
                                </a:cubicBezTo>
                                <a:cubicBezTo>
                                  <a:pt x="11" y="1393"/>
                                  <a:pt x="0" y="1382"/>
                                  <a:pt x="0" y="1369"/>
                                </a:cubicBezTo>
                                <a:lnTo>
                                  <a:pt x="0" y="1369"/>
                                </a:lnTo>
                                <a:cubicBezTo>
                                  <a:pt x="0" y="1356"/>
                                  <a:pt x="11" y="1345"/>
                                  <a:pt x="24" y="1345"/>
                                </a:cubicBezTo>
                                <a:cubicBezTo>
                                  <a:pt x="38" y="1345"/>
                                  <a:pt x="48" y="1356"/>
                                  <a:pt x="48" y="1369"/>
                                </a:cubicBezTo>
                                <a:close/>
                                <a:moveTo>
                                  <a:pt x="48" y="1465"/>
                                </a:moveTo>
                                <a:lnTo>
                                  <a:pt x="48" y="1465"/>
                                </a:lnTo>
                                <a:cubicBezTo>
                                  <a:pt x="48" y="1478"/>
                                  <a:pt x="38" y="1489"/>
                                  <a:pt x="24" y="1489"/>
                                </a:cubicBezTo>
                                <a:cubicBezTo>
                                  <a:pt x="11" y="1489"/>
                                  <a:pt x="0" y="1478"/>
                                  <a:pt x="0" y="1465"/>
                                </a:cubicBezTo>
                                <a:lnTo>
                                  <a:pt x="0" y="1465"/>
                                </a:lnTo>
                                <a:cubicBezTo>
                                  <a:pt x="0" y="1452"/>
                                  <a:pt x="11" y="1441"/>
                                  <a:pt x="24" y="1441"/>
                                </a:cubicBezTo>
                                <a:cubicBezTo>
                                  <a:pt x="38" y="1441"/>
                                  <a:pt x="48" y="1452"/>
                                  <a:pt x="48" y="1465"/>
                                </a:cubicBezTo>
                                <a:close/>
                                <a:moveTo>
                                  <a:pt x="48" y="1561"/>
                                </a:moveTo>
                                <a:lnTo>
                                  <a:pt x="48" y="1561"/>
                                </a:lnTo>
                                <a:cubicBezTo>
                                  <a:pt x="48" y="1575"/>
                                  <a:pt x="38" y="1585"/>
                                  <a:pt x="24" y="1585"/>
                                </a:cubicBezTo>
                                <a:cubicBezTo>
                                  <a:pt x="11" y="1585"/>
                                  <a:pt x="0" y="1575"/>
                                  <a:pt x="0" y="1561"/>
                                </a:cubicBezTo>
                                <a:lnTo>
                                  <a:pt x="0" y="1561"/>
                                </a:lnTo>
                                <a:cubicBezTo>
                                  <a:pt x="0" y="1548"/>
                                  <a:pt x="11" y="1537"/>
                                  <a:pt x="24" y="1537"/>
                                </a:cubicBezTo>
                                <a:cubicBezTo>
                                  <a:pt x="38" y="1537"/>
                                  <a:pt x="48" y="1548"/>
                                  <a:pt x="48" y="1561"/>
                                </a:cubicBezTo>
                                <a:close/>
                                <a:moveTo>
                                  <a:pt x="48" y="1657"/>
                                </a:moveTo>
                                <a:lnTo>
                                  <a:pt x="48" y="1657"/>
                                </a:lnTo>
                                <a:cubicBezTo>
                                  <a:pt x="48" y="1671"/>
                                  <a:pt x="38" y="1681"/>
                                  <a:pt x="24" y="1681"/>
                                </a:cubicBezTo>
                                <a:cubicBezTo>
                                  <a:pt x="11" y="1681"/>
                                  <a:pt x="0" y="1671"/>
                                  <a:pt x="0" y="1657"/>
                                </a:cubicBezTo>
                                <a:lnTo>
                                  <a:pt x="0" y="1657"/>
                                </a:lnTo>
                                <a:cubicBezTo>
                                  <a:pt x="0" y="1644"/>
                                  <a:pt x="11" y="1633"/>
                                  <a:pt x="24" y="1633"/>
                                </a:cubicBezTo>
                                <a:cubicBezTo>
                                  <a:pt x="38" y="1633"/>
                                  <a:pt x="48" y="1644"/>
                                  <a:pt x="48" y="1657"/>
                                </a:cubicBezTo>
                                <a:close/>
                                <a:moveTo>
                                  <a:pt x="48" y="1753"/>
                                </a:moveTo>
                                <a:lnTo>
                                  <a:pt x="48" y="1753"/>
                                </a:lnTo>
                                <a:cubicBezTo>
                                  <a:pt x="48" y="1767"/>
                                  <a:pt x="38" y="1777"/>
                                  <a:pt x="24" y="1777"/>
                                </a:cubicBezTo>
                                <a:cubicBezTo>
                                  <a:pt x="11" y="1777"/>
                                  <a:pt x="0" y="1767"/>
                                  <a:pt x="0" y="1753"/>
                                </a:cubicBezTo>
                                <a:lnTo>
                                  <a:pt x="0" y="1753"/>
                                </a:lnTo>
                                <a:cubicBezTo>
                                  <a:pt x="0" y="1740"/>
                                  <a:pt x="11" y="1729"/>
                                  <a:pt x="24" y="1729"/>
                                </a:cubicBezTo>
                                <a:cubicBezTo>
                                  <a:pt x="38" y="1729"/>
                                  <a:pt x="48" y="1740"/>
                                  <a:pt x="48" y="1753"/>
                                </a:cubicBezTo>
                                <a:close/>
                                <a:moveTo>
                                  <a:pt x="48" y="1849"/>
                                </a:moveTo>
                                <a:lnTo>
                                  <a:pt x="48" y="1849"/>
                                </a:lnTo>
                                <a:cubicBezTo>
                                  <a:pt x="48" y="1863"/>
                                  <a:pt x="38" y="1873"/>
                                  <a:pt x="24" y="1873"/>
                                </a:cubicBezTo>
                                <a:cubicBezTo>
                                  <a:pt x="11" y="1873"/>
                                  <a:pt x="0" y="1863"/>
                                  <a:pt x="0" y="1849"/>
                                </a:cubicBezTo>
                                <a:lnTo>
                                  <a:pt x="0" y="1849"/>
                                </a:lnTo>
                                <a:cubicBezTo>
                                  <a:pt x="0" y="1836"/>
                                  <a:pt x="11" y="1825"/>
                                  <a:pt x="24" y="1825"/>
                                </a:cubicBezTo>
                                <a:cubicBezTo>
                                  <a:pt x="38" y="1825"/>
                                  <a:pt x="48" y="1836"/>
                                  <a:pt x="48" y="1849"/>
                                </a:cubicBezTo>
                                <a:close/>
                                <a:moveTo>
                                  <a:pt x="48" y="1945"/>
                                </a:moveTo>
                                <a:lnTo>
                                  <a:pt x="48" y="1945"/>
                                </a:lnTo>
                                <a:cubicBezTo>
                                  <a:pt x="48" y="1959"/>
                                  <a:pt x="38" y="1969"/>
                                  <a:pt x="24" y="1969"/>
                                </a:cubicBezTo>
                                <a:cubicBezTo>
                                  <a:pt x="11" y="1969"/>
                                  <a:pt x="0" y="1959"/>
                                  <a:pt x="0" y="1945"/>
                                </a:cubicBezTo>
                                <a:lnTo>
                                  <a:pt x="0" y="1945"/>
                                </a:lnTo>
                                <a:cubicBezTo>
                                  <a:pt x="0" y="1932"/>
                                  <a:pt x="11" y="1921"/>
                                  <a:pt x="24" y="1921"/>
                                </a:cubicBezTo>
                                <a:cubicBezTo>
                                  <a:pt x="38" y="1921"/>
                                  <a:pt x="48" y="1932"/>
                                  <a:pt x="48" y="1945"/>
                                </a:cubicBezTo>
                                <a:close/>
                                <a:moveTo>
                                  <a:pt x="48" y="2041"/>
                                </a:moveTo>
                                <a:lnTo>
                                  <a:pt x="48" y="2042"/>
                                </a:lnTo>
                                <a:cubicBezTo>
                                  <a:pt x="48" y="2055"/>
                                  <a:pt x="38" y="2066"/>
                                  <a:pt x="24" y="2066"/>
                                </a:cubicBezTo>
                                <a:cubicBezTo>
                                  <a:pt x="11" y="2066"/>
                                  <a:pt x="0" y="2055"/>
                                  <a:pt x="0" y="2042"/>
                                </a:cubicBezTo>
                                <a:lnTo>
                                  <a:pt x="0" y="2041"/>
                                </a:lnTo>
                                <a:cubicBezTo>
                                  <a:pt x="0" y="2028"/>
                                  <a:pt x="11" y="2017"/>
                                  <a:pt x="24" y="2017"/>
                                </a:cubicBezTo>
                                <a:cubicBezTo>
                                  <a:pt x="38" y="2017"/>
                                  <a:pt x="48" y="2028"/>
                                  <a:pt x="48" y="2041"/>
                                </a:cubicBezTo>
                                <a:close/>
                                <a:moveTo>
                                  <a:pt x="48" y="2138"/>
                                </a:moveTo>
                                <a:lnTo>
                                  <a:pt x="48" y="2138"/>
                                </a:lnTo>
                                <a:cubicBezTo>
                                  <a:pt x="48" y="2151"/>
                                  <a:pt x="38" y="2162"/>
                                  <a:pt x="24" y="2162"/>
                                </a:cubicBezTo>
                                <a:cubicBezTo>
                                  <a:pt x="11" y="2162"/>
                                  <a:pt x="0" y="2151"/>
                                  <a:pt x="0" y="2138"/>
                                </a:cubicBezTo>
                                <a:lnTo>
                                  <a:pt x="0" y="2138"/>
                                </a:lnTo>
                                <a:cubicBezTo>
                                  <a:pt x="0" y="2124"/>
                                  <a:pt x="11" y="2114"/>
                                  <a:pt x="24" y="2114"/>
                                </a:cubicBezTo>
                                <a:cubicBezTo>
                                  <a:pt x="38" y="2114"/>
                                  <a:pt x="48" y="2124"/>
                                  <a:pt x="48" y="2138"/>
                                </a:cubicBezTo>
                                <a:close/>
                                <a:moveTo>
                                  <a:pt x="48" y="2234"/>
                                </a:moveTo>
                                <a:lnTo>
                                  <a:pt x="48" y="2234"/>
                                </a:lnTo>
                                <a:cubicBezTo>
                                  <a:pt x="48" y="2247"/>
                                  <a:pt x="38" y="2258"/>
                                  <a:pt x="24" y="2258"/>
                                </a:cubicBezTo>
                                <a:cubicBezTo>
                                  <a:pt x="11" y="2258"/>
                                  <a:pt x="0" y="2247"/>
                                  <a:pt x="0" y="2234"/>
                                </a:cubicBezTo>
                                <a:lnTo>
                                  <a:pt x="0" y="2234"/>
                                </a:lnTo>
                                <a:cubicBezTo>
                                  <a:pt x="0" y="2220"/>
                                  <a:pt x="11" y="2210"/>
                                  <a:pt x="24" y="2210"/>
                                </a:cubicBezTo>
                                <a:cubicBezTo>
                                  <a:pt x="38" y="2210"/>
                                  <a:pt x="48" y="2220"/>
                                  <a:pt x="48" y="2234"/>
                                </a:cubicBezTo>
                                <a:close/>
                                <a:moveTo>
                                  <a:pt x="48" y="2330"/>
                                </a:moveTo>
                                <a:lnTo>
                                  <a:pt x="48" y="2330"/>
                                </a:lnTo>
                                <a:cubicBezTo>
                                  <a:pt x="48" y="2343"/>
                                  <a:pt x="38" y="2354"/>
                                  <a:pt x="24" y="2354"/>
                                </a:cubicBezTo>
                                <a:cubicBezTo>
                                  <a:pt x="11" y="2354"/>
                                  <a:pt x="0" y="2343"/>
                                  <a:pt x="0" y="2330"/>
                                </a:cubicBezTo>
                                <a:lnTo>
                                  <a:pt x="0" y="2330"/>
                                </a:lnTo>
                                <a:cubicBezTo>
                                  <a:pt x="0" y="2316"/>
                                  <a:pt x="11" y="2306"/>
                                  <a:pt x="24" y="2306"/>
                                </a:cubicBezTo>
                                <a:cubicBezTo>
                                  <a:pt x="38" y="2306"/>
                                  <a:pt x="48" y="2316"/>
                                  <a:pt x="48" y="2330"/>
                                </a:cubicBezTo>
                                <a:close/>
                                <a:moveTo>
                                  <a:pt x="48" y="2426"/>
                                </a:moveTo>
                                <a:lnTo>
                                  <a:pt x="48" y="2426"/>
                                </a:lnTo>
                                <a:cubicBezTo>
                                  <a:pt x="48" y="2439"/>
                                  <a:pt x="38" y="2450"/>
                                  <a:pt x="24" y="2450"/>
                                </a:cubicBezTo>
                                <a:cubicBezTo>
                                  <a:pt x="11" y="2450"/>
                                  <a:pt x="0" y="2439"/>
                                  <a:pt x="0" y="2426"/>
                                </a:cubicBezTo>
                                <a:lnTo>
                                  <a:pt x="0" y="2426"/>
                                </a:lnTo>
                                <a:cubicBezTo>
                                  <a:pt x="0" y="2412"/>
                                  <a:pt x="11" y="2402"/>
                                  <a:pt x="24" y="2402"/>
                                </a:cubicBezTo>
                                <a:cubicBezTo>
                                  <a:pt x="38" y="2402"/>
                                  <a:pt x="48" y="2412"/>
                                  <a:pt x="48" y="2426"/>
                                </a:cubicBezTo>
                                <a:close/>
                                <a:moveTo>
                                  <a:pt x="48" y="2522"/>
                                </a:moveTo>
                                <a:lnTo>
                                  <a:pt x="48" y="2522"/>
                                </a:lnTo>
                                <a:cubicBezTo>
                                  <a:pt x="48" y="2535"/>
                                  <a:pt x="38" y="2546"/>
                                  <a:pt x="24" y="2546"/>
                                </a:cubicBezTo>
                                <a:cubicBezTo>
                                  <a:pt x="11" y="2546"/>
                                  <a:pt x="0" y="2535"/>
                                  <a:pt x="0" y="2522"/>
                                </a:cubicBezTo>
                                <a:lnTo>
                                  <a:pt x="0" y="2522"/>
                                </a:lnTo>
                                <a:cubicBezTo>
                                  <a:pt x="0" y="2508"/>
                                  <a:pt x="11" y="2498"/>
                                  <a:pt x="24" y="2498"/>
                                </a:cubicBezTo>
                                <a:cubicBezTo>
                                  <a:pt x="38" y="2498"/>
                                  <a:pt x="48" y="2508"/>
                                  <a:pt x="48" y="2522"/>
                                </a:cubicBezTo>
                                <a:close/>
                                <a:moveTo>
                                  <a:pt x="48" y="2618"/>
                                </a:moveTo>
                                <a:lnTo>
                                  <a:pt x="48" y="2618"/>
                                </a:lnTo>
                                <a:cubicBezTo>
                                  <a:pt x="48" y="2631"/>
                                  <a:pt x="38" y="2642"/>
                                  <a:pt x="24" y="2642"/>
                                </a:cubicBezTo>
                                <a:cubicBezTo>
                                  <a:pt x="11" y="2642"/>
                                  <a:pt x="0" y="2631"/>
                                  <a:pt x="0" y="2618"/>
                                </a:cubicBezTo>
                                <a:lnTo>
                                  <a:pt x="0" y="2618"/>
                                </a:lnTo>
                                <a:cubicBezTo>
                                  <a:pt x="0" y="2605"/>
                                  <a:pt x="11" y="2594"/>
                                  <a:pt x="24" y="2594"/>
                                </a:cubicBezTo>
                                <a:cubicBezTo>
                                  <a:pt x="38" y="2594"/>
                                  <a:pt x="48" y="2605"/>
                                  <a:pt x="48" y="2618"/>
                                </a:cubicBezTo>
                                <a:close/>
                                <a:moveTo>
                                  <a:pt x="48" y="2714"/>
                                </a:moveTo>
                                <a:lnTo>
                                  <a:pt x="48" y="2714"/>
                                </a:lnTo>
                                <a:cubicBezTo>
                                  <a:pt x="48" y="2727"/>
                                  <a:pt x="38" y="2738"/>
                                  <a:pt x="24" y="2738"/>
                                </a:cubicBezTo>
                                <a:cubicBezTo>
                                  <a:pt x="11" y="2738"/>
                                  <a:pt x="0" y="2727"/>
                                  <a:pt x="0" y="2714"/>
                                </a:cubicBezTo>
                                <a:lnTo>
                                  <a:pt x="0" y="2714"/>
                                </a:lnTo>
                                <a:cubicBezTo>
                                  <a:pt x="0" y="2701"/>
                                  <a:pt x="11" y="2690"/>
                                  <a:pt x="24" y="2690"/>
                                </a:cubicBezTo>
                                <a:cubicBezTo>
                                  <a:pt x="38" y="2690"/>
                                  <a:pt x="48" y="2701"/>
                                  <a:pt x="48" y="2714"/>
                                </a:cubicBezTo>
                                <a:close/>
                                <a:moveTo>
                                  <a:pt x="48" y="2810"/>
                                </a:moveTo>
                                <a:lnTo>
                                  <a:pt x="48" y="2810"/>
                                </a:lnTo>
                                <a:cubicBezTo>
                                  <a:pt x="48" y="2823"/>
                                  <a:pt x="38" y="2834"/>
                                  <a:pt x="24" y="2834"/>
                                </a:cubicBezTo>
                                <a:cubicBezTo>
                                  <a:pt x="11" y="2834"/>
                                  <a:pt x="0" y="2823"/>
                                  <a:pt x="0" y="2810"/>
                                </a:cubicBezTo>
                                <a:lnTo>
                                  <a:pt x="0" y="2810"/>
                                </a:lnTo>
                                <a:cubicBezTo>
                                  <a:pt x="0" y="2797"/>
                                  <a:pt x="11" y="2786"/>
                                  <a:pt x="24" y="2786"/>
                                </a:cubicBezTo>
                                <a:cubicBezTo>
                                  <a:pt x="38" y="2786"/>
                                  <a:pt x="48" y="2797"/>
                                  <a:pt x="48" y="2810"/>
                                </a:cubicBezTo>
                                <a:close/>
                                <a:moveTo>
                                  <a:pt x="48" y="2906"/>
                                </a:moveTo>
                                <a:lnTo>
                                  <a:pt x="48" y="2906"/>
                                </a:lnTo>
                                <a:cubicBezTo>
                                  <a:pt x="48" y="2919"/>
                                  <a:pt x="38" y="2930"/>
                                  <a:pt x="24" y="2930"/>
                                </a:cubicBezTo>
                                <a:cubicBezTo>
                                  <a:pt x="11" y="2930"/>
                                  <a:pt x="0" y="2919"/>
                                  <a:pt x="0" y="2906"/>
                                </a:cubicBezTo>
                                <a:lnTo>
                                  <a:pt x="0" y="2906"/>
                                </a:lnTo>
                                <a:cubicBezTo>
                                  <a:pt x="0" y="2893"/>
                                  <a:pt x="11" y="2882"/>
                                  <a:pt x="24" y="2882"/>
                                </a:cubicBezTo>
                                <a:cubicBezTo>
                                  <a:pt x="38" y="2882"/>
                                  <a:pt x="48" y="2893"/>
                                  <a:pt x="48" y="2906"/>
                                </a:cubicBezTo>
                                <a:close/>
                                <a:moveTo>
                                  <a:pt x="48" y="3002"/>
                                </a:moveTo>
                                <a:lnTo>
                                  <a:pt x="48" y="3002"/>
                                </a:lnTo>
                                <a:cubicBezTo>
                                  <a:pt x="48" y="3015"/>
                                  <a:pt x="38" y="3026"/>
                                  <a:pt x="24" y="3026"/>
                                </a:cubicBezTo>
                                <a:cubicBezTo>
                                  <a:pt x="11" y="3026"/>
                                  <a:pt x="0" y="3015"/>
                                  <a:pt x="0" y="3002"/>
                                </a:cubicBezTo>
                                <a:lnTo>
                                  <a:pt x="0" y="3002"/>
                                </a:lnTo>
                                <a:cubicBezTo>
                                  <a:pt x="0" y="2989"/>
                                  <a:pt x="11" y="2978"/>
                                  <a:pt x="24" y="2978"/>
                                </a:cubicBezTo>
                                <a:cubicBezTo>
                                  <a:pt x="38" y="2978"/>
                                  <a:pt x="48" y="2989"/>
                                  <a:pt x="48" y="3002"/>
                                </a:cubicBezTo>
                                <a:close/>
                                <a:moveTo>
                                  <a:pt x="48" y="3098"/>
                                </a:moveTo>
                                <a:lnTo>
                                  <a:pt x="48" y="3098"/>
                                </a:lnTo>
                                <a:cubicBezTo>
                                  <a:pt x="48" y="3111"/>
                                  <a:pt x="38" y="3122"/>
                                  <a:pt x="24" y="3122"/>
                                </a:cubicBezTo>
                                <a:cubicBezTo>
                                  <a:pt x="11" y="3122"/>
                                  <a:pt x="0" y="3111"/>
                                  <a:pt x="0" y="3098"/>
                                </a:cubicBezTo>
                                <a:lnTo>
                                  <a:pt x="0" y="3098"/>
                                </a:lnTo>
                                <a:cubicBezTo>
                                  <a:pt x="0" y="3085"/>
                                  <a:pt x="11" y="3074"/>
                                  <a:pt x="24" y="3074"/>
                                </a:cubicBezTo>
                                <a:cubicBezTo>
                                  <a:pt x="38" y="3074"/>
                                  <a:pt x="48" y="3085"/>
                                  <a:pt x="48" y="3098"/>
                                </a:cubicBezTo>
                                <a:close/>
                                <a:moveTo>
                                  <a:pt x="48" y="3194"/>
                                </a:moveTo>
                                <a:lnTo>
                                  <a:pt x="48" y="3194"/>
                                </a:lnTo>
                                <a:cubicBezTo>
                                  <a:pt x="48" y="3207"/>
                                  <a:pt x="38" y="3218"/>
                                  <a:pt x="24" y="3218"/>
                                </a:cubicBezTo>
                                <a:cubicBezTo>
                                  <a:pt x="11" y="3218"/>
                                  <a:pt x="0" y="3207"/>
                                  <a:pt x="0" y="3194"/>
                                </a:cubicBezTo>
                                <a:lnTo>
                                  <a:pt x="0" y="3194"/>
                                </a:lnTo>
                                <a:cubicBezTo>
                                  <a:pt x="0" y="3181"/>
                                  <a:pt x="11" y="3170"/>
                                  <a:pt x="24" y="3170"/>
                                </a:cubicBezTo>
                                <a:cubicBezTo>
                                  <a:pt x="38" y="3170"/>
                                  <a:pt x="48" y="3181"/>
                                  <a:pt x="48" y="3194"/>
                                </a:cubicBezTo>
                                <a:close/>
                                <a:moveTo>
                                  <a:pt x="48" y="3290"/>
                                </a:moveTo>
                                <a:lnTo>
                                  <a:pt x="48" y="3290"/>
                                </a:lnTo>
                                <a:cubicBezTo>
                                  <a:pt x="48" y="3303"/>
                                  <a:pt x="38" y="3314"/>
                                  <a:pt x="24" y="3314"/>
                                </a:cubicBezTo>
                                <a:cubicBezTo>
                                  <a:pt x="11" y="3314"/>
                                  <a:pt x="0" y="3303"/>
                                  <a:pt x="0" y="3290"/>
                                </a:cubicBezTo>
                                <a:lnTo>
                                  <a:pt x="0" y="3290"/>
                                </a:lnTo>
                                <a:cubicBezTo>
                                  <a:pt x="0" y="3277"/>
                                  <a:pt x="11" y="3266"/>
                                  <a:pt x="24" y="3266"/>
                                </a:cubicBezTo>
                                <a:cubicBezTo>
                                  <a:pt x="38" y="3266"/>
                                  <a:pt x="48" y="3277"/>
                                  <a:pt x="48" y="3290"/>
                                </a:cubicBezTo>
                                <a:close/>
                                <a:moveTo>
                                  <a:pt x="48" y="3386"/>
                                </a:moveTo>
                                <a:lnTo>
                                  <a:pt x="48" y="3386"/>
                                </a:lnTo>
                                <a:cubicBezTo>
                                  <a:pt x="48" y="3399"/>
                                  <a:pt x="38" y="3410"/>
                                  <a:pt x="24" y="3410"/>
                                </a:cubicBezTo>
                                <a:cubicBezTo>
                                  <a:pt x="11" y="3410"/>
                                  <a:pt x="0" y="3399"/>
                                  <a:pt x="0" y="3386"/>
                                </a:cubicBezTo>
                                <a:lnTo>
                                  <a:pt x="0" y="3386"/>
                                </a:lnTo>
                                <a:cubicBezTo>
                                  <a:pt x="0" y="3373"/>
                                  <a:pt x="11" y="3362"/>
                                  <a:pt x="24" y="3362"/>
                                </a:cubicBezTo>
                                <a:cubicBezTo>
                                  <a:pt x="38" y="3362"/>
                                  <a:pt x="48" y="3373"/>
                                  <a:pt x="48" y="3386"/>
                                </a:cubicBezTo>
                                <a:close/>
                                <a:moveTo>
                                  <a:pt x="48" y="3482"/>
                                </a:moveTo>
                                <a:lnTo>
                                  <a:pt x="48" y="3482"/>
                                </a:lnTo>
                                <a:cubicBezTo>
                                  <a:pt x="48" y="3496"/>
                                  <a:pt x="38" y="3506"/>
                                  <a:pt x="24" y="3506"/>
                                </a:cubicBezTo>
                                <a:cubicBezTo>
                                  <a:pt x="11" y="3506"/>
                                  <a:pt x="0" y="3496"/>
                                  <a:pt x="0" y="3482"/>
                                </a:cubicBezTo>
                                <a:lnTo>
                                  <a:pt x="0" y="3482"/>
                                </a:lnTo>
                                <a:cubicBezTo>
                                  <a:pt x="0" y="3469"/>
                                  <a:pt x="11" y="3458"/>
                                  <a:pt x="24" y="3458"/>
                                </a:cubicBezTo>
                                <a:cubicBezTo>
                                  <a:pt x="38" y="3458"/>
                                  <a:pt x="48" y="3469"/>
                                  <a:pt x="48" y="3482"/>
                                </a:cubicBezTo>
                                <a:close/>
                                <a:moveTo>
                                  <a:pt x="48" y="3578"/>
                                </a:moveTo>
                                <a:lnTo>
                                  <a:pt x="48" y="3578"/>
                                </a:lnTo>
                                <a:cubicBezTo>
                                  <a:pt x="48" y="3592"/>
                                  <a:pt x="38" y="3602"/>
                                  <a:pt x="24" y="3602"/>
                                </a:cubicBezTo>
                                <a:cubicBezTo>
                                  <a:pt x="11" y="3602"/>
                                  <a:pt x="0" y="3592"/>
                                  <a:pt x="0" y="3578"/>
                                </a:cubicBezTo>
                                <a:lnTo>
                                  <a:pt x="0" y="3578"/>
                                </a:lnTo>
                                <a:cubicBezTo>
                                  <a:pt x="0" y="3565"/>
                                  <a:pt x="11" y="3554"/>
                                  <a:pt x="24" y="3554"/>
                                </a:cubicBezTo>
                                <a:cubicBezTo>
                                  <a:pt x="38" y="3554"/>
                                  <a:pt x="48" y="3565"/>
                                  <a:pt x="48" y="3578"/>
                                </a:cubicBezTo>
                                <a:close/>
                              </a:path>
                            </a:pathLst>
                          </a:custGeom>
                          <a:solidFill>
                            <a:srgbClr val="00264D"/>
                          </a:solidFill>
                          <a:ln w="635" cap="flat">
                            <a:solidFill>
                              <a:srgbClr val="00264D"/>
                            </a:solidFill>
                            <a:prstDash val="solid"/>
                            <a:round/>
                            <a:headEnd/>
                            <a:tailEnd/>
                          </a:ln>
                        </wps:spPr>
                        <wps:bodyPr rot="0" vert="horz" wrap="square" lIns="91440" tIns="45720" rIns="91440" bIns="45720" anchor="t" anchorCtr="0" upright="1">
                          <a:noAutofit/>
                        </wps:bodyPr>
                      </wps:wsp>
                      <wps:wsp>
                        <wps:cNvPr id="779" name="Freeform 19"/>
                        <wps:cNvSpPr>
                          <a:spLocks noEditPoints="1"/>
                        </wps:cNvSpPr>
                        <wps:spPr bwMode="auto">
                          <a:xfrm>
                            <a:off x="2814320" y="860425"/>
                            <a:ext cx="18415" cy="1317625"/>
                          </a:xfrm>
                          <a:custGeom>
                            <a:avLst/>
                            <a:gdLst>
                              <a:gd name="T0" fmla="*/ 0 w 48"/>
                              <a:gd name="T1" fmla="*/ 24 h 3506"/>
                              <a:gd name="T2" fmla="*/ 24 w 48"/>
                              <a:gd name="T3" fmla="*/ 145 h 3506"/>
                              <a:gd name="T4" fmla="*/ 48 w 48"/>
                              <a:gd name="T5" fmla="*/ 217 h 3506"/>
                              <a:gd name="T6" fmla="*/ 24 w 48"/>
                              <a:gd name="T7" fmla="*/ 193 h 3506"/>
                              <a:gd name="T8" fmla="*/ 0 w 48"/>
                              <a:gd name="T9" fmla="*/ 313 h 3506"/>
                              <a:gd name="T10" fmla="*/ 48 w 48"/>
                              <a:gd name="T11" fmla="*/ 409 h 3506"/>
                              <a:gd name="T12" fmla="*/ 48 w 48"/>
                              <a:gd name="T13" fmla="*/ 409 h 3506"/>
                              <a:gd name="T14" fmla="*/ 0 w 48"/>
                              <a:gd name="T15" fmla="*/ 505 h 3506"/>
                              <a:gd name="T16" fmla="*/ 24 w 48"/>
                              <a:gd name="T17" fmla="*/ 625 h 3506"/>
                              <a:gd name="T18" fmla="*/ 48 w 48"/>
                              <a:gd name="T19" fmla="*/ 697 h 3506"/>
                              <a:gd name="T20" fmla="*/ 24 w 48"/>
                              <a:gd name="T21" fmla="*/ 673 h 3506"/>
                              <a:gd name="T22" fmla="*/ 0 w 48"/>
                              <a:gd name="T23" fmla="*/ 793 h 3506"/>
                              <a:gd name="T24" fmla="*/ 48 w 48"/>
                              <a:gd name="T25" fmla="*/ 889 h 3506"/>
                              <a:gd name="T26" fmla="*/ 48 w 48"/>
                              <a:gd name="T27" fmla="*/ 889 h 3506"/>
                              <a:gd name="T28" fmla="*/ 0 w 48"/>
                              <a:gd name="T29" fmla="*/ 985 h 3506"/>
                              <a:gd name="T30" fmla="*/ 24 w 48"/>
                              <a:gd name="T31" fmla="*/ 1105 h 3506"/>
                              <a:gd name="T32" fmla="*/ 48 w 48"/>
                              <a:gd name="T33" fmla="*/ 1177 h 3506"/>
                              <a:gd name="T34" fmla="*/ 24 w 48"/>
                              <a:gd name="T35" fmla="*/ 1153 h 3506"/>
                              <a:gd name="T36" fmla="*/ 0 w 48"/>
                              <a:gd name="T37" fmla="*/ 1273 h 3506"/>
                              <a:gd name="T38" fmla="*/ 48 w 48"/>
                              <a:gd name="T39" fmla="*/ 1369 h 3506"/>
                              <a:gd name="T40" fmla="*/ 48 w 48"/>
                              <a:gd name="T41" fmla="*/ 1369 h 3506"/>
                              <a:gd name="T42" fmla="*/ 0 w 48"/>
                              <a:gd name="T43" fmla="*/ 1465 h 3506"/>
                              <a:gd name="T44" fmla="*/ 24 w 48"/>
                              <a:gd name="T45" fmla="*/ 1585 h 3506"/>
                              <a:gd name="T46" fmla="*/ 48 w 48"/>
                              <a:gd name="T47" fmla="*/ 1657 h 3506"/>
                              <a:gd name="T48" fmla="*/ 24 w 48"/>
                              <a:gd name="T49" fmla="*/ 1633 h 3506"/>
                              <a:gd name="T50" fmla="*/ 0 w 48"/>
                              <a:gd name="T51" fmla="*/ 1753 h 3506"/>
                              <a:gd name="T52" fmla="*/ 48 w 48"/>
                              <a:gd name="T53" fmla="*/ 1849 h 3506"/>
                              <a:gd name="T54" fmla="*/ 48 w 48"/>
                              <a:gd name="T55" fmla="*/ 1849 h 3506"/>
                              <a:gd name="T56" fmla="*/ 0 w 48"/>
                              <a:gd name="T57" fmla="*/ 1945 h 3506"/>
                              <a:gd name="T58" fmla="*/ 24 w 48"/>
                              <a:gd name="T59" fmla="*/ 2066 h 3506"/>
                              <a:gd name="T60" fmla="*/ 48 w 48"/>
                              <a:gd name="T61" fmla="*/ 2138 h 3506"/>
                              <a:gd name="T62" fmla="*/ 24 w 48"/>
                              <a:gd name="T63" fmla="*/ 2114 h 3506"/>
                              <a:gd name="T64" fmla="*/ 0 w 48"/>
                              <a:gd name="T65" fmla="*/ 2234 h 3506"/>
                              <a:gd name="T66" fmla="*/ 48 w 48"/>
                              <a:gd name="T67" fmla="*/ 2330 h 3506"/>
                              <a:gd name="T68" fmla="*/ 48 w 48"/>
                              <a:gd name="T69" fmla="*/ 2330 h 3506"/>
                              <a:gd name="T70" fmla="*/ 0 w 48"/>
                              <a:gd name="T71" fmla="*/ 2426 h 3506"/>
                              <a:gd name="T72" fmla="*/ 24 w 48"/>
                              <a:gd name="T73" fmla="*/ 2546 h 3506"/>
                              <a:gd name="T74" fmla="*/ 48 w 48"/>
                              <a:gd name="T75" fmla="*/ 2618 h 3506"/>
                              <a:gd name="T76" fmla="*/ 24 w 48"/>
                              <a:gd name="T77" fmla="*/ 2594 h 3506"/>
                              <a:gd name="T78" fmla="*/ 0 w 48"/>
                              <a:gd name="T79" fmla="*/ 2714 h 3506"/>
                              <a:gd name="T80" fmla="*/ 48 w 48"/>
                              <a:gd name="T81" fmla="*/ 2810 h 3506"/>
                              <a:gd name="T82" fmla="*/ 48 w 48"/>
                              <a:gd name="T83" fmla="*/ 2810 h 3506"/>
                              <a:gd name="T84" fmla="*/ 0 w 48"/>
                              <a:gd name="T85" fmla="*/ 2906 h 3506"/>
                              <a:gd name="T86" fmla="*/ 24 w 48"/>
                              <a:gd name="T87" fmla="*/ 3026 h 3506"/>
                              <a:gd name="T88" fmla="*/ 48 w 48"/>
                              <a:gd name="T89" fmla="*/ 3098 h 3506"/>
                              <a:gd name="T90" fmla="*/ 24 w 48"/>
                              <a:gd name="T91" fmla="*/ 3074 h 3506"/>
                              <a:gd name="T92" fmla="*/ 0 w 48"/>
                              <a:gd name="T93" fmla="*/ 3194 h 3506"/>
                              <a:gd name="T94" fmla="*/ 48 w 48"/>
                              <a:gd name="T95" fmla="*/ 3290 h 3506"/>
                              <a:gd name="T96" fmla="*/ 48 w 48"/>
                              <a:gd name="T97" fmla="*/ 3290 h 3506"/>
                              <a:gd name="T98" fmla="*/ 0 w 48"/>
                              <a:gd name="T99" fmla="*/ 3386 h 3506"/>
                              <a:gd name="T100" fmla="*/ 24 w 48"/>
                              <a:gd name="T101" fmla="*/ 3506 h 35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8" h="3506">
                                <a:moveTo>
                                  <a:pt x="48" y="24"/>
                                </a:moveTo>
                                <a:lnTo>
                                  <a:pt x="48" y="25"/>
                                </a:lnTo>
                                <a:cubicBezTo>
                                  <a:pt x="48" y="38"/>
                                  <a:pt x="38" y="49"/>
                                  <a:pt x="24" y="49"/>
                                </a:cubicBezTo>
                                <a:cubicBezTo>
                                  <a:pt x="11" y="49"/>
                                  <a:pt x="0" y="38"/>
                                  <a:pt x="0" y="25"/>
                                </a:cubicBezTo>
                                <a:lnTo>
                                  <a:pt x="0" y="24"/>
                                </a:lnTo>
                                <a:cubicBezTo>
                                  <a:pt x="0" y="11"/>
                                  <a:pt x="11" y="0"/>
                                  <a:pt x="24" y="0"/>
                                </a:cubicBezTo>
                                <a:cubicBezTo>
                                  <a:pt x="38" y="0"/>
                                  <a:pt x="48" y="11"/>
                                  <a:pt x="48" y="24"/>
                                </a:cubicBezTo>
                                <a:close/>
                                <a:moveTo>
                                  <a:pt x="48" y="121"/>
                                </a:moveTo>
                                <a:lnTo>
                                  <a:pt x="48" y="121"/>
                                </a:lnTo>
                                <a:cubicBezTo>
                                  <a:pt x="48" y="134"/>
                                  <a:pt x="38" y="145"/>
                                  <a:pt x="24" y="145"/>
                                </a:cubicBezTo>
                                <a:cubicBezTo>
                                  <a:pt x="11" y="145"/>
                                  <a:pt x="0" y="134"/>
                                  <a:pt x="0" y="121"/>
                                </a:cubicBezTo>
                                <a:lnTo>
                                  <a:pt x="0" y="121"/>
                                </a:lnTo>
                                <a:cubicBezTo>
                                  <a:pt x="0" y="107"/>
                                  <a:pt x="11" y="97"/>
                                  <a:pt x="24" y="97"/>
                                </a:cubicBezTo>
                                <a:cubicBezTo>
                                  <a:pt x="38" y="97"/>
                                  <a:pt x="48" y="107"/>
                                  <a:pt x="48" y="121"/>
                                </a:cubicBezTo>
                                <a:close/>
                                <a:moveTo>
                                  <a:pt x="48" y="217"/>
                                </a:moveTo>
                                <a:lnTo>
                                  <a:pt x="48" y="217"/>
                                </a:lnTo>
                                <a:cubicBezTo>
                                  <a:pt x="48" y="230"/>
                                  <a:pt x="38" y="241"/>
                                  <a:pt x="24" y="241"/>
                                </a:cubicBezTo>
                                <a:cubicBezTo>
                                  <a:pt x="11" y="241"/>
                                  <a:pt x="0" y="230"/>
                                  <a:pt x="0" y="217"/>
                                </a:cubicBezTo>
                                <a:lnTo>
                                  <a:pt x="0" y="217"/>
                                </a:lnTo>
                                <a:cubicBezTo>
                                  <a:pt x="0" y="203"/>
                                  <a:pt x="11" y="193"/>
                                  <a:pt x="24" y="193"/>
                                </a:cubicBezTo>
                                <a:cubicBezTo>
                                  <a:pt x="38" y="193"/>
                                  <a:pt x="48" y="203"/>
                                  <a:pt x="48" y="217"/>
                                </a:cubicBezTo>
                                <a:close/>
                                <a:moveTo>
                                  <a:pt x="48" y="313"/>
                                </a:moveTo>
                                <a:lnTo>
                                  <a:pt x="48" y="313"/>
                                </a:lnTo>
                                <a:cubicBezTo>
                                  <a:pt x="48" y="326"/>
                                  <a:pt x="38" y="337"/>
                                  <a:pt x="24" y="337"/>
                                </a:cubicBezTo>
                                <a:cubicBezTo>
                                  <a:pt x="11" y="337"/>
                                  <a:pt x="0" y="326"/>
                                  <a:pt x="0" y="313"/>
                                </a:cubicBezTo>
                                <a:lnTo>
                                  <a:pt x="0" y="313"/>
                                </a:lnTo>
                                <a:cubicBezTo>
                                  <a:pt x="0" y="299"/>
                                  <a:pt x="11" y="289"/>
                                  <a:pt x="24" y="289"/>
                                </a:cubicBezTo>
                                <a:cubicBezTo>
                                  <a:pt x="38" y="289"/>
                                  <a:pt x="48" y="299"/>
                                  <a:pt x="48" y="313"/>
                                </a:cubicBezTo>
                                <a:close/>
                                <a:moveTo>
                                  <a:pt x="48" y="409"/>
                                </a:moveTo>
                                <a:lnTo>
                                  <a:pt x="48" y="409"/>
                                </a:lnTo>
                                <a:cubicBezTo>
                                  <a:pt x="48" y="422"/>
                                  <a:pt x="38" y="433"/>
                                  <a:pt x="24" y="433"/>
                                </a:cubicBezTo>
                                <a:cubicBezTo>
                                  <a:pt x="11" y="433"/>
                                  <a:pt x="0" y="422"/>
                                  <a:pt x="0" y="409"/>
                                </a:cubicBezTo>
                                <a:lnTo>
                                  <a:pt x="0" y="409"/>
                                </a:lnTo>
                                <a:cubicBezTo>
                                  <a:pt x="0" y="395"/>
                                  <a:pt x="11" y="385"/>
                                  <a:pt x="24" y="385"/>
                                </a:cubicBezTo>
                                <a:cubicBezTo>
                                  <a:pt x="38" y="385"/>
                                  <a:pt x="48" y="395"/>
                                  <a:pt x="48" y="409"/>
                                </a:cubicBezTo>
                                <a:close/>
                                <a:moveTo>
                                  <a:pt x="48" y="505"/>
                                </a:moveTo>
                                <a:lnTo>
                                  <a:pt x="48" y="505"/>
                                </a:lnTo>
                                <a:cubicBezTo>
                                  <a:pt x="48" y="518"/>
                                  <a:pt x="38" y="529"/>
                                  <a:pt x="24" y="529"/>
                                </a:cubicBezTo>
                                <a:cubicBezTo>
                                  <a:pt x="11" y="529"/>
                                  <a:pt x="0" y="518"/>
                                  <a:pt x="0" y="505"/>
                                </a:cubicBezTo>
                                <a:lnTo>
                                  <a:pt x="0" y="505"/>
                                </a:lnTo>
                                <a:cubicBezTo>
                                  <a:pt x="0" y="491"/>
                                  <a:pt x="11" y="481"/>
                                  <a:pt x="24" y="481"/>
                                </a:cubicBezTo>
                                <a:cubicBezTo>
                                  <a:pt x="38" y="481"/>
                                  <a:pt x="48" y="491"/>
                                  <a:pt x="48" y="505"/>
                                </a:cubicBezTo>
                                <a:close/>
                                <a:moveTo>
                                  <a:pt x="48" y="601"/>
                                </a:moveTo>
                                <a:lnTo>
                                  <a:pt x="48" y="601"/>
                                </a:lnTo>
                                <a:cubicBezTo>
                                  <a:pt x="48" y="614"/>
                                  <a:pt x="38" y="625"/>
                                  <a:pt x="24" y="625"/>
                                </a:cubicBezTo>
                                <a:cubicBezTo>
                                  <a:pt x="11" y="625"/>
                                  <a:pt x="0" y="614"/>
                                  <a:pt x="0" y="601"/>
                                </a:cubicBezTo>
                                <a:lnTo>
                                  <a:pt x="0" y="601"/>
                                </a:lnTo>
                                <a:cubicBezTo>
                                  <a:pt x="0" y="588"/>
                                  <a:pt x="11" y="577"/>
                                  <a:pt x="24" y="577"/>
                                </a:cubicBezTo>
                                <a:cubicBezTo>
                                  <a:pt x="38" y="577"/>
                                  <a:pt x="48" y="588"/>
                                  <a:pt x="48" y="601"/>
                                </a:cubicBezTo>
                                <a:close/>
                                <a:moveTo>
                                  <a:pt x="48" y="697"/>
                                </a:moveTo>
                                <a:lnTo>
                                  <a:pt x="48" y="697"/>
                                </a:lnTo>
                                <a:cubicBezTo>
                                  <a:pt x="48" y="710"/>
                                  <a:pt x="38" y="721"/>
                                  <a:pt x="24" y="721"/>
                                </a:cubicBezTo>
                                <a:cubicBezTo>
                                  <a:pt x="11" y="721"/>
                                  <a:pt x="0" y="710"/>
                                  <a:pt x="0" y="697"/>
                                </a:cubicBezTo>
                                <a:lnTo>
                                  <a:pt x="0" y="697"/>
                                </a:lnTo>
                                <a:cubicBezTo>
                                  <a:pt x="0" y="684"/>
                                  <a:pt x="11" y="673"/>
                                  <a:pt x="24" y="673"/>
                                </a:cubicBezTo>
                                <a:cubicBezTo>
                                  <a:pt x="38" y="673"/>
                                  <a:pt x="48" y="684"/>
                                  <a:pt x="48" y="697"/>
                                </a:cubicBezTo>
                                <a:close/>
                                <a:moveTo>
                                  <a:pt x="48" y="793"/>
                                </a:moveTo>
                                <a:lnTo>
                                  <a:pt x="48" y="793"/>
                                </a:lnTo>
                                <a:cubicBezTo>
                                  <a:pt x="48" y="806"/>
                                  <a:pt x="38" y="817"/>
                                  <a:pt x="24" y="817"/>
                                </a:cubicBezTo>
                                <a:cubicBezTo>
                                  <a:pt x="11" y="817"/>
                                  <a:pt x="0" y="806"/>
                                  <a:pt x="0" y="793"/>
                                </a:cubicBezTo>
                                <a:lnTo>
                                  <a:pt x="0" y="793"/>
                                </a:lnTo>
                                <a:cubicBezTo>
                                  <a:pt x="0" y="780"/>
                                  <a:pt x="11" y="769"/>
                                  <a:pt x="24" y="769"/>
                                </a:cubicBezTo>
                                <a:cubicBezTo>
                                  <a:pt x="38" y="769"/>
                                  <a:pt x="48" y="780"/>
                                  <a:pt x="48" y="793"/>
                                </a:cubicBezTo>
                                <a:close/>
                                <a:moveTo>
                                  <a:pt x="48" y="889"/>
                                </a:moveTo>
                                <a:lnTo>
                                  <a:pt x="48" y="889"/>
                                </a:lnTo>
                                <a:cubicBezTo>
                                  <a:pt x="48" y="902"/>
                                  <a:pt x="38" y="913"/>
                                  <a:pt x="24" y="913"/>
                                </a:cubicBezTo>
                                <a:cubicBezTo>
                                  <a:pt x="11" y="913"/>
                                  <a:pt x="0" y="902"/>
                                  <a:pt x="0" y="889"/>
                                </a:cubicBezTo>
                                <a:lnTo>
                                  <a:pt x="0" y="889"/>
                                </a:lnTo>
                                <a:cubicBezTo>
                                  <a:pt x="0" y="876"/>
                                  <a:pt x="11" y="865"/>
                                  <a:pt x="24" y="865"/>
                                </a:cubicBezTo>
                                <a:cubicBezTo>
                                  <a:pt x="38" y="865"/>
                                  <a:pt x="48" y="876"/>
                                  <a:pt x="48" y="889"/>
                                </a:cubicBezTo>
                                <a:close/>
                                <a:moveTo>
                                  <a:pt x="48" y="985"/>
                                </a:moveTo>
                                <a:lnTo>
                                  <a:pt x="48" y="985"/>
                                </a:lnTo>
                                <a:cubicBezTo>
                                  <a:pt x="48" y="998"/>
                                  <a:pt x="38" y="1009"/>
                                  <a:pt x="24" y="1009"/>
                                </a:cubicBezTo>
                                <a:cubicBezTo>
                                  <a:pt x="11" y="1009"/>
                                  <a:pt x="0" y="998"/>
                                  <a:pt x="0" y="985"/>
                                </a:cubicBezTo>
                                <a:lnTo>
                                  <a:pt x="0" y="985"/>
                                </a:lnTo>
                                <a:cubicBezTo>
                                  <a:pt x="0" y="972"/>
                                  <a:pt x="11" y="961"/>
                                  <a:pt x="24" y="961"/>
                                </a:cubicBezTo>
                                <a:cubicBezTo>
                                  <a:pt x="38" y="961"/>
                                  <a:pt x="48" y="972"/>
                                  <a:pt x="48" y="985"/>
                                </a:cubicBezTo>
                                <a:close/>
                                <a:moveTo>
                                  <a:pt x="48" y="1081"/>
                                </a:moveTo>
                                <a:lnTo>
                                  <a:pt x="48" y="1081"/>
                                </a:lnTo>
                                <a:cubicBezTo>
                                  <a:pt x="48" y="1094"/>
                                  <a:pt x="38" y="1105"/>
                                  <a:pt x="24" y="1105"/>
                                </a:cubicBezTo>
                                <a:cubicBezTo>
                                  <a:pt x="11" y="1105"/>
                                  <a:pt x="0" y="1094"/>
                                  <a:pt x="0" y="1081"/>
                                </a:cubicBezTo>
                                <a:lnTo>
                                  <a:pt x="0" y="1081"/>
                                </a:lnTo>
                                <a:cubicBezTo>
                                  <a:pt x="0" y="1068"/>
                                  <a:pt x="11" y="1057"/>
                                  <a:pt x="24" y="1057"/>
                                </a:cubicBezTo>
                                <a:cubicBezTo>
                                  <a:pt x="38" y="1057"/>
                                  <a:pt x="48" y="1068"/>
                                  <a:pt x="48" y="1081"/>
                                </a:cubicBezTo>
                                <a:close/>
                                <a:moveTo>
                                  <a:pt x="48" y="1177"/>
                                </a:moveTo>
                                <a:lnTo>
                                  <a:pt x="48" y="1177"/>
                                </a:lnTo>
                                <a:cubicBezTo>
                                  <a:pt x="48" y="1190"/>
                                  <a:pt x="38" y="1201"/>
                                  <a:pt x="24" y="1201"/>
                                </a:cubicBezTo>
                                <a:cubicBezTo>
                                  <a:pt x="11" y="1201"/>
                                  <a:pt x="0" y="1190"/>
                                  <a:pt x="0" y="1177"/>
                                </a:cubicBezTo>
                                <a:lnTo>
                                  <a:pt x="0" y="1177"/>
                                </a:lnTo>
                                <a:cubicBezTo>
                                  <a:pt x="0" y="1164"/>
                                  <a:pt x="11" y="1153"/>
                                  <a:pt x="24" y="1153"/>
                                </a:cubicBezTo>
                                <a:cubicBezTo>
                                  <a:pt x="38" y="1153"/>
                                  <a:pt x="48" y="1164"/>
                                  <a:pt x="48" y="1177"/>
                                </a:cubicBezTo>
                                <a:close/>
                                <a:moveTo>
                                  <a:pt x="48" y="1273"/>
                                </a:moveTo>
                                <a:lnTo>
                                  <a:pt x="48" y="1273"/>
                                </a:lnTo>
                                <a:cubicBezTo>
                                  <a:pt x="48" y="1286"/>
                                  <a:pt x="38" y="1297"/>
                                  <a:pt x="24" y="1297"/>
                                </a:cubicBezTo>
                                <a:cubicBezTo>
                                  <a:pt x="11" y="1297"/>
                                  <a:pt x="0" y="1286"/>
                                  <a:pt x="0" y="1273"/>
                                </a:cubicBezTo>
                                <a:lnTo>
                                  <a:pt x="0" y="1273"/>
                                </a:lnTo>
                                <a:cubicBezTo>
                                  <a:pt x="0" y="1260"/>
                                  <a:pt x="11" y="1249"/>
                                  <a:pt x="24" y="1249"/>
                                </a:cubicBezTo>
                                <a:cubicBezTo>
                                  <a:pt x="38" y="1249"/>
                                  <a:pt x="48" y="1260"/>
                                  <a:pt x="48" y="1273"/>
                                </a:cubicBezTo>
                                <a:close/>
                                <a:moveTo>
                                  <a:pt x="48" y="1369"/>
                                </a:moveTo>
                                <a:lnTo>
                                  <a:pt x="48" y="1369"/>
                                </a:lnTo>
                                <a:cubicBezTo>
                                  <a:pt x="48" y="1382"/>
                                  <a:pt x="38" y="1393"/>
                                  <a:pt x="24" y="1393"/>
                                </a:cubicBezTo>
                                <a:cubicBezTo>
                                  <a:pt x="11" y="1393"/>
                                  <a:pt x="0" y="1382"/>
                                  <a:pt x="0" y="1369"/>
                                </a:cubicBezTo>
                                <a:lnTo>
                                  <a:pt x="0" y="1369"/>
                                </a:lnTo>
                                <a:cubicBezTo>
                                  <a:pt x="0" y="1356"/>
                                  <a:pt x="11" y="1345"/>
                                  <a:pt x="24" y="1345"/>
                                </a:cubicBezTo>
                                <a:cubicBezTo>
                                  <a:pt x="38" y="1345"/>
                                  <a:pt x="48" y="1356"/>
                                  <a:pt x="48" y="1369"/>
                                </a:cubicBezTo>
                                <a:close/>
                                <a:moveTo>
                                  <a:pt x="48" y="1465"/>
                                </a:moveTo>
                                <a:lnTo>
                                  <a:pt x="48" y="1465"/>
                                </a:lnTo>
                                <a:cubicBezTo>
                                  <a:pt x="48" y="1478"/>
                                  <a:pt x="38" y="1489"/>
                                  <a:pt x="24" y="1489"/>
                                </a:cubicBezTo>
                                <a:cubicBezTo>
                                  <a:pt x="11" y="1489"/>
                                  <a:pt x="0" y="1478"/>
                                  <a:pt x="0" y="1465"/>
                                </a:cubicBezTo>
                                <a:lnTo>
                                  <a:pt x="0" y="1465"/>
                                </a:lnTo>
                                <a:cubicBezTo>
                                  <a:pt x="0" y="1452"/>
                                  <a:pt x="11" y="1441"/>
                                  <a:pt x="24" y="1441"/>
                                </a:cubicBezTo>
                                <a:cubicBezTo>
                                  <a:pt x="38" y="1441"/>
                                  <a:pt x="48" y="1452"/>
                                  <a:pt x="48" y="1465"/>
                                </a:cubicBezTo>
                                <a:close/>
                                <a:moveTo>
                                  <a:pt x="48" y="1561"/>
                                </a:moveTo>
                                <a:lnTo>
                                  <a:pt x="48" y="1561"/>
                                </a:lnTo>
                                <a:cubicBezTo>
                                  <a:pt x="48" y="1575"/>
                                  <a:pt x="38" y="1585"/>
                                  <a:pt x="24" y="1585"/>
                                </a:cubicBezTo>
                                <a:cubicBezTo>
                                  <a:pt x="11" y="1585"/>
                                  <a:pt x="0" y="1575"/>
                                  <a:pt x="0" y="1561"/>
                                </a:cubicBezTo>
                                <a:lnTo>
                                  <a:pt x="0" y="1561"/>
                                </a:lnTo>
                                <a:cubicBezTo>
                                  <a:pt x="0" y="1548"/>
                                  <a:pt x="11" y="1537"/>
                                  <a:pt x="24" y="1537"/>
                                </a:cubicBezTo>
                                <a:cubicBezTo>
                                  <a:pt x="38" y="1537"/>
                                  <a:pt x="48" y="1548"/>
                                  <a:pt x="48" y="1561"/>
                                </a:cubicBezTo>
                                <a:close/>
                                <a:moveTo>
                                  <a:pt x="48" y="1657"/>
                                </a:moveTo>
                                <a:lnTo>
                                  <a:pt x="48" y="1657"/>
                                </a:lnTo>
                                <a:cubicBezTo>
                                  <a:pt x="48" y="1671"/>
                                  <a:pt x="38" y="1681"/>
                                  <a:pt x="24" y="1681"/>
                                </a:cubicBezTo>
                                <a:cubicBezTo>
                                  <a:pt x="11" y="1681"/>
                                  <a:pt x="0" y="1671"/>
                                  <a:pt x="0" y="1657"/>
                                </a:cubicBezTo>
                                <a:lnTo>
                                  <a:pt x="0" y="1657"/>
                                </a:lnTo>
                                <a:cubicBezTo>
                                  <a:pt x="0" y="1644"/>
                                  <a:pt x="11" y="1633"/>
                                  <a:pt x="24" y="1633"/>
                                </a:cubicBezTo>
                                <a:cubicBezTo>
                                  <a:pt x="38" y="1633"/>
                                  <a:pt x="48" y="1644"/>
                                  <a:pt x="48" y="1657"/>
                                </a:cubicBezTo>
                                <a:close/>
                                <a:moveTo>
                                  <a:pt x="48" y="1753"/>
                                </a:moveTo>
                                <a:lnTo>
                                  <a:pt x="48" y="1753"/>
                                </a:lnTo>
                                <a:cubicBezTo>
                                  <a:pt x="48" y="1767"/>
                                  <a:pt x="38" y="1777"/>
                                  <a:pt x="24" y="1777"/>
                                </a:cubicBezTo>
                                <a:cubicBezTo>
                                  <a:pt x="11" y="1777"/>
                                  <a:pt x="0" y="1767"/>
                                  <a:pt x="0" y="1753"/>
                                </a:cubicBezTo>
                                <a:lnTo>
                                  <a:pt x="0" y="1753"/>
                                </a:lnTo>
                                <a:cubicBezTo>
                                  <a:pt x="0" y="1740"/>
                                  <a:pt x="11" y="1729"/>
                                  <a:pt x="24" y="1729"/>
                                </a:cubicBezTo>
                                <a:cubicBezTo>
                                  <a:pt x="38" y="1729"/>
                                  <a:pt x="48" y="1740"/>
                                  <a:pt x="48" y="1753"/>
                                </a:cubicBezTo>
                                <a:close/>
                                <a:moveTo>
                                  <a:pt x="48" y="1849"/>
                                </a:moveTo>
                                <a:lnTo>
                                  <a:pt x="48" y="1849"/>
                                </a:lnTo>
                                <a:cubicBezTo>
                                  <a:pt x="48" y="1863"/>
                                  <a:pt x="38" y="1873"/>
                                  <a:pt x="24" y="1873"/>
                                </a:cubicBezTo>
                                <a:cubicBezTo>
                                  <a:pt x="11" y="1873"/>
                                  <a:pt x="0" y="1863"/>
                                  <a:pt x="0" y="1849"/>
                                </a:cubicBezTo>
                                <a:lnTo>
                                  <a:pt x="0" y="1849"/>
                                </a:lnTo>
                                <a:cubicBezTo>
                                  <a:pt x="0" y="1836"/>
                                  <a:pt x="11" y="1825"/>
                                  <a:pt x="24" y="1825"/>
                                </a:cubicBezTo>
                                <a:cubicBezTo>
                                  <a:pt x="38" y="1825"/>
                                  <a:pt x="48" y="1836"/>
                                  <a:pt x="48" y="1849"/>
                                </a:cubicBezTo>
                                <a:close/>
                                <a:moveTo>
                                  <a:pt x="48" y="1945"/>
                                </a:moveTo>
                                <a:lnTo>
                                  <a:pt x="48" y="1945"/>
                                </a:lnTo>
                                <a:cubicBezTo>
                                  <a:pt x="48" y="1959"/>
                                  <a:pt x="38" y="1969"/>
                                  <a:pt x="24" y="1969"/>
                                </a:cubicBezTo>
                                <a:cubicBezTo>
                                  <a:pt x="11" y="1969"/>
                                  <a:pt x="0" y="1959"/>
                                  <a:pt x="0" y="1945"/>
                                </a:cubicBezTo>
                                <a:lnTo>
                                  <a:pt x="0" y="1945"/>
                                </a:lnTo>
                                <a:cubicBezTo>
                                  <a:pt x="0" y="1932"/>
                                  <a:pt x="11" y="1921"/>
                                  <a:pt x="24" y="1921"/>
                                </a:cubicBezTo>
                                <a:cubicBezTo>
                                  <a:pt x="38" y="1921"/>
                                  <a:pt x="48" y="1932"/>
                                  <a:pt x="48" y="1945"/>
                                </a:cubicBezTo>
                                <a:close/>
                                <a:moveTo>
                                  <a:pt x="48" y="2041"/>
                                </a:moveTo>
                                <a:lnTo>
                                  <a:pt x="48" y="2042"/>
                                </a:lnTo>
                                <a:cubicBezTo>
                                  <a:pt x="48" y="2055"/>
                                  <a:pt x="38" y="2066"/>
                                  <a:pt x="24" y="2066"/>
                                </a:cubicBezTo>
                                <a:cubicBezTo>
                                  <a:pt x="11" y="2066"/>
                                  <a:pt x="0" y="2055"/>
                                  <a:pt x="0" y="2042"/>
                                </a:cubicBezTo>
                                <a:lnTo>
                                  <a:pt x="0" y="2041"/>
                                </a:lnTo>
                                <a:cubicBezTo>
                                  <a:pt x="0" y="2028"/>
                                  <a:pt x="11" y="2017"/>
                                  <a:pt x="24" y="2017"/>
                                </a:cubicBezTo>
                                <a:cubicBezTo>
                                  <a:pt x="38" y="2017"/>
                                  <a:pt x="48" y="2028"/>
                                  <a:pt x="48" y="2041"/>
                                </a:cubicBezTo>
                                <a:close/>
                                <a:moveTo>
                                  <a:pt x="48" y="2138"/>
                                </a:moveTo>
                                <a:lnTo>
                                  <a:pt x="48" y="2138"/>
                                </a:lnTo>
                                <a:cubicBezTo>
                                  <a:pt x="48" y="2151"/>
                                  <a:pt x="38" y="2162"/>
                                  <a:pt x="24" y="2162"/>
                                </a:cubicBezTo>
                                <a:cubicBezTo>
                                  <a:pt x="11" y="2162"/>
                                  <a:pt x="0" y="2151"/>
                                  <a:pt x="0" y="2138"/>
                                </a:cubicBezTo>
                                <a:lnTo>
                                  <a:pt x="0" y="2138"/>
                                </a:lnTo>
                                <a:cubicBezTo>
                                  <a:pt x="0" y="2124"/>
                                  <a:pt x="11" y="2114"/>
                                  <a:pt x="24" y="2114"/>
                                </a:cubicBezTo>
                                <a:cubicBezTo>
                                  <a:pt x="38" y="2114"/>
                                  <a:pt x="48" y="2124"/>
                                  <a:pt x="48" y="2138"/>
                                </a:cubicBezTo>
                                <a:close/>
                                <a:moveTo>
                                  <a:pt x="48" y="2234"/>
                                </a:moveTo>
                                <a:lnTo>
                                  <a:pt x="48" y="2234"/>
                                </a:lnTo>
                                <a:cubicBezTo>
                                  <a:pt x="48" y="2247"/>
                                  <a:pt x="38" y="2258"/>
                                  <a:pt x="24" y="2258"/>
                                </a:cubicBezTo>
                                <a:cubicBezTo>
                                  <a:pt x="11" y="2258"/>
                                  <a:pt x="0" y="2247"/>
                                  <a:pt x="0" y="2234"/>
                                </a:cubicBezTo>
                                <a:lnTo>
                                  <a:pt x="0" y="2234"/>
                                </a:lnTo>
                                <a:cubicBezTo>
                                  <a:pt x="0" y="2220"/>
                                  <a:pt x="11" y="2210"/>
                                  <a:pt x="24" y="2210"/>
                                </a:cubicBezTo>
                                <a:cubicBezTo>
                                  <a:pt x="38" y="2210"/>
                                  <a:pt x="48" y="2220"/>
                                  <a:pt x="48" y="2234"/>
                                </a:cubicBezTo>
                                <a:close/>
                                <a:moveTo>
                                  <a:pt x="48" y="2330"/>
                                </a:moveTo>
                                <a:lnTo>
                                  <a:pt x="48" y="2330"/>
                                </a:lnTo>
                                <a:cubicBezTo>
                                  <a:pt x="48" y="2343"/>
                                  <a:pt x="38" y="2354"/>
                                  <a:pt x="24" y="2354"/>
                                </a:cubicBezTo>
                                <a:cubicBezTo>
                                  <a:pt x="11" y="2354"/>
                                  <a:pt x="0" y="2343"/>
                                  <a:pt x="0" y="2330"/>
                                </a:cubicBezTo>
                                <a:lnTo>
                                  <a:pt x="0" y="2330"/>
                                </a:lnTo>
                                <a:cubicBezTo>
                                  <a:pt x="0" y="2316"/>
                                  <a:pt x="11" y="2306"/>
                                  <a:pt x="24" y="2306"/>
                                </a:cubicBezTo>
                                <a:cubicBezTo>
                                  <a:pt x="38" y="2306"/>
                                  <a:pt x="48" y="2316"/>
                                  <a:pt x="48" y="2330"/>
                                </a:cubicBezTo>
                                <a:close/>
                                <a:moveTo>
                                  <a:pt x="48" y="2426"/>
                                </a:moveTo>
                                <a:lnTo>
                                  <a:pt x="48" y="2426"/>
                                </a:lnTo>
                                <a:cubicBezTo>
                                  <a:pt x="48" y="2439"/>
                                  <a:pt x="38" y="2450"/>
                                  <a:pt x="24" y="2450"/>
                                </a:cubicBezTo>
                                <a:cubicBezTo>
                                  <a:pt x="11" y="2450"/>
                                  <a:pt x="0" y="2439"/>
                                  <a:pt x="0" y="2426"/>
                                </a:cubicBezTo>
                                <a:lnTo>
                                  <a:pt x="0" y="2426"/>
                                </a:lnTo>
                                <a:cubicBezTo>
                                  <a:pt x="0" y="2412"/>
                                  <a:pt x="11" y="2402"/>
                                  <a:pt x="24" y="2402"/>
                                </a:cubicBezTo>
                                <a:cubicBezTo>
                                  <a:pt x="38" y="2402"/>
                                  <a:pt x="48" y="2412"/>
                                  <a:pt x="48" y="2426"/>
                                </a:cubicBezTo>
                                <a:close/>
                                <a:moveTo>
                                  <a:pt x="48" y="2522"/>
                                </a:moveTo>
                                <a:lnTo>
                                  <a:pt x="48" y="2522"/>
                                </a:lnTo>
                                <a:cubicBezTo>
                                  <a:pt x="48" y="2535"/>
                                  <a:pt x="38" y="2546"/>
                                  <a:pt x="24" y="2546"/>
                                </a:cubicBezTo>
                                <a:cubicBezTo>
                                  <a:pt x="11" y="2546"/>
                                  <a:pt x="0" y="2535"/>
                                  <a:pt x="0" y="2522"/>
                                </a:cubicBezTo>
                                <a:lnTo>
                                  <a:pt x="0" y="2522"/>
                                </a:lnTo>
                                <a:cubicBezTo>
                                  <a:pt x="0" y="2508"/>
                                  <a:pt x="11" y="2498"/>
                                  <a:pt x="24" y="2498"/>
                                </a:cubicBezTo>
                                <a:cubicBezTo>
                                  <a:pt x="38" y="2498"/>
                                  <a:pt x="48" y="2508"/>
                                  <a:pt x="48" y="2522"/>
                                </a:cubicBezTo>
                                <a:close/>
                                <a:moveTo>
                                  <a:pt x="48" y="2618"/>
                                </a:moveTo>
                                <a:lnTo>
                                  <a:pt x="48" y="2618"/>
                                </a:lnTo>
                                <a:cubicBezTo>
                                  <a:pt x="48" y="2631"/>
                                  <a:pt x="38" y="2642"/>
                                  <a:pt x="24" y="2642"/>
                                </a:cubicBezTo>
                                <a:cubicBezTo>
                                  <a:pt x="11" y="2642"/>
                                  <a:pt x="0" y="2631"/>
                                  <a:pt x="0" y="2618"/>
                                </a:cubicBezTo>
                                <a:lnTo>
                                  <a:pt x="0" y="2618"/>
                                </a:lnTo>
                                <a:cubicBezTo>
                                  <a:pt x="0" y="2605"/>
                                  <a:pt x="11" y="2594"/>
                                  <a:pt x="24" y="2594"/>
                                </a:cubicBezTo>
                                <a:cubicBezTo>
                                  <a:pt x="38" y="2594"/>
                                  <a:pt x="48" y="2605"/>
                                  <a:pt x="48" y="2618"/>
                                </a:cubicBezTo>
                                <a:close/>
                                <a:moveTo>
                                  <a:pt x="48" y="2714"/>
                                </a:moveTo>
                                <a:lnTo>
                                  <a:pt x="48" y="2714"/>
                                </a:lnTo>
                                <a:cubicBezTo>
                                  <a:pt x="48" y="2727"/>
                                  <a:pt x="38" y="2738"/>
                                  <a:pt x="24" y="2738"/>
                                </a:cubicBezTo>
                                <a:cubicBezTo>
                                  <a:pt x="11" y="2738"/>
                                  <a:pt x="0" y="2727"/>
                                  <a:pt x="0" y="2714"/>
                                </a:cubicBezTo>
                                <a:lnTo>
                                  <a:pt x="0" y="2714"/>
                                </a:lnTo>
                                <a:cubicBezTo>
                                  <a:pt x="0" y="2701"/>
                                  <a:pt x="11" y="2690"/>
                                  <a:pt x="24" y="2690"/>
                                </a:cubicBezTo>
                                <a:cubicBezTo>
                                  <a:pt x="38" y="2690"/>
                                  <a:pt x="48" y="2701"/>
                                  <a:pt x="48" y="2714"/>
                                </a:cubicBezTo>
                                <a:close/>
                                <a:moveTo>
                                  <a:pt x="48" y="2810"/>
                                </a:moveTo>
                                <a:lnTo>
                                  <a:pt x="48" y="2810"/>
                                </a:lnTo>
                                <a:cubicBezTo>
                                  <a:pt x="48" y="2823"/>
                                  <a:pt x="38" y="2834"/>
                                  <a:pt x="24" y="2834"/>
                                </a:cubicBezTo>
                                <a:cubicBezTo>
                                  <a:pt x="11" y="2834"/>
                                  <a:pt x="0" y="2823"/>
                                  <a:pt x="0" y="2810"/>
                                </a:cubicBezTo>
                                <a:lnTo>
                                  <a:pt x="0" y="2810"/>
                                </a:lnTo>
                                <a:cubicBezTo>
                                  <a:pt x="0" y="2797"/>
                                  <a:pt x="11" y="2786"/>
                                  <a:pt x="24" y="2786"/>
                                </a:cubicBezTo>
                                <a:cubicBezTo>
                                  <a:pt x="38" y="2786"/>
                                  <a:pt x="48" y="2797"/>
                                  <a:pt x="48" y="2810"/>
                                </a:cubicBezTo>
                                <a:close/>
                                <a:moveTo>
                                  <a:pt x="48" y="2906"/>
                                </a:moveTo>
                                <a:lnTo>
                                  <a:pt x="48" y="2906"/>
                                </a:lnTo>
                                <a:cubicBezTo>
                                  <a:pt x="48" y="2919"/>
                                  <a:pt x="38" y="2930"/>
                                  <a:pt x="24" y="2930"/>
                                </a:cubicBezTo>
                                <a:cubicBezTo>
                                  <a:pt x="11" y="2930"/>
                                  <a:pt x="0" y="2919"/>
                                  <a:pt x="0" y="2906"/>
                                </a:cubicBezTo>
                                <a:lnTo>
                                  <a:pt x="0" y="2906"/>
                                </a:lnTo>
                                <a:cubicBezTo>
                                  <a:pt x="0" y="2893"/>
                                  <a:pt x="11" y="2882"/>
                                  <a:pt x="24" y="2882"/>
                                </a:cubicBezTo>
                                <a:cubicBezTo>
                                  <a:pt x="38" y="2882"/>
                                  <a:pt x="48" y="2893"/>
                                  <a:pt x="48" y="2906"/>
                                </a:cubicBezTo>
                                <a:close/>
                                <a:moveTo>
                                  <a:pt x="48" y="3002"/>
                                </a:moveTo>
                                <a:lnTo>
                                  <a:pt x="48" y="3002"/>
                                </a:lnTo>
                                <a:cubicBezTo>
                                  <a:pt x="48" y="3015"/>
                                  <a:pt x="38" y="3026"/>
                                  <a:pt x="24" y="3026"/>
                                </a:cubicBezTo>
                                <a:cubicBezTo>
                                  <a:pt x="11" y="3026"/>
                                  <a:pt x="0" y="3015"/>
                                  <a:pt x="0" y="3002"/>
                                </a:cubicBezTo>
                                <a:lnTo>
                                  <a:pt x="0" y="3002"/>
                                </a:lnTo>
                                <a:cubicBezTo>
                                  <a:pt x="0" y="2989"/>
                                  <a:pt x="11" y="2978"/>
                                  <a:pt x="24" y="2978"/>
                                </a:cubicBezTo>
                                <a:cubicBezTo>
                                  <a:pt x="38" y="2978"/>
                                  <a:pt x="48" y="2989"/>
                                  <a:pt x="48" y="3002"/>
                                </a:cubicBezTo>
                                <a:close/>
                                <a:moveTo>
                                  <a:pt x="48" y="3098"/>
                                </a:moveTo>
                                <a:lnTo>
                                  <a:pt x="48" y="3098"/>
                                </a:lnTo>
                                <a:cubicBezTo>
                                  <a:pt x="48" y="3111"/>
                                  <a:pt x="38" y="3122"/>
                                  <a:pt x="24" y="3122"/>
                                </a:cubicBezTo>
                                <a:cubicBezTo>
                                  <a:pt x="11" y="3122"/>
                                  <a:pt x="0" y="3111"/>
                                  <a:pt x="0" y="3098"/>
                                </a:cubicBezTo>
                                <a:lnTo>
                                  <a:pt x="0" y="3098"/>
                                </a:lnTo>
                                <a:cubicBezTo>
                                  <a:pt x="0" y="3085"/>
                                  <a:pt x="11" y="3074"/>
                                  <a:pt x="24" y="3074"/>
                                </a:cubicBezTo>
                                <a:cubicBezTo>
                                  <a:pt x="38" y="3074"/>
                                  <a:pt x="48" y="3085"/>
                                  <a:pt x="48" y="3098"/>
                                </a:cubicBezTo>
                                <a:close/>
                                <a:moveTo>
                                  <a:pt x="48" y="3194"/>
                                </a:moveTo>
                                <a:lnTo>
                                  <a:pt x="48" y="3194"/>
                                </a:lnTo>
                                <a:cubicBezTo>
                                  <a:pt x="48" y="3207"/>
                                  <a:pt x="38" y="3218"/>
                                  <a:pt x="24" y="3218"/>
                                </a:cubicBezTo>
                                <a:cubicBezTo>
                                  <a:pt x="11" y="3218"/>
                                  <a:pt x="0" y="3207"/>
                                  <a:pt x="0" y="3194"/>
                                </a:cubicBezTo>
                                <a:lnTo>
                                  <a:pt x="0" y="3194"/>
                                </a:lnTo>
                                <a:cubicBezTo>
                                  <a:pt x="0" y="3181"/>
                                  <a:pt x="11" y="3170"/>
                                  <a:pt x="24" y="3170"/>
                                </a:cubicBezTo>
                                <a:cubicBezTo>
                                  <a:pt x="38" y="3170"/>
                                  <a:pt x="48" y="3181"/>
                                  <a:pt x="48" y="3194"/>
                                </a:cubicBezTo>
                                <a:close/>
                                <a:moveTo>
                                  <a:pt x="48" y="3290"/>
                                </a:moveTo>
                                <a:lnTo>
                                  <a:pt x="48" y="3290"/>
                                </a:lnTo>
                                <a:cubicBezTo>
                                  <a:pt x="48" y="3303"/>
                                  <a:pt x="38" y="3314"/>
                                  <a:pt x="24" y="3314"/>
                                </a:cubicBezTo>
                                <a:cubicBezTo>
                                  <a:pt x="11" y="3314"/>
                                  <a:pt x="0" y="3303"/>
                                  <a:pt x="0" y="3290"/>
                                </a:cubicBezTo>
                                <a:lnTo>
                                  <a:pt x="0" y="3290"/>
                                </a:lnTo>
                                <a:cubicBezTo>
                                  <a:pt x="0" y="3277"/>
                                  <a:pt x="11" y="3266"/>
                                  <a:pt x="24" y="3266"/>
                                </a:cubicBezTo>
                                <a:cubicBezTo>
                                  <a:pt x="38" y="3266"/>
                                  <a:pt x="48" y="3277"/>
                                  <a:pt x="48" y="3290"/>
                                </a:cubicBezTo>
                                <a:close/>
                                <a:moveTo>
                                  <a:pt x="48" y="3386"/>
                                </a:moveTo>
                                <a:lnTo>
                                  <a:pt x="48" y="3386"/>
                                </a:lnTo>
                                <a:cubicBezTo>
                                  <a:pt x="48" y="3399"/>
                                  <a:pt x="38" y="3410"/>
                                  <a:pt x="24" y="3410"/>
                                </a:cubicBezTo>
                                <a:cubicBezTo>
                                  <a:pt x="11" y="3410"/>
                                  <a:pt x="0" y="3399"/>
                                  <a:pt x="0" y="3386"/>
                                </a:cubicBezTo>
                                <a:lnTo>
                                  <a:pt x="0" y="3386"/>
                                </a:lnTo>
                                <a:cubicBezTo>
                                  <a:pt x="0" y="3373"/>
                                  <a:pt x="11" y="3362"/>
                                  <a:pt x="24" y="3362"/>
                                </a:cubicBezTo>
                                <a:cubicBezTo>
                                  <a:pt x="38" y="3362"/>
                                  <a:pt x="48" y="3373"/>
                                  <a:pt x="48" y="3386"/>
                                </a:cubicBezTo>
                                <a:close/>
                                <a:moveTo>
                                  <a:pt x="48" y="3482"/>
                                </a:moveTo>
                                <a:lnTo>
                                  <a:pt x="48" y="3482"/>
                                </a:lnTo>
                                <a:cubicBezTo>
                                  <a:pt x="48" y="3496"/>
                                  <a:pt x="38" y="3506"/>
                                  <a:pt x="24" y="3506"/>
                                </a:cubicBezTo>
                                <a:cubicBezTo>
                                  <a:pt x="11" y="3506"/>
                                  <a:pt x="0" y="3496"/>
                                  <a:pt x="0" y="3482"/>
                                </a:cubicBezTo>
                                <a:lnTo>
                                  <a:pt x="0" y="3482"/>
                                </a:lnTo>
                                <a:cubicBezTo>
                                  <a:pt x="0" y="3469"/>
                                  <a:pt x="11" y="3458"/>
                                  <a:pt x="24" y="3458"/>
                                </a:cubicBezTo>
                                <a:cubicBezTo>
                                  <a:pt x="38" y="3458"/>
                                  <a:pt x="48" y="3469"/>
                                  <a:pt x="48" y="3482"/>
                                </a:cubicBezTo>
                                <a:close/>
                              </a:path>
                            </a:pathLst>
                          </a:custGeom>
                          <a:solidFill>
                            <a:srgbClr val="00264D"/>
                          </a:solidFill>
                          <a:ln w="635" cap="flat">
                            <a:solidFill>
                              <a:srgbClr val="00264D"/>
                            </a:solidFill>
                            <a:prstDash val="solid"/>
                            <a:round/>
                            <a:headEnd/>
                            <a:tailEnd/>
                          </a:ln>
                        </wps:spPr>
                        <wps:bodyPr rot="0" vert="horz" wrap="square" lIns="91440" tIns="45720" rIns="91440" bIns="45720" anchor="t" anchorCtr="0" upright="1">
                          <a:noAutofit/>
                        </wps:bodyPr>
                      </wps:wsp>
                      <wps:wsp>
                        <wps:cNvPr id="780" name="Freeform 20"/>
                        <wps:cNvSpPr>
                          <a:spLocks noEditPoints="1"/>
                        </wps:cNvSpPr>
                        <wps:spPr bwMode="auto">
                          <a:xfrm>
                            <a:off x="4534535" y="860425"/>
                            <a:ext cx="17780" cy="1317625"/>
                          </a:xfrm>
                          <a:custGeom>
                            <a:avLst/>
                            <a:gdLst>
                              <a:gd name="T0" fmla="*/ 0 w 48"/>
                              <a:gd name="T1" fmla="*/ 24 h 3506"/>
                              <a:gd name="T2" fmla="*/ 24 w 48"/>
                              <a:gd name="T3" fmla="*/ 145 h 3506"/>
                              <a:gd name="T4" fmla="*/ 48 w 48"/>
                              <a:gd name="T5" fmla="*/ 217 h 3506"/>
                              <a:gd name="T6" fmla="*/ 24 w 48"/>
                              <a:gd name="T7" fmla="*/ 193 h 3506"/>
                              <a:gd name="T8" fmla="*/ 0 w 48"/>
                              <a:gd name="T9" fmla="*/ 313 h 3506"/>
                              <a:gd name="T10" fmla="*/ 48 w 48"/>
                              <a:gd name="T11" fmla="*/ 409 h 3506"/>
                              <a:gd name="T12" fmla="*/ 48 w 48"/>
                              <a:gd name="T13" fmla="*/ 409 h 3506"/>
                              <a:gd name="T14" fmla="*/ 0 w 48"/>
                              <a:gd name="T15" fmla="*/ 505 h 3506"/>
                              <a:gd name="T16" fmla="*/ 24 w 48"/>
                              <a:gd name="T17" fmla="*/ 625 h 3506"/>
                              <a:gd name="T18" fmla="*/ 48 w 48"/>
                              <a:gd name="T19" fmla="*/ 697 h 3506"/>
                              <a:gd name="T20" fmla="*/ 24 w 48"/>
                              <a:gd name="T21" fmla="*/ 673 h 3506"/>
                              <a:gd name="T22" fmla="*/ 0 w 48"/>
                              <a:gd name="T23" fmla="*/ 793 h 3506"/>
                              <a:gd name="T24" fmla="*/ 48 w 48"/>
                              <a:gd name="T25" fmla="*/ 889 h 3506"/>
                              <a:gd name="T26" fmla="*/ 48 w 48"/>
                              <a:gd name="T27" fmla="*/ 889 h 3506"/>
                              <a:gd name="T28" fmla="*/ 0 w 48"/>
                              <a:gd name="T29" fmla="*/ 985 h 3506"/>
                              <a:gd name="T30" fmla="*/ 24 w 48"/>
                              <a:gd name="T31" fmla="*/ 1105 h 3506"/>
                              <a:gd name="T32" fmla="*/ 48 w 48"/>
                              <a:gd name="T33" fmla="*/ 1177 h 3506"/>
                              <a:gd name="T34" fmla="*/ 24 w 48"/>
                              <a:gd name="T35" fmla="*/ 1153 h 3506"/>
                              <a:gd name="T36" fmla="*/ 0 w 48"/>
                              <a:gd name="T37" fmla="*/ 1273 h 3506"/>
                              <a:gd name="T38" fmla="*/ 48 w 48"/>
                              <a:gd name="T39" fmla="*/ 1369 h 3506"/>
                              <a:gd name="T40" fmla="*/ 48 w 48"/>
                              <a:gd name="T41" fmla="*/ 1369 h 3506"/>
                              <a:gd name="T42" fmla="*/ 0 w 48"/>
                              <a:gd name="T43" fmla="*/ 1465 h 3506"/>
                              <a:gd name="T44" fmla="*/ 24 w 48"/>
                              <a:gd name="T45" fmla="*/ 1585 h 3506"/>
                              <a:gd name="T46" fmla="*/ 48 w 48"/>
                              <a:gd name="T47" fmla="*/ 1657 h 3506"/>
                              <a:gd name="T48" fmla="*/ 24 w 48"/>
                              <a:gd name="T49" fmla="*/ 1633 h 3506"/>
                              <a:gd name="T50" fmla="*/ 0 w 48"/>
                              <a:gd name="T51" fmla="*/ 1753 h 3506"/>
                              <a:gd name="T52" fmla="*/ 48 w 48"/>
                              <a:gd name="T53" fmla="*/ 1849 h 3506"/>
                              <a:gd name="T54" fmla="*/ 48 w 48"/>
                              <a:gd name="T55" fmla="*/ 1849 h 3506"/>
                              <a:gd name="T56" fmla="*/ 0 w 48"/>
                              <a:gd name="T57" fmla="*/ 1945 h 3506"/>
                              <a:gd name="T58" fmla="*/ 24 w 48"/>
                              <a:gd name="T59" fmla="*/ 2066 h 3506"/>
                              <a:gd name="T60" fmla="*/ 48 w 48"/>
                              <a:gd name="T61" fmla="*/ 2138 h 3506"/>
                              <a:gd name="T62" fmla="*/ 24 w 48"/>
                              <a:gd name="T63" fmla="*/ 2114 h 3506"/>
                              <a:gd name="T64" fmla="*/ 0 w 48"/>
                              <a:gd name="T65" fmla="*/ 2234 h 3506"/>
                              <a:gd name="T66" fmla="*/ 48 w 48"/>
                              <a:gd name="T67" fmla="*/ 2330 h 3506"/>
                              <a:gd name="T68" fmla="*/ 48 w 48"/>
                              <a:gd name="T69" fmla="*/ 2330 h 3506"/>
                              <a:gd name="T70" fmla="*/ 0 w 48"/>
                              <a:gd name="T71" fmla="*/ 2426 h 3506"/>
                              <a:gd name="T72" fmla="*/ 24 w 48"/>
                              <a:gd name="T73" fmla="*/ 2546 h 3506"/>
                              <a:gd name="T74" fmla="*/ 48 w 48"/>
                              <a:gd name="T75" fmla="*/ 2618 h 3506"/>
                              <a:gd name="T76" fmla="*/ 24 w 48"/>
                              <a:gd name="T77" fmla="*/ 2594 h 3506"/>
                              <a:gd name="T78" fmla="*/ 0 w 48"/>
                              <a:gd name="T79" fmla="*/ 2714 h 3506"/>
                              <a:gd name="T80" fmla="*/ 48 w 48"/>
                              <a:gd name="T81" fmla="*/ 2810 h 3506"/>
                              <a:gd name="T82" fmla="*/ 48 w 48"/>
                              <a:gd name="T83" fmla="*/ 2810 h 3506"/>
                              <a:gd name="T84" fmla="*/ 0 w 48"/>
                              <a:gd name="T85" fmla="*/ 2906 h 3506"/>
                              <a:gd name="T86" fmla="*/ 24 w 48"/>
                              <a:gd name="T87" fmla="*/ 3026 h 3506"/>
                              <a:gd name="T88" fmla="*/ 48 w 48"/>
                              <a:gd name="T89" fmla="*/ 3098 h 3506"/>
                              <a:gd name="T90" fmla="*/ 24 w 48"/>
                              <a:gd name="T91" fmla="*/ 3074 h 3506"/>
                              <a:gd name="T92" fmla="*/ 0 w 48"/>
                              <a:gd name="T93" fmla="*/ 3194 h 3506"/>
                              <a:gd name="T94" fmla="*/ 48 w 48"/>
                              <a:gd name="T95" fmla="*/ 3290 h 3506"/>
                              <a:gd name="T96" fmla="*/ 48 w 48"/>
                              <a:gd name="T97" fmla="*/ 3290 h 3506"/>
                              <a:gd name="T98" fmla="*/ 0 w 48"/>
                              <a:gd name="T99" fmla="*/ 3386 h 3506"/>
                              <a:gd name="T100" fmla="*/ 24 w 48"/>
                              <a:gd name="T101" fmla="*/ 3506 h 35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8" h="3506">
                                <a:moveTo>
                                  <a:pt x="48" y="24"/>
                                </a:moveTo>
                                <a:lnTo>
                                  <a:pt x="48" y="25"/>
                                </a:lnTo>
                                <a:cubicBezTo>
                                  <a:pt x="48" y="38"/>
                                  <a:pt x="38" y="49"/>
                                  <a:pt x="24" y="49"/>
                                </a:cubicBezTo>
                                <a:cubicBezTo>
                                  <a:pt x="11" y="49"/>
                                  <a:pt x="0" y="38"/>
                                  <a:pt x="0" y="25"/>
                                </a:cubicBezTo>
                                <a:lnTo>
                                  <a:pt x="0" y="24"/>
                                </a:lnTo>
                                <a:cubicBezTo>
                                  <a:pt x="0" y="11"/>
                                  <a:pt x="11" y="0"/>
                                  <a:pt x="24" y="0"/>
                                </a:cubicBezTo>
                                <a:cubicBezTo>
                                  <a:pt x="38" y="0"/>
                                  <a:pt x="48" y="11"/>
                                  <a:pt x="48" y="24"/>
                                </a:cubicBezTo>
                                <a:close/>
                                <a:moveTo>
                                  <a:pt x="48" y="121"/>
                                </a:moveTo>
                                <a:lnTo>
                                  <a:pt x="48" y="121"/>
                                </a:lnTo>
                                <a:cubicBezTo>
                                  <a:pt x="48" y="134"/>
                                  <a:pt x="38" y="145"/>
                                  <a:pt x="24" y="145"/>
                                </a:cubicBezTo>
                                <a:cubicBezTo>
                                  <a:pt x="11" y="145"/>
                                  <a:pt x="0" y="134"/>
                                  <a:pt x="0" y="121"/>
                                </a:cubicBezTo>
                                <a:lnTo>
                                  <a:pt x="0" y="121"/>
                                </a:lnTo>
                                <a:cubicBezTo>
                                  <a:pt x="0" y="107"/>
                                  <a:pt x="11" y="97"/>
                                  <a:pt x="24" y="97"/>
                                </a:cubicBezTo>
                                <a:cubicBezTo>
                                  <a:pt x="38" y="97"/>
                                  <a:pt x="48" y="107"/>
                                  <a:pt x="48" y="121"/>
                                </a:cubicBezTo>
                                <a:close/>
                                <a:moveTo>
                                  <a:pt x="48" y="217"/>
                                </a:moveTo>
                                <a:lnTo>
                                  <a:pt x="48" y="217"/>
                                </a:lnTo>
                                <a:cubicBezTo>
                                  <a:pt x="48" y="230"/>
                                  <a:pt x="38" y="241"/>
                                  <a:pt x="24" y="241"/>
                                </a:cubicBezTo>
                                <a:cubicBezTo>
                                  <a:pt x="11" y="241"/>
                                  <a:pt x="0" y="230"/>
                                  <a:pt x="0" y="217"/>
                                </a:cubicBezTo>
                                <a:lnTo>
                                  <a:pt x="0" y="217"/>
                                </a:lnTo>
                                <a:cubicBezTo>
                                  <a:pt x="0" y="203"/>
                                  <a:pt x="11" y="193"/>
                                  <a:pt x="24" y="193"/>
                                </a:cubicBezTo>
                                <a:cubicBezTo>
                                  <a:pt x="38" y="193"/>
                                  <a:pt x="48" y="203"/>
                                  <a:pt x="48" y="217"/>
                                </a:cubicBezTo>
                                <a:close/>
                                <a:moveTo>
                                  <a:pt x="48" y="313"/>
                                </a:moveTo>
                                <a:lnTo>
                                  <a:pt x="48" y="313"/>
                                </a:lnTo>
                                <a:cubicBezTo>
                                  <a:pt x="48" y="326"/>
                                  <a:pt x="38" y="337"/>
                                  <a:pt x="24" y="337"/>
                                </a:cubicBezTo>
                                <a:cubicBezTo>
                                  <a:pt x="11" y="337"/>
                                  <a:pt x="0" y="326"/>
                                  <a:pt x="0" y="313"/>
                                </a:cubicBezTo>
                                <a:lnTo>
                                  <a:pt x="0" y="313"/>
                                </a:lnTo>
                                <a:cubicBezTo>
                                  <a:pt x="0" y="299"/>
                                  <a:pt x="11" y="289"/>
                                  <a:pt x="24" y="289"/>
                                </a:cubicBezTo>
                                <a:cubicBezTo>
                                  <a:pt x="38" y="289"/>
                                  <a:pt x="48" y="299"/>
                                  <a:pt x="48" y="313"/>
                                </a:cubicBezTo>
                                <a:close/>
                                <a:moveTo>
                                  <a:pt x="48" y="409"/>
                                </a:moveTo>
                                <a:lnTo>
                                  <a:pt x="48" y="409"/>
                                </a:lnTo>
                                <a:cubicBezTo>
                                  <a:pt x="48" y="422"/>
                                  <a:pt x="38" y="433"/>
                                  <a:pt x="24" y="433"/>
                                </a:cubicBezTo>
                                <a:cubicBezTo>
                                  <a:pt x="11" y="433"/>
                                  <a:pt x="0" y="422"/>
                                  <a:pt x="0" y="409"/>
                                </a:cubicBezTo>
                                <a:lnTo>
                                  <a:pt x="0" y="409"/>
                                </a:lnTo>
                                <a:cubicBezTo>
                                  <a:pt x="0" y="395"/>
                                  <a:pt x="11" y="385"/>
                                  <a:pt x="24" y="385"/>
                                </a:cubicBezTo>
                                <a:cubicBezTo>
                                  <a:pt x="38" y="385"/>
                                  <a:pt x="48" y="395"/>
                                  <a:pt x="48" y="409"/>
                                </a:cubicBezTo>
                                <a:close/>
                                <a:moveTo>
                                  <a:pt x="48" y="505"/>
                                </a:moveTo>
                                <a:lnTo>
                                  <a:pt x="48" y="505"/>
                                </a:lnTo>
                                <a:cubicBezTo>
                                  <a:pt x="48" y="518"/>
                                  <a:pt x="38" y="529"/>
                                  <a:pt x="24" y="529"/>
                                </a:cubicBezTo>
                                <a:cubicBezTo>
                                  <a:pt x="11" y="529"/>
                                  <a:pt x="0" y="518"/>
                                  <a:pt x="0" y="505"/>
                                </a:cubicBezTo>
                                <a:lnTo>
                                  <a:pt x="0" y="505"/>
                                </a:lnTo>
                                <a:cubicBezTo>
                                  <a:pt x="0" y="491"/>
                                  <a:pt x="11" y="481"/>
                                  <a:pt x="24" y="481"/>
                                </a:cubicBezTo>
                                <a:cubicBezTo>
                                  <a:pt x="38" y="481"/>
                                  <a:pt x="48" y="491"/>
                                  <a:pt x="48" y="505"/>
                                </a:cubicBezTo>
                                <a:close/>
                                <a:moveTo>
                                  <a:pt x="48" y="601"/>
                                </a:moveTo>
                                <a:lnTo>
                                  <a:pt x="48" y="601"/>
                                </a:lnTo>
                                <a:cubicBezTo>
                                  <a:pt x="48" y="614"/>
                                  <a:pt x="38" y="625"/>
                                  <a:pt x="24" y="625"/>
                                </a:cubicBezTo>
                                <a:cubicBezTo>
                                  <a:pt x="11" y="625"/>
                                  <a:pt x="0" y="614"/>
                                  <a:pt x="0" y="601"/>
                                </a:cubicBezTo>
                                <a:lnTo>
                                  <a:pt x="0" y="601"/>
                                </a:lnTo>
                                <a:cubicBezTo>
                                  <a:pt x="0" y="588"/>
                                  <a:pt x="11" y="577"/>
                                  <a:pt x="24" y="577"/>
                                </a:cubicBezTo>
                                <a:cubicBezTo>
                                  <a:pt x="38" y="577"/>
                                  <a:pt x="48" y="588"/>
                                  <a:pt x="48" y="601"/>
                                </a:cubicBezTo>
                                <a:close/>
                                <a:moveTo>
                                  <a:pt x="48" y="697"/>
                                </a:moveTo>
                                <a:lnTo>
                                  <a:pt x="48" y="697"/>
                                </a:lnTo>
                                <a:cubicBezTo>
                                  <a:pt x="48" y="710"/>
                                  <a:pt x="38" y="721"/>
                                  <a:pt x="24" y="721"/>
                                </a:cubicBezTo>
                                <a:cubicBezTo>
                                  <a:pt x="11" y="721"/>
                                  <a:pt x="0" y="710"/>
                                  <a:pt x="0" y="697"/>
                                </a:cubicBezTo>
                                <a:lnTo>
                                  <a:pt x="0" y="697"/>
                                </a:lnTo>
                                <a:cubicBezTo>
                                  <a:pt x="0" y="684"/>
                                  <a:pt x="11" y="673"/>
                                  <a:pt x="24" y="673"/>
                                </a:cubicBezTo>
                                <a:cubicBezTo>
                                  <a:pt x="38" y="673"/>
                                  <a:pt x="48" y="684"/>
                                  <a:pt x="48" y="697"/>
                                </a:cubicBezTo>
                                <a:close/>
                                <a:moveTo>
                                  <a:pt x="48" y="793"/>
                                </a:moveTo>
                                <a:lnTo>
                                  <a:pt x="48" y="793"/>
                                </a:lnTo>
                                <a:cubicBezTo>
                                  <a:pt x="48" y="806"/>
                                  <a:pt x="38" y="817"/>
                                  <a:pt x="24" y="817"/>
                                </a:cubicBezTo>
                                <a:cubicBezTo>
                                  <a:pt x="11" y="817"/>
                                  <a:pt x="0" y="806"/>
                                  <a:pt x="0" y="793"/>
                                </a:cubicBezTo>
                                <a:lnTo>
                                  <a:pt x="0" y="793"/>
                                </a:lnTo>
                                <a:cubicBezTo>
                                  <a:pt x="0" y="780"/>
                                  <a:pt x="11" y="769"/>
                                  <a:pt x="24" y="769"/>
                                </a:cubicBezTo>
                                <a:cubicBezTo>
                                  <a:pt x="38" y="769"/>
                                  <a:pt x="48" y="780"/>
                                  <a:pt x="48" y="793"/>
                                </a:cubicBezTo>
                                <a:close/>
                                <a:moveTo>
                                  <a:pt x="48" y="889"/>
                                </a:moveTo>
                                <a:lnTo>
                                  <a:pt x="48" y="889"/>
                                </a:lnTo>
                                <a:cubicBezTo>
                                  <a:pt x="48" y="902"/>
                                  <a:pt x="38" y="913"/>
                                  <a:pt x="24" y="913"/>
                                </a:cubicBezTo>
                                <a:cubicBezTo>
                                  <a:pt x="11" y="913"/>
                                  <a:pt x="0" y="902"/>
                                  <a:pt x="0" y="889"/>
                                </a:cubicBezTo>
                                <a:lnTo>
                                  <a:pt x="0" y="889"/>
                                </a:lnTo>
                                <a:cubicBezTo>
                                  <a:pt x="0" y="876"/>
                                  <a:pt x="11" y="865"/>
                                  <a:pt x="24" y="865"/>
                                </a:cubicBezTo>
                                <a:cubicBezTo>
                                  <a:pt x="38" y="865"/>
                                  <a:pt x="48" y="876"/>
                                  <a:pt x="48" y="889"/>
                                </a:cubicBezTo>
                                <a:close/>
                                <a:moveTo>
                                  <a:pt x="48" y="985"/>
                                </a:moveTo>
                                <a:lnTo>
                                  <a:pt x="48" y="985"/>
                                </a:lnTo>
                                <a:cubicBezTo>
                                  <a:pt x="48" y="998"/>
                                  <a:pt x="38" y="1009"/>
                                  <a:pt x="24" y="1009"/>
                                </a:cubicBezTo>
                                <a:cubicBezTo>
                                  <a:pt x="11" y="1009"/>
                                  <a:pt x="0" y="998"/>
                                  <a:pt x="0" y="985"/>
                                </a:cubicBezTo>
                                <a:lnTo>
                                  <a:pt x="0" y="985"/>
                                </a:lnTo>
                                <a:cubicBezTo>
                                  <a:pt x="0" y="972"/>
                                  <a:pt x="11" y="961"/>
                                  <a:pt x="24" y="961"/>
                                </a:cubicBezTo>
                                <a:cubicBezTo>
                                  <a:pt x="38" y="961"/>
                                  <a:pt x="48" y="972"/>
                                  <a:pt x="48" y="985"/>
                                </a:cubicBezTo>
                                <a:close/>
                                <a:moveTo>
                                  <a:pt x="48" y="1081"/>
                                </a:moveTo>
                                <a:lnTo>
                                  <a:pt x="48" y="1081"/>
                                </a:lnTo>
                                <a:cubicBezTo>
                                  <a:pt x="48" y="1094"/>
                                  <a:pt x="38" y="1105"/>
                                  <a:pt x="24" y="1105"/>
                                </a:cubicBezTo>
                                <a:cubicBezTo>
                                  <a:pt x="11" y="1105"/>
                                  <a:pt x="0" y="1094"/>
                                  <a:pt x="0" y="1081"/>
                                </a:cubicBezTo>
                                <a:lnTo>
                                  <a:pt x="0" y="1081"/>
                                </a:lnTo>
                                <a:cubicBezTo>
                                  <a:pt x="0" y="1068"/>
                                  <a:pt x="11" y="1057"/>
                                  <a:pt x="24" y="1057"/>
                                </a:cubicBezTo>
                                <a:cubicBezTo>
                                  <a:pt x="38" y="1057"/>
                                  <a:pt x="48" y="1068"/>
                                  <a:pt x="48" y="1081"/>
                                </a:cubicBezTo>
                                <a:close/>
                                <a:moveTo>
                                  <a:pt x="48" y="1177"/>
                                </a:moveTo>
                                <a:lnTo>
                                  <a:pt x="48" y="1177"/>
                                </a:lnTo>
                                <a:cubicBezTo>
                                  <a:pt x="48" y="1190"/>
                                  <a:pt x="38" y="1201"/>
                                  <a:pt x="24" y="1201"/>
                                </a:cubicBezTo>
                                <a:cubicBezTo>
                                  <a:pt x="11" y="1201"/>
                                  <a:pt x="0" y="1190"/>
                                  <a:pt x="0" y="1177"/>
                                </a:cubicBezTo>
                                <a:lnTo>
                                  <a:pt x="0" y="1177"/>
                                </a:lnTo>
                                <a:cubicBezTo>
                                  <a:pt x="0" y="1164"/>
                                  <a:pt x="11" y="1153"/>
                                  <a:pt x="24" y="1153"/>
                                </a:cubicBezTo>
                                <a:cubicBezTo>
                                  <a:pt x="38" y="1153"/>
                                  <a:pt x="48" y="1164"/>
                                  <a:pt x="48" y="1177"/>
                                </a:cubicBezTo>
                                <a:close/>
                                <a:moveTo>
                                  <a:pt x="48" y="1273"/>
                                </a:moveTo>
                                <a:lnTo>
                                  <a:pt x="48" y="1273"/>
                                </a:lnTo>
                                <a:cubicBezTo>
                                  <a:pt x="48" y="1286"/>
                                  <a:pt x="38" y="1297"/>
                                  <a:pt x="24" y="1297"/>
                                </a:cubicBezTo>
                                <a:cubicBezTo>
                                  <a:pt x="11" y="1297"/>
                                  <a:pt x="0" y="1286"/>
                                  <a:pt x="0" y="1273"/>
                                </a:cubicBezTo>
                                <a:lnTo>
                                  <a:pt x="0" y="1273"/>
                                </a:lnTo>
                                <a:cubicBezTo>
                                  <a:pt x="0" y="1260"/>
                                  <a:pt x="11" y="1249"/>
                                  <a:pt x="24" y="1249"/>
                                </a:cubicBezTo>
                                <a:cubicBezTo>
                                  <a:pt x="38" y="1249"/>
                                  <a:pt x="48" y="1260"/>
                                  <a:pt x="48" y="1273"/>
                                </a:cubicBezTo>
                                <a:close/>
                                <a:moveTo>
                                  <a:pt x="48" y="1369"/>
                                </a:moveTo>
                                <a:lnTo>
                                  <a:pt x="48" y="1369"/>
                                </a:lnTo>
                                <a:cubicBezTo>
                                  <a:pt x="48" y="1382"/>
                                  <a:pt x="38" y="1393"/>
                                  <a:pt x="24" y="1393"/>
                                </a:cubicBezTo>
                                <a:cubicBezTo>
                                  <a:pt x="11" y="1393"/>
                                  <a:pt x="0" y="1382"/>
                                  <a:pt x="0" y="1369"/>
                                </a:cubicBezTo>
                                <a:lnTo>
                                  <a:pt x="0" y="1369"/>
                                </a:lnTo>
                                <a:cubicBezTo>
                                  <a:pt x="0" y="1356"/>
                                  <a:pt x="11" y="1345"/>
                                  <a:pt x="24" y="1345"/>
                                </a:cubicBezTo>
                                <a:cubicBezTo>
                                  <a:pt x="38" y="1345"/>
                                  <a:pt x="48" y="1356"/>
                                  <a:pt x="48" y="1369"/>
                                </a:cubicBezTo>
                                <a:close/>
                                <a:moveTo>
                                  <a:pt x="48" y="1465"/>
                                </a:moveTo>
                                <a:lnTo>
                                  <a:pt x="48" y="1465"/>
                                </a:lnTo>
                                <a:cubicBezTo>
                                  <a:pt x="48" y="1478"/>
                                  <a:pt x="38" y="1489"/>
                                  <a:pt x="24" y="1489"/>
                                </a:cubicBezTo>
                                <a:cubicBezTo>
                                  <a:pt x="11" y="1489"/>
                                  <a:pt x="0" y="1478"/>
                                  <a:pt x="0" y="1465"/>
                                </a:cubicBezTo>
                                <a:lnTo>
                                  <a:pt x="0" y="1465"/>
                                </a:lnTo>
                                <a:cubicBezTo>
                                  <a:pt x="0" y="1452"/>
                                  <a:pt x="11" y="1441"/>
                                  <a:pt x="24" y="1441"/>
                                </a:cubicBezTo>
                                <a:cubicBezTo>
                                  <a:pt x="38" y="1441"/>
                                  <a:pt x="48" y="1452"/>
                                  <a:pt x="48" y="1465"/>
                                </a:cubicBezTo>
                                <a:close/>
                                <a:moveTo>
                                  <a:pt x="48" y="1561"/>
                                </a:moveTo>
                                <a:lnTo>
                                  <a:pt x="48" y="1561"/>
                                </a:lnTo>
                                <a:cubicBezTo>
                                  <a:pt x="48" y="1575"/>
                                  <a:pt x="38" y="1585"/>
                                  <a:pt x="24" y="1585"/>
                                </a:cubicBezTo>
                                <a:cubicBezTo>
                                  <a:pt x="11" y="1585"/>
                                  <a:pt x="0" y="1575"/>
                                  <a:pt x="0" y="1561"/>
                                </a:cubicBezTo>
                                <a:lnTo>
                                  <a:pt x="0" y="1561"/>
                                </a:lnTo>
                                <a:cubicBezTo>
                                  <a:pt x="0" y="1548"/>
                                  <a:pt x="11" y="1537"/>
                                  <a:pt x="24" y="1537"/>
                                </a:cubicBezTo>
                                <a:cubicBezTo>
                                  <a:pt x="38" y="1537"/>
                                  <a:pt x="48" y="1548"/>
                                  <a:pt x="48" y="1561"/>
                                </a:cubicBezTo>
                                <a:close/>
                                <a:moveTo>
                                  <a:pt x="48" y="1657"/>
                                </a:moveTo>
                                <a:lnTo>
                                  <a:pt x="48" y="1657"/>
                                </a:lnTo>
                                <a:cubicBezTo>
                                  <a:pt x="48" y="1671"/>
                                  <a:pt x="38" y="1681"/>
                                  <a:pt x="24" y="1681"/>
                                </a:cubicBezTo>
                                <a:cubicBezTo>
                                  <a:pt x="11" y="1681"/>
                                  <a:pt x="0" y="1671"/>
                                  <a:pt x="0" y="1657"/>
                                </a:cubicBezTo>
                                <a:lnTo>
                                  <a:pt x="0" y="1657"/>
                                </a:lnTo>
                                <a:cubicBezTo>
                                  <a:pt x="0" y="1644"/>
                                  <a:pt x="11" y="1633"/>
                                  <a:pt x="24" y="1633"/>
                                </a:cubicBezTo>
                                <a:cubicBezTo>
                                  <a:pt x="38" y="1633"/>
                                  <a:pt x="48" y="1644"/>
                                  <a:pt x="48" y="1657"/>
                                </a:cubicBezTo>
                                <a:close/>
                                <a:moveTo>
                                  <a:pt x="48" y="1753"/>
                                </a:moveTo>
                                <a:lnTo>
                                  <a:pt x="48" y="1753"/>
                                </a:lnTo>
                                <a:cubicBezTo>
                                  <a:pt x="48" y="1767"/>
                                  <a:pt x="38" y="1777"/>
                                  <a:pt x="24" y="1777"/>
                                </a:cubicBezTo>
                                <a:cubicBezTo>
                                  <a:pt x="11" y="1777"/>
                                  <a:pt x="0" y="1767"/>
                                  <a:pt x="0" y="1753"/>
                                </a:cubicBezTo>
                                <a:lnTo>
                                  <a:pt x="0" y="1753"/>
                                </a:lnTo>
                                <a:cubicBezTo>
                                  <a:pt x="0" y="1740"/>
                                  <a:pt x="11" y="1729"/>
                                  <a:pt x="24" y="1729"/>
                                </a:cubicBezTo>
                                <a:cubicBezTo>
                                  <a:pt x="38" y="1729"/>
                                  <a:pt x="48" y="1740"/>
                                  <a:pt x="48" y="1753"/>
                                </a:cubicBezTo>
                                <a:close/>
                                <a:moveTo>
                                  <a:pt x="48" y="1849"/>
                                </a:moveTo>
                                <a:lnTo>
                                  <a:pt x="48" y="1849"/>
                                </a:lnTo>
                                <a:cubicBezTo>
                                  <a:pt x="48" y="1863"/>
                                  <a:pt x="38" y="1873"/>
                                  <a:pt x="24" y="1873"/>
                                </a:cubicBezTo>
                                <a:cubicBezTo>
                                  <a:pt x="11" y="1873"/>
                                  <a:pt x="0" y="1863"/>
                                  <a:pt x="0" y="1849"/>
                                </a:cubicBezTo>
                                <a:lnTo>
                                  <a:pt x="0" y="1849"/>
                                </a:lnTo>
                                <a:cubicBezTo>
                                  <a:pt x="0" y="1836"/>
                                  <a:pt x="11" y="1825"/>
                                  <a:pt x="24" y="1825"/>
                                </a:cubicBezTo>
                                <a:cubicBezTo>
                                  <a:pt x="38" y="1825"/>
                                  <a:pt x="48" y="1836"/>
                                  <a:pt x="48" y="1849"/>
                                </a:cubicBezTo>
                                <a:close/>
                                <a:moveTo>
                                  <a:pt x="48" y="1945"/>
                                </a:moveTo>
                                <a:lnTo>
                                  <a:pt x="48" y="1945"/>
                                </a:lnTo>
                                <a:cubicBezTo>
                                  <a:pt x="48" y="1959"/>
                                  <a:pt x="38" y="1969"/>
                                  <a:pt x="24" y="1969"/>
                                </a:cubicBezTo>
                                <a:cubicBezTo>
                                  <a:pt x="11" y="1969"/>
                                  <a:pt x="0" y="1959"/>
                                  <a:pt x="0" y="1945"/>
                                </a:cubicBezTo>
                                <a:lnTo>
                                  <a:pt x="0" y="1945"/>
                                </a:lnTo>
                                <a:cubicBezTo>
                                  <a:pt x="0" y="1932"/>
                                  <a:pt x="11" y="1921"/>
                                  <a:pt x="24" y="1921"/>
                                </a:cubicBezTo>
                                <a:cubicBezTo>
                                  <a:pt x="38" y="1921"/>
                                  <a:pt x="48" y="1932"/>
                                  <a:pt x="48" y="1945"/>
                                </a:cubicBezTo>
                                <a:close/>
                                <a:moveTo>
                                  <a:pt x="48" y="2041"/>
                                </a:moveTo>
                                <a:lnTo>
                                  <a:pt x="48" y="2042"/>
                                </a:lnTo>
                                <a:cubicBezTo>
                                  <a:pt x="48" y="2055"/>
                                  <a:pt x="38" y="2066"/>
                                  <a:pt x="24" y="2066"/>
                                </a:cubicBezTo>
                                <a:cubicBezTo>
                                  <a:pt x="11" y="2066"/>
                                  <a:pt x="0" y="2055"/>
                                  <a:pt x="0" y="2042"/>
                                </a:cubicBezTo>
                                <a:lnTo>
                                  <a:pt x="0" y="2041"/>
                                </a:lnTo>
                                <a:cubicBezTo>
                                  <a:pt x="0" y="2028"/>
                                  <a:pt x="11" y="2017"/>
                                  <a:pt x="24" y="2017"/>
                                </a:cubicBezTo>
                                <a:cubicBezTo>
                                  <a:pt x="38" y="2017"/>
                                  <a:pt x="48" y="2028"/>
                                  <a:pt x="48" y="2041"/>
                                </a:cubicBezTo>
                                <a:close/>
                                <a:moveTo>
                                  <a:pt x="48" y="2138"/>
                                </a:moveTo>
                                <a:lnTo>
                                  <a:pt x="48" y="2138"/>
                                </a:lnTo>
                                <a:cubicBezTo>
                                  <a:pt x="48" y="2151"/>
                                  <a:pt x="38" y="2162"/>
                                  <a:pt x="24" y="2162"/>
                                </a:cubicBezTo>
                                <a:cubicBezTo>
                                  <a:pt x="11" y="2162"/>
                                  <a:pt x="0" y="2151"/>
                                  <a:pt x="0" y="2138"/>
                                </a:cubicBezTo>
                                <a:lnTo>
                                  <a:pt x="0" y="2138"/>
                                </a:lnTo>
                                <a:cubicBezTo>
                                  <a:pt x="0" y="2124"/>
                                  <a:pt x="11" y="2114"/>
                                  <a:pt x="24" y="2114"/>
                                </a:cubicBezTo>
                                <a:cubicBezTo>
                                  <a:pt x="38" y="2114"/>
                                  <a:pt x="48" y="2124"/>
                                  <a:pt x="48" y="2138"/>
                                </a:cubicBezTo>
                                <a:close/>
                                <a:moveTo>
                                  <a:pt x="48" y="2234"/>
                                </a:moveTo>
                                <a:lnTo>
                                  <a:pt x="48" y="2234"/>
                                </a:lnTo>
                                <a:cubicBezTo>
                                  <a:pt x="48" y="2247"/>
                                  <a:pt x="38" y="2258"/>
                                  <a:pt x="24" y="2258"/>
                                </a:cubicBezTo>
                                <a:cubicBezTo>
                                  <a:pt x="11" y="2258"/>
                                  <a:pt x="0" y="2247"/>
                                  <a:pt x="0" y="2234"/>
                                </a:cubicBezTo>
                                <a:lnTo>
                                  <a:pt x="0" y="2234"/>
                                </a:lnTo>
                                <a:cubicBezTo>
                                  <a:pt x="0" y="2220"/>
                                  <a:pt x="11" y="2210"/>
                                  <a:pt x="24" y="2210"/>
                                </a:cubicBezTo>
                                <a:cubicBezTo>
                                  <a:pt x="38" y="2210"/>
                                  <a:pt x="48" y="2220"/>
                                  <a:pt x="48" y="2234"/>
                                </a:cubicBezTo>
                                <a:close/>
                                <a:moveTo>
                                  <a:pt x="48" y="2330"/>
                                </a:moveTo>
                                <a:lnTo>
                                  <a:pt x="48" y="2330"/>
                                </a:lnTo>
                                <a:cubicBezTo>
                                  <a:pt x="48" y="2343"/>
                                  <a:pt x="38" y="2354"/>
                                  <a:pt x="24" y="2354"/>
                                </a:cubicBezTo>
                                <a:cubicBezTo>
                                  <a:pt x="11" y="2354"/>
                                  <a:pt x="0" y="2343"/>
                                  <a:pt x="0" y="2330"/>
                                </a:cubicBezTo>
                                <a:lnTo>
                                  <a:pt x="0" y="2330"/>
                                </a:lnTo>
                                <a:cubicBezTo>
                                  <a:pt x="0" y="2316"/>
                                  <a:pt x="11" y="2306"/>
                                  <a:pt x="24" y="2306"/>
                                </a:cubicBezTo>
                                <a:cubicBezTo>
                                  <a:pt x="38" y="2306"/>
                                  <a:pt x="48" y="2316"/>
                                  <a:pt x="48" y="2330"/>
                                </a:cubicBezTo>
                                <a:close/>
                                <a:moveTo>
                                  <a:pt x="48" y="2426"/>
                                </a:moveTo>
                                <a:lnTo>
                                  <a:pt x="48" y="2426"/>
                                </a:lnTo>
                                <a:cubicBezTo>
                                  <a:pt x="48" y="2439"/>
                                  <a:pt x="38" y="2450"/>
                                  <a:pt x="24" y="2450"/>
                                </a:cubicBezTo>
                                <a:cubicBezTo>
                                  <a:pt x="11" y="2450"/>
                                  <a:pt x="0" y="2439"/>
                                  <a:pt x="0" y="2426"/>
                                </a:cubicBezTo>
                                <a:lnTo>
                                  <a:pt x="0" y="2426"/>
                                </a:lnTo>
                                <a:cubicBezTo>
                                  <a:pt x="0" y="2412"/>
                                  <a:pt x="11" y="2402"/>
                                  <a:pt x="24" y="2402"/>
                                </a:cubicBezTo>
                                <a:cubicBezTo>
                                  <a:pt x="38" y="2402"/>
                                  <a:pt x="48" y="2412"/>
                                  <a:pt x="48" y="2426"/>
                                </a:cubicBezTo>
                                <a:close/>
                                <a:moveTo>
                                  <a:pt x="48" y="2522"/>
                                </a:moveTo>
                                <a:lnTo>
                                  <a:pt x="48" y="2522"/>
                                </a:lnTo>
                                <a:cubicBezTo>
                                  <a:pt x="48" y="2535"/>
                                  <a:pt x="38" y="2546"/>
                                  <a:pt x="24" y="2546"/>
                                </a:cubicBezTo>
                                <a:cubicBezTo>
                                  <a:pt x="11" y="2546"/>
                                  <a:pt x="0" y="2535"/>
                                  <a:pt x="0" y="2522"/>
                                </a:cubicBezTo>
                                <a:lnTo>
                                  <a:pt x="0" y="2522"/>
                                </a:lnTo>
                                <a:cubicBezTo>
                                  <a:pt x="0" y="2508"/>
                                  <a:pt x="11" y="2498"/>
                                  <a:pt x="24" y="2498"/>
                                </a:cubicBezTo>
                                <a:cubicBezTo>
                                  <a:pt x="38" y="2498"/>
                                  <a:pt x="48" y="2508"/>
                                  <a:pt x="48" y="2522"/>
                                </a:cubicBezTo>
                                <a:close/>
                                <a:moveTo>
                                  <a:pt x="48" y="2618"/>
                                </a:moveTo>
                                <a:lnTo>
                                  <a:pt x="48" y="2618"/>
                                </a:lnTo>
                                <a:cubicBezTo>
                                  <a:pt x="48" y="2631"/>
                                  <a:pt x="38" y="2642"/>
                                  <a:pt x="24" y="2642"/>
                                </a:cubicBezTo>
                                <a:cubicBezTo>
                                  <a:pt x="11" y="2642"/>
                                  <a:pt x="0" y="2631"/>
                                  <a:pt x="0" y="2618"/>
                                </a:cubicBezTo>
                                <a:lnTo>
                                  <a:pt x="0" y="2618"/>
                                </a:lnTo>
                                <a:cubicBezTo>
                                  <a:pt x="0" y="2605"/>
                                  <a:pt x="11" y="2594"/>
                                  <a:pt x="24" y="2594"/>
                                </a:cubicBezTo>
                                <a:cubicBezTo>
                                  <a:pt x="38" y="2594"/>
                                  <a:pt x="48" y="2605"/>
                                  <a:pt x="48" y="2618"/>
                                </a:cubicBezTo>
                                <a:close/>
                                <a:moveTo>
                                  <a:pt x="48" y="2714"/>
                                </a:moveTo>
                                <a:lnTo>
                                  <a:pt x="48" y="2714"/>
                                </a:lnTo>
                                <a:cubicBezTo>
                                  <a:pt x="48" y="2727"/>
                                  <a:pt x="38" y="2738"/>
                                  <a:pt x="24" y="2738"/>
                                </a:cubicBezTo>
                                <a:cubicBezTo>
                                  <a:pt x="11" y="2738"/>
                                  <a:pt x="0" y="2727"/>
                                  <a:pt x="0" y="2714"/>
                                </a:cubicBezTo>
                                <a:lnTo>
                                  <a:pt x="0" y="2714"/>
                                </a:lnTo>
                                <a:cubicBezTo>
                                  <a:pt x="0" y="2701"/>
                                  <a:pt x="11" y="2690"/>
                                  <a:pt x="24" y="2690"/>
                                </a:cubicBezTo>
                                <a:cubicBezTo>
                                  <a:pt x="38" y="2690"/>
                                  <a:pt x="48" y="2701"/>
                                  <a:pt x="48" y="2714"/>
                                </a:cubicBezTo>
                                <a:close/>
                                <a:moveTo>
                                  <a:pt x="48" y="2810"/>
                                </a:moveTo>
                                <a:lnTo>
                                  <a:pt x="48" y="2810"/>
                                </a:lnTo>
                                <a:cubicBezTo>
                                  <a:pt x="48" y="2823"/>
                                  <a:pt x="38" y="2834"/>
                                  <a:pt x="24" y="2834"/>
                                </a:cubicBezTo>
                                <a:cubicBezTo>
                                  <a:pt x="11" y="2834"/>
                                  <a:pt x="0" y="2823"/>
                                  <a:pt x="0" y="2810"/>
                                </a:cubicBezTo>
                                <a:lnTo>
                                  <a:pt x="0" y="2810"/>
                                </a:lnTo>
                                <a:cubicBezTo>
                                  <a:pt x="0" y="2797"/>
                                  <a:pt x="11" y="2786"/>
                                  <a:pt x="24" y="2786"/>
                                </a:cubicBezTo>
                                <a:cubicBezTo>
                                  <a:pt x="38" y="2786"/>
                                  <a:pt x="48" y="2797"/>
                                  <a:pt x="48" y="2810"/>
                                </a:cubicBezTo>
                                <a:close/>
                                <a:moveTo>
                                  <a:pt x="48" y="2906"/>
                                </a:moveTo>
                                <a:lnTo>
                                  <a:pt x="48" y="2906"/>
                                </a:lnTo>
                                <a:cubicBezTo>
                                  <a:pt x="48" y="2919"/>
                                  <a:pt x="38" y="2930"/>
                                  <a:pt x="24" y="2930"/>
                                </a:cubicBezTo>
                                <a:cubicBezTo>
                                  <a:pt x="11" y="2930"/>
                                  <a:pt x="0" y="2919"/>
                                  <a:pt x="0" y="2906"/>
                                </a:cubicBezTo>
                                <a:lnTo>
                                  <a:pt x="0" y="2906"/>
                                </a:lnTo>
                                <a:cubicBezTo>
                                  <a:pt x="0" y="2893"/>
                                  <a:pt x="11" y="2882"/>
                                  <a:pt x="24" y="2882"/>
                                </a:cubicBezTo>
                                <a:cubicBezTo>
                                  <a:pt x="38" y="2882"/>
                                  <a:pt x="48" y="2893"/>
                                  <a:pt x="48" y="2906"/>
                                </a:cubicBezTo>
                                <a:close/>
                                <a:moveTo>
                                  <a:pt x="48" y="3002"/>
                                </a:moveTo>
                                <a:lnTo>
                                  <a:pt x="48" y="3002"/>
                                </a:lnTo>
                                <a:cubicBezTo>
                                  <a:pt x="48" y="3015"/>
                                  <a:pt x="38" y="3026"/>
                                  <a:pt x="24" y="3026"/>
                                </a:cubicBezTo>
                                <a:cubicBezTo>
                                  <a:pt x="11" y="3026"/>
                                  <a:pt x="0" y="3015"/>
                                  <a:pt x="0" y="3002"/>
                                </a:cubicBezTo>
                                <a:lnTo>
                                  <a:pt x="0" y="3002"/>
                                </a:lnTo>
                                <a:cubicBezTo>
                                  <a:pt x="0" y="2989"/>
                                  <a:pt x="11" y="2978"/>
                                  <a:pt x="24" y="2978"/>
                                </a:cubicBezTo>
                                <a:cubicBezTo>
                                  <a:pt x="38" y="2978"/>
                                  <a:pt x="48" y="2989"/>
                                  <a:pt x="48" y="3002"/>
                                </a:cubicBezTo>
                                <a:close/>
                                <a:moveTo>
                                  <a:pt x="48" y="3098"/>
                                </a:moveTo>
                                <a:lnTo>
                                  <a:pt x="48" y="3098"/>
                                </a:lnTo>
                                <a:cubicBezTo>
                                  <a:pt x="48" y="3111"/>
                                  <a:pt x="38" y="3122"/>
                                  <a:pt x="24" y="3122"/>
                                </a:cubicBezTo>
                                <a:cubicBezTo>
                                  <a:pt x="11" y="3122"/>
                                  <a:pt x="0" y="3111"/>
                                  <a:pt x="0" y="3098"/>
                                </a:cubicBezTo>
                                <a:lnTo>
                                  <a:pt x="0" y="3098"/>
                                </a:lnTo>
                                <a:cubicBezTo>
                                  <a:pt x="0" y="3085"/>
                                  <a:pt x="11" y="3074"/>
                                  <a:pt x="24" y="3074"/>
                                </a:cubicBezTo>
                                <a:cubicBezTo>
                                  <a:pt x="38" y="3074"/>
                                  <a:pt x="48" y="3085"/>
                                  <a:pt x="48" y="3098"/>
                                </a:cubicBezTo>
                                <a:close/>
                                <a:moveTo>
                                  <a:pt x="48" y="3194"/>
                                </a:moveTo>
                                <a:lnTo>
                                  <a:pt x="48" y="3194"/>
                                </a:lnTo>
                                <a:cubicBezTo>
                                  <a:pt x="48" y="3207"/>
                                  <a:pt x="38" y="3218"/>
                                  <a:pt x="24" y="3218"/>
                                </a:cubicBezTo>
                                <a:cubicBezTo>
                                  <a:pt x="11" y="3218"/>
                                  <a:pt x="0" y="3207"/>
                                  <a:pt x="0" y="3194"/>
                                </a:cubicBezTo>
                                <a:lnTo>
                                  <a:pt x="0" y="3194"/>
                                </a:lnTo>
                                <a:cubicBezTo>
                                  <a:pt x="0" y="3181"/>
                                  <a:pt x="11" y="3170"/>
                                  <a:pt x="24" y="3170"/>
                                </a:cubicBezTo>
                                <a:cubicBezTo>
                                  <a:pt x="38" y="3170"/>
                                  <a:pt x="48" y="3181"/>
                                  <a:pt x="48" y="3194"/>
                                </a:cubicBezTo>
                                <a:close/>
                                <a:moveTo>
                                  <a:pt x="48" y="3290"/>
                                </a:moveTo>
                                <a:lnTo>
                                  <a:pt x="48" y="3290"/>
                                </a:lnTo>
                                <a:cubicBezTo>
                                  <a:pt x="48" y="3303"/>
                                  <a:pt x="38" y="3314"/>
                                  <a:pt x="24" y="3314"/>
                                </a:cubicBezTo>
                                <a:cubicBezTo>
                                  <a:pt x="11" y="3314"/>
                                  <a:pt x="0" y="3303"/>
                                  <a:pt x="0" y="3290"/>
                                </a:cubicBezTo>
                                <a:lnTo>
                                  <a:pt x="0" y="3290"/>
                                </a:lnTo>
                                <a:cubicBezTo>
                                  <a:pt x="0" y="3277"/>
                                  <a:pt x="11" y="3266"/>
                                  <a:pt x="24" y="3266"/>
                                </a:cubicBezTo>
                                <a:cubicBezTo>
                                  <a:pt x="38" y="3266"/>
                                  <a:pt x="48" y="3277"/>
                                  <a:pt x="48" y="3290"/>
                                </a:cubicBezTo>
                                <a:close/>
                                <a:moveTo>
                                  <a:pt x="48" y="3386"/>
                                </a:moveTo>
                                <a:lnTo>
                                  <a:pt x="48" y="3386"/>
                                </a:lnTo>
                                <a:cubicBezTo>
                                  <a:pt x="48" y="3399"/>
                                  <a:pt x="38" y="3410"/>
                                  <a:pt x="24" y="3410"/>
                                </a:cubicBezTo>
                                <a:cubicBezTo>
                                  <a:pt x="11" y="3410"/>
                                  <a:pt x="0" y="3399"/>
                                  <a:pt x="0" y="3386"/>
                                </a:cubicBezTo>
                                <a:lnTo>
                                  <a:pt x="0" y="3386"/>
                                </a:lnTo>
                                <a:cubicBezTo>
                                  <a:pt x="0" y="3373"/>
                                  <a:pt x="11" y="3362"/>
                                  <a:pt x="24" y="3362"/>
                                </a:cubicBezTo>
                                <a:cubicBezTo>
                                  <a:pt x="38" y="3362"/>
                                  <a:pt x="48" y="3373"/>
                                  <a:pt x="48" y="3386"/>
                                </a:cubicBezTo>
                                <a:close/>
                                <a:moveTo>
                                  <a:pt x="48" y="3482"/>
                                </a:moveTo>
                                <a:lnTo>
                                  <a:pt x="48" y="3482"/>
                                </a:lnTo>
                                <a:cubicBezTo>
                                  <a:pt x="48" y="3496"/>
                                  <a:pt x="38" y="3506"/>
                                  <a:pt x="24" y="3506"/>
                                </a:cubicBezTo>
                                <a:cubicBezTo>
                                  <a:pt x="11" y="3506"/>
                                  <a:pt x="0" y="3496"/>
                                  <a:pt x="0" y="3482"/>
                                </a:cubicBezTo>
                                <a:lnTo>
                                  <a:pt x="0" y="3482"/>
                                </a:lnTo>
                                <a:cubicBezTo>
                                  <a:pt x="0" y="3469"/>
                                  <a:pt x="11" y="3458"/>
                                  <a:pt x="24" y="3458"/>
                                </a:cubicBezTo>
                                <a:cubicBezTo>
                                  <a:pt x="38" y="3458"/>
                                  <a:pt x="48" y="3469"/>
                                  <a:pt x="48" y="3482"/>
                                </a:cubicBezTo>
                                <a:close/>
                              </a:path>
                            </a:pathLst>
                          </a:custGeom>
                          <a:solidFill>
                            <a:srgbClr val="00264D"/>
                          </a:solidFill>
                          <a:ln w="635" cap="flat">
                            <a:solidFill>
                              <a:srgbClr val="00264D"/>
                            </a:solidFill>
                            <a:prstDash val="solid"/>
                            <a:round/>
                            <a:headEnd/>
                            <a:tailEnd/>
                          </a:ln>
                        </wps:spPr>
                        <wps:bodyPr rot="0" vert="horz" wrap="square" lIns="91440" tIns="45720" rIns="91440" bIns="45720" anchor="t" anchorCtr="0" upright="1">
                          <a:noAutofit/>
                        </wps:bodyPr>
                      </wps:wsp>
                      <wps:wsp>
                        <wps:cNvPr id="781" name="Rectangle 21"/>
                        <wps:cNvSpPr>
                          <a:spLocks noChangeArrowheads="1"/>
                        </wps:cNvSpPr>
                        <wps:spPr bwMode="auto">
                          <a:xfrm>
                            <a:off x="258445" y="914400"/>
                            <a:ext cx="1666240" cy="122047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2" name="Rectangle 22"/>
                        <wps:cNvSpPr>
                          <a:spLocks noChangeArrowheads="1"/>
                        </wps:cNvSpPr>
                        <wps:spPr bwMode="auto">
                          <a:xfrm>
                            <a:off x="284480" y="936625"/>
                            <a:ext cx="311785"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FEF10" w14:textId="35720546" w:rsidR="002871AD" w:rsidRDefault="002871AD">
                              <w:r>
                                <w:rPr>
                                  <w:rFonts w:ascii="Segoe UI Semibold" w:hAnsi="Segoe UI Semibold" w:cs="Segoe UI Semibold"/>
                                  <w:color w:val="00264D"/>
                                  <w:sz w:val="16"/>
                                  <w:szCs w:val="16"/>
                                  <w:lang w:val="en-US"/>
                                </w:rPr>
                                <w:t>NEEDS</w:t>
                              </w:r>
                            </w:p>
                          </w:txbxContent>
                        </wps:txbx>
                        <wps:bodyPr rot="0" vert="horz" wrap="none" lIns="0" tIns="0" rIns="0" bIns="0" anchor="t" anchorCtr="0">
                          <a:spAutoFit/>
                        </wps:bodyPr>
                      </wps:wsp>
                      <wps:wsp>
                        <wps:cNvPr id="783" name="Rectangle 23"/>
                        <wps:cNvSpPr>
                          <a:spLocks noChangeArrowheads="1"/>
                        </wps:cNvSpPr>
                        <wps:spPr bwMode="auto">
                          <a:xfrm>
                            <a:off x="284480" y="1116330"/>
                            <a:ext cx="36195"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C09DF" w14:textId="5916ABDF" w:rsidR="002871AD" w:rsidRDefault="002871AD">
                              <w:r>
                                <w:rPr>
                                  <w:rFonts w:ascii="Arial" w:hAnsi="Arial" w:cs="Arial"/>
                                  <w:color w:val="00264D"/>
                                  <w:sz w:val="16"/>
                                  <w:szCs w:val="16"/>
                                  <w:lang w:val="en-US"/>
                                </w:rPr>
                                <w:t>•</w:t>
                              </w:r>
                            </w:p>
                          </w:txbxContent>
                        </wps:txbx>
                        <wps:bodyPr rot="0" vert="horz" wrap="none" lIns="0" tIns="0" rIns="0" bIns="0" anchor="t" anchorCtr="0">
                          <a:spAutoFit/>
                        </wps:bodyPr>
                      </wps:wsp>
                      <wps:wsp>
                        <wps:cNvPr id="784" name="Rectangle 24"/>
                        <wps:cNvSpPr>
                          <a:spLocks noChangeArrowheads="1"/>
                        </wps:cNvSpPr>
                        <wps:spPr bwMode="auto">
                          <a:xfrm>
                            <a:off x="392430" y="1098550"/>
                            <a:ext cx="1240155"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1CF37" w14:textId="66BE594A" w:rsidR="002871AD" w:rsidRDefault="002871AD">
                              <w:r>
                                <w:rPr>
                                  <w:rFonts w:cs="Segoe UI"/>
                                  <w:color w:val="00264D"/>
                                  <w:sz w:val="16"/>
                                  <w:szCs w:val="16"/>
                                  <w:lang w:val="en-US"/>
                                </w:rPr>
                                <w:t xml:space="preserve">Access to clinical staff when </w:t>
                              </w:r>
                            </w:p>
                          </w:txbxContent>
                        </wps:txbx>
                        <wps:bodyPr rot="0" vert="horz" wrap="none" lIns="0" tIns="0" rIns="0" bIns="0" anchor="t" anchorCtr="0">
                          <a:spAutoFit/>
                        </wps:bodyPr>
                      </wps:wsp>
                      <wps:wsp>
                        <wps:cNvPr id="785" name="Rectangle 25"/>
                        <wps:cNvSpPr>
                          <a:spLocks noChangeArrowheads="1"/>
                        </wps:cNvSpPr>
                        <wps:spPr bwMode="auto">
                          <a:xfrm>
                            <a:off x="392430" y="1212850"/>
                            <a:ext cx="5588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C0FAE" w14:textId="3A57A203" w:rsidR="002871AD" w:rsidRDefault="002871AD"/>
                          </w:txbxContent>
                        </wps:txbx>
                        <wps:bodyPr rot="0" vert="horz" wrap="none" lIns="0" tIns="0" rIns="0" bIns="0" anchor="t" anchorCtr="0">
                          <a:spAutoFit/>
                        </wps:bodyPr>
                      </wps:wsp>
                      <wps:wsp>
                        <wps:cNvPr id="786" name="Rectangle 26"/>
                        <wps:cNvSpPr>
                          <a:spLocks noChangeArrowheads="1"/>
                        </wps:cNvSpPr>
                        <wps:spPr bwMode="auto">
                          <a:xfrm>
                            <a:off x="284480" y="1393825"/>
                            <a:ext cx="5588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52CB5" w14:textId="4EEF2953" w:rsidR="002871AD" w:rsidRDefault="002871AD"/>
                          </w:txbxContent>
                        </wps:txbx>
                        <wps:bodyPr rot="0" vert="horz" wrap="none" lIns="0" tIns="0" rIns="0" bIns="0" anchor="t" anchorCtr="0">
                          <a:spAutoFit/>
                        </wps:bodyPr>
                      </wps:wsp>
                      <wps:wsp>
                        <wps:cNvPr id="787" name="Rectangle 27"/>
                        <wps:cNvSpPr>
                          <a:spLocks noChangeArrowheads="1"/>
                        </wps:cNvSpPr>
                        <wps:spPr bwMode="auto">
                          <a:xfrm>
                            <a:off x="392430" y="1375410"/>
                            <a:ext cx="5588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D7B7C" w14:textId="5AE12278" w:rsidR="002871AD" w:rsidRDefault="002871AD"/>
                          </w:txbxContent>
                        </wps:txbx>
                        <wps:bodyPr rot="0" vert="horz" wrap="none" lIns="0" tIns="0" rIns="0" bIns="0" anchor="t" anchorCtr="0">
                          <a:spAutoFit/>
                        </wps:bodyPr>
                      </wps:wsp>
                      <wps:wsp>
                        <wps:cNvPr id="788" name="Rectangle 28"/>
                        <wps:cNvSpPr>
                          <a:spLocks noChangeArrowheads="1"/>
                        </wps:cNvSpPr>
                        <wps:spPr bwMode="auto">
                          <a:xfrm>
                            <a:off x="392430" y="1489710"/>
                            <a:ext cx="5588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A745A" w14:textId="09F447F0" w:rsidR="002871AD" w:rsidRDefault="002871AD"/>
                          </w:txbxContent>
                        </wps:txbx>
                        <wps:bodyPr rot="0" vert="horz" wrap="none" lIns="0" tIns="0" rIns="0" bIns="0" anchor="t" anchorCtr="0">
                          <a:spAutoFit/>
                        </wps:bodyPr>
                      </wps:wsp>
                      <wps:wsp>
                        <wps:cNvPr id="789" name="Rectangle 29"/>
                        <wps:cNvSpPr>
                          <a:spLocks noChangeArrowheads="1"/>
                        </wps:cNvSpPr>
                        <wps:spPr bwMode="auto">
                          <a:xfrm>
                            <a:off x="284480" y="1675765"/>
                            <a:ext cx="36195"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032F2" w14:textId="10E24EED" w:rsidR="002871AD" w:rsidRDefault="002871AD">
                              <w:r>
                                <w:rPr>
                                  <w:rFonts w:ascii="Arial" w:hAnsi="Arial" w:cs="Arial"/>
                                  <w:color w:val="00264D"/>
                                  <w:sz w:val="16"/>
                                  <w:szCs w:val="16"/>
                                  <w:lang w:val="en-US"/>
                                </w:rPr>
                                <w:t>•</w:t>
                              </w:r>
                            </w:p>
                          </w:txbxContent>
                        </wps:txbx>
                        <wps:bodyPr rot="0" vert="horz" wrap="none" lIns="0" tIns="0" rIns="0" bIns="0" anchor="t" anchorCtr="0">
                          <a:spAutoFit/>
                        </wps:bodyPr>
                      </wps:wsp>
                      <wps:wsp>
                        <wps:cNvPr id="790" name="Rectangle 30"/>
                        <wps:cNvSpPr>
                          <a:spLocks noChangeArrowheads="1"/>
                        </wps:cNvSpPr>
                        <wps:spPr bwMode="auto">
                          <a:xfrm>
                            <a:off x="392430" y="1657985"/>
                            <a:ext cx="133604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EB7B2" w14:textId="07A90F9F" w:rsidR="002871AD" w:rsidRDefault="002871AD">
                              <w:r>
                                <w:rPr>
                                  <w:rFonts w:cs="Segoe UI"/>
                                  <w:color w:val="00264D"/>
                                  <w:sz w:val="16"/>
                                  <w:szCs w:val="16"/>
                                  <w:lang w:val="en-US"/>
                                </w:rPr>
                                <w:t>Appropriate referral pathways</w:t>
                              </w:r>
                            </w:p>
                          </w:txbxContent>
                        </wps:txbx>
                        <wps:bodyPr rot="0" vert="horz" wrap="none" lIns="0" tIns="0" rIns="0" bIns="0" anchor="t" anchorCtr="0">
                          <a:spAutoFit/>
                        </wps:bodyPr>
                      </wps:wsp>
                      <wps:wsp>
                        <wps:cNvPr id="791" name="Rectangle 31"/>
                        <wps:cNvSpPr>
                          <a:spLocks noChangeArrowheads="1"/>
                        </wps:cNvSpPr>
                        <wps:spPr bwMode="auto">
                          <a:xfrm>
                            <a:off x="1984375" y="926465"/>
                            <a:ext cx="1666240" cy="120840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2" name="Rectangle 32"/>
                        <wps:cNvSpPr>
                          <a:spLocks noChangeArrowheads="1"/>
                        </wps:cNvSpPr>
                        <wps:spPr bwMode="auto">
                          <a:xfrm>
                            <a:off x="2008505" y="945515"/>
                            <a:ext cx="311785"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4AD38" w14:textId="6441637E" w:rsidR="002871AD" w:rsidRDefault="002871AD">
                              <w:r>
                                <w:rPr>
                                  <w:rFonts w:ascii="Segoe UI Semibold" w:hAnsi="Segoe UI Semibold" w:cs="Segoe UI Semibold"/>
                                  <w:color w:val="00264D"/>
                                  <w:sz w:val="16"/>
                                  <w:szCs w:val="16"/>
                                  <w:lang w:val="en-US"/>
                                </w:rPr>
                                <w:t>NEEDS</w:t>
                              </w:r>
                            </w:p>
                          </w:txbxContent>
                        </wps:txbx>
                        <wps:bodyPr rot="0" vert="horz" wrap="none" lIns="0" tIns="0" rIns="0" bIns="0" anchor="t" anchorCtr="0">
                          <a:spAutoFit/>
                        </wps:bodyPr>
                      </wps:wsp>
                      <wps:wsp>
                        <wps:cNvPr id="793" name="Rectangle 33"/>
                        <wps:cNvSpPr>
                          <a:spLocks noChangeArrowheads="1"/>
                        </wps:cNvSpPr>
                        <wps:spPr bwMode="auto">
                          <a:xfrm>
                            <a:off x="2008505" y="1126490"/>
                            <a:ext cx="36195"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29DDF" w14:textId="4A0D77C7" w:rsidR="002871AD" w:rsidRDefault="002871AD">
                              <w:r>
                                <w:rPr>
                                  <w:rFonts w:ascii="Arial" w:hAnsi="Arial" w:cs="Arial"/>
                                  <w:color w:val="00264D"/>
                                  <w:sz w:val="16"/>
                                  <w:szCs w:val="16"/>
                                  <w:lang w:val="en-US"/>
                                </w:rPr>
                                <w:t>•</w:t>
                              </w:r>
                            </w:p>
                          </w:txbxContent>
                        </wps:txbx>
                        <wps:bodyPr rot="0" vert="horz" wrap="none" lIns="0" tIns="0" rIns="0" bIns="0" anchor="t" anchorCtr="0">
                          <a:spAutoFit/>
                        </wps:bodyPr>
                      </wps:wsp>
                      <wps:wsp>
                        <wps:cNvPr id="794" name="Rectangle 34"/>
                        <wps:cNvSpPr>
                          <a:spLocks noChangeArrowheads="1"/>
                        </wps:cNvSpPr>
                        <wps:spPr bwMode="auto">
                          <a:xfrm>
                            <a:off x="2116455" y="1108075"/>
                            <a:ext cx="15430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7CD9A" w14:textId="5DA203FB" w:rsidR="002871AD" w:rsidRDefault="002871AD">
                              <w:r>
                                <w:rPr>
                                  <w:rFonts w:cs="Segoe UI"/>
                                  <w:color w:val="00264D"/>
                                  <w:sz w:val="16"/>
                                  <w:szCs w:val="16"/>
                                  <w:lang w:val="en-US"/>
                                </w:rPr>
                                <w:t xml:space="preserve">Education in symptom recognition </w:t>
                              </w:r>
                            </w:p>
                          </w:txbxContent>
                        </wps:txbx>
                        <wps:bodyPr rot="0" vert="horz" wrap="none" lIns="0" tIns="0" rIns="0" bIns="0" anchor="t" anchorCtr="0">
                          <a:spAutoFit/>
                        </wps:bodyPr>
                      </wps:wsp>
                      <wps:wsp>
                        <wps:cNvPr id="795" name="Rectangle 35"/>
                        <wps:cNvSpPr>
                          <a:spLocks noChangeArrowheads="1"/>
                        </wps:cNvSpPr>
                        <wps:spPr bwMode="auto">
                          <a:xfrm>
                            <a:off x="2116455" y="1222375"/>
                            <a:ext cx="79121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3FD59" w14:textId="1CD8302E" w:rsidR="002871AD" w:rsidRDefault="002871AD">
                              <w:r>
                                <w:rPr>
                                  <w:rFonts w:cs="Segoe UI"/>
                                  <w:color w:val="00264D"/>
                                  <w:sz w:val="16"/>
                                  <w:szCs w:val="16"/>
                                  <w:lang w:val="en-US"/>
                                </w:rPr>
                                <w:t>and management</w:t>
                              </w:r>
                            </w:p>
                          </w:txbxContent>
                        </wps:txbx>
                        <wps:bodyPr rot="0" vert="horz" wrap="none" lIns="0" tIns="0" rIns="0" bIns="0" anchor="t" anchorCtr="0">
                          <a:spAutoFit/>
                        </wps:bodyPr>
                      </wps:wsp>
                      <wps:wsp>
                        <wps:cNvPr id="796" name="Rectangle 36"/>
                        <wps:cNvSpPr>
                          <a:spLocks noChangeArrowheads="1"/>
                        </wps:cNvSpPr>
                        <wps:spPr bwMode="auto">
                          <a:xfrm>
                            <a:off x="2008505" y="1402080"/>
                            <a:ext cx="36195"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1437A" w14:textId="202E38FD" w:rsidR="002871AD" w:rsidRDefault="002871AD">
                              <w:r>
                                <w:rPr>
                                  <w:rFonts w:ascii="Arial" w:hAnsi="Arial" w:cs="Arial"/>
                                  <w:color w:val="00264D"/>
                                  <w:sz w:val="16"/>
                                  <w:szCs w:val="16"/>
                                  <w:lang w:val="en-US"/>
                                </w:rPr>
                                <w:t>•</w:t>
                              </w:r>
                            </w:p>
                          </w:txbxContent>
                        </wps:txbx>
                        <wps:bodyPr rot="0" vert="horz" wrap="none" lIns="0" tIns="0" rIns="0" bIns="0" anchor="t" anchorCtr="0">
                          <a:spAutoFit/>
                        </wps:bodyPr>
                      </wps:wsp>
                      <wps:wsp>
                        <wps:cNvPr id="797" name="Rectangle 37"/>
                        <wps:cNvSpPr>
                          <a:spLocks noChangeArrowheads="1"/>
                        </wps:cNvSpPr>
                        <wps:spPr bwMode="auto">
                          <a:xfrm>
                            <a:off x="2116455" y="1384300"/>
                            <a:ext cx="146177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41112" w14:textId="6226E112" w:rsidR="002871AD" w:rsidRDefault="002871AD">
                              <w:r>
                                <w:rPr>
                                  <w:rFonts w:cs="Segoe UI"/>
                                  <w:color w:val="00264D"/>
                                  <w:sz w:val="16"/>
                                  <w:szCs w:val="16"/>
                                  <w:lang w:val="en-US"/>
                                </w:rPr>
                                <w:t xml:space="preserve">Support from specialist palliative </w:t>
                              </w:r>
                            </w:p>
                          </w:txbxContent>
                        </wps:txbx>
                        <wps:bodyPr rot="0" vert="horz" wrap="none" lIns="0" tIns="0" rIns="0" bIns="0" anchor="t" anchorCtr="0">
                          <a:spAutoFit/>
                        </wps:bodyPr>
                      </wps:wsp>
                      <wps:wsp>
                        <wps:cNvPr id="798" name="Rectangle 38"/>
                        <wps:cNvSpPr>
                          <a:spLocks noChangeArrowheads="1"/>
                        </wps:cNvSpPr>
                        <wps:spPr bwMode="auto">
                          <a:xfrm>
                            <a:off x="2116455" y="1498600"/>
                            <a:ext cx="1294765"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353CF" w14:textId="455F66EA" w:rsidR="002871AD" w:rsidRDefault="002871AD">
                              <w:r>
                                <w:rPr>
                                  <w:rFonts w:cs="Segoe UI"/>
                                  <w:color w:val="00264D"/>
                                  <w:sz w:val="16"/>
                                  <w:szCs w:val="16"/>
                                  <w:lang w:val="en-US"/>
                                </w:rPr>
                                <w:t>care workforce when needed</w:t>
                              </w:r>
                            </w:p>
                          </w:txbxContent>
                        </wps:txbx>
                        <wps:bodyPr rot="0" vert="horz" wrap="none" lIns="0" tIns="0" rIns="0" bIns="0" anchor="t" anchorCtr="0">
                          <a:spAutoFit/>
                        </wps:bodyPr>
                      </wps:wsp>
                      <wps:wsp>
                        <wps:cNvPr id="799" name="Rectangle 39"/>
                        <wps:cNvSpPr>
                          <a:spLocks noChangeArrowheads="1"/>
                        </wps:cNvSpPr>
                        <wps:spPr bwMode="auto">
                          <a:xfrm>
                            <a:off x="2008505" y="1685925"/>
                            <a:ext cx="36195"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9A9A8" w14:textId="24AF91B9" w:rsidR="002871AD" w:rsidRDefault="002871AD">
                              <w:r>
                                <w:rPr>
                                  <w:rFonts w:ascii="Arial" w:hAnsi="Arial" w:cs="Arial"/>
                                  <w:color w:val="00264D"/>
                                  <w:sz w:val="16"/>
                                  <w:szCs w:val="16"/>
                                  <w:lang w:val="en-US"/>
                                </w:rPr>
                                <w:t>•</w:t>
                              </w:r>
                            </w:p>
                          </w:txbxContent>
                        </wps:txbx>
                        <wps:bodyPr rot="0" vert="horz" wrap="none" lIns="0" tIns="0" rIns="0" bIns="0" anchor="t" anchorCtr="0">
                          <a:spAutoFit/>
                        </wps:bodyPr>
                      </wps:wsp>
                      <wps:wsp>
                        <wps:cNvPr id="800" name="Rectangle 40"/>
                        <wps:cNvSpPr>
                          <a:spLocks noChangeArrowheads="1"/>
                        </wps:cNvSpPr>
                        <wps:spPr bwMode="auto">
                          <a:xfrm>
                            <a:off x="2116455" y="1667510"/>
                            <a:ext cx="153416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96C00" w14:textId="25F66FF9" w:rsidR="002871AD" w:rsidRDefault="002871AD">
                              <w:r>
                                <w:rPr>
                                  <w:rFonts w:cs="Segoe UI"/>
                                  <w:color w:val="00264D"/>
                                  <w:sz w:val="16"/>
                                  <w:szCs w:val="16"/>
                                  <w:lang w:val="en-US"/>
                                </w:rPr>
                                <w:t>Time and resources to deliver care</w:t>
                              </w:r>
                            </w:p>
                          </w:txbxContent>
                        </wps:txbx>
                        <wps:bodyPr rot="0" vert="horz" wrap="none" lIns="0" tIns="0" rIns="0" bIns="0" anchor="t" anchorCtr="0">
                          <a:spAutoFit/>
                        </wps:bodyPr>
                      </wps:wsp>
                      <wps:wsp>
                        <wps:cNvPr id="801" name="Rectangle 41"/>
                        <wps:cNvSpPr>
                          <a:spLocks noChangeArrowheads="1"/>
                        </wps:cNvSpPr>
                        <wps:spPr bwMode="auto">
                          <a:xfrm>
                            <a:off x="2008505" y="1847215"/>
                            <a:ext cx="36195"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9085A" w14:textId="642DC24A" w:rsidR="002871AD" w:rsidRDefault="002871AD">
                              <w:r>
                                <w:rPr>
                                  <w:rFonts w:ascii="Arial" w:hAnsi="Arial" w:cs="Arial"/>
                                  <w:color w:val="00264D"/>
                                  <w:sz w:val="16"/>
                                  <w:szCs w:val="16"/>
                                  <w:lang w:val="en-US"/>
                                </w:rPr>
                                <w:t>•</w:t>
                              </w:r>
                            </w:p>
                          </w:txbxContent>
                        </wps:txbx>
                        <wps:bodyPr rot="0" vert="horz" wrap="none" lIns="0" tIns="0" rIns="0" bIns="0" anchor="t" anchorCtr="0">
                          <a:spAutoFit/>
                        </wps:bodyPr>
                      </wps:wsp>
                      <wps:wsp>
                        <wps:cNvPr id="802" name="Rectangle 42"/>
                        <wps:cNvSpPr>
                          <a:spLocks noChangeArrowheads="1"/>
                        </wps:cNvSpPr>
                        <wps:spPr bwMode="auto">
                          <a:xfrm>
                            <a:off x="2116455" y="1829435"/>
                            <a:ext cx="1499235"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DDF79" w14:textId="6CB9B00C" w:rsidR="002871AD" w:rsidRDefault="002871AD">
                              <w:r>
                                <w:rPr>
                                  <w:rFonts w:cs="Segoe UI"/>
                                  <w:color w:val="00264D"/>
                                  <w:sz w:val="16"/>
                                  <w:szCs w:val="16"/>
                                  <w:lang w:val="en-US"/>
                                </w:rPr>
                                <w:t xml:space="preserve">Training to engage with residents </w:t>
                              </w:r>
                            </w:p>
                          </w:txbxContent>
                        </wps:txbx>
                        <wps:bodyPr rot="0" vert="horz" wrap="none" lIns="0" tIns="0" rIns="0" bIns="0" anchor="t" anchorCtr="0">
                          <a:spAutoFit/>
                        </wps:bodyPr>
                      </wps:wsp>
                      <wps:wsp>
                        <wps:cNvPr id="803" name="Rectangle 43"/>
                        <wps:cNvSpPr>
                          <a:spLocks noChangeArrowheads="1"/>
                        </wps:cNvSpPr>
                        <wps:spPr bwMode="auto">
                          <a:xfrm>
                            <a:off x="2116455" y="1943735"/>
                            <a:ext cx="120142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86ACB" w14:textId="40741DFB" w:rsidR="002871AD" w:rsidRDefault="002871AD">
                              <w:r>
                                <w:rPr>
                                  <w:rFonts w:cs="Segoe UI"/>
                                  <w:color w:val="00264D"/>
                                  <w:sz w:val="16"/>
                                  <w:szCs w:val="16"/>
                                  <w:lang w:val="en-US"/>
                                </w:rPr>
                                <w:t>and families regarding end</w:t>
                              </w:r>
                            </w:p>
                          </w:txbxContent>
                        </wps:txbx>
                        <wps:bodyPr rot="0" vert="horz" wrap="none" lIns="0" tIns="0" rIns="0" bIns="0" anchor="t" anchorCtr="0">
                          <a:spAutoFit/>
                        </wps:bodyPr>
                      </wps:wsp>
                      <wps:wsp>
                        <wps:cNvPr id="804" name="Rectangle 44"/>
                        <wps:cNvSpPr>
                          <a:spLocks noChangeArrowheads="1"/>
                        </wps:cNvSpPr>
                        <wps:spPr bwMode="auto">
                          <a:xfrm>
                            <a:off x="3247390" y="1943735"/>
                            <a:ext cx="4064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6BCDB" w14:textId="4CBA5D6E" w:rsidR="002871AD" w:rsidRDefault="002871AD">
                              <w:r>
                                <w:rPr>
                                  <w:rFonts w:cs="Segoe UI"/>
                                  <w:color w:val="00264D"/>
                                  <w:sz w:val="16"/>
                                  <w:szCs w:val="16"/>
                                  <w:lang w:val="en-US"/>
                                </w:rPr>
                                <w:t>-</w:t>
                              </w:r>
                            </w:p>
                          </w:txbxContent>
                        </wps:txbx>
                        <wps:bodyPr rot="0" vert="horz" wrap="none" lIns="0" tIns="0" rIns="0" bIns="0" anchor="t" anchorCtr="0">
                          <a:spAutoFit/>
                        </wps:bodyPr>
                      </wps:wsp>
                      <wps:wsp>
                        <wps:cNvPr id="805" name="Rectangle 45"/>
                        <wps:cNvSpPr>
                          <a:spLocks noChangeArrowheads="1"/>
                        </wps:cNvSpPr>
                        <wps:spPr bwMode="auto">
                          <a:xfrm>
                            <a:off x="3282950" y="1943735"/>
                            <a:ext cx="9144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6A2C7" w14:textId="1862B427" w:rsidR="002871AD" w:rsidRDefault="002871AD">
                              <w:r>
                                <w:rPr>
                                  <w:rFonts w:cs="Segoe UI"/>
                                  <w:color w:val="00264D"/>
                                  <w:sz w:val="16"/>
                                  <w:szCs w:val="16"/>
                                  <w:lang w:val="en-US"/>
                                </w:rPr>
                                <w:t>of</w:t>
                              </w:r>
                            </w:p>
                          </w:txbxContent>
                        </wps:txbx>
                        <wps:bodyPr rot="0" vert="horz" wrap="none" lIns="0" tIns="0" rIns="0" bIns="0" anchor="t" anchorCtr="0">
                          <a:spAutoFit/>
                        </wps:bodyPr>
                      </wps:wsp>
                      <wps:wsp>
                        <wps:cNvPr id="806" name="Rectangle 46"/>
                        <wps:cNvSpPr>
                          <a:spLocks noChangeArrowheads="1"/>
                        </wps:cNvSpPr>
                        <wps:spPr bwMode="auto">
                          <a:xfrm>
                            <a:off x="3367405" y="1943735"/>
                            <a:ext cx="4064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B611C" w14:textId="433ACCE2" w:rsidR="002871AD" w:rsidRDefault="002871AD">
                              <w:r>
                                <w:rPr>
                                  <w:rFonts w:cs="Segoe UI"/>
                                  <w:color w:val="00264D"/>
                                  <w:sz w:val="16"/>
                                  <w:szCs w:val="16"/>
                                  <w:lang w:val="en-US"/>
                                </w:rPr>
                                <w:t>-</w:t>
                              </w:r>
                            </w:p>
                          </w:txbxContent>
                        </wps:txbx>
                        <wps:bodyPr rot="0" vert="horz" wrap="none" lIns="0" tIns="0" rIns="0" bIns="0" anchor="t" anchorCtr="0">
                          <a:spAutoFit/>
                        </wps:bodyPr>
                      </wps:wsp>
                      <wps:wsp>
                        <wps:cNvPr id="807" name="Rectangle 47"/>
                        <wps:cNvSpPr>
                          <a:spLocks noChangeArrowheads="1"/>
                        </wps:cNvSpPr>
                        <wps:spPr bwMode="auto">
                          <a:xfrm>
                            <a:off x="3403600" y="1943735"/>
                            <a:ext cx="13462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87615" w14:textId="16134241" w:rsidR="002871AD" w:rsidRDefault="002871AD">
                              <w:r>
                                <w:rPr>
                                  <w:rFonts w:cs="Segoe UI"/>
                                  <w:color w:val="00264D"/>
                                  <w:sz w:val="16"/>
                                  <w:szCs w:val="16"/>
                                  <w:lang w:val="en-US"/>
                                </w:rPr>
                                <w:t>life</w:t>
                              </w:r>
                            </w:p>
                          </w:txbxContent>
                        </wps:txbx>
                        <wps:bodyPr rot="0" vert="horz" wrap="none" lIns="0" tIns="0" rIns="0" bIns="0" anchor="t" anchorCtr="0">
                          <a:spAutoFit/>
                        </wps:bodyPr>
                      </wps:wsp>
                      <wps:wsp>
                        <wps:cNvPr id="808" name="Rectangle 48"/>
                        <wps:cNvSpPr>
                          <a:spLocks noChangeArrowheads="1"/>
                        </wps:cNvSpPr>
                        <wps:spPr bwMode="auto">
                          <a:xfrm>
                            <a:off x="3704590" y="926465"/>
                            <a:ext cx="1665605" cy="120840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9" name="Rectangle 49"/>
                        <wps:cNvSpPr>
                          <a:spLocks noChangeArrowheads="1"/>
                        </wps:cNvSpPr>
                        <wps:spPr bwMode="auto">
                          <a:xfrm>
                            <a:off x="3732530" y="945515"/>
                            <a:ext cx="311785"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30ED0" w14:textId="62D1C929" w:rsidR="002871AD" w:rsidRDefault="002871AD">
                              <w:r>
                                <w:rPr>
                                  <w:rFonts w:ascii="Segoe UI Semibold" w:hAnsi="Segoe UI Semibold" w:cs="Segoe UI Semibold"/>
                                  <w:color w:val="00264D"/>
                                  <w:sz w:val="16"/>
                                  <w:szCs w:val="16"/>
                                  <w:lang w:val="en-US"/>
                                </w:rPr>
                                <w:t>NEEDS</w:t>
                              </w:r>
                            </w:p>
                          </w:txbxContent>
                        </wps:txbx>
                        <wps:bodyPr rot="0" vert="horz" wrap="none" lIns="0" tIns="0" rIns="0" bIns="0" anchor="t" anchorCtr="0">
                          <a:spAutoFit/>
                        </wps:bodyPr>
                      </wps:wsp>
                      <wps:wsp>
                        <wps:cNvPr id="810" name="Rectangle 50"/>
                        <wps:cNvSpPr>
                          <a:spLocks noChangeArrowheads="1"/>
                        </wps:cNvSpPr>
                        <wps:spPr bwMode="auto">
                          <a:xfrm>
                            <a:off x="3732530" y="1126490"/>
                            <a:ext cx="36195"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0F7B3" w14:textId="07AD4738" w:rsidR="002871AD" w:rsidRDefault="002871AD">
                              <w:r>
                                <w:rPr>
                                  <w:rFonts w:ascii="Arial" w:hAnsi="Arial" w:cs="Arial"/>
                                  <w:color w:val="00264D"/>
                                  <w:sz w:val="16"/>
                                  <w:szCs w:val="16"/>
                                  <w:lang w:val="en-US"/>
                                </w:rPr>
                                <w:t>•</w:t>
                              </w:r>
                            </w:p>
                          </w:txbxContent>
                        </wps:txbx>
                        <wps:bodyPr rot="0" vert="horz" wrap="none" lIns="0" tIns="0" rIns="0" bIns="0" anchor="t" anchorCtr="0">
                          <a:spAutoFit/>
                        </wps:bodyPr>
                      </wps:wsp>
                      <wps:wsp>
                        <wps:cNvPr id="811" name="Rectangle 51"/>
                        <wps:cNvSpPr>
                          <a:spLocks noChangeArrowheads="1"/>
                        </wps:cNvSpPr>
                        <wps:spPr bwMode="auto">
                          <a:xfrm>
                            <a:off x="3840480" y="1108075"/>
                            <a:ext cx="109601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7853B" w14:textId="095A007D" w:rsidR="002871AD" w:rsidRDefault="002871AD">
                              <w:r>
                                <w:rPr>
                                  <w:rFonts w:cs="Segoe UI"/>
                                  <w:color w:val="00264D"/>
                                  <w:sz w:val="16"/>
                                  <w:szCs w:val="16"/>
                                  <w:lang w:val="en-US"/>
                                </w:rPr>
                                <w:t xml:space="preserve">Specialist skills including </w:t>
                              </w:r>
                            </w:p>
                          </w:txbxContent>
                        </wps:txbx>
                        <wps:bodyPr rot="0" vert="horz" wrap="none" lIns="0" tIns="0" rIns="0" bIns="0" anchor="t" anchorCtr="0">
                          <a:spAutoFit/>
                        </wps:bodyPr>
                      </wps:wsp>
                      <wps:wsp>
                        <wps:cNvPr id="812" name="Rectangle 52"/>
                        <wps:cNvSpPr>
                          <a:spLocks noChangeArrowheads="1"/>
                        </wps:cNvSpPr>
                        <wps:spPr bwMode="auto">
                          <a:xfrm>
                            <a:off x="3840480" y="1222375"/>
                            <a:ext cx="1514475"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8EA36" w14:textId="124BDCEC" w:rsidR="002871AD" w:rsidRDefault="002871AD">
                              <w:r>
                                <w:rPr>
                                  <w:rFonts w:cs="Segoe UI"/>
                                  <w:color w:val="00264D"/>
                                  <w:sz w:val="16"/>
                                  <w:szCs w:val="16"/>
                                  <w:lang w:val="en-US"/>
                                </w:rPr>
                                <w:t xml:space="preserve">communication and management </w:t>
                              </w:r>
                            </w:p>
                          </w:txbxContent>
                        </wps:txbx>
                        <wps:bodyPr rot="0" vert="horz" wrap="none" lIns="0" tIns="0" rIns="0" bIns="0" anchor="t" anchorCtr="0">
                          <a:spAutoFit/>
                        </wps:bodyPr>
                      </wps:wsp>
                      <wps:wsp>
                        <wps:cNvPr id="813" name="Rectangle 53"/>
                        <wps:cNvSpPr>
                          <a:spLocks noChangeArrowheads="1"/>
                        </wps:cNvSpPr>
                        <wps:spPr bwMode="auto">
                          <a:xfrm>
                            <a:off x="3840480" y="1336675"/>
                            <a:ext cx="88392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64863" w14:textId="7D6CCDB3" w:rsidR="002871AD" w:rsidRDefault="002871AD">
                              <w:r>
                                <w:rPr>
                                  <w:rFonts w:cs="Segoe UI"/>
                                  <w:color w:val="00264D"/>
                                  <w:sz w:val="16"/>
                                  <w:szCs w:val="16"/>
                                  <w:lang w:val="en-US"/>
                                </w:rPr>
                                <w:t>of complex patients</w:t>
                              </w:r>
                            </w:p>
                          </w:txbxContent>
                        </wps:txbx>
                        <wps:bodyPr rot="0" vert="horz" wrap="none" lIns="0" tIns="0" rIns="0" bIns="0" anchor="t" anchorCtr="0">
                          <a:spAutoFit/>
                        </wps:bodyPr>
                      </wps:wsp>
                      <wps:wsp>
                        <wps:cNvPr id="814" name="Rectangle 54"/>
                        <wps:cNvSpPr>
                          <a:spLocks noChangeArrowheads="1"/>
                        </wps:cNvSpPr>
                        <wps:spPr bwMode="auto">
                          <a:xfrm>
                            <a:off x="3732530" y="1516380"/>
                            <a:ext cx="36195"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5479F" w14:textId="696D1517" w:rsidR="002871AD" w:rsidRDefault="002871AD">
                              <w:r>
                                <w:rPr>
                                  <w:rFonts w:ascii="Arial" w:hAnsi="Arial" w:cs="Arial"/>
                                  <w:color w:val="00264D"/>
                                  <w:sz w:val="16"/>
                                  <w:szCs w:val="16"/>
                                  <w:lang w:val="en-US"/>
                                </w:rPr>
                                <w:t>•</w:t>
                              </w:r>
                            </w:p>
                          </w:txbxContent>
                        </wps:txbx>
                        <wps:bodyPr rot="0" vert="horz" wrap="none" lIns="0" tIns="0" rIns="0" bIns="0" anchor="t" anchorCtr="0">
                          <a:spAutoFit/>
                        </wps:bodyPr>
                      </wps:wsp>
                      <wps:wsp>
                        <wps:cNvPr id="815" name="Rectangle 55"/>
                        <wps:cNvSpPr>
                          <a:spLocks noChangeArrowheads="1"/>
                        </wps:cNvSpPr>
                        <wps:spPr bwMode="auto">
                          <a:xfrm>
                            <a:off x="3840480" y="1498600"/>
                            <a:ext cx="395605"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9BEE6" w14:textId="788131C5" w:rsidR="002871AD" w:rsidRDefault="002871AD">
                              <w:r>
                                <w:rPr>
                                  <w:rFonts w:cs="Segoe UI"/>
                                  <w:color w:val="00264D"/>
                                  <w:sz w:val="16"/>
                                  <w:szCs w:val="16"/>
                                  <w:lang w:val="en-US"/>
                                </w:rPr>
                                <w:t>Evidence</w:t>
                              </w:r>
                            </w:p>
                          </w:txbxContent>
                        </wps:txbx>
                        <wps:bodyPr rot="0" vert="horz" wrap="none" lIns="0" tIns="0" rIns="0" bIns="0" anchor="t" anchorCtr="0">
                          <a:spAutoFit/>
                        </wps:bodyPr>
                      </wps:wsp>
                      <wps:wsp>
                        <wps:cNvPr id="816" name="Rectangle 56"/>
                        <wps:cNvSpPr>
                          <a:spLocks noChangeArrowheads="1"/>
                        </wps:cNvSpPr>
                        <wps:spPr bwMode="auto">
                          <a:xfrm>
                            <a:off x="4207510" y="1498600"/>
                            <a:ext cx="4064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A9D1F" w14:textId="2DF647A5" w:rsidR="002871AD" w:rsidRDefault="002871AD">
                              <w:r>
                                <w:rPr>
                                  <w:rFonts w:cs="Segoe UI"/>
                                  <w:color w:val="00264D"/>
                                  <w:sz w:val="16"/>
                                  <w:szCs w:val="16"/>
                                  <w:lang w:val="en-US"/>
                                </w:rPr>
                                <w:t>-</w:t>
                              </w:r>
                            </w:p>
                          </w:txbxContent>
                        </wps:txbx>
                        <wps:bodyPr rot="0" vert="horz" wrap="none" lIns="0" tIns="0" rIns="0" bIns="0" anchor="t" anchorCtr="0">
                          <a:spAutoFit/>
                        </wps:bodyPr>
                      </wps:wsp>
                      <wps:wsp>
                        <wps:cNvPr id="817" name="Rectangle 57"/>
                        <wps:cNvSpPr>
                          <a:spLocks noChangeArrowheads="1"/>
                        </wps:cNvSpPr>
                        <wps:spPr bwMode="auto">
                          <a:xfrm>
                            <a:off x="4243705" y="1498600"/>
                            <a:ext cx="777875"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0800F" w14:textId="67FA3050" w:rsidR="002871AD" w:rsidRDefault="002871AD">
                              <w:r>
                                <w:rPr>
                                  <w:rFonts w:cs="Segoe UI"/>
                                  <w:color w:val="00264D"/>
                                  <w:sz w:val="16"/>
                                  <w:szCs w:val="16"/>
                                  <w:lang w:val="en-US"/>
                                </w:rPr>
                                <w:t xml:space="preserve">based models for </w:t>
                              </w:r>
                            </w:p>
                          </w:txbxContent>
                        </wps:txbx>
                        <wps:bodyPr rot="0" vert="horz" wrap="none" lIns="0" tIns="0" rIns="0" bIns="0" anchor="t" anchorCtr="0">
                          <a:spAutoFit/>
                        </wps:bodyPr>
                      </wps:wsp>
                      <wps:wsp>
                        <wps:cNvPr id="818" name="Rectangle 58"/>
                        <wps:cNvSpPr>
                          <a:spLocks noChangeArrowheads="1"/>
                        </wps:cNvSpPr>
                        <wps:spPr bwMode="auto">
                          <a:xfrm>
                            <a:off x="3840480" y="1619250"/>
                            <a:ext cx="148717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97C06" w14:textId="13E75EBF" w:rsidR="002871AD" w:rsidRDefault="002871AD">
                              <w:r>
                                <w:rPr>
                                  <w:rFonts w:cs="Segoe UI"/>
                                  <w:color w:val="00264D"/>
                                  <w:sz w:val="16"/>
                                  <w:szCs w:val="16"/>
                                  <w:lang w:val="en-US"/>
                                </w:rPr>
                                <w:t>specialist palliative care provision</w:t>
                              </w:r>
                            </w:p>
                          </w:txbxContent>
                        </wps:txbx>
                        <wps:bodyPr rot="0" vert="horz" wrap="none" lIns="0" tIns="0" rIns="0" bIns="0" anchor="t" anchorCtr="0">
                          <a:spAutoFit/>
                        </wps:bodyPr>
                      </wps:wsp>
                      <wps:wsp>
                        <wps:cNvPr id="819" name="Rectangle 59"/>
                        <wps:cNvSpPr>
                          <a:spLocks noChangeArrowheads="1"/>
                        </wps:cNvSpPr>
                        <wps:spPr bwMode="auto">
                          <a:xfrm>
                            <a:off x="1984375" y="288925"/>
                            <a:ext cx="1666240" cy="57721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0" name="Rectangle 60"/>
                        <wps:cNvSpPr>
                          <a:spLocks noChangeArrowheads="1"/>
                        </wps:cNvSpPr>
                        <wps:spPr bwMode="auto">
                          <a:xfrm>
                            <a:off x="2441575" y="326390"/>
                            <a:ext cx="20383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9BD0B" w14:textId="6E95152D" w:rsidR="002871AD" w:rsidRDefault="002871AD">
                              <w:r>
                                <w:rPr>
                                  <w:rFonts w:ascii="Segoe UI Semibold" w:hAnsi="Segoe UI Semibold" w:cs="Segoe UI Semibold"/>
                                  <w:color w:val="00264D"/>
                                  <w:sz w:val="14"/>
                                  <w:szCs w:val="14"/>
                                  <w:lang w:val="en-US"/>
                                </w:rPr>
                                <w:t>NON</w:t>
                              </w:r>
                            </w:p>
                          </w:txbxContent>
                        </wps:txbx>
                        <wps:bodyPr rot="0" vert="horz" wrap="none" lIns="0" tIns="0" rIns="0" bIns="0" anchor="t" anchorCtr="0">
                          <a:spAutoFit/>
                        </wps:bodyPr>
                      </wps:wsp>
                      <wps:wsp>
                        <wps:cNvPr id="821" name="Rectangle 61"/>
                        <wps:cNvSpPr>
                          <a:spLocks noChangeArrowheads="1"/>
                        </wps:cNvSpPr>
                        <wps:spPr bwMode="auto">
                          <a:xfrm>
                            <a:off x="2652395" y="326390"/>
                            <a:ext cx="3619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10F0C" w14:textId="7C97CC03" w:rsidR="002871AD" w:rsidRDefault="002871AD">
                              <w:r>
                                <w:rPr>
                                  <w:rFonts w:ascii="Segoe UI Semibold" w:hAnsi="Segoe UI Semibold" w:cs="Segoe UI Semibold"/>
                                  <w:color w:val="00264D"/>
                                  <w:sz w:val="14"/>
                                  <w:szCs w:val="14"/>
                                  <w:lang w:val="en-US"/>
                                </w:rPr>
                                <w:t>-</w:t>
                              </w:r>
                            </w:p>
                          </w:txbxContent>
                        </wps:txbx>
                        <wps:bodyPr rot="0" vert="horz" wrap="none" lIns="0" tIns="0" rIns="0" bIns="0" anchor="t" anchorCtr="0">
                          <a:spAutoFit/>
                        </wps:bodyPr>
                      </wps:wsp>
                      <wps:wsp>
                        <wps:cNvPr id="822" name="Rectangle 62"/>
                        <wps:cNvSpPr>
                          <a:spLocks noChangeArrowheads="1"/>
                        </wps:cNvSpPr>
                        <wps:spPr bwMode="auto">
                          <a:xfrm>
                            <a:off x="2687955" y="326390"/>
                            <a:ext cx="50292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250FF" w14:textId="2274E111" w:rsidR="002871AD" w:rsidRDefault="002871AD">
                              <w:r>
                                <w:rPr>
                                  <w:rFonts w:ascii="Segoe UI Semibold" w:hAnsi="Segoe UI Semibold" w:cs="Segoe UI Semibold"/>
                                  <w:color w:val="00264D"/>
                                  <w:sz w:val="14"/>
                                  <w:szCs w:val="14"/>
                                  <w:lang w:val="en-US"/>
                                </w:rPr>
                                <w:t>SPECIALISTS</w:t>
                              </w:r>
                            </w:p>
                          </w:txbxContent>
                        </wps:txbx>
                        <wps:bodyPr rot="0" vert="horz" wrap="none" lIns="0" tIns="0" rIns="0" bIns="0" anchor="t" anchorCtr="0">
                          <a:spAutoFit/>
                        </wps:bodyPr>
                      </wps:wsp>
                      <wps:wsp>
                        <wps:cNvPr id="823" name="Rectangle 63"/>
                        <wps:cNvSpPr>
                          <a:spLocks noChangeArrowheads="1"/>
                        </wps:cNvSpPr>
                        <wps:spPr bwMode="auto">
                          <a:xfrm>
                            <a:off x="1984375" y="60325"/>
                            <a:ext cx="3385820" cy="222250"/>
                          </a:xfrm>
                          <a:prstGeom prst="rect">
                            <a:avLst/>
                          </a:prstGeom>
                          <a:solidFill>
                            <a:srgbClr val="0026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4" name="Rectangle 64"/>
                        <wps:cNvSpPr>
                          <a:spLocks noChangeArrowheads="1"/>
                        </wps:cNvSpPr>
                        <wps:spPr bwMode="auto">
                          <a:xfrm>
                            <a:off x="3355975" y="110490"/>
                            <a:ext cx="64833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B238B" w14:textId="254F6F3C" w:rsidR="002871AD" w:rsidRDefault="002871AD">
                              <w:r>
                                <w:rPr>
                                  <w:rFonts w:ascii="Segoe UI Semibold" w:hAnsi="Segoe UI Semibold" w:cs="Segoe UI Semibold"/>
                                  <w:color w:val="FFFFFF"/>
                                  <w:sz w:val="14"/>
                                  <w:szCs w:val="14"/>
                                  <w:lang w:val="en-US"/>
                                </w:rPr>
                                <w:t>CLINICAL STAFF</w:t>
                              </w:r>
                            </w:p>
                          </w:txbxContent>
                        </wps:txbx>
                        <wps:bodyPr rot="0" vert="horz" wrap="none" lIns="0" tIns="0" rIns="0" bIns="0" anchor="t" anchorCtr="0">
                          <a:spAutoFit/>
                        </wps:bodyPr>
                      </wps:wsp>
                      <wps:wsp>
                        <wps:cNvPr id="825" name="Rectangle 65"/>
                        <wps:cNvSpPr>
                          <a:spLocks noChangeArrowheads="1"/>
                        </wps:cNvSpPr>
                        <wps:spPr bwMode="auto">
                          <a:xfrm>
                            <a:off x="258445" y="60325"/>
                            <a:ext cx="1666240" cy="222250"/>
                          </a:xfrm>
                          <a:prstGeom prst="rect">
                            <a:avLst/>
                          </a:prstGeom>
                          <a:solidFill>
                            <a:srgbClr val="0026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6" name="Rectangle 66"/>
                        <wps:cNvSpPr>
                          <a:spLocks noChangeArrowheads="1"/>
                        </wps:cNvSpPr>
                        <wps:spPr bwMode="auto">
                          <a:xfrm>
                            <a:off x="645160" y="110490"/>
                            <a:ext cx="20383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7BBE0" w14:textId="0E817BDD" w:rsidR="002871AD" w:rsidRDefault="002871AD">
                              <w:r>
                                <w:rPr>
                                  <w:rFonts w:ascii="Segoe UI Semibold" w:hAnsi="Segoe UI Semibold" w:cs="Segoe UI Semibold"/>
                                  <w:color w:val="FFFFFF"/>
                                  <w:sz w:val="14"/>
                                  <w:szCs w:val="14"/>
                                  <w:lang w:val="en-US"/>
                                </w:rPr>
                                <w:t>NON</w:t>
                              </w:r>
                            </w:p>
                          </w:txbxContent>
                        </wps:txbx>
                        <wps:bodyPr rot="0" vert="horz" wrap="none" lIns="0" tIns="0" rIns="0" bIns="0" anchor="t" anchorCtr="0">
                          <a:spAutoFit/>
                        </wps:bodyPr>
                      </wps:wsp>
                      <wps:wsp>
                        <wps:cNvPr id="827" name="Rectangle 67"/>
                        <wps:cNvSpPr>
                          <a:spLocks noChangeArrowheads="1"/>
                        </wps:cNvSpPr>
                        <wps:spPr bwMode="auto">
                          <a:xfrm>
                            <a:off x="855980" y="110490"/>
                            <a:ext cx="3619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C713A" w14:textId="2CE093FE" w:rsidR="002871AD" w:rsidRDefault="002871AD">
                              <w:r>
                                <w:rPr>
                                  <w:rFonts w:ascii="Segoe UI Semibold" w:hAnsi="Segoe UI Semibold" w:cs="Segoe UI Semibold"/>
                                  <w:color w:val="FFFFFF"/>
                                  <w:sz w:val="14"/>
                                  <w:szCs w:val="14"/>
                                  <w:lang w:val="en-US"/>
                                </w:rPr>
                                <w:t>-</w:t>
                              </w:r>
                            </w:p>
                          </w:txbxContent>
                        </wps:txbx>
                        <wps:bodyPr rot="0" vert="horz" wrap="none" lIns="0" tIns="0" rIns="0" bIns="0" anchor="t" anchorCtr="0">
                          <a:spAutoFit/>
                        </wps:bodyPr>
                      </wps:wsp>
                      <wps:wsp>
                        <wps:cNvPr id="828" name="Rectangle 68"/>
                        <wps:cNvSpPr>
                          <a:spLocks noChangeArrowheads="1"/>
                        </wps:cNvSpPr>
                        <wps:spPr bwMode="auto">
                          <a:xfrm>
                            <a:off x="892175" y="110490"/>
                            <a:ext cx="64833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36A5F" w14:textId="576FBAA5" w:rsidR="002871AD" w:rsidRDefault="002871AD">
                              <w:r>
                                <w:rPr>
                                  <w:rFonts w:ascii="Segoe UI Semibold" w:hAnsi="Segoe UI Semibold" w:cs="Segoe UI Semibold"/>
                                  <w:color w:val="FFFFFF"/>
                                  <w:sz w:val="14"/>
                                  <w:szCs w:val="14"/>
                                  <w:lang w:val="en-US"/>
                                </w:rPr>
                                <w:t>CLINICAL STAFF</w:t>
                              </w:r>
                            </w:p>
                          </w:txbxContent>
                        </wps:txbx>
                        <wps:bodyPr rot="0" vert="horz" wrap="none" lIns="0" tIns="0" rIns="0" bIns="0" anchor="t" anchorCtr="0">
                          <a:spAutoFit/>
                        </wps:bodyPr>
                      </wps:wsp>
                      <wps:wsp>
                        <wps:cNvPr id="829" name="Rectangle 69"/>
                        <wps:cNvSpPr>
                          <a:spLocks noChangeArrowheads="1"/>
                        </wps:cNvSpPr>
                        <wps:spPr bwMode="auto">
                          <a:xfrm>
                            <a:off x="3704590" y="288925"/>
                            <a:ext cx="1665605" cy="57721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0" name="Rectangle 70"/>
                        <wps:cNvSpPr>
                          <a:spLocks noChangeArrowheads="1"/>
                        </wps:cNvSpPr>
                        <wps:spPr bwMode="auto">
                          <a:xfrm>
                            <a:off x="3931285" y="326390"/>
                            <a:ext cx="122999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6F988" w14:textId="09A1FA54" w:rsidR="002871AD" w:rsidRDefault="002871AD">
                              <w:r>
                                <w:rPr>
                                  <w:rFonts w:ascii="Segoe UI Semibold" w:hAnsi="Segoe UI Semibold" w:cs="Segoe UI Semibold"/>
                                  <w:color w:val="00264D"/>
                                  <w:sz w:val="14"/>
                                  <w:szCs w:val="14"/>
                                  <w:lang w:val="en-US"/>
                                </w:rPr>
                                <w:t>PALLIATIVE CARE SPECIALISTS</w:t>
                              </w:r>
                            </w:p>
                          </w:txbxContent>
                        </wps:txbx>
                        <wps:bodyPr rot="0" vert="horz" wrap="none" lIns="0" tIns="0" rIns="0" bIns="0" anchor="t" anchorCtr="0">
                          <a:spAutoFit/>
                        </wps:bodyPr>
                      </wps:wsp>
                      <wps:wsp>
                        <wps:cNvPr id="831" name="Rectangle 71"/>
                        <wps:cNvSpPr>
                          <a:spLocks noChangeArrowheads="1"/>
                        </wps:cNvSpPr>
                        <wps:spPr bwMode="auto">
                          <a:xfrm>
                            <a:off x="258445" y="282575"/>
                            <a:ext cx="1666240" cy="57785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2" name="Rectangle 72"/>
                        <wps:cNvSpPr>
                          <a:spLocks noChangeArrowheads="1"/>
                        </wps:cNvSpPr>
                        <wps:spPr bwMode="auto">
                          <a:xfrm>
                            <a:off x="537210" y="318135"/>
                            <a:ext cx="111823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CCB63" w14:textId="1908193A" w:rsidR="002871AD" w:rsidRDefault="002871AD">
                              <w:r>
                                <w:rPr>
                                  <w:rFonts w:ascii="Segoe UI Semibold" w:hAnsi="Segoe UI Semibold" w:cs="Segoe UI Semibold"/>
                                  <w:color w:val="00264D"/>
                                  <w:sz w:val="14"/>
                                  <w:szCs w:val="14"/>
                                  <w:lang w:val="en-US"/>
                                </w:rPr>
                                <w:t>PERSONAL CARE WORKERS</w:t>
                              </w:r>
                            </w:p>
                          </w:txbxContent>
                        </wps:txbx>
                        <wps:bodyPr rot="0" vert="horz" wrap="none" lIns="0" tIns="0" rIns="0" bIns="0" anchor="t" anchorCtr="0">
                          <a:spAutoFit/>
                        </wps:bodyPr>
                      </wps:wsp>
                      <wps:wsp>
                        <wps:cNvPr id="833" name="Freeform 73"/>
                        <wps:cNvSpPr>
                          <a:spLocks noEditPoints="1"/>
                        </wps:cNvSpPr>
                        <wps:spPr bwMode="auto">
                          <a:xfrm>
                            <a:off x="2675890" y="499110"/>
                            <a:ext cx="276860" cy="276860"/>
                          </a:xfrm>
                          <a:custGeom>
                            <a:avLst/>
                            <a:gdLst>
                              <a:gd name="T0" fmla="*/ 630 w 736"/>
                              <a:gd name="T1" fmla="*/ 477 h 736"/>
                              <a:gd name="T2" fmla="*/ 473 w 736"/>
                              <a:gd name="T3" fmla="*/ 392 h 736"/>
                              <a:gd name="T4" fmla="*/ 532 w 736"/>
                              <a:gd name="T5" fmla="*/ 196 h 736"/>
                              <a:gd name="T6" fmla="*/ 554 w 736"/>
                              <a:gd name="T7" fmla="*/ 30 h 736"/>
                              <a:gd name="T8" fmla="*/ 188 w 736"/>
                              <a:gd name="T9" fmla="*/ 30 h 736"/>
                              <a:gd name="T10" fmla="*/ 209 w 736"/>
                              <a:gd name="T11" fmla="*/ 196 h 736"/>
                              <a:gd name="T12" fmla="*/ 268 w 736"/>
                              <a:gd name="T13" fmla="*/ 392 h 736"/>
                              <a:gd name="T14" fmla="*/ 107 w 736"/>
                              <a:gd name="T15" fmla="*/ 477 h 736"/>
                              <a:gd name="T16" fmla="*/ 5 w 736"/>
                              <a:gd name="T17" fmla="*/ 719 h 736"/>
                              <a:gd name="T18" fmla="*/ 17 w 736"/>
                              <a:gd name="T19" fmla="*/ 736 h 736"/>
                              <a:gd name="T20" fmla="*/ 732 w 736"/>
                              <a:gd name="T21" fmla="*/ 732 h 736"/>
                              <a:gd name="T22" fmla="*/ 719 w 736"/>
                              <a:gd name="T23" fmla="*/ 583 h 736"/>
                              <a:gd name="T24" fmla="*/ 371 w 736"/>
                              <a:gd name="T25" fmla="*/ 30 h 736"/>
                              <a:gd name="T26" fmla="*/ 507 w 736"/>
                              <a:gd name="T27" fmla="*/ 171 h 736"/>
                              <a:gd name="T28" fmla="*/ 234 w 736"/>
                              <a:gd name="T29" fmla="*/ 171 h 736"/>
                              <a:gd name="T30" fmla="*/ 239 w 736"/>
                              <a:gd name="T31" fmla="*/ 264 h 736"/>
                              <a:gd name="T32" fmla="*/ 371 w 736"/>
                              <a:gd name="T33" fmla="*/ 179 h 736"/>
                              <a:gd name="T34" fmla="*/ 502 w 736"/>
                              <a:gd name="T35" fmla="*/ 264 h 736"/>
                              <a:gd name="T36" fmla="*/ 443 w 736"/>
                              <a:gd name="T37" fmla="*/ 388 h 736"/>
                              <a:gd name="T38" fmla="*/ 371 w 736"/>
                              <a:gd name="T39" fmla="*/ 519 h 736"/>
                              <a:gd name="T40" fmla="*/ 298 w 736"/>
                              <a:gd name="T41" fmla="*/ 388 h 736"/>
                              <a:gd name="T42" fmla="*/ 239 w 736"/>
                              <a:gd name="T43" fmla="*/ 264 h 736"/>
                              <a:gd name="T44" fmla="*/ 52 w 736"/>
                              <a:gd name="T45" fmla="*/ 588 h 736"/>
                              <a:gd name="T46" fmla="*/ 277 w 736"/>
                              <a:gd name="T47" fmla="*/ 447 h 736"/>
                              <a:gd name="T48" fmla="*/ 371 w 736"/>
                              <a:gd name="T49" fmla="*/ 562 h 736"/>
                              <a:gd name="T50" fmla="*/ 464 w 736"/>
                              <a:gd name="T51" fmla="*/ 447 h 736"/>
                              <a:gd name="T52" fmla="*/ 690 w 736"/>
                              <a:gd name="T53" fmla="*/ 588 h 736"/>
                              <a:gd name="T54" fmla="*/ 35 w 736"/>
                              <a:gd name="T55" fmla="*/ 707 h 736"/>
                              <a:gd name="T56" fmla="*/ 549 w 736"/>
                              <a:gd name="T57" fmla="*/ 562 h 736"/>
                              <a:gd name="T58" fmla="*/ 537 w 736"/>
                              <a:gd name="T59" fmla="*/ 528 h 736"/>
                              <a:gd name="T60" fmla="*/ 485 w 736"/>
                              <a:gd name="T61" fmla="*/ 541 h 736"/>
                              <a:gd name="T62" fmla="*/ 464 w 736"/>
                              <a:gd name="T63" fmla="*/ 562 h 736"/>
                              <a:gd name="T64" fmla="*/ 451 w 736"/>
                              <a:gd name="T65" fmla="*/ 613 h 736"/>
                              <a:gd name="T66" fmla="*/ 485 w 736"/>
                              <a:gd name="T67" fmla="*/ 630 h 736"/>
                              <a:gd name="T68" fmla="*/ 498 w 736"/>
                              <a:gd name="T69" fmla="*/ 664 h 736"/>
                              <a:gd name="T70" fmla="*/ 549 w 736"/>
                              <a:gd name="T71" fmla="*/ 651 h 736"/>
                              <a:gd name="T72" fmla="*/ 571 w 736"/>
                              <a:gd name="T73" fmla="*/ 630 h 736"/>
                              <a:gd name="T74" fmla="*/ 588 w 736"/>
                              <a:gd name="T75" fmla="*/ 575 h 736"/>
                              <a:gd name="T76" fmla="*/ 562 w 736"/>
                              <a:gd name="T77" fmla="*/ 600 h 736"/>
                              <a:gd name="T78" fmla="*/ 524 w 736"/>
                              <a:gd name="T79" fmla="*/ 617 h 736"/>
                              <a:gd name="T80" fmla="*/ 511 w 736"/>
                              <a:gd name="T81" fmla="*/ 643 h 736"/>
                              <a:gd name="T82" fmla="*/ 494 w 736"/>
                              <a:gd name="T83" fmla="*/ 600 h 736"/>
                              <a:gd name="T84" fmla="*/ 473 w 736"/>
                              <a:gd name="T85" fmla="*/ 592 h 736"/>
                              <a:gd name="T86" fmla="*/ 511 w 736"/>
                              <a:gd name="T87" fmla="*/ 575 h 736"/>
                              <a:gd name="T88" fmla="*/ 524 w 736"/>
                              <a:gd name="T89" fmla="*/ 549 h 736"/>
                              <a:gd name="T90" fmla="*/ 541 w 736"/>
                              <a:gd name="T91" fmla="*/ 592 h 736"/>
                              <a:gd name="T92" fmla="*/ 562 w 736"/>
                              <a:gd name="T93" fmla="*/ 600 h 7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736" h="736">
                                <a:moveTo>
                                  <a:pt x="719" y="583"/>
                                </a:moveTo>
                                <a:cubicBezTo>
                                  <a:pt x="711" y="537"/>
                                  <a:pt x="677" y="494"/>
                                  <a:pt x="630" y="477"/>
                                </a:cubicBezTo>
                                <a:cubicBezTo>
                                  <a:pt x="473" y="417"/>
                                  <a:pt x="473" y="417"/>
                                  <a:pt x="473" y="417"/>
                                </a:cubicBezTo>
                                <a:cubicBezTo>
                                  <a:pt x="473" y="392"/>
                                  <a:pt x="473" y="392"/>
                                  <a:pt x="473" y="392"/>
                                </a:cubicBezTo>
                                <a:cubicBezTo>
                                  <a:pt x="511" y="358"/>
                                  <a:pt x="532" y="311"/>
                                  <a:pt x="532" y="264"/>
                                </a:cubicBezTo>
                                <a:cubicBezTo>
                                  <a:pt x="532" y="196"/>
                                  <a:pt x="532" y="196"/>
                                  <a:pt x="532" y="196"/>
                                </a:cubicBezTo>
                                <a:cubicBezTo>
                                  <a:pt x="562" y="47"/>
                                  <a:pt x="562" y="47"/>
                                  <a:pt x="562" y="47"/>
                                </a:cubicBezTo>
                                <a:cubicBezTo>
                                  <a:pt x="562" y="43"/>
                                  <a:pt x="558" y="35"/>
                                  <a:pt x="554" y="30"/>
                                </a:cubicBezTo>
                                <a:cubicBezTo>
                                  <a:pt x="549" y="30"/>
                                  <a:pt x="481" y="0"/>
                                  <a:pt x="371" y="0"/>
                                </a:cubicBezTo>
                                <a:cubicBezTo>
                                  <a:pt x="260" y="0"/>
                                  <a:pt x="192" y="30"/>
                                  <a:pt x="188" y="30"/>
                                </a:cubicBezTo>
                                <a:cubicBezTo>
                                  <a:pt x="183" y="35"/>
                                  <a:pt x="179" y="43"/>
                                  <a:pt x="179" y="47"/>
                                </a:cubicBezTo>
                                <a:cubicBezTo>
                                  <a:pt x="209" y="196"/>
                                  <a:pt x="209" y="196"/>
                                  <a:pt x="209" y="196"/>
                                </a:cubicBezTo>
                                <a:cubicBezTo>
                                  <a:pt x="209" y="264"/>
                                  <a:pt x="209" y="264"/>
                                  <a:pt x="209" y="264"/>
                                </a:cubicBezTo>
                                <a:cubicBezTo>
                                  <a:pt x="209" y="311"/>
                                  <a:pt x="230" y="358"/>
                                  <a:pt x="268" y="392"/>
                                </a:cubicBezTo>
                                <a:cubicBezTo>
                                  <a:pt x="268" y="417"/>
                                  <a:pt x="268" y="417"/>
                                  <a:pt x="268" y="417"/>
                                </a:cubicBezTo>
                                <a:cubicBezTo>
                                  <a:pt x="107" y="477"/>
                                  <a:pt x="107" y="477"/>
                                  <a:pt x="107" y="477"/>
                                </a:cubicBezTo>
                                <a:cubicBezTo>
                                  <a:pt x="64" y="494"/>
                                  <a:pt x="30" y="537"/>
                                  <a:pt x="22" y="583"/>
                                </a:cubicBezTo>
                                <a:cubicBezTo>
                                  <a:pt x="5" y="719"/>
                                  <a:pt x="5" y="719"/>
                                  <a:pt x="5" y="719"/>
                                </a:cubicBezTo>
                                <a:cubicBezTo>
                                  <a:pt x="0" y="724"/>
                                  <a:pt x="5" y="728"/>
                                  <a:pt x="5" y="732"/>
                                </a:cubicBezTo>
                                <a:cubicBezTo>
                                  <a:pt x="9" y="736"/>
                                  <a:pt x="13" y="736"/>
                                  <a:pt x="17" y="736"/>
                                </a:cubicBezTo>
                                <a:cubicBezTo>
                                  <a:pt x="724" y="736"/>
                                  <a:pt x="724" y="736"/>
                                  <a:pt x="724" y="736"/>
                                </a:cubicBezTo>
                                <a:cubicBezTo>
                                  <a:pt x="728" y="736"/>
                                  <a:pt x="732" y="736"/>
                                  <a:pt x="732" y="732"/>
                                </a:cubicBezTo>
                                <a:cubicBezTo>
                                  <a:pt x="736" y="728"/>
                                  <a:pt x="736" y="724"/>
                                  <a:pt x="736" y="719"/>
                                </a:cubicBezTo>
                                <a:lnTo>
                                  <a:pt x="719" y="583"/>
                                </a:lnTo>
                                <a:close/>
                                <a:moveTo>
                                  <a:pt x="209" y="56"/>
                                </a:moveTo>
                                <a:cubicBezTo>
                                  <a:pt x="234" y="47"/>
                                  <a:pt x="290" y="30"/>
                                  <a:pt x="371" y="30"/>
                                </a:cubicBezTo>
                                <a:cubicBezTo>
                                  <a:pt x="451" y="30"/>
                                  <a:pt x="507" y="47"/>
                                  <a:pt x="528" y="56"/>
                                </a:cubicBezTo>
                                <a:cubicBezTo>
                                  <a:pt x="507" y="171"/>
                                  <a:pt x="507" y="171"/>
                                  <a:pt x="507" y="171"/>
                                </a:cubicBezTo>
                                <a:cubicBezTo>
                                  <a:pt x="481" y="162"/>
                                  <a:pt x="434" y="149"/>
                                  <a:pt x="371" y="149"/>
                                </a:cubicBezTo>
                                <a:cubicBezTo>
                                  <a:pt x="307" y="149"/>
                                  <a:pt x="260" y="162"/>
                                  <a:pt x="234" y="171"/>
                                </a:cubicBezTo>
                                <a:lnTo>
                                  <a:pt x="209" y="56"/>
                                </a:lnTo>
                                <a:close/>
                                <a:moveTo>
                                  <a:pt x="239" y="264"/>
                                </a:moveTo>
                                <a:cubicBezTo>
                                  <a:pt x="239" y="200"/>
                                  <a:pt x="239" y="200"/>
                                  <a:pt x="239" y="200"/>
                                </a:cubicBezTo>
                                <a:cubicBezTo>
                                  <a:pt x="256" y="196"/>
                                  <a:pt x="307" y="179"/>
                                  <a:pt x="371" y="179"/>
                                </a:cubicBezTo>
                                <a:cubicBezTo>
                                  <a:pt x="434" y="179"/>
                                  <a:pt x="485" y="196"/>
                                  <a:pt x="502" y="200"/>
                                </a:cubicBezTo>
                                <a:cubicBezTo>
                                  <a:pt x="502" y="264"/>
                                  <a:pt x="502" y="264"/>
                                  <a:pt x="502" y="264"/>
                                </a:cubicBezTo>
                                <a:cubicBezTo>
                                  <a:pt x="502" y="307"/>
                                  <a:pt x="481" y="345"/>
                                  <a:pt x="447" y="375"/>
                                </a:cubicBezTo>
                                <a:cubicBezTo>
                                  <a:pt x="447" y="379"/>
                                  <a:pt x="443" y="383"/>
                                  <a:pt x="443" y="388"/>
                                </a:cubicBezTo>
                                <a:cubicBezTo>
                                  <a:pt x="443" y="422"/>
                                  <a:pt x="443" y="422"/>
                                  <a:pt x="443" y="422"/>
                                </a:cubicBezTo>
                                <a:cubicBezTo>
                                  <a:pt x="371" y="519"/>
                                  <a:pt x="371" y="519"/>
                                  <a:pt x="371" y="519"/>
                                </a:cubicBezTo>
                                <a:cubicBezTo>
                                  <a:pt x="298" y="422"/>
                                  <a:pt x="298" y="422"/>
                                  <a:pt x="298" y="422"/>
                                </a:cubicBezTo>
                                <a:cubicBezTo>
                                  <a:pt x="298" y="388"/>
                                  <a:pt x="298" y="388"/>
                                  <a:pt x="298" y="388"/>
                                </a:cubicBezTo>
                                <a:cubicBezTo>
                                  <a:pt x="298" y="383"/>
                                  <a:pt x="294" y="379"/>
                                  <a:pt x="290" y="375"/>
                                </a:cubicBezTo>
                                <a:cubicBezTo>
                                  <a:pt x="256" y="345"/>
                                  <a:pt x="239" y="307"/>
                                  <a:pt x="239" y="264"/>
                                </a:cubicBezTo>
                                <a:close/>
                                <a:moveTo>
                                  <a:pt x="35" y="707"/>
                                </a:moveTo>
                                <a:cubicBezTo>
                                  <a:pt x="52" y="588"/>
                                  <a:pt x="52" y="588"/>
                                  <a:pt x="52" y="588"/>
                                </a:cubicBezTo>
                                <a:cubicBezTo>
                                  <a:pt x="56" y="549"/>
                                  <a:pt x="81" y="519"/>
                                  <a:pt x="120" y="507"/>
                                </a:cubicBezTo>
                                <a:cubicBezTo>
                                  <a:pt x="277" y="447"/>
                                  <a:pt x="277" y="447"/>
                                  <a:pt x="277" y="447"/>
                                </a:cubicBezTo>
                                <a:cubicBezTo>
                                  <a:pt x="358" y="554"/>
                                  <a:pt x="358" y="554"/>
                                  <a:pt x="358" y="554"/>
                                </a:cubicBezTo>
                                <a:cubicBezTo>
                                  <a:pt x="362" y="558"/>
                                  <a:pt x="366" y="562"/>
                                  <a:pt x="371" y="562"/>
                                </a:cubicBezTo>
                                <a:cubicBezTo>
                                  <a:pt x="375" y="562"/>
                                  <a:pt x="379" y="558"/>
                                  <a:pt x="383" y="554"/>
                                </a:cubicBezTo>
                                <a:cubicBezTo>
                                  <a:pt x="464" y="447"/>
                                  <a:pt x="464" y="447"/>
                                  <a:pt x="464" y="447"/>
                                </a:cubicBezTo>
                                <a:cubicBezTo>
                                  <a:pt x="622" y="507"/>
                                  <a:pt x="622" y="507"/>
                                  <a:pt x="622" y="507"/>
                                </a:cubicBezTo>
                                <a:cubicBezTo>
                                  <a:pt x="660" y="519"/>
                                  <a:pt x="685" y="549"/>
                                  <a:pt x="690" y="588"/>
                                </a:cubicBezTo>
                                <a:cubicBezTo>
                                  <a:pt x="707" y="707"/>
                                  <a:pt x="707" y="707"/>
                                  <a:pt x="707" y="707"/>
                                </a:cubicBezTo>
                                <a:lnTo>
                                  <a:pt x="35" y="707"/>
                                </a:lnTo>
                                <a:close/>
                                <a:moveTo>
                                  <a:pt x="571" y="562"/>
                                </a:moveTo>
                                <a:cubicBezTo>
                                  <a:pt x="549" y="562"/>
                                  <a:pt x="549" y="562"/>
                                  <a:pt x="549" y="562"/>
                                </a:cubicBezTo>
                                <a:cubicBezTo>
                                  <a:pt x="549" y="541"/>
                                  <a:pt x="549" y="541"/>
                                  <a:pt x="549" y="541"/>
                                </a:cubicBezTo>
                                <a:cubicBezTo>
                                  <a:pt x="549" y="532"/>
                                  <a:pt x="545" y="528"/>
                                  <a:pt x="537" y="528"/>
                                </a:cubicBezTo>
                                <a:cubicBezTo>
                                  <a:pt x="498" y="528"/>
                                  <a:pt x="498" y="528"/>
                                  <a:pt x="498" y="528"/>
                                </a:cubicBezTo>
                                <a:cubicBezTo>
                                  <a:pt x="490" y="528"/>
                                  <a:pt x="485" y="532"/>
                                  <a:pt x="485" y="541"/>
                                </a:cubicBezTo>
                                <a:cubicBezTo>
                                  <a:pt x="485" y="562"/>
                                  <a:pt x="485" y="562"/>
                                  <a:pt x="485" y="562"/>
                                </a:cubicBezTo>
                                <a:cubicBezTo>
                                  <a:pt x="464" y="562"/>
                                  <a:pt x="464" y="562"/>
                                  <a:pt x="464" y="562"/>
                                </a:cubicBezTo>
                                <a:cubicBezTo>
                                  <a:pt x="456" y="562"/>
                                  <a:pt x="451" y="571"/>
                                  <a:pt x="451" y="575"/>
                                </a:cubicBezTo>
                                <a:cubicBezTo>
                                  <a:pt x="451" y="613"/>
                                  <a:pt x="451" y="613"/>
                                  <a:pt x="451" y="613"/>
                                </a:cubicBezTo>
                                <a:cubicBezTo>
                                  <a:pt x="451" y="622"/>
                                  <a:pt x="456" y="630"/>
                                  <a:pt x="464" y="630"/>
                                </a:cubicBezTo>
                                <a:cubicBezTo>
                                  <a:pt x="485" y="630"/>
                                  <a:pt x="485" y="630"/>
                                  <a:pt x="485" y="630"/>
                                </a:cubicBezTo>
                                <a:cubicBezTo>
                                  <a:pt x="485" y="651"/>
                                  <a:pt x="485" y="651"/>
                                  <a:pt x="485" y="651"/>
                                </a:cubicBezTo>
                                <a:cubicBezTo>
                                  <a:pt x="485" y="656"/>
                                  <a:pt x="490" y="664"/>
                                  <a:pt x="498" y="664"/>
                                </a:cubicBezTo>
                                <a:cubicBezTo>
                                  <a:pt x="537" y="664"/>
                                  <a:pt x="537" y="664"/>
                                  <a:pt x="537" y="664"/>
                                </a:cubicBezTo>
                                <a:cubicBezTo>
                                  <a:pt x="545" y="664"/>
                                  <a:pt x="549" y="656"/>
                                  <a:pt x="549" y="651"/>
                                </a:cubicBezTo>
                                <a:cubicBezTo>
                                  <a:pt x="549" y="630"/>
                                  <a:pt x="549" y="630"/>
                                  <a:pt x="549" y="630"/>
                                </a:cubicBezTo>
                                <a:cubicBezTo>
                                  <a:pt x="571" y="630"/>
                                  <a:pt x="571" y="630"/>
                                  <a:pt x="571" y="630"/>
                                </a:cubicBezTo>
                                <a:cubicBezTo>
                                  <a:pt x="579" y="630"/>
                                  <a:pt x="588" y="622"/>
                                  <a:pt x="588" y="613"/>
                                </a:cubicBezTo>
                                <a:cubicBezTo>
                                  <a:pt x="588" y="575"/>
                                  <a:pt x="588" y="575"/>
                                  <a:pt x="588" y="575"/>
                                </a:cubicBezTo>
                                <a:cubicBezTo>
                                  <a:pt x="588" y="571"/>
                                  <a:pt x="579" y="562"/>
                                  <a:pt x="571" y="562"/>
                                </a:cubicBezTo>
                                <a:close/>
                                <a:moveTo>
                                  <a:pt x="562" y="600"/>
                                </a:moveTo>
                                <a:cubicBezTo>
                                  <a:pt x="541" y="600"/>
                                  <a:pt x="541" y="600"/>
                                  <a:pt x="541" y="600"/>
                                </a:cubicBezTo>
                                <a:cubicBezTo>
                                  <a:pt x="532" y="600"/>
                                  <a:pt x="524" y="609"/>
                                  <a:pt x="524" y="617"/>
                                </a:cubicBezTo>
                                <a:cubicBezTo>
                                  <a:pt x="524" y="643"/>
                                  <a:pt x="524" y="643"/>
                                  <a:pt x="524" y="643"/>
                                </a:cubicBezTo>
                                <a:cubicBezTo>
                                  <a:pt x="511" y="643"/>
                                  <a:pt x="511" y="643"/>
                                  <a:pt x="511" y="643"/>
                                </a:cubicBezTo>
                                <a:cubicBezTo>
                                  <a:pt x="511" y="617"/>
                                  <a:pt x="511" y="617"/>
                                  <a:pt x="511" y="617"/>
                                </a:cubicBezTo>
                                <a:cubicBezTo>
                                  <a:pt x="511" y="609"/>
                                  <a:pt x="507" y="600"/>
                                  <a:pt x="494" y="600"/>
                                </a:cubicBezTo>
                                <a:cubicBezTo>
                                  <a:pt x="473" y="600"/>
                                  <a:pt x="473" y="600"/>
                                  <a:pt x="473" y="600"/>
                                </a:cubicBezTo>
                                <a:cubicBezTo>
                                  <a:pt x="473" y="592"/>
                                  <a:pt x="473" y="592"/>
                                  <a:pt x="473" y="592"/>
                                </a:cubicBezTo>
                                <a:cubicBezTo>
                                  <a:pt x="494" y="592"/>
                                  <a:pt x="494" y="592"/>
                                  <a:pt x="494" y="592"/>
                                </a:cubicBezTo>
                                <a:cubicBezTo>
                                  <a:pt x="507" y="592"/>
                                  <a:pt x="511" y="583"/>
                                  <a:pt x="511" y="575"/>
                                </a:cubicBezTo>
                                <a:cubicBezTo>
                                  <a:pt x="511" y="549"/>
                                  <a:pt x="511" y="549"/>
                                  <a:pt x="511" y="549"/>
                                </a:cubicBezTo>
                                <a:cubicBezTo>
                                  <a:pt x="524" y="549"/>
                                  <a:pt x="524" y="549"/>
                                  <a:pt x="524" y="549"/>
                                </a:cubicBezTo>
                                <a:cubicBezTo>
                                  <a:pt x="524" y="575"/>
                                  <a:pt x="524" y="575"/>
                                  <a:pt x="524" y="575"/>
                                </a:cubicBezTo>
                                <a:cubicBezTo>
                                  <a:pt x="524" y="583"/>
                                  <a:pt x="532" y="592"/>
                                  <a:pt x="541" y="592"/>
                                </a:cubicBezTo>
                                <a:cubicBezTo>
                                  <a:pt x="562" y="592"/>
                                  <a:pt x="562" y="592"/>
                                  <a:pt x="562" y="592"/>
                                </a:cubicBezTo>
                                <a:lnTo>
                                  <a:pt x="562" y="600"/>
                                </a:lnTo>
                                <a:close/>
                              </a:path>
                            </a:pathLst>
                          </a:custGeom>
                          <a:solidFill>
                            <a:srgbClr val="F25E21"/>
                          </a:solidFill>
                          <a:ln w="0">
                            <a:solidFill>
                              <a:srgbClr val="000000"/>
                            </a:solidFill>
                            <a:prstDash val="solid"/>
                            <a:round/>
                            <a:headEnd/>
                            <a:tailEnd/>
                          </a:ln>
                        </wps:spPr>
                        <wps:bodyPr rot="0" vert="horz" wrap="square" lIns="91440" tIns="45720" rIns="91440" bIns="45720" anchor="t" anchorCtr="0" upright="1">
                          <a:noAutofit/>
                        </wps:bodyPr>
                      </wps:wsp>
                      <wps:wsp>
                        <wps:cNvPr id="834" name="Freeform 74"/>
                        <wps:cNvSpPr>
                          <a:spLocks noEditPoints="1"/>
                        </wps:cNvSpPr>
                        <wps:spPr bwMode="auto">
                          <a:xfrm>
                            <a:off x="4425950" y="499110"/>
                            <a:ext cx="228600" cy="294640"/>
                          </a:xfrm>
                          <a:custGeom>
                            <a:avLst/>
                            <a:gdLst>
                              <a:gd name="T0" fmla="*/ 415 w 608"/>
                              <a:gd name="T1" fmla="*/ 471 h 784"/>
                              <a:gd name="T2" fmla="*/ 558 w 608"/>
                              <a:gd name="T3" fmla="*/ 429 h 784"/>
                              <a:gd name="T4" fmla="*/ 503 w 608"/>
                              <a:gd name="T5" fmla="*/ 203 h 784"/>
                              <a:gd name="T6" fmla="*/ 106 w 608"/>
                              <a:gd name="T7" fmla="*/ 203 h 784"/>
                              <a:gd name="T8" fmla="*/ 56 w 608"/>
                              <a:gd name="T9" fmla="*/ 429 h 784"/>
                              <a:gd name="T10" fmla="*/ 194 w 608"/>
                              <a:gd name="T11" fmla="*/ 471 h 784"/>
                              <a:gd name="T12" fmla="*/ 139 w 608"/>
                              <a:gd name="T13" fmla="*/ 480 h 784"/>
                              <a:gd name="T14" fmla="*/ 0 w 608"/>
                              <a:gd name="T15" fmla="*/ 771 h 784"/>
                              <a:gd name="T16" fmla="*/ 304 w 608"/>
                              <a:gd name="T17" fmla="*/ 784 h 784"/>
                              <a:gd name="T18" fmla="*/ 608 w 608"/>
                              <a:gd name="T19" fmla="*/ 771 h 784"/>
                              <a:gd name="T20" fmla="*/ 139 w 608"/>
                              <a:gd name="T21" fmla="*/ 203 h 784"/>
                              <a:gd name="T22" fmla="*/ 470 w 608"/>
                              <a:gd name="T23" fmla="*/ 203 h 784"/>
                              <a:gd name="T24" fmla="*/ 387 w 608"/>
                              <a:gd name="T25" fmla="*/ 443 h 784"/>
                              <a:gd name="T26" fmla="*/ 410 w 608"/>
                              <a:gd name="T27" fmla="*/ 406 h 784"/>
                              <a:gd name="T28" fmla="*/ 461 w 608"/>
                              <a:gd name="T29" fmla="*/ 236 h 784"/>
                              <a:gd name="T30" fmla="*/ 364 w 608"/>
                              <a:gd name="T31" fmla="*/ 148 h 784"/>
                              <a:gd name="T32" fmla="*/ 332 w 608"/>
                              <a:gd name="T33" fmla="*/ 143 h 784"/>
                              <a:gd name="T34" fmla="*/ 166 w 608"/>
                              <a:gd name="T35" fmla="*/ 213 h 784"/>
                              <a:gd name="T36" fmla="*/ 152 w 608"/>
                              <a:gd name="T37" fmla="*/ 250 h 784"/>
                              <a:gd name="T38" fmla="*/ 226 w 608"/>
                              <a:gd name="T39" fmla="*/ 429 h 784"/>
                              <a:gd name="T40" fmla="*/ 88 w 608"/>
                              <a:gd name="T41" fmla="*/ 420 h 784"/>
                              <a:gd name="T42" fmla="*/ 489 w 608"/>
                              <a:gd name="T43" fmla="*/ 605 h 784"/>
                              <a:gd name="T44" fmla="*/ 489 w 608"/>
                              <a:gd name="T45" fmla="*/ 642 h 784"/>
                              <a:gd name="T46" fmla="*/ 489 w 608"/>
                              <a:gd name="T47" fmla="*/ 605 h 784"/>
                              <a:gd name="T48" fmla="*/ 180 w 608"/>
                              <a:gd name="T49" fmla="*/ 250 h 784"/>
                              <a:gd name="T50" fmla="*/ 341 w 608"/>
                              <a:gd name="T51" fmla="*/ 185 h 784"/>
                              <a:gd name="T52" fmla="*/ 429 w 608"/>
                              <a:gd name="T53" fmla="*/ 250 h 784"/>
                              <a:gd name="T54" fmla="*/ 254 w 608"/>
                              <a:gd name="T55" fmla="*/ 462 h 784"/>
                              <a:gd name="T56" fmla="*/ 355 w 608"/>
                              <a:gd name="T57" fmla="*/ 452 h 784"/>
                              <a:gd name="T58" fmla="*/ 392 w 608"/>
                              <a:gd name="T59" fmla="*/ 499 h 784"/>
                              <a:gd name="T60" fmla="*/ 304 w 608"/>
                              <a:gd name="T61" fmla="*/ 609 h 784"/>
                              <a:gd name="T62" fmla="*/ 217 w 608"/>
                              <a:gd name="T63" fmla="*/ 499 h 784"/>
                              <a:gd name="T64" fmla="*/ 129 w 608"/>
                              <a:gd name="T65" fmla="*/ 517 h 784"/>
                              <a:gd name="T66" fmla="*/ 79 w 608"/>
                              <a:gd name="T67" fmla="*/ 628 h 784"/>
                              <a:gd name="T68" fmla="*/ 83 w 608"/>
                              <a:gd name="T69" fmla="*/ 688 h 784"/>
                              <a:gd name="T70" fmla="*/ 106 w 608"/>
                              <a:gd name="T71" fmla="*/ 692 h 784"/>
                              <a:gd name="T72" fmla="*/ 111 w 608"/>
                              <a:gd name="T73" fmla="*/ 660 h 784"/>
                              <a:gd name="T74" fmla="*/ 111 w 608"/>
                              <a:gd name="T75" fmla="*/ 600 h 784"/>
                              <a:gd name="T76" fmla="*/ 162 w 608"/>
                              <a:gd name="T77" fmla="*/ 591 h 784"/>
                              <a:gd name="T78" fmla="*/ 180 w 608"/>
                              <a:gd name="T79" fmla="*/ 651 h 784"/>
                              <a:gd name="T80" fmla="*/ 189 w 608"/>
                              <a:gd name="T81" fmla="*/ 683 h 784"/>
                              <a:gd name="T82" fmla="*/ 208 w 608"/>
                              <a:gd name="T83" fmla="*/ 651 h 784"/>
                              <a:gd name="T84" fmla="*/ 148 w 608"/>
                              <a:gd name="T85" fmla="*/ 558 h 784"/>
                              <a:gd name="T86" fmla="*/ 171 w 608"/>
                              <a:gd name="T87" fmla="*/ 508 h 784"/>
                              <a:gd name="T88" fmla="*/ 286 w 608"/>
                              <a:gd name="T89" fmla="*/ 757 h 784"/>
                              <a:gd name="T90" fmla="*/ 129 w 608"/>
                              <a:gd name="T91" fmla="*/ 517 h 784"/>
                              <a:gd name="T92" fmla="*/ 323 w 608"/>
                              <a:gd name="T93" fmla="*/ 632 h 784"/>
                              <a:gd name="T94" fmla="*/ 456 w 608"/>
                              <a:gd name="T95" fmla="*/ 512 h 784"/>
                              <a:gd name="T96" fmla="*/ 443 w 608"/>
                              <a:gd name="T97" fmla="*/ 623 h 784"/>
                              <a:gd name="T98" fmla="*/ 535 w 608"/>
                              <a:gd name="T99" fmla="*/ 623 h 784"/>
                              <a:gd name="T100" fmla="*/ 489 w 608"/>
                              <a:gd name="T101" fmla="*/ 522 h 784"/>
                              <a:gd name="T102" fmla="*/ 323 w 608"/>
                              <a:gd name="T103" fmla="*/ 757 h 7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608" h="784">
                                <a:moveTo>
                                  <a:pt x="475" y="485"/>
                                </a:moveTo>
                                <a:cubicBezTo>
                                  <a:pt x="415" y="471"/>
                                  <a:pt x="415" y="471"/>
                                  <a:pt x="415" y="471"/>
                                </a:cubicBezTo>
                                <a:cubicBezTo>
                                  <a:pt x="507" y="462"/>
                                  <a:pt x="544" y="443"/>
                                  <a:pt x="549" y="439"/>
                                </a:cubicBezTo>
                                <a:cubicBezTo>
                                  <a:pt x="553" y="439"/>
                                  <a:pt x="553" y="434"/>
                                  <a:pt x="558" y="429"/>
                                </a:cubicBezTo>
                                <a:cubicBezTo>
                                  <a:pt x="558" y="425"/>
                                  <a:pt x="558" y="420"/>
                                  <a:pt x="553" y="420"/>
                                </a:cubicBezTo>
                                <a:cubicBezTo>
                                  <a:pt x="493" y="309"/>
                                  <a:pt x="503" y="203"/>
                                  <a:pt x="503" y="203"/>
                                </a:cubicBezTo>
                                <a:cubicBezTo>
                                  <a:pt x="503" y="97"/>
                                  <a:pt x="406" y="0"/>
                                  <a:pt x="304" y="0"/>
                                </a:cubicBezTo>
                                <a:cubicBezTo>
                                  <a:pt x="203" y="0"/>
                                  <a:pt x="106" y="97"/>
                                  <a:pt x="106" y="203"/>
                                </a:cubicBezTo>
                                <a:cubicBezTo>
                                  <a:pt x="106" y="203"/>
                                  <a:pt x="116" y="309"/>
                                  <a:pt x="56" y="420"/>
                                </a:cubicBezTo>
                                <a:cubicBezTo>
                                  <a:pt x="51" y="420"/>
                                  <a:pt x="51" y="425"/>
                                  <a:pt x="56" y="429"/>
                                </a:cubicBezTo>
                                <a:cubicBezTo>
                                  <a:pt x="56" y="434"/>
                                  <a:pt x="56" y="439"/>
                                  <a:pt x="60" y="439"/>
                                </a:cubicBezTo>
                                <a:cubicBezTo>
                                  <a:pt x="65" y="439"/>
                                  <a:pt x="106" y="462"/>
                                  <a:pt x="194" y="471"/>
                                </a:cubicBezTo>
                                <a:cubicBezTo>
                                  <a:pt x="139" y="480"/>
                                  <a:pt x="139" y="480"/>
                                  <a:pt x="139" y="480"/>
                                </a:cubicBezTo>
                                <a:cubicBezTo>
                                  <a:pt x="139" y="480"/>
                                  <a:pt x="139" y="480"/>
                                  <a:pt x="139" y="480"/>
                                </a:cubicBezTo>
                                <a:cubicBezTo>
                                  <a:pt x="134" y="485"/>
                                  <a:pt x="134" y="485"/>
                                  <a:pt x="134" y="485"/>
                                </a:cubicBezTo>
                                <a:cubicBezTo>
                                  <a:pt x="28" y="512"/>
                                  <a:pt x="0" y="706"/>
                                  <a:pt x="0" y="771"/>
                                </a:cubicBezTo>
                                <a:cubicBezTo>
                                  <a:pt x="0" y="780"/>
                                  <a:pt x="10" y="784"/>
                                  <a:pt x="19" y="784"/>
                                </a:cubicBezTo>
                                <a:cubicBezTo>
                                  <a:pt x="304" y="784"/>
                                  <a:pt x="304" y="784"/>
                                  <a:pt x="304" y="784"/>
                                </a:cubicBezTo>
                                <a:cubicBezTo>
                                  <a:pt x="590" y="784"/>
                                  <a:pt x="590" y="784"/>
                                  <a:pt x="590" y="784"/>
                                </a:cubicBezTo>
                                <a:cubicBezTo>
                                  <a:pt x="599" y="784"/>
                                  <a:pt x="608" y="780"/>
                                  <a:pt x="608" y="771"/>
                                </a:cubicBezTo>
                                <a:cubicBezTo>
                                  <a:pt x="608" y="706"/>
                                  <a:pt x="585" y="512"/>
                                  <a:pt x="475" y="485"/>
                                </a:cubicBezTo>
                                <a:close/>
                                <a:moveTo>
                                  <a:pt x="139" y="203"/>
                                </a:moveTo>
                                <a:cubicBezTo>
                                  <a:pt x="139" y="111"/>
                                  <a:pt x="217" y="33"/>
                                  <a:pt x="304" y="33"/>
                                </a:cubicBezTo>
                                <a:cubicBezTo>
                                  <a:pt x="392" y="33"/>
                                  <a:pt x="470" y="111"/>
                                  <a:pt x="470" y="203"/>
                                </a:cubicBezTo>
                                <a:cubicBezTo>
                                  <a:pt x="470" y="213"/>
                                  <a:pt x="466" y="309"/>
                                  <a:pt x="521" y="420"/>
                                </a:cubicBezTo>
                                <a:cubicBezTo>
                                  <a:pt x="498" y="425"/>
                                  <a:pt x="456" y="439"/>
                                  <a:pt x="387" y="443"/>
                                </a:cubicBezTo>
                                <a:cubicBezTo>
                                  <a:pt x="387" y="439"/>
                                  <a:pt x="387" y="434"/>
                                  <a:pt x="387" y="429"/>
                                </a:cubicBezTo>
                                <a:cubicBezTo>
                                  <a:pt x="392" y="425"/>
                                  <a:pt x="401" y="416"/>
                                  <a:pt x="410" y="406"/>
                                </a:cubicBezTo>
                                <a:cubicBezTo>
                                  <a:pt x="443" y="360"/>
                                  <a:pt x="461" y="309"/>
                                  <a:pt x="461" y="250"/>
                                </a:cubicBezTo>
                                <a:cubicBezTo>
                                  <a:pt x="461" y="245"/>
                                  <a:pt x="461" y="240"/>
                                  <a:pt x="461" y="236"/>
                                </a:cubicBezTo>
                                <a:cubicBezTo>
                                  <a:pt x="456" y="226"/>
                                  <a:pt x="452" y="217"/>
                                  <a:pt x="443" y="217"/>
                                </a:cubicBezTo>
                                <a:cubicBezTo>
                                  <a:pt x="401" y="217"/>
                                  <a:pt x="369" y="190"/>
                                  <a:pt x="364" y="148"/>
                                </a:cubicBezTo>
                                <a:cubicBezTo>
                                  <a:pt x="360" y="139"/>
                                  <a:pt x="355" y="134"/>
                                  <a:pt x="351" y="134"/>
                                </a:cubicBezTo>
                                <a:cubicBezTo>
                                  <a:pt x="341" y="134"/>
                                  <a:pt x="337" y="139"/>
                                  <a:pt x="332" y="143"/>
                                </a:cubicBezTo>
                                <a:cubicBezTo>
                                  <a:pt x="318" y="180"/>
                                  <a:pt x="245" y="208"/>
                                  <a:pt x="166" y="213"/>
                                </a:cubicBezTo>
                                <a:cubicBezTo>
                                  <a:pt x="166" y="213"/>
                                  <a:pt x="166" y="213"/>
                                  <a:pt x="166" y="213"/>
                                </a:cubicBezTo>
                                <a:cubicBezTo>
                                  <a:pt x="157" y="213"/>
                                  <a:pt x="152" y="217"/>
                                  <a:pt x="152" y="226"/>
                                </a:cubicBezTo>
                                <a:cubicBezTo>
                                  <a:pt x="152" y="236"/>
                                  <a:pt x="152" y="245"/>
                                  <a:pt x="152" y="250"/>
                                </a:cubicBezTo>
                                <a:cubicBezTo>
                                  <a:pt x="152" y="309"/>
                                  <a:pt x="166" y="360"/>
                                  <a:pt x="203" y="406"/>
                                </a:cubicBezTo>
                                <a:cubicBezTo>
                                  <a:pt x="208" y="416"/>
                                  <a:pt x="217" y="425"/>
                                  <a:pt x="226" y="429"/>
                                </a:cubicBezTo>
                                <a:cubicBezTo>
                                  <a:pt x="226" y="434"/>
                                  <a:pt x="226" y="439"/>
                                  <a:pt x="226" y="443"/>
                                </a:cubicBezTo>
                                <a:cubicBezTo>
                                  <a:pt x="152" y="439"/>
                                  <a:pt x="111" y="425"/>
                                  <a:pt x="88" y="420"/>
                                </a:cubicBezTo>
                                <a:cubicBezTo>
                                  <a:pt x="143" y="309"/>
                                  <a:pt x="139" y="213"/>
                                  <a:pt x="139" y="203"/>
                                </a:cubicBezTo>
                                <a:close/>
                                <a:moveTo>
                                  <a:pt x="489" y="605"/>
                                </a:moveTo>
                                <a:cubicBezTo>
                                  <a:pt x="498" y="605"/>
                                  <a:pt x="507" y="614"/>
                                  <a:pt x="507" y="623"/>
                                </a:cubicBezTo>
                                <a:cubicBezTo>
                                  <a:pt x="507" y="632"/>
                                  <a:pt x="498" y="642"/>
                                  <a:pt x="489" y="642"/>
                                </a:cubicBezTo>
                                <a:cubicBezTo>
                                  <a:pt x="475" y="642"/>
                                  <a:pt x="470" y="632"/>
                                  <a:pt x="470" y="623"/>
                                </a:cubicBezTo>
                                <a:cubicBezTo>
                                  <a:pt x="470" y="614"/>
                                  <a:pt x="475" y="605"/>
                                  <a:pt x="489" y="605"/>
                                </a:cubicBezTo>
                                <a:close/>
                                <a:moveTo>
                                  <a:pt x="304" y="439"/>
                                </a:moveTo>
                                <a:cubicBezTo>
                                  <a:pt x="258" y="439"/>
                                  <a:pt x="180" y="360"/>
                                  <a:pt x="180" y="250"/>
                                </a:cubicBezTo>
                                <a:cubicBezTo>
                                  <a:pt x="180" y="250"/>
                                  <a:pt x="180" y="245"/>
                                  <a:pt x="180" y="240"/>
                                </a:cubicBezTo>
                                <a:cubicBezTo>
                                  <a:pt x="249" y="240"/>
                                  <a:pt x="309" y="217"/>
                                  <a:pt x="341" y="185"/>
                                </a:cubicBezTo>
                                <a:cubicBezTo>
                                  <a:pt x="355" y="222"/>
                                  <a:pt x="387" y="245"/>
                                  <a:pt x="429" y="250"/>
                                </a:cubicBezTo>
                                <a:cubicBezTo>
                                  <a:pt x="429" y="250"/>
                                  <a:pt x="429" y="250"/>
                                  <a:pt x="429" y="250"/>
                                </a:cubicBezTo>
                                <a:cubicBezTo>
                                  <a:pt x="429" y="360"/>
                                  <a:pt x="355" y="439"/>
                                  <a:pt x="304" y="439"/>
                                </a:cubicBezTo>
                                <a:close/>
                                <a:moveTo>
                                  <a:pt x="254" y="462"/>
                                </a:moveTo>
                                <a:cubicBezTo>
                                  <a:pt x="254" y="462"/>
                                  <a:pt x="254" y="457"/>
                                  <a:pt x="254" y="452"/>
                                </a:cubicBezTo>
                                <a:cubicBezTo>
                                  <a:pt x="291" y="475"/>
                                  <a:pt x="323" y="475"/>
                                  <a:pt x="355" y="452"/>
                                </a:cubicBezTo>
                                <a:cubicBezTo>
                                  <a:pt x="355" y="457"/>
                                  <a:pt x="360" y="462"/>
                                  <a:pt x="360" y="462"/>
                                </a:cubicBezTo>
                                <a:cubicBezTo>
                                  <a:pt x="364" y="485"/>
                                  <a:pt x="383" y="494"/>
                                  <a:pt x="392" y="499"/>
                                </a:cubicBezTo>
                                <a:cubicBezTo>
                                  <a:pt x="406" y="499"/>
                                  <a:pt x="406" y="499"/>
                                  <a:pt x="406" y="499"/>
                                </a:cubicBezTo>
                                <a:cubicBezTo>
                                  <a:pt x="378" y="558"/>
                                  <a:pt x="323" y="609"/>
                                  <a:pt x="304" y="609"/>
                                </a:cubicBezTo>
                                <a:cubicBezTo>
                                  <a:pt x="286" y="609"/>
                                  <a:pt x="235" y="558"/>
                                  <a:pt x="203" y="499"/>
                                </a:cubicBezTo>
                                <a:cubicBezTo>
                                  <a:pt x="217" y="499"/>
                                  <a:pt x="217" y="499"/>
                                  <a:pt x="217" y="499"/>
                                </a:cubicBezTo>
                                <a:cubicBezTo>
                                  <a:pt x="231" y="494"/>
                                  <a:pt x="245" y="485"/>
                                  <a:pt x="254" y="462"/>
                                </a:cubicBezTo>
                                <a:close/>
                                <a:moveTo>
                                  <a:pt x="129" y="517"/>
                                </a:moveTo>
                                <a:cubicBezTo>
                                  <a:pt x="125" y="531"/>
                                  <a:pt x="125" y="545"/>
                                  <a:pt x="120" y="558"/>
                                </a:cubicBezTo>
                                <a:cubicBezTo>
                                  <a:pt x="93" y="568"/>
                                  <a:pt x="74" y="595"/>
                                  <a:pt x="79" y="628"/>
                                </a:cubicBezTo>
                                <a:cubicBezTo>
                                  <a:pt x="83" y="665"/>
                                  <a:pt x="83" y="665"/>
                                  <a:pt x="83" y="665"/>
                                </a:cubicBezTo>
                                <a:cubicBezTo>
                                  <a:pt x="79" y="674"/>
                                  <a:pt x="79" y="678"/>
                                  <a:pt x="83" y="688"/>
                                </a:cubicBezTo>
                                <a:cubicBezTo>
                                  <a:pt x="83" y="692"/>
                                  <a:pt x="88" y="692"/>
                                  <a:pt x="93" y="697"/>
                                </a:cubicBezTo>
                                <a:cubicBezTo>
                                  <a:pt x="97" y="697"/>
                                  <a:pt x="102" y="697"/>
                                  <a:pt x="106" y="692"/>
                                </a:cubicBezTo>
                                <a:cubicBezTo>
                                  <a:pt x="120" y="688"/>
                                  <a:pt x="120" y="674"/>
                                  <a:pt x="116" y="665"/>
                                </a:cubicBezTo>
                                <a:cubicBezTo>
                                  <a:pt x="116" y="665"/>
                                  <a:pt x="111" y="660"/>
                                  <a:pt x="111" y="660"/>
                                </a:cubicBezTo>
                                <a:cubicBezTo>
                                  <a:pt x="106" y="623"/>
                                  <a:pt x="106" y="623"/>
                                  <a:pt x="106" y="623"/>
                                </a:cubicBezTo>
                                <a:cubicBezTo>
                                  <a:pt x="102" y="614"/>
                                  <a:pt x="106" y="605"/>
                                  <a:pt x="111" y="600"/>
                                </a:cubicBezTo>
                                <a:cubicBezTo>
                                  <a:pt x="116" y="591"/>
                                  <a:pt x="125" y="586"/>
                                  <a:pt x="134" y="586"/>
                                </a:cubicBezTo>
                                <a:cubicBezTo>
                                  <a:pt x="143" y="582"/>
                                  <a:pt x="152" y="586"/>
                                  <a:pt x="162" y="591"/>
                                </a:cubicBezTo>
                                <a:cubicBezTo>
                                  <a:pt x="171" y="600"/>
                                  <a:pt x="175" y="605"/>
                                  <a:pt x="175" y="614"/>
                                </a:cubicBezTo>
                                <a:cubicBezTo>
                                  <a:pt x="180" y="651"/>
                                  <a:pt x="180" y="651"/>
                                  <a:pt x="180" y="651"/>
                                </a:cubicBezTo>
                                <a:cubicBezTo>
                                  <a:pt x="175" y="655"/>
                                  <a:pt x="175" y="655"/>
                                  <a:pt x="175" y="660"/>
                                </a:cubicBezTo>
                                <a:cubicBezTo>
                                  <a:pt x="171" y="669"/>
                                  <a:pt x="175" y="678"/>
                                  <a:pt x="189" y="683"/>
                                </a:cubicBezTo>
                                <a:cubicBezTo>
                                  <a:pt x="199" y="688"/>
                                  <a:pt x="208" y="678"/>
                                  <a:pt x="212" y="669"/>
                                </a:cubicBezTo>
                                <a:cubicBezTo>
                                  <a:pt x="212" y="665"/>
                                  <a:pt x="212" y="655"/>
                                  <a:pt x="208" y="651"/>
                                </a:cubicBezTo>
                                <a:cubicBezTo>
                                  <a:pt x="203" y="614"/>
                                  <a:pt x="203" y="614"/>
                                  <a:pt x="203" y="614"/>
                                </a:cubicBezTo>
                                <a:cubicBezTo>
                                  <a:pt x="199" y="586"/>
                                  <a:pt x="175" y="563"/>
                                  <a:pt x="148" y="558"/>
                                </a:cubicBezTo>
                                <a:cubicBezTo>
                                  <a:pt x="152" y="540"/>
                                  <a:pt x="157" y="526"/>
                                  <a:pt x="162" y="508"/>
                                </a:cubicBezTo>
                                <a:cubicBezTo>
                                  <a:pt x="171" y="508"/>
                                  <a:pt x="171" y="508"/>
                                  <a:pt x="171" y="508"/>
                                </a:cubicBezTo>
                                <a:cubicBezTo>
                                  <a:pt x="199" y="558"/>
                                  <a:pt x="249" y="618"/>
                                  <a:pt x="286" y="632"/>
                                </a:cubicBezTo>
                                <a:cubicBezTo>
                                  <a:pt x="286" y="757"/>
                                  <a:pt x="286" y="757"/>
                                  <a:pt x="286" y="757"/>
                                </a:cubicBezTo>
                                <a:cubicBezTo>
                                  <a:pt x="33" y="757"/>
                                  <a:pt x="33" y="757"/>
                                  <a:pt x="33" y="757"/>
                                </a:cubicBezTo>
                                <a:cubicBezTo>
                                  <a:pt x="37" y="688"/>
                                  <a:pt x="60" y="531"/>
                                  <a:pt x="129" y="517"/>
                                </a:cubicBezTo>
                                <a:close/>
                                <a:moveTo>
                                  <a:pt x="323" y="757"/>
                                </a:moveTo>
                                <a:cubicBezTo>
                                  <a:pt x="323" y="632"/>
                                  <a:pt x="323" y="632"/>
                                  <a:pt x="323" y="632"/>
                                </a:cubicBezTo>
                                <a:cubicBezTo>
                                  <a:pt x="360" y="618"/>
                                  <a:pt x="410" y="558"/>
                                  <a:pt x="438" y="508"/>
                                </a:cubicBezTo>
                                <a:cubicBezTo>
                                  <a:pt x="456" y="512"/>
                                  <a:pt x="456" y="512"/>
                                  <a:pt x="456" y="512"/>
                                </a:cubicBezTo>
                                <a:cubicBezTo>
                                  <a:pt x="466" y="531"/>
                                  <a:pt x="470" y="554"/>
                                  <a:pt x="470" y="582"/>
                                </a:cubicBezTo>
                                <a:cubicBezTo>
                                  <a:pt x="452" y="586"/>
                                  <a:pt x="443" y="605"/>
                                  <a:pt x="443" y="623"/>
                                </a:cubicBezTo>
                                <a:cubicBezTo>
                                  <a:pt x="443" y="651"/>
                                  <a:pt x="461" y="669"/>
                                  <a:pt x="489" y="669"/>
                                </a:cubicBezTo>
                                <a:cubicBezTo>
                                  <a:pt x="512" y="669"/>
                                  <a:pt x="535" y="651"/>
                                  <a:pt x="535" y="623"/>
                                </a:cubicBezTo>
                                <a:cubicBezTo>
                                  <a:pt x="535" y="600"/>
                                  <a:pt x="521" y="582"/>
                                  <a:pt x="498" y="577"/>
                                </a:cubicBezTo>
                                <a:cubicBezTo>
                                  <a:pt x="498" y="558"/>
                                  <a:pt x="493" y="540"/>
                                  <a:pt x="489" y="522"/>
                                </a:cubicBezTo>
                                <a:cubicBezTo>
                                  <a:pt x="553" y="563"/>
                                  <a:pt x="572" y="692"/>
                                  <a:pt x="576" y="757"/>
                                </a:cubicBezTo>
                                <a:lnTo>
                                  <a:pt x="323" y="757"/>
                                </a:lnTo>
                                <a:close/>
                              </a:path>
                            </a:pathLst>
                          </a:custGeom>
                          <a:solidFill>
                            <a:srgbClr val="F25E21"/>
                          </a:solidFill>
                          <a:ln w="0">
                            <a:solidFill>
                              <a:srgbClr val="000000"/>
                            </a:solidFill>
                            <a:prstDash val="solid"/>
                            <a:round/>
                            <a:headEnd/>
                            <a:tailEnd/>
                          </a:ln>
                        </wps:spPr>
                        <wps:bodyPr rot="0" vert="horz" wrap="square" lIns="91440" tIns="45720" rIns="91440" bIns="45720" anchor="t" anchorCtr="0" upright="1">
                          <a:noAutofit/>
                        </wps:bodyPr>
                      </wps:wsp>
                      <wps:wsp>
                        <wps:cNvPr id="835" name="Freeform 75"/>
                        <wps:cNvSpPr>
                          <a:spLocks noEditPoints="1"/>
                        </wps:cNvSpPr>
                        <wps:spPr bwMode="auto">
                          <a:xfrm>
                            <a:off x="883920" y="474980"/>
                            <a:ext cx="361315" cy="300990"/>
                          </a:xfrm>
                          <a:custGeom>
                            <a:avLst/>
                            <a:gdLst>
                              <a:gd name="T0" fmla="*/ 805 w 960"/>
                              <a:gd name="T1" fmla="*/ 100 h 800"/>
                              <a:gd name="T2" fmla="*/ 642 w 960"/>
                              <a:gd name="T3" fmla="*/ 63 h 800"/>
                              <a:gd name="T4" fmla="*/ 728 w 960"/>
                              <a:gd name="T5" fmla="*/ 179 h 800"/>
                              <a:gd name="T6" fmla="*/ 536 w 960"/>
                              <a:gd name="T7" fmla="*/ 465 h 800"/>
                              <a:gd name="T8" fmla="*/ 201 w 960"/>
                              <a:gd name="T9" fmla="*/ 407 h 800"/>
                              <a:gd name="T10" fmla="*/ 205 w 960"/>
                              <a:gd name="T11" fmla="*/ 253 h 800"/>
                              <a:gd name="T12" fmla="*/ 37 w 960"/>
                              <a:gd name="T13" fmla="*/ 299 h 800"/>
                              <a:gd name="T14" fmla="*/ 21 w 960"/>
                              <a:gd name="T15" fmla="*/ 432 h 800"/>
                              <a:gd name="T16" fmla="*/ 74 w 960"/>
                              <a:gd name="T17" fmla="*/ 345 h 800"/>
                              <a:gd name="T18" fmla="*/ 94 w 960"/>
                              <a:gd name="T19" fmla="*/ 780 h 800"/>
                              <a:gd name="T20" fmla="*/ 789 w 960"/>
                              <a:gd name="T21" fmla="*/ 655 h 800"/>
                              <a:gd name="T22" fmla="*/ 813 w 960"/>
                              <a:gd name="T23" fmla="*/ 498 h 800"/>
                              <a:gd name="T24" fmla="*/ 748 w 960"/>
                              <a:gd name="T25" fmla="*/ 473 h 800"/>
                              <a:gd name="T26" fmla="*/ 854 w 960"/>
                              <a:gd name="T27" fmla="*/ 452 h 800"/>
                              <a:gd name="T28" fmla="*/ 936 w 960"/>
                              <a:gd name="T29" fmla="*/ 747 h 800"/>
                              <a:gd name="T30" fmla="*/ 736 w 960"/>
                              <a:gd name="T31" fmla="*/ 29 h 800"/>
                              <a:gd name="T32" fmla="*/ 736 w 960"/>
                              <a:gd name="T33" fmla="*/ 54 h 800"/>
                              <a:gd name="T34" fmla="*/ 728 w 960"/>
                              <a:gd name="T35" fmla="*/ 46 h 800"/>
                              <a:gd name="T36" fmla="*/ 724 w 960"/>
                              <a:gd name="T37" fmla="*/ 46 h 800"/>
                              <a:gd name="T38" fmla="*/ 711 w 960"/>
                              <a:gd name="T39" fmla="*/ 50 h 800"/>
                              <a:gd name="T40" fmla="*/ 675 w 960"/>
                              <a:gd name="T41" fmla="*/ 58 h 800"/>
                              <a:gd name="T42" fmla="*/ 666 w 960"/>
                              <a:gd name="T43" fmla="*/ 100 h 800"/>
                              <a:gd name="T44" fmla="*/ 683 w 960"/>
                              <a:gd name="T45" fmla="*/ 83 h 800"/>
                              <a:gd name="T46" fmla="*/ 719 w 960"/>
                              <a:gd name="T47" fmla="*/ 71 h 800"/>
                              <a:gd name="T48" fmla="*/ 773 w 960"/>
                              <a:gd name="T49" fmla="*/ 100 h 800"/>
                              <a:gd name="T50" fmla="*/ 666 w 960"/>
                              <a:gd name="T51" fmla="*/ 100 h 800"/>
                              <a:gd name="T52" fmla="*/ 33 w 960"/>
                              <a:gd name="T53" fmla="*/ 403 h 800"/>
                              <a:gd name="T54" fmla="*/ 70 w 960"/>
                              <a:gd name="T55" fmla="*/ 320 h 800"/>
                              <a:gd name="T56" fmla="*/ 323 w 960"/>
                              <a:gd name="T57" fmla="*/ 498 h 800"/>
                              <a:gd name="T58" fmla="*/ 148 w 960"/>
                              <a:gd name="T59" fmla="*/ 448 h 800"/>
                              <a:gd name="T60" fmla="*/ 152 w 960"/>
                              <a:gd name="T61" fmla="*/ 415 h 800"/>
                              <a:gd name="T62" fmla="*/ 119 w 960"/>
                              <a:gd name="T63" fmla="*/ 411 h 800"/>
                              <a:gd name="T64" fmla="*/ 221 w 960"/>
                              <a:gd name="T65" fmla="*/ 340 h 800"/>
                              <a:gd name="T66" fmla="*/ 143 w 960"/>
                              <a:gd name="T67" fmla="*/ 378 h 800"/>
                              <a:gd name="T68" fmla="*/ 164 w 960"/>
                              <a:gd name="T69" fmla="*/ 315 h 800"/>
                              <a:gd name="T70" fmla="*/ 205 w 960"/>
                              <a:gd name="T71" fmla="*/ 307 h 800"/>
                              <a:gd name="T72" fmla="*/ 217 w 960"/>
                              <a:gd name="T73" fmla="*/ 303 h 800"/>
                              <a:gd name="T74" fmla="*/ 197 w 960"/>
                              <a:gd name="T75" fmla="*/ 274 h 800"/>
                              <a:gd name="T76" fmla="*/ 201 w 960"/>
                              <a:gd name="T77" fmla="*/ 282 h 800"/>
                              <a:gd name="T78" fmla="*/ 139 w 960"/>
                              <a:gd name="T79" fmla="*/ 311 h 800"/>
                              <a:gd name="T80" fmla="*/ 127 w 960"/>
                              <a:gd name="T81" fmla="*/ 361 h 800"/>
                              <a:gd name="T82" fmla="*/ 115 w 960"/>
                              <a:gd name="T83" fmla="*/ 374 h 800"/>
                              <a:gd name="T84" fmla="*/ 103 w 960"/>
                              <a:gd name="T85" fmla="*/ 320 h 800"/>
                              <a:gd name="T86" fmla="*/ 789 w 960"/>
                              <a:gd name="T87" fmla="*/ 539 h 800"/>
                              <a:gd name="T88" fmla="*/ 119 w 960"/>
                              <a:gd name="T89" fmla="*/ 452 h 800"/>
                              <a:gd name="T90" fmla="*/ 446 w 960"/>
                              <a:gd name="T91" fmla="*/ 585 h 800"/>
                              <a:gd name="T92" fmla="*/ 781 w 960"/>
                              <a:gd name="T93" fmla="*/ 527 h 800"/>
                              <a:gd name="T94" fmla="*/ 891 w 960"/>
                              <a:gd name="T95" fmla="*/ 776 h 800"/>
                              <a:gd name="T96" fmla="*/ 773 w 960"/>
                              <a:gd name="T97" fmla="*/ 295 h 800"/>
                              <a:gd name="T98" fmla="*/ 699 w 960"/>
                              <a:gd name="T99" fmla="*/ 394 h 800"/>
                              <a:gd name="T100" fmla="*/ 691 w 960"/>
                              <a:gd name="T101" fmla="*/ 357 h 800"/>
                              <a:gd name="T102" fmla="*/ 907 w 960"/>
                              <a:gd name="T103" fmla="*/ 349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960" h="800">
                                <a:moveTo>
                                  <a:pt x="932" y="336"/>
                                </a:moveTo>
                                <a:cubicBezTo>
                                  <a:pt x="924" y="324"/>
                                  <a:pt x="916" y="307"/>
                                  <a:pt x="907" y="291"/>
                                </a:cubicBezTo>
                                <a:cubicBezTo>
                                  <a:pt x="879" y="212"/>
                                  <a:pt x="822" y="162"/>
                                  <a:pt x="773" y="162"/>
                                </a:cubicBezTo>
                                <a:cubicBezTo>
                                  <a:pt x="793" y="146"/>
                                  <a:pt x="805" y="125"/>
                                  <a:pt x="805" y="100"/>
                                </a:cubicBezTo>
                                <a:cubicBezTo>
                                  <a:pt x="805" y="96"/>
                                  <a:pt x="801" y="92"/>
                                  <a:pt x="801" y="88"/>
                                </a:cubicBezTo>
                                <a:cubicBezTo>
                                  <a:pt x="805" y="83"/>
                                  <a:pt x="805" y="75"/>
                                  <a:pt x="801" y="67"/>
                                </a:cubicBezTo>
                                <a:cubicBezTo>
                                  <a:pt x="797" y="46"/>
                                  <a:pt x="773" y="13"/>
                                  <a:pt x="740" y="5"/>
                                </a:cubicBezTo>
                                <a:cubicBezTo>
                                  <a:pt x="699" y="0"/>
                                  <a:pt x="654" y="21"/>
                                  <a:pt x="642" y="63"/>
                                </a:cubicBezTo>
                                <a:cubicBezTo>
                                  <a:pt x="642" y="63"/>
                                  <a:pt x="642" y="67"/>
                                  <a:pt x="646" y="75"/>
                                </a:cubicBezTo>
                                <a:cubicBezTo>
                                  <a:pt x="646" y="83"/>
                                  <a:pt x="642" y="92"/>
                                  <a:pt x="642" y="100"/>
                                </a:cubicBezTo>
                                <a:cubicBezTo>
                                  <a:pt x="642" y="146"/>
                                  <a:pt x="679" y="183"/>
                                  <a:pt x="724" y="183"/>
                                </a:cubicBezTo>
                                <a:cubicBezTo>
                                  <a:pt x="724" y="183"/>
                                  <a:pt x="728" y="179"/>
                                  <a:pt x="728" y="179"/>
                                </a:cubicBezTo>
                                <a:cubicBezTo>
                                  <a:pt x="711" y="199"/>
                                  <a:pt x="707" y="224"/>
                                  <a:pt x="703" y="257"/>
                                </a:cubicBezTo>
                                <a:cubicBezTo>
                                  <a:pt x="699" y="282"/>
                                  <a:pt x="691" y="320"/>
                                  <a:pt x="670" y="340"/>
                                </a:cubicBezTo>
                                <a:cubicBezTo>
                                  <a:pt x="654" y="365"/>
                                  <a:pt x="601" y="403"/>
                                  <a:pt x="564" y="415"/>
                                </a:cubicBezTo>
                                <a:cubicBezTo>
                                  <a:pt x="544" y="423"/>
                                  <a:pt x="532" y="448"/>
                                  <a:pt x="536" y="465"/>
                                </a:cubicBezTo>
                                <a:cubicBezTo>
                                  <a:pt x="536" y="465"/>
                                  <a:pt x="540" y="469"/>
                                  <a:pt x="540" y="473"/>
                                </a:cubicBezTo>
                                <a:cubicBezTo>
                                  <a:pt x="331" y="473"/>
                                  <a:pt x="331" y="473"/>
                                  <a:pt x="331" y="473"/>
                                </a:cubicBezTo>
                                <a:cubicBezTo>
                                  <a:pt x="319" y="461"/>
                                  <a:pt x="274" y="423"/>
                                  <a:pt x="254" y="415"/>
                                </a:cubicBezTo>
                                <a:cubicBezTo>
                                  <a:pt x="241" y="411"/>
                                  <a:pt x="221" y="407"/>
                                  <a:pt x="201" y="407"/>
                                </a:cubicBezTo>
                                <a:cubicBezTo>
                                  <a:pt x="225" y="394"/>
                                  <a:pt x="241" y="374"/>
                                  <a:pt x="246" y="349"/>
                                </a:cubicBezTo>
                                <a:cubicBezTo>
                                  <a:pt x="250" y="324"/>
                                  <a:pt x="246" y="299"/>
                                  <a:pt x="229" y="278"/>
                                </a:cubicBezTo>
                                <a:cubicBezTo>
                                  <a:pt x="229" y="278"/>
                                  <a:pt x="229" y="274"/>
                                  <a:pt x="229" y="274"/>
                                </a:cubicBezTo>
                                <a:cubicBezTo>
                                  <a:pt x="225" y="266"/>
                                  <a:pt x="217" y="257"/>
                                  <a:pt x="205" y="253"/>
                                </a:cubicBezTo>
                                <a:cubicBezTo>
                                  <a:pt x="205" y="253"/>
                                  <a:pt x="205" y="253"/>
                                  <a:pt x="205" y="253"/>
                                </a:cubicBezTo>
                                <a:cubicBezTo>
                                  <a:pt x="184" y="241"/>
                                  <a:pt x="152" y="228"/>
                                  <a:pt x="119" y="249"/>
                                </a:cubicBezTo>
                                <a:cubicBezTo>
                                  <a:pt x="103" y="262"/>
                                  <a:pt x="90" y="282"/>
                                  <a:pt x="82" y="299"/>
                                </a:cubicBezTo>
                                <a:cubicBezTo>
                                  <a:pt x="66" y="291"/>
                                  <a:pt x="49" y="291"/>
                                  <a:pt x="37" y="299"/>
                                </a:cubicBezTo>
                                <a:cubicBezTo>
                                  <a:pt x="13" y="307"/>
                                  <a:pt x="5" y="328"/>
                                  <a:pt x="9" y="357"/>
                                </a:cubicBezTo>
                                <a:cubicBezTo>
                                  <a:pt x="13" y="394"/>
                                  <a:pt x="9" y="403"/>
                                  <a:pt x="9" y="407"/>
                                </a:cubicBezTo>
                                <a:cubicBezTo>
                                  <a:pt x="5" y="411"/>
                                  <a:pt x="0" y="415"/>
                                  <a:pt x="5" y="423"/>
                                </a:cubicBezTo>
                                <a:cubicBezTo>
                                  <a:pt x="9" y="427"/>
                                  <a:pt x="13" y="432"/>
                                  <a:pt x="21" y="432"/>
                                </a:cubicBezTo>
                                <a:cubicBezTo>
                                  <a:pt x="25" y="432"/>
                                  <a:pt x="25" y="432"/>
                                  <a:pt x="29" y="432"/>
                                </a:cubicBezTo>
                                <a:cubicBezTo>
                                  <a:pt x="41" y="427"/>
                                  <a:pt x="58" y="419"/>
                                  <a:pt x="62" y="398"/>
                                </a:cubicBezTo>
                                <a:cubicBezTo>
                                  <a:pt x="62" y="394"/>
                                  <a:pt x="66" y="390"/>
                                  <a:pt x="66" y="382"/>
                                </a:cubicBezTo>
                                <a:cubicBezTo>
                                  <a:pt x="66" y="369"/>
                                  <a:pt x="70" y="345"/>
                                  <a:pt x="74" y="345"/>
                                </a:cubicBezTo>
                                <a:cubicBezTo>
                                  <a:pt x="78" y="345"/>
                                  <a:pt x="78" y="345"/>
                                  <a:pt x="78" y="340"/>
                                </a:cubicBezTo>
                                <a:cubicBezTo>
                                  <a:pt x="82" y="365"/>
                                  <a:pt x="90" y="382"/>
                                  <a:pt x="99" y="390"/>
                                </a:cubicBezTo>
                                <a:cubicBezTo>
                                  <a:pt x="94" y="390"/>
                                  <a:pt x="94" y="394"/>
                                  <a:pt x="94" y="398"/>
                                </a:cubicBezTo>
                                <a:cubicBezTo>
                                  <a:pt x="94" y="780"/>
                                  <a:pt x="94" y="780"/>
                                  <a:pt x="94" y="780"/>
                                </a:cubicBezTo>
                                <a:cubicBezTo>
                                  <a:pt x="94" y="784"/>
                                  <a:pt x="99" y="792"/>
                                  <a:pt x="107" y="792"/>
                                </a:cubicBezTo>
                                <a:cubicBezTo>
                                  <a:pt x="115" y="792"/>
                                  <a:pt x="119" y="784"/>
                                  <a:pt x="119" y="780"/>
                                </a:cubicBezTo>
                                <a:cubicBezTo>
                                  <a:pt x="119" y="655"/>
                                  <a:pt x="119" y="655"/>
                                  <a:pt x="119" y="655"/>
                                </a:cubicBezTo>
                                <a:cubicBezTo>
                                  <a:pt x="789" y="655"/>
                                  <a:pt x="789" y="655"/>
                                  <a:pt x="789" y="655"/>
                                </a:cubicBezTo>
                                <a:cubicBezTo>
                                  <a:pt x="789" y="780"/>
                                  <a:pt x="789" y="780"/>
                                  <a:pt x="789" y="780"/>
                                </a:cubicBezTo>
                                <a:cubicBezTo>
                                  <a:pt x="789" y="784"/>
                                  <a:pt x="797" y="792"/>
                                  <a:pt x="801" y="792"/>
                                </a:cubicBezTo>
                                <a:cubicBezTo>
                                  <a:pt x="809" y="792"/>
                                  <a:pt x="813" y="784"/>
                                  <a:pt x="813" y="780"/>
                                </a:cubicBezTo>
                                <a:cubicBezTo>
                                  <a:pt x="813" y="498"/>
                                  <a:pt x="813" y="498"/>
                                  <a:pt x="813" y="498"/>
                                </a:cubicBezTo>
                                <a:cubicBezTo>
                                  <a:pt x="813" y="490"/>
                                  <a:pt x="809" y="485"/>
                                  <a:pt x="801" y="485"/>
                                </a:cubicBezTo>
                                <a:cubicBezTo>
                                  <a:pt x="797" y="485"/>
                                  <a:pt x="789" y="490"/>
                                  <a:pt x="789" y="498"/>
                                </a:cubicBezTo>
                                <a:cubicBezTo>
                                  <a:pt x="789" y="498"/>
                                  <a:pt x="789" y="498"/>
                                  <a:pt x="789" y="498"/>
                                </a:cubicBezTo>
                                <a:cubicBezTo>
                                  <a:pt x="773" y="477"/>
                                  <a:pt x="752" y="473"/>
                                  <a:pt x="748" y="473"/>
                                </a:cubicBezTo>
                                <a:cubicBezTo>
                                  <a:pt x="617" y="473"/>
                                  <a:pt x="617" y="473"/>
                                  <a:pt x="617" y="473"/>
                                </a:cubicBezTo>
                                <a:cubicBezTo>
                                  <a:pt x="650" y="461"/>
                                  <a:pt x="683" y="440"/>
                                  <a:pt x="715" y="411"/>
                                </a:cubicBezTo>
                                <a:cubicBezTo>
                                  <a:pt x="736" y="394"/>
                                  <a:pt x="752" y="357"/>
                                  <a:pt x="764" y="324"/>
                                </a:cubicBezTo>
                                <a:cubicBezTo>
                                  <a:pt x="813" y="394"/>
                                  <a:pt x="842" y="436"/>
                                  <a:pt x="854" y="452"/>
                                </a:cubicBezTo>
                                <a:cubicBezTo>
                                  <a:pt x="854" y="490"/>
                                  <a:pt x="854" y="734"/>
                                  <a:pt x="854" y="751"/>
                                </a:cubicBezTo>
                                <a:cubicBezTo>
                                  <a:pt x="858" y="784"/>
                                  <a:pt x="875" y="800"/>
                                  <a:pt x="891" y="800"/>
                                </a:cubicBezTo>
                                <a:cubicBezTo>
                                  <a:pt x="891" y="800"/>
                                  <a:pt x="891" y="800"/>
                                  <a:pt x="891" y="800"/>
                                </a:cubicBezTo>
                                <a:cubicBezTo>
                                  <a:pt x="916" y="800"/>
                                  <a:pt x="936" y="776"/>
                                  <a:pt x="936" y="747"/>
                                </a:cubicBezTo>
                                <a:cubicBezTo>
                                  <a:pt x="940" y="713"/>
                                  <a:pt x="956" y="519"/>
                                  <a:pt x="960" y="456"/>
                                </a:cubicBezTo>
                                <a:cubicBezTo>
                                  <a:pt x="960" y="444"/>
                                  <a:pt x="960" y="436"/>
                                  <a:pt x="960" y="436"/>
                                </a:cubicBezTo>
                                <a:cubicBezTo>
                                  <a:pt x="960" y="390"/>
                                  <a:pt x="944" y="361"/>
                                  <a:pt x="932" y="336"/>
                                </a:cubicBezTo>
                                <a:close/>
                                <a:moveTo>
                                  <a:pt x="736" y="29"/>
                                </a:moveTo>
                                <a:cubicBezTo>
                                  <a:pt x="760" y="34"/>
                                  <a:pt x="777" y="67"/>
                                  <a:pt x="781" y="75"/>
                                </a:cubicBezTo>
                                <a:cubicBezTo>
                                  <a:pt x="781" y="75"/>
                                  <a:pt x="781" y="75"/>
                                  <a:pt x="781" y="75"/>
                                </a:cubicBezTo>
                                <a:cubicBezTo>
                                  <a:pt x="777" y="75"/>
                                  <a:pt x="773" y="75"/>
                                  <a:pt x="768" y="75"/>
                                </a:cubicBezTo>
                                <a:cubicBezTo>
                                  <a:pt x="756" y="75"/>
                                  <a:pt x="744" y="58"/>
                                  <a:pt x="736" y="54"/>
                                </a:cubicBezTo>
                                <a:cubicBezTo>
                                  <a:pt x="736" y="50"/>
                                  <a:pt x="736" y="50"/>
                                  <a:pt x="736" y="50"/>
                                </a:cubicBezTo>
                                <a:cubicBezTo>
                                  <a:pt x="732" y="50"/>
                                  <a:pt x="732" y="50"/>
                                  <a:pt x="732" y="46"/>
                                </a:cubicBezTo>
                                <a:cubicBezTo>
                                  <a:pt x="732" y="46"/>
                                  <a:pt x="732" y="46"/>
                                  <a:pt x="732" y="46"/>
                                </a:cubicBezTo>
                                <a:cubicBezTo>
                                  <a:pt x="732" y="46"/>
                                  <a:pt x="728" y="46"/>
                                  <a:pt x="728" y="46"/>
                                </a:cubicBezTo>
                                <a:cubicBezTo>
                                  <a:pt x="728" y="46"/>
                                  <a:pt x="728" y="46"/>
                                  <a:pt x="728" y="46"/>
                                </a:cubicBezTo>
                                <a:cubicBezTo>
                                  <a:pt x="728" y="46"/>
                                  <a:pt x="728" y="46"/>
                                  <a:pt x="728" y="46"/>
                                </a:cubicBezTo>
                                <a:cubicBezTo>
                                  <a:pt x="724" y="46"/>
                                  <a:pt x="724" y="46"/>
                                  <a:pt x="724" y="46"/>
                                </a:cubicBezTo>
                                <a:cubicBezTo>
                                  <a:pt x="724" y="46"/>
                                  <a:pt x="724" y="46"/>
                                  <a:pt x="724" y="46"/>
                                </a:cubicBezTo>
                                <a:cubicBezTo>
                                  <a:pt x="724" y="46"/>
                                  <a:pt x="724" y="46"/>
                                  <a:pt x="724" y="46"/>
                                </a:cubicBezTo>
                                <a:cubicBezTo>
                                  <a:pt x="719" y="46"/>
                                  <a:pt x="719" y="46"/>
                                  <a:pt x="715" y="46"/>
                                </a:cubicBezTo>
                                <a:cubicBezTo>
                                  <a:pt x="715" y="46"/>
                                  <a:pt x="715" y="46"/>
                                  <a:pt x="715" y="46"/>
                                </a:cubicBezTo>
                                <a:cubicBezTo>
                                  <a:pt x="715" y="46"/>
                                  <a:pt x="711" y="46"/>
                                  <a:pt x="711" y="50"/>
                                </a:cubicBezTo>
                                <a:cubicBezTo>
                                  <a:pt x="707" y="50"/>
                                  <a:pt x="699" y="54"/>
                                  <a:pt x="691" y="54"/>
                                </a:cubicBezTo>
                                <a:cubicBezTo>
                                  <a:pt x="687" y="54"/>
                                  <a:pt x="687" y="58"/>
                                  <a:pt x="683" y="58"/>
                                </a:cubicBezTo>
                                <a:cubicBezTo>
                                  <a:pt x="683" y="58"/>
                                  <a:pt x="683" y="58"/>
                                  <a:pt x="679" y="58"/>
                                </a:cubicBezTo>
                                <a:cubicBezTo>
                                  <a:pt x="679" y="58"/>
                                  <a:pt x="675" y="58"/>
                                  <a:pt x="675" y="58"/>
                                </a:cubicBezTo>
                                <a:cubicBezTo>
                                  <a:pt x="675" y="58"/>
                                  <a:pt x="675" y="58"/>
                                  <a:pt x="675" y="58"/>
                                </a:cubicBezTo>
                                <a:cubicBezTo>
                                  <a:pt x="675" y="58"/>
                                  <a:pt x="670" y="58"/>
                                  <a:pt x="670" y="58"/>
                                </a:cubicBezTo>
                                <a:cubicBezTo>
                                  <a:pt x="683" y="38"/>
                                  <a:pt x="711" y="29"/>
                                  <a:pt x="736" y="29"/>
                                </a:cubicBezTo>
                                <a:close/>
                                <a:moveTo>
                                  <a:pt x="666" y="100"/>
                                </a:moveTo>
                                <a:cubicBezTo>
                                  <a:pt x="666" y="92"/>
                                  <a:pt x="666" y="88"/>
                                  <a:pt x="670" y="83"/>
                                </a:cubicBezTo>
                                <a:cubicBezTo>
                                  <a:pt x="670" y="83"/>
                                  <a:pt x="670" y="83"/>
                                  <a:pt x="670" y="83"/>
                                </a:cubicBezTo>
                                <a:cubicBezTo>
                                  <a:pt x="675" y="83"/>
                                  <a:pt x="675" y="83"/>
                                  <a:pt x="675" y="83"/>
                                </a:cubicBezTo>
                                <a:cubicBezTo>
                                  <a:pt x="679" y="83"/>
                                  <a:pt x="679" y="83"/>
                                  <a:pt x="683" y="83"/>
                                </a:cubicBezTo>
                                <a:cubicBezTo>
                                  <a:pt x="683" y="83"/>
                                  <a:pt x="687" y="83"/>
                                  <a:pt x="687" y="83"/>
                                </a:cubicBezTo>
                                <a:cubicBezTo>
                                  <a:pt x="691" y="83"/>
                                  <a:pt x="695" y="79"/>
                                  <a:pt x="699" y="79"/>
                                </a:cubicBezTo>
                                <a:cubicBezTo>
                                  <a:pt x="707" y="75"/>
                                  <a:pt x="715" y="75"/>
                                  <a:pt x="719" y="71"/>
                                </a:cubicBezTo>
                                <a:cubicBezTo>
                                  <a:pt x="719" y="71"/>
                                  <a:pt x="719" y="71"/>
                                  <a:pt x="719" y="71"/>
                                </a:cubicBezTo>
                                <a:cubicBezTo>
                                  <a:pt x="724" y="75"/>
                                  <a:pt x="724" y="75"/>
                                  <a:pt x="728" y="79"/>
                                </a:cubicBezTo>
                                <a:cubicBezTo>
                                  <a:pt x="736" y="88"/>
                                  <a:pt x="752" y="100"/>
                                  <a:pt x="768" y="100"/>
                                </a:cubicBezTo>
                                <a:cubicBezTo>
                                  <a:pt x="768" y="100"/>
                                  <a:pt x="768" y="100"/>
                                  <a:pt x="768" y="100"/>
                                </a:cubicBezTo>
                                <a:cubicBezTo>
                                  <a:pt x="768" y="100"/>
                                  <a:pt x="773" y="100"/>
                                  <a:pt x="773" y="100"/>
                                </a:cubicBezTo>
                                <a:cubicBezTo>
                                  <a:pt x="777" y="100"/>
                                  <a:pt x="777" y="100"/>
                                  <a:pt x="777" y="100"/>
                                </a:cubicBezTo>
                                <a:cubicBezTo>
                                  <a:pt x="777" y="100"/>
                                  <a:pt x="777" y="100"/>
                                  <a:pt x="781" y="100"/>
                                </a:cubicBezTo>
                                <a:cubicBezTo>
                                  <a:pt x="777" y="133"/>
                                  <a:pt x="752" y="158"/>
                                  <a:pt x="724" y="158"/>
                                </a:cubicBezTo>
                                <a:cubicBezTo>
                                  <a:pt x="691" y="158"/>
                                  <a:pt x="666" y="129"/>
                                  <a:pt x="666" y="100"/>
                                </a:cubicBezTo>
                                <a:close/>
                                <a:moveTo>
                                  <a:pt x="66" y="320"/>
                                </a:moveTo>
                                <a:cubicBezTo>
                                  <a:pt x="45" y="328"/>
                                  <a:pt x="45" y="357"/>
                                  <a:pt x="41" y="382"/>
                                </a:cubicBezTo>
                                <a:cubicBezTo>
                                  <a:pt x="41" y="386"/>
                                  <a:pt x="37" y="390"/>
                                  <a:pt x="37" y="394"/>
                                </a:cubicBezTo>
                                <a:cubicBezTo>
                                  <a:pt x="37" y="398"/>
                                  <a:pt x="37" y="398"/>
                                  <a:pt x="33" y="403"/>
                                </a:cubicBezTo>
                                <a:cubicBezTo>
                                  <a:pt x="37" y="390"/>
                                  <a:pt x="33" y="374"/>
                                  <a:pt x="33" y="353"/>
                                </a:cubicBezTo>
                                <a:cubicBezTo>
                                  <a:pt x="29" y="328"/>
                                  <a:pt x="37" y="324"/>
                                  <a:pt x="45" y="320"/>
                                </a:cubicBezTo>
                                <a:cubicBezTo>
                                  <a:pt x="49" y="320"/>
                                  <a:pt x="54" y="320"/>
                                  <a:pt x="58" y="320"/>
                                </a:cubicBezTo>
                                <a:cubicBezTo>
                                  <a:pt x="62" y="320"/>
                                  <a:pt x="66" y="320"/>
                                  <a:pt x="70" y="320"/>
                                </a:cubicBezTo>
                                <a:cubicBezTo>
                                  <a:pt x="66" y="320"/>
                                  <a:pt x="66" y="320"/>
                                  <a:pt x="66" y="320"/>
                                </a:cubicBezTo>
                                <a:close/>
                                <a:moveTo>
                                  <a:pt x="246" y="440"/>
                                </a:moveTo>
                                <a:cubicBezTo>
                                  <a:pt x="258" y="444"/>
                                  <a:pt x="299" y="473"/>
                                  <a:pt x="319" y="494"/>
                                </a:cubicBezTo>
                                <a:cubicBezTo>
                                  <a:pt x="323" y="498"/>
                                  <a:pt x="323" y="498"/>
                                  <a:pt x="323" y="498"/>
                                </a:cubicBezTo>
                                <a:cubicBezTo>
                                  <a:pt x="433" y="498"/>
                                  <a:pt x="433" y="498"/>
                                  <a:pt x="433" y="498"/>
                                </a:cubicBezTo>
                                <a:cubicBezTo>
                                  <a:pt x="433" y="560"/>
                                  <a:pt x="433" y="560"/>
                                  <a:pt x="433" y="560"/>
                                </a:cubicBezTo>
                                <a:cubicBezTo>
                                  <a:pt x="348" y="564"/>
                                  <a:pt x="258" y="564"/>
                                  <a:pt x="241" y="564"/>
                                </a:cubicBezTo>
                                <a:cubicBezTo>
                                  <a:pt x="237" y="556"/>
                                  <a:pt x="217" y="531"/>
                                  <a:pt x="148" y="448"/>
                                </a:cubicBezTo>
                                <a:cubicBezTo>
                                  <a:pt x="152" y="448"/>
                                  <a:pt x="156" y="444"/>
                                  <a:pt x="160" y="444"/>
                                </a:cubicBezTo>
                                <a:cubicBezTo>
                                  <a:pt x="164" y="440"/>
                                  <a:pt x="172" y="436"/>
                                  <a:pt x="180" y="432"/>
                                </a:cubicBezTo>
                                <a:cubicBezTo>
                                  <a:pt x="192" y="427"/>
                                  <a:pt x="229" y="432"/>
                                  <a:pt x="246" y="440"/>
                                </a:cubicBezTo>
                                <a:close/>
                                <a:moveTo>
                                  <a:pt x="152" y="415"/>
                                </a:moveTo>
                                <a:cubicBezTo>
                                  <a:pt x="156" y="415"/>
                                  <a:pt x="160" y="415"/>
                                  <a:pt x="160" y="415"/>
                                </a:cubicBezTo>
                                <a:cubicBezTo>
                                  <a:pt x="156" y="415"/>
                                  <a:pt x="152" y="419"/>
                                  <a:pt x="148" y="423"/>
                                </a:cubicBezTo>
                                <a:cubicBezTo>
                                  <a:pt x="139" y="427"/>
                                  <a:pt x="135" y="427"/>
                                  <a:pt x="131" y="432"/>
                                </a:cubicBezTo>
                                <a:cubicBezTo>
                                  <a:pt x="119" y="411"/>
                                  <a:pt x="119" y="411"/>
                                  <a:pt x="119" y="411"/>
                                </a:cubicBezTo>
                                <a:cubicBezTo>
                                  <a:pt x="119" y="403"/>
                                  <a:pt x="119" y="403"/>
                                  <a:pt x="119" y="403"/>
                                </a:cubicBezTo>
                                <a:cubicBezTo>
                                  <a:pt x="119" y="403"/>
                                  <a:pt x="119" y="403"/>
                                  <a:pt x="123" y="403"/>
                                </a:cubicBezTo>
                                <a:cubicBezTo>
                                  <a:pt x="131" y="407"/>
                                  <a:pt x="139" y="411"/>
                                  <a:pt x="152" y="415"/>
                                </a:cubicBezTo>
                                <a:close/>
                                <a:moveTo>
                                  <a:pt x="221" y="340"/>
                                </a:moveTo>
                                <a:cubicBezTo>
                                  <a:pt x="217" y="374"/>
                                  <a:pt x="188" y="394"/>
                                  <a:pt x="156" y="390"/>
                                </a:cubicBezTo>
                                <a:cubicBezTo>
                                  <a:pt x="152" y="386"/>
                                  <a:pt x="143" y="386"/>
                                  <a:pt x="139" y="382"/>
                                </a:cubicBezTo>
                                <a:cubicBezTo>
                                  <a:pt x="139" y="382"/>
                                  <a:pt x="139" y="382"/>
                                  <a:pt x="139" y="382"/>
                                </a:cubicBezTo>
                                <a:cubicBezTo>
                                  <a:pt x="143" y="382"/>
                                  <a:pt x="143" y="382"/>
                                  <a:pt x="143" y="378"/>
                                </a:cubicBezTo>
                                <a:cubicBezTo>
                                  <a:pt x="143" y="378"/>
                                  <a:pt x="148" y="378"/>
                                  <a:pt x="148" y="374"/>
                                </a:cubicBezTo>
                                <a:cubicBezTo>
                                  <a:pt x="148" y="374"/>
                                  <a:pt x="152" y="369"/>
                                  <a:pt x="152" y="365"/>
                                </a:cubicBezTo>
                                <a:cubicBezTo>
                                  <a:pt x="164" y="349"/>
                                  <a:pt x="164" y="336"/>
                                  <a:pt x="164" y="328"/>
                                </a:cubicBezTo>
                                <a:cubicBezTo>
                                  <a:pt x="164" y="324"/>
                                  <a:pt x="164" y="320"/>
                                  <a:pt x="164" y="315"/>
                                </a:cubicBezTo>
                                <a:cubicBezTo>
                                  <a:pt x="168" y="311"/>
                                  <a:pt x="184" y="311"/>
                                  <a:pt x="192" y="311"/>
                                </a:cubicBezTo>
                                <a:cubicBezTo>
                                  <a:pt x="197" y="311"/>
                                  <a:pt x="197" y="311"/>
                                  <a:pt x="201" y="311"/>
                                </a:cubicBezTo>
                                <a:cubicBezTo>
                                  <a:pt x="201" y="307"/>
                                  <a:pt x="201" y="307"/>
                                  <a:pt x="201" y="307"/>
                                </a:cubicBezTo>
                                <a:cubicBezTo>
                                  <a:pt x="205" y="307"/>
                                  <a:pt x="205" y="307"/>
                                  <a:pt x="205" y="307"/>
                                </a:cubicBezTo>
                                <a:cubicBezTo>
                                  <a:pt x="209" y="307"/>
                                  <a:pt x="209" y="307"/>
                                  <a:pt x="209" y="307"/>
                                </a:cubicBezTo>
                                <a:cubicBezTo>
                                  <a:pt x="209" y="307"/>
                                  <a:pt x="213" y="303"/>
                                  <a:pt x="213" y="303"/>
                                </a:cubicBezTo>
                                <a:cubicBezTo>
                                  <a:pt x="213" y="303"/>
                                  <a:pt x="213" y="303"/>
                                  <a:pt x="213" y="303"/>
                                </a:cubicBezTo>
                                <a:cubicBezTo>
                                  <a:pt x="213" y="303"/>
                                  <a:pt x="217" y="303"/>
                                  <a:pt x="217" y="303"/>
                                </a:cubicBezTo>
                                <a:cubicBezTo>
                                  <a:pt x="221" y="315"/>
                                  <a:pt x="225" y="328"/>
                                  <a:pt x="221" y="340"/>
                                </a:cubicBezTo>
                                <a:close/>
                                <a:moveTo>
                                  <a:pt x="103" y="320"/>
                                </a:moveTo>
                                <a:cubicBezTo>
                                  <a:pt x="103" y="307"/>
                                  <a:pt x="115" y="282"/>
                                  <a:pt x="131" y="270"/>
                                </a:cubicBezTo>
                                <a:cubicBezTo>
                                  <a:pt x="152" y="262"/>
                                  <a:pt x="168" y="262"/>
                                  <a:pt x="197" y="274"/>
                                </a:cubicBezTo>
                                <a:cubicBezTo>
                                  <a:pt x="197" y="274"/>
                                  <a:pt x="197" y="274"/>
                                  <a:pt x="197" y="274"/>
                                </a:cubicBezTo>
                                <a:cubicBezTo>
                                  <a:pt x="201" y="278"/>
                                  <a:pt x="201" y="278"/>
                                  <a:pt x="205" y="278"/>
                                </a:cubicBezTo>
                                <a:cubicBezTo>
                                  <a:pt x="205" y="278"/>
                                  <a:pt x="205" y="278"/>
                                  <a:pt x="201" y="282"/>
                                </a:cubicBezTo>
                                <a:cubicBezTo>
                                  <a:pt x="201" y="282"/>
                                  <a:pt x="201" y="282"/>
                                  <a:pt x="201" y="282"/>
                                </a:cubicBezTo>
                                <a:cubicBezTo>
                                  <a:pt x="201" y="282"/>
                                  <a:pt x="201" y="282"/>
                                  <a:pt x="197" y="282"/>
                                </a:cubicBezTo>
                                <a:cubicBezTo>
                                  <a:pt x="197" y="282"/>
                                  <a:pt x="197" y="282"/>
                                  <a:pt x="197" y="282"/>
                                </a:cubicBezTo>
                                <a:cubicBezTo>
                                  <a:pt x="192" y="286"/>
                                  <a:pt x="192" y="286"/>
                                  <a:pt x="188" y="286"/>
                                </a:cubicBezTo>
                                <a:cubicBezTo>
                                  <a:pt x="168" y="286"/>
                                  <a:pt x="143" y="291"/>
                                  <a:pt x="139" y="311"/>
                                </a:cubicBezTo>
                                <a:cubicBezTo>
                                  <a:pt x="139" y="315"/>
                                  <a:pt x="139" y="324"/>
                                  <a:pt x="139" y="328"/>
                                </a:cubicBezTo>
                                <a:cubicBezTo>
                                  <a:pt x="139" y="336"/>
                                  <a:pt x="139" y="340"/>
                                  <a:pt x="131" y="353"/>
                                </a:cubicBezTo>
                                <a:cubicBezTo>
                                  <a:pt x="131" y="357"/>
                                  <a:pt x="127" y="357"/>
                                  <a:pt x="127" y="361"/>
                                </a:cubicBezTo>
                                <a:cubicBezTo>
                                  <a:pt x="127" y="361"/>
                                  <a:pt x="127" y="361"/>
                                  <a:pt x="127" y="361"/>
                                </a:cubicBezTo>
                                <a:cubicBezTo>
                                  <a:pt x="123" y="365"/>
                                  <a:pt x="123" y="365"/>
                                  <a:pt x="123" y="369"/>
                                </a:cubicBezTo>
                                <a:cubicBezTo>
                                  <a:pt x="123" y="369"/>
                                  <a:pt x="123" y="369"/>
                                  <a:pt x="119" y="369"/>
                                </a:cubicBezTo>
                                <a:cubicBezTo>
                                  <a:pt x="119" y="369"/>
                                  <a:pt x="119" y="374"/>
                                  <a:pt x="119" y="374"/>
                                </a:cubicBezTo>
                                <a:cubicBezTo>
                                  <a:pt x="119" y="374"/>
                                  <a:pt x="119" y="374"/>
                                  <a:pt x="115" y="374"/>
                                </a:cubicBezTo>
                                <a:cubicBezTo>
                                  <a:pt x="115" y="374"/>
                                  <a:pt x="115" y="374"/>
                                  <a:pt x="115" y="374"/>
                                </a:cubicBezTo>
                                <a:cubicBezTo>
                                  <a:pt x="111" y="365"/>
                                  <a:pt x="103" y="349"/>
                                  <a:pt x="103" y="328"/>
                                </a:cubicBezTo>
                                <a:cubicBezTo>
                                  <a:pt x="103" y="324"/>
                                  <a:pt x="103" y="324"/>
                                  <a:pt x="103" y="324"/>
                                </a:cubicBezTo>
                                <a:lnTo>
                                  <a:pt x="103" y="320"/>
                                </a:lnTo>
                                <a:close/>
                                <a:moveTo>
                                  <a:pt x="781" y="527"/>
                                </a:moveTo>
                                <a:cubicBezTo>
                                  <a:pt x="785" y="531"/>
                                  <a:pt x="785" y="531"/>
                                  <a:pt x="785" y="535"/>
                                </a:cubicBezTo>
                                <a:cubicBezTo>
                                  <a:pt x="785" y="535"/>
                                  <a:pt x="785" y="535"/>
                                  <a:pt x="785" y="535"/>
                                </a:cubicBezTo>
                                <a:cubicBezTo>
                                  <a:pt x="789" y="535"/>
                                  <a:pt x="789" y="535"/>
                                  <a:pt x="789" y="539"/>
                                </a:cubicBezTo>
                                <a:cubicBezTo>
                                  <a:pt x="789" y="539"/>
                                  <a:pt x="789" y="539"/>
                                  <a:pt x="789" y="539"/>
                                </a:cubicBezTo>
                                <a:cubicBezTo>
                                  <a:pt x="789" y="631"/>
                                  <a:pt x="789" y="631"/>
                                  <a:pt x="789" y="631"/>
                                </a:cubicBezTo>
                                <a:cubicBezTo>
                                  <a:pt x="119" y="631"/>
                                  <a:pt x="119" y="631"/>
                                  <a:pt x="119" y="631"/>
                                </a:cubicBezTo>
                                <a:cubicBezTo>
                                  <a:pt x="119" y="452"/>
                                  <a:pt x="119" y="452"/>
                                  <a:pt x="119" y="452"/>
                                </a:cubicBezTo>
                                <a:cubicBezTo>
                                  <a:pt x="131" y="465"/>
                                  <a:pt x="131" y="465"/>
                                  <a:pt x="131" y="465"/>
                                </a:cubicBezTo>
                                <a:cubicBezTo>
                                  <a:pt x="221" y="577"/>
                                  <a:pt x="225" y="581"/>
                                  <a:pt x="225" y="581"/>
                                </a:cubicBezTo>
                                <a:cubicBezTo>
                                  <a:pt x="229" y="585"/>
                                  <a:pt x="233" y="589"/>
                                  <a:pt x="299" y="589"/>
                                </a:cubicBezTo>
                                <a:cubicBezTo>
                                  <a:pt x="331" y="589"/>
                                  <a:pt x="376" y="589"/>
                                  <a:pt x="446" y="585"/>
                                </a:cubicBezTo>
                                <a:cubicBezTo>
                                  <a:pt x="458" y="585"/>
                                  <a:pt x="458" y="585"/>
                                  <a:pt x="458" y="585"/>
                                </a:cubicBezTo>
                                <a:cubicBezTo>
                                  <a:pt x="458" y="498"/>
                                  <a:pt x="458" y="498"/>
                                  <a:pt x="458" y="498"/>
                                </a:cubicBezTo>
                                <a:cubicBezTo>
                                  <a:pt x="748" y="498"/>
                                  <a:pt x="748" y="498"/>
                                  <a:pt x="748" y="498"/>
                                </a:cubicBezTo>
                                <a:cubicBezTo>
                                  <a:pt x="748" y="498"/>
                                  <a:pt x="764" y="502"/>
                                  <a:pt x="781" y="527"/>
                                </a:cubicBezTo>
                                <a:close/>
                                <a:moveTo>
                                  <a:pt x="936" y="456"/>
                                </a:moveTo>
                                <a:cubicBezTo>
                                  <a:pt x="932" y="514"/>
                                  <a:pt x="916" y="709"/>
                                  <a:pt x="911" y="747"/>
                                </a:cubicBezTo>
                                <a:cubicBezTo>
                                  <a:pt x="911" y="763"/>
                                  <a:pt x="899" y="776"/>
                                  <a:pt x="891" y="776"/>
                                </a:cubicBezTo>
                                <a:cubicBezTo>
                                  <a:pt x="891" y="776"/>
                                  <a:pt x="891" y="776"/>
                                  <a:pt x="891" y="776"/>
                                </a:cubicBezTo>
                                <a:cubicBezTo>
                                  <a:pt x="883" y="776"/>
                                  <a:pt x="879" y="763"/>
                                  <a:pt x="879" y="747"/>
                                </a:cubicBezTo>
                                <a:cubicBezTo>
                                  <a:pt x="879" y="734"/>
                                  <a:pt x="879" y="543"/>
                                  <a:pt x="879" y="448"/>
                                </a:cubicBezTo>
                                <a:cubicBezTo>
                                  <a:pt x="879" y="444"/>
                                  <a:pt x="879" y="440"/>
                                  <a:pt x="875" y="440"/>
                                </a:cubicBezTo>
                                <a:cubicBezTo>
                                  <a:pt x="871" y="432"/>
                                  <a:pt x="846" y="398"/>
                                  <a:pt x="773" y="295"/>
                                </a:cubicBezTo>
                                <a:cubicBezTo>
                                  <a:pt x="768" y="291"/>
                                  <a:pt x="764" y="282"/>
                                  <a:pt x="760" y="282"/>
                                </a:cubicBezTo>
                                <a:cubicBezTo>
                                  <a:pt x="760" y="282"/>
                                  <a:pt x="756" y="282"/>
                                  <a:pt x="756" y="286"/>
                                </a:cubicBezTo>
                                <a:cubicBezTo>
                                  <a:pt x="752" y="286"/>
                                  <a:pt x="748" y="291"/>
                                  <a:pt x="748" y="291"/>
                                </a:cubicBezTo>
                                <a:cubicBezTo>
                                  <a:pt x="732" y="340"/>
                                  <a:pt x="715" y="378"/>
                                  <a:pt x="699" y="394"/>
                                </a:cubicBezTo>
                                <a:cubicBezTo>
                                  <a:pt x="662" y="427"/>
                                  <a:pt x="625" y="444"/>
                                  <a:pt x="581" y="456"/>
                                </a:cubicBezTo>
                                <a:cubicBezTo>
                                  <a:pt x="568" y="461"/>
                                  <a:pt x="560" y="461"/>
                                  <a:pt x="560" y="456"/>
                                </a:cubicBezTo>
                                <a:cubicBezTo>
                                  <a:pt x="560" y="452"/>
                                  <a:pt x="564" y="440"/>
                                  <a:pt x="572" y="440"/>
                                </a:cubicBezTo>
                                <a:cubicBezTo>
                                  <a:pt x="613" y="423"/>
                                  <a:pt x="666" y="386"/>
                                  <a:pt x="691" y="357"/>
                                </a:cubicBezTo>
                                <a:cubicBezTo>
                                  <a:pt x="715" y="324"/>
                                  <a:pt x="724" y="274"/>
                                  <a:pt x="728" y="262"/>
                                </a:cubicBezTo>
                                <a:cubicBezTo>
                                  <a:pt x="732" y="216"/>
                                  <a:pt x="736" y="199"/>
                                  <a:pt x="760" y="187"/>
                                </a:cubicBezTo>
                                <a:cubicBezTo>
                                  <a:pt x="797" y="175"/>
                                  <a:pt x="854" y="224"/>
                                  <a:pt x="887" y="303"/>
                                </a:cubicBezTo>
                                <a:cubicBezTo>
                                  <a:pt x="891" y="320"/>
                                  <a:pt x="899" y="332"/>
                                  <a:pt x="907" y="349"/>
                                </a:cubicBezTo>
                                <a:cubicBezTo>
                                  <a:pt x="924" y="374"/>
                                  <a:pt x="936" y="398"/>
                                  <a:pt x="936" y="436"/>
                                </a:cubicBezTo>
                                <a:lnTo>
                                  <a:pt x="936" y="456"/>
                                </a:lnTo>
                                <a:close/>
                              </a:path>
                            </a:pathLst>
                          </a:custGeom>
                          <a:solidFill>
                            <a:srgbClr val="F25E21"/>
                          </a:solidFill>
                          <a:ln w="0">
                            <a:solidFill>
                              <a:srgbClr val="000000"/>
                            </a:solidFill>
                            <a:prstDash val="solid"/>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F099B10" id="Canvas 836" o:spid="_x0000_s1027" editas="canvas" style="position:absolute;margin-left:-774.15pt;margin-top:-67.6pt;width:447pt;height:243.25pt;z-index:251658246" coordsize="56769,30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6769;height:30892;visibility:visible;mso-wrap-style:square">
                  <v:fill o:detectmouseclick="t"/>
                  <v:path o:connecttype="none"/>
                </v:shape>
                <v:rect id="Rectangle 5" o:spid="_x0000_s1029" style="position:absolute;width:56769;height:30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" fillcolor="#e6e6e1" stroked="f"/>
                <v:rect id="Rectangle 6" o:spid="_x0000_s1030" style="position:absolute;left:2616;top:22040;width:51117;height:8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" stroked="f"/>
                <v:shape id="Freeform 7" o:spid="_x0000_s1031" style="position:absolute;left:2584;top:22015;width:51175;height:8477;visibility:visible;mso-wrap-style:square;v-text-anchor:top" coordsize="13616,2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" path="m,2248r,-48l16,2200r,48l,2248xm,2184r,-48l16,2136r,48l,2184xm,2120r,-48l16,2072r,48l,2120xm,2056r,-48l16,2008r,48l,2056xm,1992r,-48l16,1944r,48l,1992xm,1928r,-48l16,1880r,48l,1928xm,1864r,-48l16,1816r,48l,1864xm,1800r,-48l16,1752r,48l,1800xm,1736r,-48l16,1688r,48l,1736xm,1672r,-48l16,1624r,48l,1672xm,1608r,-48l16,1560r,48l,1608xm,1544r,-48l16,1496r,48l,1544xm,1480r,-48l16,1432r,48l,1480xm,1416r,-48l16,1368r,48l,1416xm,1352r,-48l16,1304r,48l,1352xm,1288r,-49l16,1239r,49l,1288xm,1223r,-48l16,1175r,48l,1223xm,1159r,-48l16,1111r,48l,1159xm,1095r,-48l16,1047r,48l,1095xm,1031l,983r16,l16,1031r-16,xm,967l,919r16,l16,967,,967xm,903l,855r16,l16,903,,903xm,839l,791r16,l16,839,,839xm,775l,727r16,l16,775,,775xm,711l,663r16,l16,711,,711xm,647l,599r16,l16,647,,647xm,583l,535r16,l16,583,,583xm,519l,471r16,l16,519,,519xm,455l,407r16,l16,455,,455xm,391l,343r16,l16,391,,391xm,327l,278r16,l16,327,,327xm,262l,214r16,l16,262,,262xm,198l,150r16,l16,198,,198xm,134l,86r16,l16,134,,134xm,70l,22r16,l16,70,,70xm11,l59,r,16l11,16,11,xm75,r48,l123,16r-48,l75,xm139,r48,l187,16r-48,l139,xm203,r48,l251,16r-48,l203,xm267,r48,l315,16r-48,l267,xm331,r48,l379,16r-48,l331,xm395,r48,l443,16r-48,l395,xm459,r48,l507,16r-48,l459,xm523,r48,l571,16r-48,l523,xm587,r48,l635,16r-48,l587,xm651,r48,l699,16r-48,l651,xm715,r48,l763,16r-48,l715,xm779,r49,l828,16r-49,l779,xm844,r48,l892,16r-48,l844,xm908,r48,l956,16r-48,l908,xm972,r48,l1020,16r-48,l972,xm1036,r48,l1084,16r-48,l1036,xm1100,r48,l1148,16r-48,l1100,xm1164,r48,l1212,16r-48,l1164,xm1228,r48,l1276,16r-48,l1228,xm1292,r48,l1340,16r-48,l1292,xm1356,r48,l1404,16r-48,l1356,xm1420,r48,l1468,16r-48,l1420,xm1484,r48,l1532,16r-48,l1484,xm1548,r48,l1596,16r-48,l1548,xm1612,r48,l1660,16r-48,l1612,xm1676,r48,l1724,16r-48,l1676,xm1740,r48,l1788,16r-48,l1740,xm1805,r48,l1853,16r-48,l1805,xm1869,r48,l1917,16r-48,l1869,xm1933,r48,l1981,16r-48,l1933,xm1997,r48,l2045,16r-48,l1997,xm2061,r48,l2109,16r-48,l2061,xm2125,r48,l2173,16r-48,l2125,xm2189,r48,l2237,16r-48,l2189,xm2253,r48,l2301,16r-48,l2253,xm2317,r48,l2365,16r-48,l2317,xm2381,r48,l2429,16r-48,l2381,xm2445,r48,l2493,16r-48,l2445,xm2509,r48,l2557,16r-48,l2509,xm2573,r48,l2621,16r-48,l2573,xm2637,r48,l2685,16r-48,l2637,xm2701,r48,l2749,16r-48,l2701,xm2765,r49,l2814,16r-49,l2765,xm2830,r48,l2878,16r-48,l2830,xm2894,r48,l2942,16r-48,l2894,xm2958,r48,l3006,16r-48,l2958,xm3022,r48,l3070,16r-48,l3022,xm3086,r48,l3134,16r-48,l3086,xm3150,r48,l3198,16r-48,l3150,xm3214,r48,l3262,16r-48,l3214,xm3278,r48,l3326,16r-48,l3278,xm3342,r48,l3390,16r-48,l3342,xm3406,r48,l3454,16r-48,l3406,xm3470,r48,l3518,16r-48,l3470,xm3534,r48,l3582,16r-48,l3534,xm3598,r48,l3646,16r-48,l3598,xm3662,r48,l3710,16r-48,l3662,xm3726,r48,l3774,16r-48,l3726,xm3790,r49,l3839,16r-49,l3790,xm3855,r48,l3903,16r-48,l3855,xm3919,r48,l3967,16r-48,l3919,xm3983,r48,l4031,16r-48,l3983,xm4047,r48,l4095,16r-48,l4047,xm4111,r48,l4159,16r-48,l4111,xm4175,r48,l4223,16r-48,l4175,xm4239,r48,l4287,16r-48,l4239,xm4303,r48,l4351,16r-48,l4303,xm4367,r48,l4415,16r-48,l4367,xm4431,r48,l4479,16r-48,l4431,xm4495,r48,l4543,16r-48,l4495,xm4559,r48,l4607,16r-48,l4559,xm4623,r48,l4671,16r-48,l4623,xm4687,r48,l4735,16r-48,l4687,xm4751,r49,l4800,16r-49,l4751,xm4816,r48,l4864,16r-48,l4816,xm4880,r48,l4928,16r-48,l4880,xm4944,r48,l4992,16r-48,l4944,xm5008,r48,l5056,16r-48,l5008,xm5072,r48,l5120,16r-48,l5072,xm5136,r48,l5184,16r-48,l5136,xm5200,r48,l5248,16r-48,l5200,xm5264,r48,l5312,16r-48,l5264,xm5328,r48,l5376,16r-48,l5328,xm5392,r48,l5440,16r-48,l5392,xm5456,r48,l5504,16r-48,l5456,xm5520,r48,l5568,16r-48,l5520,xm5584,r48,l5632,16r-48,l5584,xm5648,r48,l5696,16r-48,l5648,xm5712,r48,l5760,16r-48,l5712,xm5776,r49,l5825,16r-49,l5776,xm5841,r48,l5889,16r-48,l5841,xm5905,r48,l5953,16r-48,l5905,xm5969,r48,l6017,16r-48,l5969,xm6033,r48,l6081,16r-48,l6033,xm6097,r48,l6145,16r-48,l6097,xm6161,r48,l6209,16r-48,l6161,xm6225,r48,l6273,16r-48,l6225,xm6289,r48,l6337,16r-48,l6289,xm6353,r48,l6401,16r-48,l6353,xm6417,r48,l6465,16r-48,l6417,xm6481,r48,l6529,16r-48,l6481,xm6545,r48,l6593,16r-48,l6545,xm6609,r48,l6657,16r-48,l6609,xm6673,r48,l6721,16r-48,l6673,xm6737,r49,l6786,16r-49,l6737,xm6802,r48,l6850,16r-48,l6802,xm6866,r48,l6914,16r-48,l6866,xm6930,r48,l6978,16r-48,l6930,xm6994,r48,l7042,16r-48,l6994,xm7058,r48,l7106,16r-48,l7058,xm7122,r48,l7170,16r-48,l7122,xm7186,r48,l7234,16r-48,l7186,xm7250,r48,l7298,16r-48,l7250,xm7314,r48,l7362,16r-48,l7314,xm7378,r48,l7426,16r-48,l7378,xm7442,r48,l7490,16r-48,l7442,xm7506,r48,l7554,16r-48,l7506,xm7570,r48,l7618,16r-48,l7570,xm7634,r48,l7682,16r-48,l7634,xm7698,r48,l7746,16r-48,l7698,xm7762,r49,l7811,16r-49,l7762,xm7827,r48,l7875,16r-48,l7827,xm7891,r48,l7939,16r-48,l7891,xm7955,r48,l8003,16r-48,l7955,xm8019,r48,l8067,16r-48,l8019,xm8083,r48,l8131,16r-48,l8083,xm8147,r48,l8195,16r-48,l8147,xm8211,r48,l8259,16r-48,l8211,xm8275,r48,l8323,16r-48,l8275,xm8339,r48,l8387,16r-48,l8339,xm8403,r48,l8451,16r-48,l8403,xm8467,r48,l8515,16r-48,l8467,xm8531,r48,l8579,16r-48,l8531,xm8595,r48,l8643,16r-48,l8595,xm8659,r48,l8707,16r-48,l8659,xm8723,r49,l8772,16r-49,l8723,xm8788,r48,l8836,16r-48,l8788,xm8852,r48,l8900,16r-48,l8852,xm8916,r48,l8964,16r-48,l8916,xm8980,r48,l9028,16r-48,l8980,xm9044,r48,l9092,16r-48,l9044,xm9108,r48,l9156,16r-48,l9108,xm9172,r48,l9220,16r-48,l9172,xm9236,r48,l9284,16r-48,l9236,xm9300,r48,l9348,16r-48,l9300,xm9364,r48,l9412,16r-48,l9364,xm9428,r48,l9476,16r-48,l9428,xm9492,r48,l9540,16r-48,l9492,xm9556,r48,l9604,16r-48,l9556,xm9620,r48,l9668,16r-48,l9620,xm9684,r48,l9732,16r-48,l9684,xm9748,r49,l9797,16r-49,l9748,xm9813,r48,l9861,16r-48,l9813,xm9877,r48,l9925,16r-48,l9877,xm9941,r48,l9989,16r-48,l9941,xm10005,r48,l10053,16r-48,l10005,xm10069,r48,l10117,16r-48,l10069,xm10133,r48,l10181,16r-48,l10133,xm10197,r48,l10245,16r-48,l10197,xm10261,r48,l10309,16r-48,l10261,xm10325,r48,l10373,16r-48,l10325,xm10389,r48,l10437,16r-48,l10389,xm10453,r48,l10501,16r-48,l10453,xm10517,r48,l10565,16r-48,l10517,xm10581,r48,l10629,16r-48,l10581,xm10645,r48,l10693,16r-48,l10645,xm10709,r49,l10758,16r-49,l10709,xm10774,r48,l10822,16r-48,l10774,xm10838,r48,l10886,16r-48,l10838,xm10902,r48,l10950,16r-48,l10902,xm10966,r48,l11014,16r-48,l10966,xm11030,r48,l11078,16r-48,l11030,xm11094,r48,l11142,16r-48,l11094,xm11158,r48,l11206,16r-48,l11158,xm11222,r48,l11270,16r-48,l11222,xm11286,r48,l11334,16r-48,l11286,xm11350,r48,l11398,16r-48,l11350,xm11414,r48,l11462,16r-48,l11414,xm11478,r48,l11526,16r-48,l11478,xm11542,r48,l11590,16r-48,l11542,xm11606,r48,l11654,16r-48,l11606,xm11670,r49,l11719,16r-49,l11670,xm11735,r48,l11783,16r-48,l11735,xm11799,r48,l11847,16r-48,l11799,xm11863,r48,l11911,16r-48,l11863,xm11927,r48,l11975,16r-48,l11927,xm11991,r48,l12039,16r-48,l11991,xm12055,r48,l12103,16r-48,l12055,xm12119,r48,l12167,16r-48,l12119,xm12183,r48,l12231,16r-48,l12183,xm12247,r48,l12295,16r-48,l12247,xm12311,r48,l12359,16r-48,l12311,xm12375,r48,l12423,16r-48,l12375,xm12439,r48,l12487,16r-48,l12439,xm12503,r48,l12551,16r-48,l12503,xm12567,r48,l12615,16r-48,l12567,xm12631,r49,l12680,16r-49,l12631,xm12696,r48,l12744,16r-48,l12696,xm12760,r48,l12808,16r-48,l12760,xm12824,r48,l12872,16r-48,l12824,xm12888,r48,l12936,16r-48,l12888,xm12952,r48,l13000,16r-48,l12952,xm13016,r48,l13064,16r-48,l13016,xm13080,r48,l13128,16r-48,l13080,xm13144,r48,l13192,16r-48,l13144,xm13208,r48,l13256,16r-48,l13208,xm13272,r48,l13320,16r-48,l13272,xm13336,r48,l13384,16r-48,l13336,xm13400,r48,l13448,16r-48,l13400,xm13464,r48,l13512,16r-48,l13464,xm13528,r48,l13576,16r-48,l13528,xm13592,r16,c13613,,13616,4,13616,8r,33l13600,41r,-33l13608,16r-16,l13592,xm13616,57r,48l13600,105r,-48l13616,57xm13616,121r,48l13600,169r,-48l13616,121xm13616,185r,48l13600,233r,-48l13616,185xm13616,249r,48l13600,297r,-48l13616,249xm13616,313r,48l13600,361r,-48l13616,313xm13616,377r,48l13600,425r,-48l13616,377xm13616,441r,48l13600,489r,-48l13616,441xm13616,505r,48l13600,553r,-48l13616,505xm13616,569r,48l13600,617r,-48l13616,569xm13616,633r,48l13600,681r,-48l13616,633xm13616,697r,48l13600,745r,-48l13616,697xm13616,761r,48l13600,809r,-48l13616,761xm13616,825r,48l13600,873r,-48l13616,825xm13616,889r,48l13600,937r,-48l13616,889xm13616,953r,48l13600,1001r,-48l13616,953xm13616,1018r,48l13600,1066r,-48l13616,1018xm13616,1082r,48l13600,1130r,-48l13616,1082xm13616,1146r,48l13600,1194r,-48l13616,1146xm13616,1210r,48l13600,1258r,-48l13616,1210xm13616,1274r,48l13600,1322r,-48l13616,1274xm13616,1338r,48l13600,1386r,-48l13616,1338xm13616,1402r,48l13600,1450r,-48l13616,1402xm13616,1466r,48l13600,1514r,-48l13616,1466xm13616,1530r,48l13600,1578r,-48l13616,1530xm13616,1594r,48l13600,1642r,-48l13616,1594xm13616,1658r,48l13600,1706r,-48l13616,1658xm13616,1722r,48l13600,1770r,-48l13616,1722xm13616,1786r,48l13600,1834r,-48l13616,1786xm13616,1850r,48l13600,1898r,-48l13616,1850xm13616,1914r,48l13600,1962r,-48l13616,1914xm13616,1978r,49l13600,2027r,-49l13616,1978xm13616,2043r,48l13600,2091r,-48l13616,2043xm13616,2107r,48l13600,2155r,-48l13616,2107xm13616,2171r,48l13600,2219r,-48l13616,2171xm13616,2235r,13c13616,2253,13613,2256,13608,2256r-34,l13574,2240r34,l13600,2248r,-13l13616,2235xm13558,2256r-48,l13510,2240r48,l13558,2256xm13494,2256r-48,l13446,2240r48,l13494,2256xm13430,2256r-48,l13382,2240r48,l13430,2256xm13366,2256r-48,l13318,2240r48,l13366,2256xm13302,2256r-48,l13254,2240r48,l13302,2256xm13238,2256r-48,l13190,2240r48,l13238,2256xm13174,2256r-48,l13126,2240r48,l13174,2256xm13110,2256r-48,l13062,2240r48,l13110,2256xm13046,2256r-48,l12998,2240r48,l13046,2256xm12982,2256r-49,l12933,2240r49,l12982,2256xm12917,2256r-48,l12869,2240r48,l12917,2256xm12853,2256r-48,l12805,2240r48,l12853,2256xm12789,2256r-48,l12741,2240r48,l12789,2256xm12725,2256r-48,l12677,2240r48,l12725,2256xm12661,2256r-48,l12613,2240r48,l12661,2256xm12597,2256r-48,l12549,2240r48,l12597,2256xm12533,2256r-48,l12485,2240r48,l12533,2256xm12469,2256r-48,l12421,2240r48,l12469,2256xm12405,2256r-48,l12357,2240r48,l12405,2256xm12341,2256r-48,l12293,2240r48,l12341,2256xm12277,2256r-48,l12229,2240r48,l12277,2256xm12213,2256r-48,l12165,2240r48,l12213,2256xm12149,2256r-48,l12101,2240r48,l12149,2256xm12085,2256r-48,l12037,2240r48,l12085,2256xm12021,2256r-48,l11973,2240r48,l12021,2256xm11956,2256r-48,l11908,2240r48,l11956,2256xm11892,2256r-48,l11844,2240r48,l11892,2256xm11828,2256r-48,l11780,2240r48,l11828,2256xm11764,2256r-48,l11716,2240r48,l11764,2256xm11700,2256r-48,l11652,2240r48,l11700,2256xm11636,2256r-48,l11588,2240r48,l11636,2256xm11572,2256r-48,l11524,2240r48,l11572,2256xm11508,2256r-48,l11460,2240r48,l11508,2256xm11444,2256r-48,l11396,2240r48,l11444,2256xm11380,2256r-48,l11332,2240r48,l11380,2256xm11316,2256r-48,l11268,2240r48,l11316,2256xm11252,2256r-48,l11204,2240r48,l11252,2256xm11188,2256r-48,l11140,2240r48,l11188,2256xm11124,2256r-48,l11076,2240r48,l11124,2256xm11060,2256r-48,l11012,2240r48,l11060,2256xm10996,2256r-49,l10947,2240r49,l10996,2256xm10931,2256r-48,l10883,2240r48,l10931,2256xm10867,2256r-48,l10819,2240r48,l10867,2256xm10803,2256r-48,l10755,2240r48,l10803,2256xm10739,2256r-48,l10691,2240r48,l10739,2256xm10675,2256r-48,l10627,2240r48,l10675,2256xm10611,2256r-48,l10563,2240r48,l10611,2256xm10547,2256r-48,l10499,2240r48,l10547,2256xm10483,2256r-48,l10435,2240r48,l10483,2256xm10419,2256r-48,l10371,2240r48,l10419,2256xm10355,2256r-48,l10307,2240r48,l10355,2256xm10291,2256r-48,l10243,2240r48,l10291,2256xm10227,2256r-48,l10179,2240r48,l10227,2256xm10163,2256r-48,l10115,2240r48,l10163,2256xm10099,2256r-48,l10051,2240r48,l10099,2256xm10035,2256r-49,l9986,2240r49,l10035,2256xm9970,2256r-48,l9922,2240r48,l9970,2256xm9906,2256r-48,l9858,2240r48,l9906,2256xm9842,2256r-48,l9794,2240r48,l9842,2256xm9778,2256r-48,l9730,2240r48,l9778,2256xm9714,2256r-48,l9666,2240r48,l9714,2256xm9650,2256r-48,l9602,2240r48,l9650,2256xm9586,2256r-48,l9538,2240r48,l9586,2256xm9522,2256r-48,l9474,2240r48,l9522,2256xm9458,2256r-48,l9410,2240r48,l9458,2256xm9394,2256r-48,l9346,2240r48,l9394,2256xm9330,2256r-48,l9282,2240r48,l9330,2256xm9266,2256r-48,l9218,2240r48,l9266,2256xm9202,2256r-48,l9154,2240r48,l9202,2256xm9138,2256r-48,l9090,2240r48,l9138,2256xm9074,2256r-49,l9025,2240r49,l9074,2256xm9009,2256r-48,l8961,2240r48,l9009,2256xm8945,2256r-48,l8897,2240r48,l8945,2256xm8881,2256r-48,l8833,2240r48,l8881,2256xm8817,2256r-48,l8769,2240r48,l8817,2256xm8753,2256r-48,l8705,2240r48,l8753,2256xm8689,2256r-48,l8641,2240r48,l8689,2256xm8625,2256r-48,l8577,2240r48,l8625,2256xm8561,2256r-48,l8513,2240r48,l8561,2256xm8497,2256r-48,l8449,2240r48,l8497,2256xm8433,2256r-48,l8385,2240r48,l8433,2256xm8369,2256r-48,l8321,2240r48,l8369,2256xm8305,2256r-48,l8257,2240r48,l8305,2256xm8241,2256r-48,l8193,2240r48,l8241,2256xm8177,2256r-48,l8129,2240r48,l8177,2256xm8113,2256r-48,l8065,2240r48,l8113,2256xm8048,2256r-48,l8000,2240r48,l8048,2256xm7984,2256r-48,l7936,2240r48,l7984,2256xm7920,2256r-48,l7872,2240r48,l7920,2256xm7856,2256r-48,l7808,2240r48,l7856,2256xm7792,2256r-48,l7744,2240r48,l7792,2256xm7728,2256r-48,l7680,2240r48,l7728,2256xm7664,2256r-48,l7616,2240r48,l7664,2256xm7600,2256r-48,l7552,2240r48,l7600,2256xm7536,2256r-48,l7488,2240r48,l7536,2256xm7472,2256r-48,l7424,2240r48,l7472,2256xm7408,2256r-48,l7360,2240r48,l7408,2256xm7344,2256r-48,l7296,2240r48,l7344,2256xm7280,2256r-48,l7232,2240r48,l7280,2256xm7216,2256r-48,l7168,2240r48,l7216,2256xm7152,2256r-48,l7104,2240r48,l7152,2256xm7088,2256r-49,l7039,2240r49,l7088,2256xm7023,2256r-48,l6975,2240r48,l7023,2256xm6959,2256r-48,l6911,2240r48,l6959,2256xm6895,2256r-48,l6847,2240r48,l6895,2256xm6831,2256r-48,l6783,2240r48,l6831,2256xm6767,2256r-48,l6719,2240r48,l6767,2256xm6703,2256r-48,l6655,2240r48,l6703,2256xm6639,2256r-48,l6591,2240r48,l6639,2256xm6575,2256r-48,l6527,2240r48,l6575,2256xm6511,2256r-48,l6463,2240r48,l6511,2256xm6447,2256r-48,l6399,2240r48,l6447,2256xm6383,2256r-48,l6335,2240r48,l6383,2256xm6319,2256r-48,l6271,2240r48,l6319,2256xm6255,2256r-48,l6207,2240r48,l6255,2256xm6191,2256r-48,l6143,2240r48,l6191,2256xm6127,2256r-49,l6078,2240r49,l6127,2256xm6062,2256r-48,l6014,2240r48,l6062,2256xm5998,2256r-48,l5950,2240r48,l5998,2256xm5934,2256r-48,l5886,2240r48,l5934,2256xm5870,2256r-48,l5822,2240r48,l5870,2256xm5806,2256r-48,l5758,2240r48,l5806,2256xm5742,2256r-48,l5694,2240r48,l5742,2256xm5678,2256r-48,l5630,2240r48,l5678,2256xm5614,2256r-48,l5566,2240r48,l5614,2256xm5550,2256r-48,l5502,2240r48,l5550,2256xm5486,2256r-48,l5438,2240r48,l5486,2256xm5422,2256r-48,l5374,2240r48,l5422,2256xm5358,2256r-48,l5310,2240r48,l5358,2256xm5294,2256r-48,l5246,2240r48,l5294,2256xm5230,2256r-48,l5182,2240r48,l5230,2256xm5166,2256r-48,l5118,2240r48,l5166,2256xm5102,2256r-49,l5053,2240r49,l5102,2256xm5037,2256r-48,l4989,2240r48,l5037,2256xm4973,2256r-48,l4925,2240r48,l4973,2256xm4909,2256r-48,l4861,2240r48,l4909,2256xm4845,2256r-48,l4797,2240r48,l4845,2256xm4781,2256r-48,l4733,2240r48,l4781,2256xm4717,2256r-48,l4669,2240r48,l4717,2256xm4653,2256r-48,l4605,2240r48,l4653,2256xm4589,2256r-48,l4541,2240r48,l4589,2256xm4525,2256r-48,l4477,2240r48,l4525,2256xm4461,2256r-48,l4413,2240r48,l4461,2256xm4397,2256r-48,l4349,2240r48,l4397,2256xm4333,2256r-48,l4285,2240r48,l4333,2256xm4269,2256r-48,l4221,2240r48,l4269,2256xm4205,2256r-48,l4157,2240r48,l4205,2256xm4141,2256r-49,l4092,2240r49,l4141,2256xm4076,2256r-48,l4028,2240r48,l4076,2256xm4012,2256r-48,l3964,2240r48,l4012,2256xm3948,2256r-48,l3900,2240r48,l3948,2256xm3884,2256r-48,l3836,2240r48,l3884,2256xm3820,2256r-48,l3772,2240r48,l3820,2256xm3756,2256r-48,l3708,2240r48,l3756,2256xm3692,2256r-48,l3644,2240r48,l3692,2256xm3628,2256r-48,l3580,2240r48,l3628,2256xm3564,2256r-48,l3516,2240r48,l3564,2256xm3500,2256r-48,l3452,2240r48,l3500,2256xm3436,2256r-48,l3388,2240r48,l3436,2256xm3372,2256r-48,l3324,2240r48,l3372,2256xm3308,2256r-48,l3260,2240r48,l3308,2256xm3244,2256r-48,l3196,2240r48,l3244,2256xm3180,2256r-48,l3132,2240r48,l3180,2256xm3116,2256r-49,l3067,2240r49,l3116,2256xm3051,2256r-48,l3003,2240r48,l3051,2256xm2987,2256r-48,l2939,2240r48,l2987,2256xm2923,2256r-48,l2875,2240r48,l2923,2256xm2859,2256r-48,l2811,2240r48,l2859,2256xm2795,2256r-48,l2747,2240r48,l2795,2256xm2731,2256r-48,l2683,2240r48,l2731,2256xm2667,2256r-48,l2619,2240r48,l2667,2256xm2603,2256r-48,l2555,2240r48,l2603,2256xm2539,2256r-48,l2491,2240r48,l2539,2256xm2475,2256r-48,l2427,2240r48,l2475,2256xm2411,2256r-48,l2363,2240r48,l2411,2256xm2347,2256r-48,l2299,2240r48,l2347,2256xm2283,2256r-48,l2235,2240r48,l2283,2256xm2219,2256r-48,l2171,2240r48,l2219,2256xm2155,2256r-49,l2106,2240r49,l2155,2256xm2090,2256r-48,l2042,2240r48,l2090,2256xm2026,2256r-48,l1978,2240r48,l2026,2256xm1962,2256r-48,l1914,2240r48,l1962,2256xm1898,2256r-48,l1850,2240r48,l1898,2256xm1834,2256r-48,l1786,2240r48,l1834,2256xm1770,2256r-48,l1722,2240r48,l1770,2256xm1706,2256r-48,l1658,2240r48,l1706,2256xm1642,2256r-48,l1594,2240r48,l1642,2256xm1578,2256r-48,l1530,2240r48,l1578,2256xm1514,2256r-48,l1466,2240r48,l1514,2256xm1450,2256r-48,l1402,2240r48,l1450,2256xm1386,2256r-48,l1338,2240r48,l1386,2256xm1322,2256r-48,l1274,2240r48,l1322,2256xm1258,2256r-48,l1210,2240r48,l1258,2256xm1194,2256r-48,l1146,2240r48,l1194,2256xm1130,2256r-49,l1081,2240r49,l1130,2256xm1065,2256r-48,l1017,2240r48,l1065,2256xm1001,2256r-48,l953,2240r48,l1001,2256xm937,2256r-48,l889,2240r48,l937,2256xm873,2256r-48,l825,2240r48,l873,2256xm809,2256r-48,l761,2240r48,l809,2256xm745,2256r-48,l697,2240r48,l745,2256xm681,2256r-48,l633,2240r48,l681,2256xm617,2256r-48,l569,2240r48,l617,2256xm553,2256r-48,l505,2240r48,l553,2256xm489,2256r-48,l441,2240r48,l489,2256xm425,2256r-48,l377,2240r48,l425,2256xm361,2256r-48,l313,2240r48,l361,2256xm297,2256r-48,l249,2240r48,l297,2256xm233,2256r-48,l185,2240r48,l233,2256xm169,2256r-48,l121,2240r48,l169,2256xm104,2256r-48,l56,2240r48,l104,2256xm40,2256r-32,l8,2240r32,l40,2256xe" strokecolor="white" strokeweight=".05pt">
                  <v:path arrowok="t" o:connecttype="custom" o:connectlocs="6013,676376;6013,465572;0,273181;0,98450;76296,0;268727,6012;479574,6012;672006,0;846772,0;1015149,0;1207956,6012;1418428,6012;1611235,0;1785625,0;1954379,0;2146810,6012;2357657,6012;2550464,0;2724855,0;2893232,0;3086039,6012;3296886,6012;3489317,0;3663708,0;3832461,0;4024892,6012;4235740,6012;4428547,0;4602937,0;4771690,0;4964121,6012;5111452,21419;5111452,231847;5117465,424614;5117465,598969;5117465,767687;5023504,847725;4830698,841713;4620226,841713;4427419,847725;4253028,847725;4084275,847725;3891844,841713;3680997,841713;3488566,847725;3313799,847725;3145422,847725;2952615,841713;2742143,841713;2549336,847725;2374946,847725;2206193,847725;2013762,841713;1802914,841713;1610483,847725;1435717,847725;1267339,847725;1074532,841713;864061,841713;671254,847725;496863,847725;328110,847725;135679,841713" o:connectangles="0,0,0,0,0,0,0,0,0,0,0,0,0,0,0,0,0,0,0,0,0,0,0,0,0,0,0,0,0,0,0,0,0,0,0,0,0,0,0,0,0,0,0,0,0,0,0,0,0,0,0,0,0,0,0,0,0,0,0,0,0,0,0"/>
                  <o:lock v:ext="edit" verticies="t"/>
                </v:shape>
                <v:rect id="Rectangle 8" o:spid="_x0000_s1032" style="position:absolute;left:2844;top:22193;width:4826;height:22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14:paraId="6DD3A300" w14:textId="2740F0E3" w:rsidR="002871AD" w:rsidRDefault="002871AD">
                        <w:r>
                          <w:rPr>
                            <w:rFonts w:ascii="Segoe UI Semibold" w:hAnsi="Segoe UI Semibold" w:cs="Segoe UI Semibold"/>
                            <w:color w:val="00264D"/>
                            <w:sz w:val="16"/>
                            <w:szCs w:val="16"/>
                            <w:lang w:val="en-US"/>
                          </w:rPr>
                          <w:t xml:space="preserve">COMMON </w:t>
                        </w:r>
                      </w:p>
                    </w:txbxContent>
                  </v:textbox>
                </v:rect>
                <v:rect id="Rectangle 9" o:spid="_x0000_s1033" style="position:absolute;left:7715;top:22193;width:3118;height:22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UavgAAANsAAAAPAAAAZHJzL2Rvd25yZXYueG1sRE/bisIw&#10;EH0X9h/CLPhm0xUU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ERBtRq+AAAA2wAAAA8AAAAAAAAA&#10;AAAAAAAABwIAAGRycy9kb3ducmV2LnhtbFBLBQYAAAAAAwADALcAAADyAgAAAAA=&#10;" filled="f" stroked="f">
                  <v:textbox style="mso-fit-shape-to-text:t" inset="0,0,0,0">
                    <w:txbxContent>
                      <w:p w14:paraId="36FDD39D" w14:textId="6B226F8E" w:rsidR="002871AD" w:rsidRDefault="002871AD">
                        <w:r>
                          <w:rPr>
                            <w:rFonts w:ascii="Segoe UI Semibold" w:hAnsi="Segoe UI Semibold" w:cs="Segoe UI Semibold"/>
                            <w:color w:val="00264D"/>
                            <w:sz w:val="16"/>
                            <w:szCs w:val="16"/>
                            <w:lang w:val="en-US"/>
                          </w:rPr>
                          <w:t>NEEDS</w:t>
                        </w:r>
                      </w:p>
                    </w:txbxContent>
                  </v:textbox>
                </v:rect>
                <v:rect id="Rectangle 10" o:spid="_x0000_s1034" style="position:absolute;left:2844;top:23996;width:559;height:24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cwAAAANsAAAAPAAAAZHJzL2Rvd25yZXYueG1sRI/NigIx&#10;EITvC75DaMHbmlFk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OL4/nMAAAADbAAAADwAAAAAA&#10;AAAAAAAAAAAHAgAAZHJzL2Rvd25yZXYueG1sUEsFBgAAAAADAAMAtwAAAPQCAAAAAA==&#10;" filled="f" stroked="f">
                  <v:textbox style="mso-fit-shape-to-text:t" inset="0,0,0,0">
                    <w:txbxContent>
                      <w:p w14:paraId="0DDDFF17" w14:textId="5F9AD4D1" w:rsidR="002871AD" w:rsidRDefault="002871AD"/>
                    </w:txbxContent>
                  </v:textbox>
                </v:rect>
                <v:rect id="Rectangle 11" o:spid="_x0000_s1035" style="position:absolute;left:3924;top:23818;width:45332;height:22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filled="f" stroked="f">
                  <v:textbox style="mso-fit-shape-to-text:t" inset="0,0,0,0">
                    <w:txbxContent>
                      <w:p w14:paraId="360110A6" w14:textId="697E54FA" w:rsidR="002871AD" w:rsidRDefault="002871AD">
                        <w:r>
                          <w:rPr>
                            <w:rFonts w:cs="Segoe UI"/>
                            <w:color w:val="00264D"/>
                            <w:sz w:val="16"/>
                            <w:szCs w:val="16"/>
                            <w:lang w:val="en-US"/>
                          </w:rPr>
                          <w:t xml:space="preserve">Ability to communicate with patients, </w:t>
                        </w:r>
                        <w:r>
                          <w:rPr>
                            <w:rFonts w:cs="Segoe UI"/>
                            <w:color w:val="00264D"/>
                            <w:sz w:val="16"/>
                            <w:szCs w:val="16"/>
                            <w:lang w:val="en-US"/>
                          </w:rPr>
                          <w:t>carers and families about palliative care needs, death and dying</w:t>
                        </w:r>
                      </w:p>
                    </w:txbxContent>
                  </v:textbox>
                </v:rect>
                <v:rect id="Rectangle 12" o:spid="_x0000_s1036" style="position:absolute;left:2844;top:25628;width:559;height:24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14:paraId="22AC525C" w14:textId="41D5E186" w:rsidR="002871AD" w:rsidRDefault="002871AD"/>
                    </w:txbxContent>
                  </v:textbox>
                </v:rect>
                <v:rect id="Rectangle 13" o:spid="_x0000_s1037" style="position:absolute;left:3924;top:25444;width:22993;height:22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Tc2wQAAANsAAAAPAAAAZHJzL2Rvd25yZXYueG1sRI/NigIx&#10;EITvgu8QWvCmGQV3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E21NzbBAAAA2wAAAA8AAAAA&#10;AAAAAAAAAAAABwIAAGRycy9kb3ducmV2LnhtbFBLBQYAAAAAAwADALcAAAD1AgAAAAA=&#10;" filled="f" stroked="f">
                  <v:textbox style="mso-fit-shape-to-text:t" inset="0,0,0,0">
                    <w:txbxContent>
                      <w:p w14:paraId="7880D848" w14:textId="3A0110BC" w:rsidR="002871AD" w:rsidRDefault="002871AD">
                        <w:r>
                          <w:rPr>
                            <w:rFonts w:cs="Segoe UI"/>
                            <w:color w:val="00264D"/>
                            <w:sz w:val="16"/>
                            <w:szCs w:val="16"/>
                            <w:lang w:val="en-US"/>
                          </w:rPr>
                          <w:t xml:space="preserve">Appropriate facilities, </w:t>
                        </w:r>
                        <w:r>
                          <w:rPr>
                            <w:rFonts w:cs="Segoe UI"/>
                            <w:color w:val="00264D"/>
                            <w:sz w:val="16"/>
                            <w:szCs w:val="16"/>
                            <w:lang w:val="en-US"/>
                          </w:rPr>
                          <w:t>workforce and funding to pro</w:t>
                        </w:r>
                      </w:p>
                    </w:txbxContent>
                  </v:textbox>
                </v:rect>
                <v:rect id="Rectangle 14" o:spid="_x0000_s1038" style="position:absolute;left:2844;top:27241;width:559;height:24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14:paraId="6F8730CE" w14:textId="01981278" w:rsidR="002871AD" w:rsidRDefault="002871AD"/>
                    </w:txbxContent>
                  </v:textbox>
                </v:rect>
                <v:rect id="Rectangle 15" o:spid="_x0000_s1039" style="position:absolute;left:3924;top:27063;width:43161;height:22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fwQAAANsAAAAPAAAAZHJzL2Rvd25yZXYueG1sRI/NigIx&#10;EITvC75DaMHbmlFw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FNmBt/BAAAA2wAAAA8AAAAA&#10;AAAAAAAAAAAABwIAAGRycy9kb3ducmV2LnhtbFBLBQYAAAAAAwADALcAAAD1AgAAAAA=&#10;" filled="f" stroked="f">
                  <v:textbox style="mso-fit-shape-to-text:t" inset="0,0,0,0">
                    <w:txbxContent>
                      <w:p w14:paraId="359CA22D" w14:textId="1F74D0C8" w:rsidR="002871AD" w:rsidRDefault="002871AD">
                        <w:r>
                          <w:rPr>
                            <w:rFonts w:cs="Segoe UI"/>
                            <w:color w:val="00264D"/>
                            <w:sz w:val="16"/>
                            <w:szCs w:val="16"/>
                            <w:lang w:val="en-US"/>
                          </w:rPr>
                          <w:t>Communication channels across the health system, including with other RACF staff and hospitals</w:t>
                        </w:r>
                      </w:p>
                    </w:txbxContent>
                  </v:textbox>
                </v:rect>
                <v:rect id="Rectangle 16" o:spid="_x0000_s1040" style="position:absolute;left:2844;top:28867;width:362;height:20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" filled="f" stroked="f">
                  <v:textbox style="mso-fit-shape-to-text:t" inset="0,0,0,0">
                    <w:txbxContent>
                      <w:p w14:paraId="0938B8D1" w14:textId="7DC1D301" w:rsidR="002871AD" w:rsidRDefault="002871AD">
                        <w:r>
                          <w:rPr>
                            <w:rFonts w:ascii="Arial" w:hAnsi="Arial" w:cs="Arial"/>
                            <w:color w:val="00264D"/>
                            <w:sz w:val="16"/>
                            <w:szCs w:val="16"/>
                            <w:lang w:val="en-US"/>
                          </w:rPr>
                          <w:t>•</w:t>
                        </w:r>
                      </w:p>
                    </w:txbxContent>
                  </v:textbox>
                </v:rect>
                <v:rect id="Rectangle 17" o:spid="_x0000_s1041" style="position:absolute;left:3924;top:28689;width:44653;height:22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" filled="f" stroked="f">
                  <v:textbox style="mso-fit-shape-to-text:t" inset="0,0,0,0">
                    <w:txbxContent>
                      <w:p w14:paraId="4CA0DCFA" w14:textId="45C0CF9B" w:rsidR="002871AD" w:rsidRDefault="002871AD">
                        <w:r>
                          <w:rPr>
                            <w:rFonts w:cs="Segoe UI"/>
                            <w:color w:val="00264D"/>
                            <w:sz w:val="16"/>
                            <w:szCs w:val="16"/>
                            <w:lang w:val="en-US"/>
                          </w:rPr>
                          <w:t>Appropriate education and training options underpinned by competency and capability frameworks</w:t>
                        </w:r>
                      </w:p>
                    </w:txbxContent>
                  </v:textbox>
                </v:rect>
                <v:shape id="Freeform 18" o:spid="_x0000_s1042" style="position:absolute;left:10826;top:8540;width:178;height:13538;visibility:visible;mso-wrap-style:square;v-text-anchor:top" coordsize="48,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" path="m48,24r,1c48,38,38,49,24,49,11,49,,38,,25l,24c,11,11,,24,,38,,48,11,48,24xm48,121r,c48,134,38,145,24,145,11,145,,134,,121r,c,107,11,97,24,97v14,,24,10,24,24xm48,217r,c48,230,38,241,24,241,11,241,,230,,217r,c,203,11,193,24,193v14,,24,10,24,24xm48,313r,c48,326,38,337,24,337,11,337,,326,,313r,c,299,11,289,24,289v14,,24,10,24,24xm48,409r,c48,422,38,433,24,433,11,433,,422,,409r,c,395,11,385,24,385v14,,24,10,24,24xm48,505r,c48,518,38,529,24,529,11,529,,518,,505r,c,491,11,481,24,481v14,,24,10,24,24xm48,601r,c48,614,38,625,24,625,11,625,,614,,601r,c,588,11,577,24,577v14,,24,11,24,24xm48,697r,c48,710,38,721,24,721,11,721,,710,,697r,c,684,11,673,24,673v14,,24,11,24,24xm48,793r,c48,806,38,817,24,817,11,817,,806,,793r,c,780,11,769,24,769v14,,24,11,24,24xm48,889r,c48,902,38,913,24,913,11,913,,902,,889r,c,876,11,865,24,865v14,,24,11,24,24xm48,985r,c48,998,38,1009,24,1009,11,1009,,998,,985r,c,972,11,961,24,961v14,,24,11,24,24xm48,1081r,c48,1094,38,1105,24,1105,11,1105,,1094,,1081r,c,1068,11,1057,24,1057v14,,24,11,24,24xm48,1177r,c48,1190,38,1201,24,1201,11,1201,,1190,,1177r,c,1164,11,1153,24,1153v14,,24,11,24,24xm48,1273r,c48,1286,38,1297,24,1297,11,1297,,1286,,1273r,c,1260,11,1249,24,1249v14,,24,11,24,24xm48,1369r,c48,1382,38,1393,24,1393,11,1393,,1382,,1369r,c,1356,11,1345,24,1345v14,,24,11,24,24xm48,1465r,c48,1478,38,1489,24,1489,11,1489,,1478,,1465r,c,1452,11,1441,24,1441v14,,24,11,24,24xm48,1561r,c48,1575,38,1585,24,1585,11,1585,,1575,,1561r,c,1548,11,1537,24,1537v14,,24,11,24,24xm48,1657r,c48,1671,38,1681,24,1681,11,1681,,1671,,1657r,c,1644,11,1633,24,1633v14,,24,11,24,24xm48,1753r,c48,1767,38,1777,24,1777,11,1777,,1767,,1753r,c,1740,11,1729,24,1729v14,,24,11,24,24xm48,1849r,c48,1863,38,1873,24,1873,11,1873,,1863,,1849r,c,1836,11,1825,24,1825v14,,24,11,24,24xm48,1945r,c48,1959,38,1969,24,1969,11,1969,,1959,,1945r,c,1932,11,1921,24,1921v14,,24,11,24,24xm48,2041r,1c48,2055,38,2066,24,2066,11,2066,,2055,,2042r,-1c,2028,11,2017,24,2017v14,,24,11,24,24xm48,2138r,c48,2151,38,2162,24,2162,11,2162,,2151,,2138r,c,2124,11,2114,24,2114v14,,24,10,24,24xm48,2234r,c48,2247,38,2258,24,2258,11,2258,,2247,,2234r,c,2220,11,2210,24,2210v14,,24,10,24,24xm48,2330r,c48,2343,38,2354,24,2354,11,2354,,2343,,2330r,c,2316,11,2306,24,2306v14,,24,10,24,24xm48,2426r,c48,2439,38,2450,24,2450,11,2450,,2439,,2426r,c,2412,11,2402,24,2402v14,,24,10,24,24xm48,2522r,c48,2535,38,2546,24,2546,11,2546,,2535,,2522r,c,2508,11,2498,24,2498v14,,24,10,24,24xm48,2618r,c48,2631,38,2642,24,2642,11,2642,,2631,,2618r,c,2605,11,2594,24,2594v14,,24,11,24,24xm48,2714r,c48,2727,38,2738,24,2738,11,2738,,2727,,2714r,c,2701,11,2690,24,2690v14,,24,11,24,24xm48,2810r,c48,2823,38,2834,24,2834,11,2834,,2823,,2810r,c,2797,11,2786,24,2786v14,,24,11,24,24xm48,2906r,c48,2919,38,2930,24,2930,11,2930,,2919,,2906r,c,2893,11,2882,24,2882v14,,24,11,24,24xm48,3002r,c48,3015,38,3026,24,3026,11,3026,,3015,,3002r,c,2989,11,2978,24,2978v14,,24,11,24,24xm48,3098r,c48,3111,38,3122,24,3122,11,3122,,3111,,3098r,c,3085,11,3074,24,3074v14,,24,11,24,24xm48,3194r,c48,3207,38,3218,24,3218,11,3218,,3207,,3194r,c,3181,11,3170,24,3170v14,,24,11,24,24xm48,3290r,c48,3303,38,3314,24,3314,11,3314,,3303,,3290r,c,3277,11,3266,24,3266v14,,24,11,24,24xm48,3386r,c48,3399,38,3410,24,3410,11,3410,,3399,,3386r,c,3373,11,3362,24,3362v14,,24,11,24,24xm48,3482r,c48,3496,38,3506,24,3506,11,3506,,3496,,3482r,c,3469,11,3458,24,3458v14,,24,11,24,24xm48,3578r,c48,3592,38,3602,24,3602,11,3602,,3592,,3578r,c,3565,11,3554,24,3554v14,,24,11,24,24xe" fillcolor="#00264d" strokecolor="#00264d" strokeweight=".05pt">
                  <v:path arrowok="t" o:connecttype="custom" o:connectlocs="0,9020;8890,54499;17780,81560;8890,72539;0,117642;17780,153724;17780,153724;0,189805;8890,234908;17780,261969;8890,252949;0,298051;17780,334133;17780,334133;0,370215;8890,415317;17780,442378;8890,433358;0,478460;17780,514542;17780,514542;0,550624;8890,595726;17780,622787;8890,613767;0,658869;17780,694951;17780,694951;0,731033;8890,776511;17780,803572;8890,794552;0,839654;17780,875736;17780,875736;0,911818;8890,956920;17780,983981;8890,974961;0,1020063;17780,1056145;17780,1056145;0,1092227;8890,1137329;17780,1164390;8890,1155370;0,1200472;17780,1236554;17780,1236554;0,1272636;8890,1317738;17780,1344800;8890,1335779" o:connectangles="0,0,0,0,0,0,0,0,0,0,0,0,0,0,0,0,0,0,0,0,0,0,0,0,0,0,0,0,0,0,0,0,0,0,0,0,0,0,0,0,0,0,0,0,0,0,0,0,0,0,0,0,0"/>
                  <o:lock v:ext="edit" verticies="t"/>
                </v:shape>
                <v:shape id="Freeform 19" o:spid="_x0000_s1043" style="position:absolute;left:28143;top:8604;width:184;height:13176;visibility:visible;mso-wrap-style:square;v-text-anchor:top" coordsize="48,3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" path="m48,24r,1c48,38,38,49,24,49,11,49,,38,,25l,24c,11,11,,24,,38,,48,11,48,24xm48,121r,c48,134,38,145,24,145,11,145,,134,,121r,c,107,11,97,24,97v14,,24,10,24,24xm48,217r,c48,230,38,241,24,241,11,241,,230,,217r,c,203,11,193,24,193v14,,24,10,24,24xm48,313r,c48,326,38,337,24,337,11,337,,326,,313r,c,299,11,289,24,289v14,,24,10,24,24xm48,409r,c48,422,38,433,24,433,11,433,,422,,409r,c,395,11,385,24,385v14,,24,10,24,24xm48,505r,c48,518,38,529,24,529,11,529,,518,,505r,c,491,11,481,24,481v14,,24,10,24,24xm48,601r,c48,614,38,625,24,625,11,625,,614,,601r,c,588,11,577,24,577v14,,24,11,24,24xm48,697r,c48,710,38,721,24,721,11,721,,710,,697r,c,684,11,673,24,673v14,,24,11,24,24xm48,793r,c48,806,38,817,24,817,11,817,,806,,793r,c,780,11,769,24,769v14,,24,11,24,24xm48,889r,c48,902,38,913,24,913,11,913,,902,,889r,c,876,11,865,24,865v14,,24,11,24,24xm48,985r,c48,998,38,1009,24,1009,11,1009,,998,,985r,c,972,11,961,24,961v14,,24,11,24,24xm48,1081r,c48,1094,38,1105,24,1105,11,1105,,1094,,1081r,c,1068,11,1057,24,1057v14,,24,11,24,24xm48,1177r,c48,1190,38,1201,24,1201,11,1201,,1190,,1177r,c,1164,11,1153,24,1153v14,,24,11,24,24xm48,1273r,c48,1286,38,1297,24,1297,11,1297,,1286,,1273r,c,1260,11,1249,24,1249v14,,24,11,24,24xm48,1369r,c48,1382,38,1393,24,1393,11,1393,,1382,,1369r,c,1356,11,1345,24,1345v14,,24,11,24,24xm48,1465r,c48,1478,38,1489,24,1489,11,1489,,1478,,1465r,c,1452,11,1441,24,1441v14,,24,11,24,24xm48,1561r,c48,1575,38,1585,24,1585,11,1585,,1575,,1561r,c,1548,11,1537,24,1537v14,,24,11,24,24xm48,1657r,c48,1671,38,1681,24,1681,11,1681,,1671,,1657r,c,1644,11,1633,24,1633v14,,24,11,24,24xm48,1753r,c48,1767,38,1777,24,1777,11,1777,,1767,,1753r,c,1740,11,1729,24,1729v14,,24,11,24,24xm48,1849r,c48,1863,38,1873,24,1873,11,1873,,1863,,1849r,c,1836,11,1825,24,1825v14,,24,11,24,24xm48,1945r,c48,1959,38,1969,24,1969,11,1969,,1959,,1945r,c,1932,11,1921,24,1921v14,,24,11,24,24xm48,2041r,1c48,2055,38,2066,24,2066,11,2066,,2055,,2042r,-1c,2028,11,2017,24,2017v14,,24,11,24,24xm48,2138r,c48,2151,38,2162,24,2162,11,2162,,2151,,2138r,c,2124,11,2114,24,2114v14,,24,10,24,24xm48,2234r,c48,2247,38,2258,24,2258,11,2258,,2247,,2234r,c,2220,11,2210,24,2210v14,,24,10,24,24xm48,2330r,c48,2343,38,2354,24,2354,11,2354,,2343,,2330r,c,2316,11,2306,24,2306v14,,24,10,24,24xm48,2426r,c48,2439,38,2450,24,2450,11,2450,,2439,,2426r,c,2412,11,2402,24,2402v14,,24,10,24,24xm48,2522r,c48,2535,38,2546,24,2546,11,2546,,2535,,2522r,c,2508,11,2498,24,2498v14,,24,10,24,24xm48,2618r,c48,2631,38,2642,24,2642,11,2642,,2631,,2618r,c,2605,11,2594,24,2594v14,,24,11,24,24xm48,2714r,c48,2727,38,2738,24,2738,11,2738,,2727,,2714r,c,2701,11,2690,24,2690v14,,24,11,24,24xm48,2810r,c48,2823,38,2834,24,2834,11,2834,,2823,,2810r,c,2797,11,2786,24,2786v14,,24,11,24,24xm48,2906r,c48,2919,38,2930,24,2930,11,2930,,2919,,2906r,c,2893,11,2882,24,2882v14,,24,11,24,24xm48,3002r,c48,3015,38,3026,24,3026,11,3026,,3015,,3002r,c,2989,11,2978,24,2978v14,,24,11,24,24xm48,3098r,c48,3111,38,3122,24,3122,11,3122,,3111,,3098r,c,3085,11,3074,24,3074v14,,24,11,24,24xm48,3194r,c48,3207,38,3218,24,3218,11,3218,,3207,,3194r,c,3181,11,3170,24,3170v14,,24,11,24,24xm48,3290r,c48,3303,38,3314,24,3314,11,3314,,3303,,3290r,c,3277,11,3266,24,3266v14,,24,11,24,24xm48,3386r,c48,3399,38,3410,24,3410,11,3410,,3399,,3386r,c,3373,11,3362,24,3362v14,,24,11,24,24xm48,3482r,c48,3496,38,3506,24,3506,11,3506,,3496,,3482r,c,3469,11,3458,24,3458v14,,24,11,24,24xe" fillcolor="#00264d" strokecolor="#00264d" strokeweight=".05pt">
                  <v:path arrowok="t" o:connecttype="custom" o:connectlocs="0,9020;9208,54494;18415,81553;9208,72533;0,117632;18415,153710;18415,153710;0,189789;9208,234888;18415,261947;9208,252927;0,298025;18415,334104;18415,334104;0,370183;9208,415281;18415,442340;9208,433320;0,478419;18415,514498;18415,514498;0,550576;9208,595675;18415,622734;9208,613714;0,658813;18415,694891;18415,694891;0,730970;9208,776444;18415,803503;9208,794484;0,839582;18415,875661;18415,875661;0,911739;9208,956838;18415,983897;9208,974877;0,1019976;18415,1056054;18415,1056054;0,1092133;9208,1137231;18415,1164290;9208,1155271;0,1200369;18415,1236448;18415,1236448;0,1272527;9208,1317625" o:connectangles="0,0,0,0,0,0,0,0,0,0,0,0,0,0,0,0,0,0,0,0,0,0,0,0,0,0,0,0,0,0,0,0,0,0,0,0,0,0,0,0,0,0,0,0,0,0,0,0,0,0,0"/>
                  <o:lock v:ext="edit" verticies="t"/>
                </v:shape>
                <v:shape id="Freeform 20" o:spid="_x0000_s1044" style="position:absolute;left:45345;top:8604;width:178;height:13176;visibility:visible;mso-wrap-style:square;v-text-anchor:top" coordsize="48,3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" path="m48,24r,1c48,38,38,49,24,49,11,49,,38,,25l,24c,11,11,,24,,38,,48,11,48,24xm48,121r,c48,134,38,145,24,145,11,145,,134,,121r,c,107,11,97,24,97v14,,24,10,24,24xm48,217r,c48,230,38,241,24,241,11,241,,230,,217r,c,203,11,193,24,193v14,,24,10,24,24xm48,313r,c48,326,38,337,24,337,11,337,,326,,313r,c,299,11,289,24,289v14,,24,10,24,24xm48,409r,c48,422,38,433,24,433,11,433,,422,,409r,c,395,11,385,24,385v14,,24,10,24,24xm48,505r,c48,518,38,529,24,529,11,529,,518,,505r,c,491,11,481,24,481v14,,24,10,24,24xm48,601r,c48,614,38,625,24,625,11,625,,614,,601r,c,588,11,577,24,577v14,,24,11,24,24xm48,697r,c48,710,38,721,24,721,11,721,,710,,697r,c,684,11,673,24,673v14,,24,11,24,24xm48,793r,c48,806,38,817,24,817,11,817,,806,,793r,c,780,11,769,24,769v14,,24,11,24,24xm48,889r,c48,902,38,913,24,913,11,913,,902,,889r,c,876,11,865,24,865v14,,24,11,24,24xm48,985r,c48,998,38,1009,24,1009,11,1009,,998,,985r,c,972,11,961,24,961v14,,24,11,24,24xm48,1081r,c48,1094,38,1105,24,1105,11,1105,,1094,,1081r,c,1068,11,1057,24,1057v14,,24,11,24,24xm48,1177r,c48,1190,38,1201,24,1201,11,1201,,1190,,1177r,c,1164,11,1153,24,1153v14,,24,11,24,24xm48,1273r,c48,1286,38,1297,24,1297,11,1297,,1286,,1273r,c,1260,11,1249,24,1249v14,,24,11,24,24xm48,1369r,c48,1382,38,1393,24,1393,11,1393,,1382,,1369r,c,1356,11,1345,24,1345v14,,24,11,24,24xm48,1465r,c48,1478,38,1489,24,1489,11,1489,,1478,,1465r,c,1452,11,1441,24,1441v14,,24,11,24,24xm48,1561r,c48,1575,38,1585,24,1585,11,1585,,1575,,1561r,c,1548,11,1537,24,1537v14,,24,11,24,24xm48,1657r,c48,1671,38,1681,24,1681,11,1681,,1671,,1657r,c,1644,11,1633,24,1633v14,,24,11,24,24xm48,1753r,c48,1767,38,1777,24,1777,11,1777,,1767,,1753r,c,1740,11,1729,24,1729v14,,24,11,24,24xm48,1849r,c48,1863,38,1873,24,1873,11,1873,,1863,,1849r,c,1836,11,1825,24,1825v14,,24,11,24,24xm48,1945r,c48,1959,38,1969,24,1969,11,1969,,1959,,1945r,c,1932,11,1921,24,1921v14,,24,11,24,24xm48,2041r,1c48,2055,38,2066,24,2066,11,2066,,2055,,2042r,-1c,2028,11,2017,24,2017v14,,24,11,24,24xm48,2138r,c48,2151,38,2162,24,2162,11,2162,,2151,,2138r,c,2124,11,2114,24,2114v14,,24,10,24,24xm48,2234r,c48,2247,38,2258,24,2258,11,2258,,2247,,2234r,c,2220,11,2210,24,2210v14,,24,10,24,24xm48,2330r,c48,2343,38,2354,24,2354,11,2354,,2343,,2330r,c,2316,11,2306,24,2306v14,,24,10,24,24xm48,2426r,c48,2439,38,2450,24,2450,11,2450,,2439,,2426r,c,2412,11,2402,24,2402v14,,24,10,24,24xm48,2522r,c48,2535,38,2546,24,2546,11,2546,,2535,,2522r,c,2508,11,2498,24,2498v14,,24,10,24,24xm48,2618r,c48,2631,38,2642,24,2642,11,2642,,2631,,2618r,c,2605,11,2594,24,2594v14,,24,11,24,24xm48,2714r,c48,2727,38,2738,24,2738,11,2738,,2727,,2714r,c,2701,11,2690,24,2690v14,,24,11,24,24xm48,2810r,c48,2823,38,2834,24,2834,11,2834,,2823,,2810r,c,2797,11,2786,24,2786v14,,24,11,24,24xm48,2906r,c48,2919,38,2930,24,2930,11,2930,,2919,,2906r,c,2893,11,2882,24,2882v14,,24,11,24,24xm48,3002r,c48,3015,38,3026,24,3026,11,3026,,3015,,3002r,c,2989,11,2978,24,2978v14,,24,11,24,24xm48,3098r,c48,3111,38,3122,24,3122,11,3122,,3111,,3098r,c,3085,11,3074,24,3074v14,,24,11,24,24xm48,3194r,c48,3207,38,3218,24,3218,11,3218,,3207,,3194r,c,3181,11,3170,24,3170v14,,24,11,24,24xm48,3290r,c48,3303,38,3314,24,3314,11,3314,,3303,,3290r,c,3277,11,3266,24,3266v14,,24,11,24,24xm48,3386r,c48,3399,38,3410,24,3410,11,3410,,3399,,3386r,c,3373,11,3362,24,3362v14,,24,11,24,24xm48,3482r,c48,3496,38,3506,24,3506,11,3506,,3496,,3482r,c,3469,11,3458,24,3458v14,,24,11,24,24xe" fillcolor="#00264d" strokecolor="#00264d" strokeweight=".05pt">
                  <v:path arrowok="t" o:connecttype="custom" o:connectlocs="0,9020;8890,54494;17780,81553;8890,72533;0,117632;17780,153710;17780,153710;0,189789;8890,234888;17780,261947;8890,252927;0,298025;17780,334104;17780,334104;0,370183;8890,415281;17780,442340;8890,433320;0,478419;17780,514498;17780,514498;0,550576;8890,595675;17780,622734;8890,613714;0,658813;17780,694891;17780,694891;0,730970;8890,776444;17780,803503;8890,794484;0,839582;17780,875661;17780,875661;0,911739;8890,956838;17780,983897;8890,974877;0,1019976;17780,1056054;17780,1056054;0,1092133;8890,1137231;17780,1164290;8890,1155271;0,1200369;17780,1236448;17780,1236448;0,1272527;8890,1317625" o:connectangles="0,0,0,0,0,0,0,0,0,0,0,0,0,0,0,0,0,0,0,0,0,0,0,0,0,0,0,0,0,0,0,0,0,0,0,0,0,0,0,0,0,0,0,0,0,0,0,0,0,0,0"/>
                  <o:lock v:ext="edit" verticies="t"/>
                </v:shape>
                <v:rect id="Rectangle 21" o:spid="_x0000_s1045" style="position:absolute;left:2584;top:9144;width:16662;height:12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" fillcolor="#f2f2f2" stroked="f"/>
                <v:rect id="Rectangle 22" o:spid="_x0000_s1046" style="position:absolute;left:2844;top:9366;width:3118;height:22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" filled="f" stroked="f">
                  <v:textbox style="mso-fit-shape-to-text:t" inset="0,0,0,0">
                    <w:txbxContent>
                      <w:p w14:paraId="0E2FEF10" w14:textId="35720546" w:rsidR="002871AD" w:rsidRDefault="002871AD">
                        <w:r>
                          <w:rPr>
                            <w:rFonts w:ascii="Segoe UI Semibold" w:hAnsi="Segoe UI Semibold" w:cs="Segoe UI Semibold"/>
                            <w:color w:val="00264D"/>
                            <w:sz w:val="16"/>
                            <w:szCs w:val="16"/>
                            <w:lang w:val="en-US"/>
                          </w:rPr>
                          <w:t>NEEDS</w:t>
                        </w:r>
                      </w:p>
                    </w:txbxContent>
                  </v:textbox>
                </v:rect>
                <v:rect id="Rectangle 23" o:spid="_x0000_s1047" style="position:absolute;left:2844;top:11163;width:362;height:20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" filled="f" stroked="f">
                  <v:textbox style="mso-fit-shape-to-text:t" inset="0,0,0,0">
                    <w:txbxContent>
                      <w:p w14:paraId="630C09DF" w14:textId="5916ABDF" w:rsidR="002871AD" w:rsidRDefault="002871AD">
                        <w:r>
                          <w:rPr>
                            <w:rFonts w:ascii="Arial" w:hAnsi="Arial" w:cs="Arial"/>
                            <w:color w:val="00264D"/>
                            <w:sz w:val="16"/>
                            <w:szCs w:val="16"/>
                            <w:lang w:val="en-US"/>
                          </w:rPr>
                          <w:t>•</w:t>
                        </w:r>
                      </w:p>
                    </w:txbxContent>
                  </v:textbox>
                </v:rect>
                <v:rect id="Rectangle 24" o:spid="_x0000_s1048" style="position:absolute;left:3924;top:10985;width:12401;height:22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" filled="f" stroked="f">
                  <v:textbox style="mso-fit-shape-to-text:t" inset="0,0,0,0">
                    <w:txbxContent>
                      <w:p w14:paraId="4EC1CF37" w14:textId="66BE594A" w:rsidR="002871AD" w:rsidRDefault="002871AD">
                        <w:r>
                          <w:rPr>
                            <w:rFonts w:cs="Segoe UI"/>
                            <w:color w:val="00264D"/>
                            <w:sz w:val="16"/>
                            <w:szCs w:val="16"/>
                            <w:lang w:val="en-US"/>
                          </w:rPr>
                          <w:t xml:space="preserve">Access to clinical staff when </w:t>
                        </w:r>
                      </w:p>
                    </w:txbxContent>
                  </v:textbox>
                </v:rect>
                <v:rect id="Rectangle 25" o:spid="_x0000_s1049" style="position:absolute;left:3924;top:12128;width:559;height:24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" filled="f" stroked="f">
                  <v:textbox style="mso-fit-shape-to-text:t" inset="0,0,0,0">
                    <w:txbxContent>
                      <w:p w14:paraId="73BC0FAE" w14:textId="3A57A203" w:rsidR="002871AD" w:rsidRDefault="002871AD"/>
                    </w:txbxContent>
                  </v:textbox>
                </v:rect>
                <v:rect id="Rectangle 26" o:spid="_x0000_s1050" style="position:absolute;left:2844;top:13938;width:559;height:24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" filled="f" stroked="f">
                  <v:textbox style="mso-fit-shape-to-text:t" inset="0,0,0,0">
                    <w:txbxContent>
                      <w:p w14:paraId="5DE52CB5" w14:textId="4EEF2953" w:rsidR="002871AD" w:rsidRDefault="002871AD"/>
                    </w:txbxContent>
                  </v:textbox>
                </v:rect>
                <v:rect id="Rectangle 27" o:spid="_x0000_s1051" style="position:absolute;left:3924;top:13754;width:559;height:24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" filled="f" stroked="f">
                  <v:textbox style="mso-fit-shape-to-text:t" inset="0,0,0,0">
                    <w:txbxContent>
                      <w:p w14:paraId="7C9D7B7C" w14:textId="5AE12278" w:rsidR="002871AD" w:rsidRDefault="002871AD"/>
                    </w:txbxContent>
                  </v:textbox>
                </v:rect>
                <v:rect id="Rectangle 28" o:spid="_x0000_s1052" style="position:absolute;left:3924;top:14897;width:559;height:24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" filled="f" stroked="f">
                  <v:textbox style="mso-fit-shape-to-text:t" inset="0,0,0,0">
                    <w:txbxContent>
                      <w:p w14:paraId="310A745A" w14:textId="09F447F0" w:rsidR="002871AD" w:rsidRDefault="002871AD"/>
                    </w:txbxContent>
                  </v:textbox>
                </v:rect>
                <v:rect id="Rectangle 29" o:spid="_x0000_s1053" style="position:absolute;left:2844;top:16757;width:362;height:20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" filled="f" stroked="f">
                  <v:textbox style="mso-fit-shape-to-text:t" inset="0,0,0,0">
                    <w:txbxContent>
                      <w:p w14:paraId="619032F2" w14:textId="10E24EED" w:rsidR="002871AD" w:rsidRDefault="002871AD">
                        <w:r>
                          <w:rPr>
                            <w:rFonts w:ascii="Arial" w:hAnsi="Arial" w:cs="Arial"/>
                            <w:color w:val="00264D"/>
                            <w:sz w:val="16"/>
                            <w:szCs w:val="16"/>
                            <w:lang w:val="en-US"/>
                          </w:rPr>
                          <w:t>•</w:t>
                        </w:r>
                      </w:p>
                    </w:txbxContent>
                  </v:textbox>
                </v:rect>
                <v:rect id="Rectangle 30" o:spid="_x0000_s1054" style="position:absolute;left:3924;top:16579;width:13360;height:22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" filled="f" stroked="f">
                  <v:textbox style="mso-fit-shape-to-text:t" inset="0,0,0,0">
                    <w:txbxContent>
                      <w:p w14:paraId="428EB7B2" w14:textId="07A90F9F" w:rsidR="002871AD" w:rsidRDefault="002871AD">
                        <w:r>
                          <w:rPr>
                            <w:rFonts w:cs="Segoe UI"/>
                            <w:color w:val="00264D"/>
                            <w:sz w:val="16"/>
                            <w:szCs w:val="16"/>
                            <w:lang w:val="en-US"/>
                          </w:rPr>
                          <w:t>Appropriate referral pathways</w:t>
                        </w:r>
                      </w:p>
                    </w:txbxContent>
                  </v:textbox>
                </v:rect>
                <v:rect id="Rectangle 31" o:spid="_x0000_s1055" style="position:absolute;left:19843;top:9264;width:16663;height:12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" fillcolor="#f2f2f2" stroked="f"/>
                <v:rect id="Rectangle 32" o:spid="_x0000_s1056" style="position:absolute;left:20085;top:9455;width:3117;height:22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" filled="f" stroked="f">
                  <v:textbox style="mso-fit-shape-to-text:t" inset="0,0,0,0">
                    <w:txbxContent>
                      <w:p w14:paraId="3D64AD38" w14:textId="6441637E" w:rsidR="002871AD" w:rsidRDefault="002871AD">
                        <w:r>
                          <w:rPr>
                            <w:rFonts w:ascii="Segoe UI Semibold" w:hAnsi="Segoe UI Semibold" w:cs="Segoe UI Semibold"/>
                            <w:color w:val="00264D"/>
                            <w:sz w:val="16"/>
                            <w:szCs w:val="16"/>
                            <w:lang w:val="en-US"/>
                          </w:rPr>
                          <w:t>NEEDS</w:t>
                        </w:r>
                      </w:p>
                    </w:txbxContent>
                  </v:textbox>
                </v:rect>
                <v:rect id="Rectangle 33" o:spid="_x0000_s1057" style="position:absolute;left:20085;top:11264;width:362;height:20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" filled="f" stroked="f">
                  <v:textbox style="mso-fit-shape-to-text:t" inset="0,0,0,0">
                    <w:txbxContent>
                      <w:p w14:paraId="7A929DDF" w14:textId="4A0D77C7" w:rsidR="002871AD" w:rsidRDefault="002871AD">
                        <w:r>
                          <w:rPr>
                            <w:rFonts w:ascii="Arial" w:hAnsi="Arial" w:cs="Arial"/>
                            <w:color w:val="00264D"/>
                            <w:sz w:val="16"/>
                            <w:szCs w:val="16"/>
                            <w:lang w:val="en-US"/>
                          </w:rPr>
                          <w:t>•</w:t>
                        </w:r>
                      </w:p>
                    </w:txbxContent>
                  </v:textbox>
                </v:rect>
                <v:rect id="Rectangle 34" o:spid="_x0000_s1058" style="position:absolute;left:21164;top:11080;width:15431;height:22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" filled="f" stroked="f">
                  <v:textbox style="mso-fit-shape-to-text:t" inset="0,0,0,0">
                    <w:txbxContent>
                      <w:p w14:paraId="18C7CD9A" w14:textId="5DA203FB" w:rsidR="002871AD" w:rsidRDefault="002871AD">
                        <w:r>
                          <w:rPr>
                            <w:rFonts w:cs="Segoe UI"/>
                            <w:color w:val="00264D"/>
                            <w:sz w:val="16"/>
                            <w:szCs w:val="16"/>
                            <w:lang w:val="en-US"/>
                          </w:rPr>
                          <w:t xml:space="preserve">Education in symptom recognition </w:t>
                        </w:r>
                      </w:p>
                    </w:txbxContent>
                  </v:textbox>
                </v:rect>
                <v:rect id="Rectangle 35" o:spid="_x0000_s1059" style="position:absolute;left:21164;top:12223;width:7912;height:22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" filled="f" stroked="f">
                  <v:textbox style="mso-fit-shape-to-text:t" inset="0,0,0,0">
                    <w:txbxContent>
                      <w:p w14:paraId="7F43FD59" w14:textId="1CD8302E" w:rsidR="002871AD" w:rsidRDefault="002871AD">
                        <w:r>
                          <w:rPr>
                            <w:rFonts w:cs="Segoe UI"/>
                            <w:color w:val="00264D"/>
                            <w:sz w:val="16"/>
                            <w:szCs w:val="16"/>
                            <w:lang w:val="en-US"/>
                          </w:rPr>
                          <w:t>and management</w:t>
                        </w:r>
                      </w:p>
                    </w:txbxContent>
                  </v:textbox>
                </v:rect>
                <v:rect id="Rectangle 36" o:spid="_x0000_s1060" style="position:absolute;left:20085;top:14020;width:362;height:20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" filled="f" stroked="f">
                  <v:textbox style="mso-fit-shape-to-text:t" inset="0,0,0,0">
                    <w:txbxContent>
                      <w:p w14:paraId="1641437A" w14:textId="202E38FD" w:rsidR="002871AD" w:rsidRDefault="002871AD">
                        <w:r>
                          <w:rPr>
                            <w:rFonts w:ascii="Arial" w:hAnsi="Arial" w:cs="Arial"/>
                            <w:color w:val="00264D"/>
                            <w:sz w:val="16"/>
                            <w:szCs w:val="16"/>
                            <w:lang w:val="en-US"/>
                          </w:rPr>
                          <w:t>•</w:t>
                        </w:r>
                      </w:p>
                    </w:txbxContent>
                  </v:textbox>
                </v:rect>
                <v:rect id="Rectangle 37" o:spid="_x0000_s1061" style="position:absolute;left:21164;top:13843;width:14618;height:22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" filled="f" stroked="f">
                  <v:textbox style="mso-fit-shape-to-text:t" inset="0,0,0,0">
                    <w:txbxContent>
                      <w:p w14:paraId="09641112" w14:textId="6226E112" w:rsidR="002871AD" w:rsidRDefault="002871AD">
                        <w:r>
                          <w:rPr>
                            <w:rFonts w:cs="Segoe UI"/>
                            <w:color w:val="00264D"/>
                            <w:sz w:val="16"/>
                            <w:szCs w:val="16"/>
                            <w:lang w:val="en-US"/>
                          </w:rPr>
                          <w:t xml:space="preserve">Support from specialist palliative </w:t>
                        </w:r>
                      </w:p>
                    </w:txbxContent>
                  </v:textbox>
                </v:rect>
                <v:rect id="Rectangle 38" o:spid="_x0000_s1062" style="position:absolute;left:21164;top:14986;width:12948;height:22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" filled="f" stroked="f">
                  <v:textbox style="mso-fit-shape-to-text:t" inset="0,0,0,0">
                    <w:txbxContent>
                      <w:p w14:paraId="3E5353CF" w14:textId="455F66EA" w:rsidR="002871AD" w:rsidRDefault="002871AD">
                        <w:r>
                          <w:rPr>
                            <w:rFonts w:cs="Segoe UI"/>
                            <w:color w:val="00264D"/>
                            <w:sz w:val="16"/>
                            <w:szCs w:val="16"/>
                            <w:lang w:val="en-US"/>
                          </w:rPr>
                          <w:t>care workforce when needed</w:t>
                        </w:r>
                      </w:p>
                    </w:txbxContent>
                  </v:textbox>
                </v:rect>
                <v:rect id="Rectangle 39" o:spid="_x0000_s1063" style="position:absolute;left:20085;top:16859;width:362;height:20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" filled="f" stroked="f">
                  <v:textbox style="mso-fit-shape-to-text:t" inset="0,0,0,0">
                    <w:txbxContent>
                      <w:p w14:paraId="29D9A9A8" w14:textId="24AF91B9" w:rsidR="002871AD" w:rsidRDefault="002871AD">
                        <w:r>
                          <w:rPr>
                            <w:rFonts w:ascii="Arial" w:hAnsi="Arial" w:cs="Arial"/>
                            <w:color w:val="00264D"/>
                            <w:sz w:val="16"/>
                            <w:szCs w:val="16"/>
                            <w:lang w:val="en-US"/>
                          </w:rPr>
                          <w:t>•</w:t>
                        </w:r>
                      </w:p>
                    </w:txbxContent>
                  </v:textbox>
                </v:rect>
                <v:rect id="Rectangle 40" o:spid="_x0000_s1064" style="position:absolute;left:21164;top:16675;width:15342;height:22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" filled="f" stroked="f">
                  <v:textbox style="mso-fit-shape-to-text:t" inset="0,0,0,0">
                    <w:txbxContent>
                      <w:p w14:paraId="56F96C00" w14:textId="25F66FF9" w:rsidR="002871AD" w:rsidRDefault="002871AD">
                        <w:r>
                          <w:rPr>
                            <w:rFonts w:cs="Segoe UI"/>
                            <w:color w:val="00264D"/>
                            <w:sz w:val="16"/>
                            <w:szCs w:val="16"/>
                            <w:lang w:val="en-US"/>
                          </w:rPr>
                          <w:t>Time and resources to deliver care</w:t>
                        </w:r>
                      </w:p>
                    </w:txbxContent>
                  </v:textbox>
                </v:rect>
                <v:rect id="Rectangle 41" o:spid="_x0000_s1065" style="position:absolute;left:20085;top:18472;width:362;height:20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" filled="f" stroked="f">
                  <v:textbox style="mso-fit-shape-to-text:t" inset="0,0,0,0">
                    <w:txbxContent>
                      <w:p w14:paraId="03E9085A" w14:textId="642DC24A" w:rsidR="002871AD" w:rsidRDefault="002871AD">
                        <w:r>
                          <w:rPr>
                            <w:rFonts w:ascii="Arial" w:hAnsi="Arial" w:cs="Arial"/>
                            <w:color w:val="00264D"/>
                            <w:sz w:val="16"/>
                            <w:szCs w:val="16"/>
                            <w:lang w:val="en-US"/>
                          </w:rPr>
                          <w:t>•</w:t>
                        </w:r>
                      </w:p>
                    </w:txbxContent>
                  </v:textbox>
                </v:rect>
                <v:rect id="Rectangle 42" o:spid="_x0000_s1066" style="position:absolute;left:21164;top:18294;width:14992;height:22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" filled="f" stroked="f">
                  <v:textbox style="mso-fit-shape-to-text:t" inset="0,0,0,0">
                    <w:txbxContent>
                      <w:p w14:paraId="45EDDF79" w14:textId="6CB9B00C" w:rsidR="002871AD" w:rsidRDefault="002871AD">
                        <w:r>
                          <w:rPr>
                            <w:rFonts w:cs="Segoe UI"/>
                            <w:color w:val="00264D"/>
                            <w:sz w:val="16"/>
                            <w:szCs w:val="16"/>
                            <w:lang w:val="en-US"/>
                          </w:rPr>
                          <w:t xml:space="preserve">Training to engage with residents </w:t>
                        </w:r>
                      </w:p>
                    </w:txbxContent>
                  </v:textbox>
                </v:rect>
                <v:rect id="Rectangle 43" o:spid="_x0000_s1067" style="position:absolute;left:21164;top:19437;width:12014;height:22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" filled="f" stroked="f">
                  <v:textbox style="mso-fit-shape-to-text:t" inset="0,0,0,0">
                    <w:txbxContent>
                      <w:p w14:paraId="38C86ACB" w14:textId="40741DFB" w:rsidR="002871AD" w:rsidRDefault="002871AD">
                        <w:r>
                          <w:rPr>
                            <w:rFonts w:cs="Segoe UI"/>
                            <w:color w:val="00264D"/>
                            <w:sz w:val="16"/>
                            <w:szCs w:val="16"/>
                            <w:lang w:val="en-US"/>
                          </w:rPr>
                          <w:t>and families regarding end</w:t>
                        </w:r>
                      </w:p>
                    </w:txbxContent>
                  </v:textbox>
                </v:rect>
                <v:rect id="Rectangle 44" o:spid="_x0000_s1068" style="position:absolute;left:32473;top:19437;width:407;height:22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" filled="f" stroked="f">
                  <v:textbox style="mso-fit-shape-to-text:t" inset="0,0,0,0">
                    <w:txbxContent>
                      <w:p w14:paraId="5836BCDB" w14:textId="4CBA5D6E" w:rsidR="002871AD" w:rsidRDefault="002871AD">
                        <w:r>
                          <w:rPr>
                            <w:rFonts w:cs="Segoe UI"/>
                            <w:color w:val="00264D"/>
                            <w:sz w:val="16"/>
                            <w:szCs w:val="16"/>
                            <w:lang w:val="en-US"/>
                          </w:rPr>
                          <w:t>-</w:t>
                        </w:r>
                      </w:p>
                    </w:txbxContent>
                  </v:textbox>
                </v:rect>
                <v:rect id="Rectangle 45" o:spid="_x0000_s1069" style="position:absolute;left:32829;top:19437;width:914;height:22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" filled="f" stroked="f">
                  <v:textbox style="mso-fit-shape-to-text:t" inset="0,0,0,0">
                    <w:txbxContent>
                      <w:p w14:paraId="1966A2C7" w14:textId="1862B427" w:rsidR="002871AD" w:rsidRDefault="002871AD">
                        <w:r>
                          <w:rPr>
                            <w:rFonts w:cs="Segoe UI"/>
                            <w:color w:val="00264D"/>
                            <w:sz w:val="16"/>
                            <w:szCs w:val="16"/>
                            <w:lang w:val="en-US"/>
                          </w:rPr>
                          <w:t>of</w:t>
                        </w:r>
                      </w:p>
                    </w:txbxContent>
                  </v:textbox>
                </v:rect>
                <v:rect id="Rectangle 46" o:spid="_x0000_s1070" style="position:absolute;left:33674;top:19437;width:406;height:22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" filled="f" stroked="f">
                  <v:textbox style="mso-fit-shape-to-text:t" inset="0,0,0,0">
                    <w:txbxContent>
                      <w:p w14:paraId="468B611C" w14:textId="433ACCE2" w:rsidR="002871AD" w:rsidRDefault="002871AD">
                        <w:r>
                          <w:rPr>
                            <w:rFonts w:cs="Segoe UI"/>
                            <w:color w:val="00264D"/>
                            <w:sz w:val="16"/>
                            <w:szCs w:val="16"/>
                            <w:lang w:val="en-US"/>
                          </w:rPr>
                          <w:t>-</w:t>
                        </w:r>
                      </w:p>
                    </w:txbxContent>
                  </v:textbox>
                </v:rect>
                <v:rect id="Rectangle 47" o:spid="_x0000_s1071" style="position:absolute;left:34036;top:19437;width:1346;height:22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" filled="f" stroked="f">
                  <v:textbox style="mso-fit-shape-to-text:t" inset="0,0,0,0">
                    <w:txbxContent>
                      <w:p w14:paraId="38B87615" w14:textId="16134241" w:rsidR="002871AD" w:rsidRDefault="002871AD">
                        <w:r>
                          <w:rPr>
                            <w:rFonts w:cs="Segoe UI"/>
                            <w:color w:val="00264D"/>
                            <w:sz w:val="16"/>
                            <w:szCs w:val="16"/>
                            <w:lang w:val="en-US"/>
                          </w:rPr>
                          <w:t>life</w:t>
                        </w:r>
                      </w:p>
                    </w:txbxContent>
                  </v:textbox>
                </v:rect>
                <v:rect id="Rectangle 48" o:spid="_x0000_s1072" style="position:absolute;left:37045;top:9264;width:16656;height:12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" fillcolor="#f2f2f2" stroked="f"/>
                <v:rect id="Rectangle 49" o:spid="_x0000_s1073" style="position:absolute;left:37325;top:9455;width:3118;height:22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" filled="f" stroked="f">
                  <v:textbox style="mso-fit-shape-to-text:t" inset="0,0,0,0">
                    <w:txbxContent>
                      <w:p w14:paraId="18E30ED0" w14:textId="62D1C929" w:rsidR="002871AD" w:rsidRDefault="002871AD">
                        <w:r>
                          <w:rPr>
                            <w:rFonts w:ascii="Segoe UI Semibold" w:hAnsi="Segoe UI Semibold" w:cs="Segoe UI Semibold"/>
                            <w:color w:val="00264D"/>
                            <w:sz w:val="16"/>
                            <w:szCs w:val="16"/>
                            <w:lang w:val="en-US"/>
                          </w:rPr>
                          <w:t>NEEDS</w:t>
                        </w:r>
                      </w:p>
                    </w:txbxContent>
                  </v:textbox>
                </v:rect>
                <v:rect id="Rectangle 50" o:spid="_x0000_s1074" style="position:absolute;left:37325;top:11264;width:362;height:20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" filled="f" stroked="f">
                  <v:textbox style="mso-fit-shape-to-text:t" inset="0,0,0,0">
                    <w:txbxContent>
                      <w:p w14:paraId="1DB0F7B3" w14:textId="07AD4738" w:rsidR="002871AD" w:rsidRDefault="002871AD">
                        <w:r>
                          <w:rPr>
                            <w:rFonts w:ascii="Arial" w:hAnsi="Arial" w:cs="Arial"/>
                            <w:color w:val="00264D"/>
                            <w:sz w:val="16"/>
                            <w:szCs w:val="16"/>
                            <w:lang w:val="en-US"/>
                          </w:rPr>
                          <w:t>•</w:t>
                        </w:r>
                      </w:p>
                    </w:txbxContent>
                  </v:textbox>
                </v:rect>
                <v:rect id="Rectangle 51" o:spid="_x0000_s1075" style="position:absolute;left:38404;top:11080;width:10960;height:22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" filled="f" stroked="f">
                  <v:textbox style="mso-fit-shape-to-text:t" inset="0,0,0,0">
                    <w:txbxContent>
                      <w:p w14:paraId="0637853B" w14:textId="095A007D" w:rsidR="002871AD" w:rsidRDefault="002871AD">
                        <w:r>
                          <w:rPr>
                            <w:rFonts w:cs="Segoe UI"/>
                            <w:color w:val="00264D"/>
                            <w:sz w:val="16"/>
                            <w:szCs w:val="16"/>
                            <w:lang w:val="en-US"/>
                          </w:rPr>
                          <w:t xml:space="preserve">Specialist skills including </w:t>
                        </w:r>
                      </w:p>
                    </w:txbxContent>
                  </v:textbox>
                </v:rect>
                <v:rect id="Rectangle 52" o:spid="_x0000_s1076" style="position:absolute;left:38404;top:12223;width:15145;height:22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" filled="f" stroked="f">
                  <v:textbox style="mso-fit-shape-to-text:t" inset="0,0,0,0">
                    <w:txbxContent>
                      <w:p w14:paraId="1978EA36" w14:textId="124BDCEC" w:rsidR="002871AD" w:rsidRDefault="002871AD">
                        <w:r>
                          <w:rPr>
                            <w:rFonts w:cs="Segoe UI"/>
                            <w:color w:val="00264D"/>
                            <w:sz w:val="16"/>
                            <w:szCs w:val="16"/>
                            <w:lang w:val="en-US"/>
                          </w:rPr>
                          <w:t xml:space="preserve">communication and management </w:t>
                        </w:r>
                      </w:p>
                    </w:txbxContent>
                  </v:textbox>
                </v:rect>
                <v:rect id="Rectangle 53" o:spid="_x0000_s1077" style="position:absolute;left:38404;top:13366;width:8840;height:22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" filled="f" stroked="f">
                  <v:textbox style="mso-fit-shape-to-text:t" inset="0,0,0,0">
                    <w:txbxContent>
                      <w:p w14:paraId="00164863" w14:textId="7D6CCDB3" w:rsidR="002871AD" w:rsidRDefault="002871AD">
                        <w:r>
                          <w:rPr>
                            <w:rFonts w:cs="Segoe UI"/>
                            <w:color w:val="00264D"/>
                            <w:sz w:val="16"/>
                            <w:szCs w:val="16"/>
                            <w:lang w:val="en-US"/>
                          </w:rPr>
                          <w:t>of complex patients</w:t>
                        </w:r>
                      </w:p>
                    </w:txbxContent>
                  </v:textbox>
                </v:rect>
                <v:rect id="Rectangle 54" o:spid="_x0000_s1078" style="position:absolute;left:37325;top:15163;width:362;height:20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" filled="f" stroked="f">
                  <v:textbox style="mso-fit-shape-to-text:t" inset="0,0,0,0">
                    <w:txbxContent>
                      <w:p w14:paraId="1765479F" w14:textId="696D1517" w:rsidR="002871AD" w:rsidRDefault="002871AD">
                        <w:r>
                          <w:rPr>
                            <w:rFonts w:ascii="Arial" w:hAnsi="Arial" w:cs="Arial"/>
                            <w:color w:val="00264D"/>
                            <w:sz w:val="16"/>
                            <w:szCs w:val="16"/>
                            <w:lang w:val="en-US"/>
                          </w:rPr>
                          <w:t>•</w:t>
                        </w:r>
                      </w:p>
                    </w:txbxContent>
                  </v:textbox>
                </v:rect>
                <v:rect id="Rectangle 55" o:spid="_x0000_s1079" style="position:absolute;left:38404;top:14986;width:3956;height:22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" filled="f" stroked="f">
                  <v:textbox style="mso-fit-shape-to-text:t" inset="0,0,0,0">
                    <w:txbxContent>
                      <w:p w14:paraId="1639BEE6" w14:textId="788131C5" w:rsidR="002871AD" w:rsidRDefault="002871AD">
                        <w:r>
                          <w:rPr>
                            <w:rFonts w:cs="Segoe UI"/>
                            <w:color w:val="00264D"/>
                            <w:sz w:val="16"/>
                            <w:szCs w:val="16"/>
                            <w:lang w:val="en-US"/>
                          </w:rPr>
                          <w:t>Evidence</w:t>
                        </w:r>
                      </w:p>
                    </w:txbxContent>
                  </v:textbox>
                </v:rect>
                <v:rect id="Rectangle 56" o:spid="_x0000_s1080" style="position:absolute;left:42075;top:14986;width:406;height:22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" filled="f" stroked="f">
                  <v:textbox style="mso-fit-shape-to-text:t" inset="0,0,0,0">
                    <w:txbxContent>
                      <w:p w14:paraId="15AA9D1F" w14:textId="2DF647A5" w:rsidR="002871AD" w:rsidRDefault="002871AD">
                        <w:r>
                          <w:rPr>
                            <w:rFonts w:cs="Segoe UI"/>
                            <w:color w:val="00264D"/>
                            <w:sz w:val="16"/>
                            <w:szCs w:val="16"/>
                            <w:lang w:val="en-US"/>
                          </w:rPr>
                          <w:t>-</w:t>
                        </w:r>
                      </w:p>
                    </w:txbxContent>
                  </v:textbox>
                </v:rect>
                <v:rect id="Rectangle 57" o:spid="_x0000_s1081" style="position:absolute;left:42437;top:14986;width:7778;height:22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" filled="f" stroked="f">
                  <v:textbox style="mso-fit-shape-to-text:t" inset="0,0,0,0">
                    <w:txbxContent>
                      <w:p w14:paraId="7F90800F" w14:textId="67FA3050" w:rsidR="002871AD" w:rsidRDefault="002871AD">
                        <w:r>
                          <w:rPr>
                            <w:rFonts w:cs="Segoe UI"/>
                            <w:color w:val="00264D"/>
                            <w:sz w:val="16"/>
                            <w:szCs w:val="16"/>
                            <w:lang w:val="en-US"/>
                          </w:rPr>
                          <w:t xml:space="preserve">based models for </w:t>
                        </w:r>
                      </w:p>
                    </w:txbxContent>
                  </v:textbox>
                </v:rect>
                <v:rect id="Rectangle 58" o:spid="_x0000_s1082" style="position:absolute;left:38404;top:16192;width:14872;height:22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" filled="f" stroked="f">
                  <v:textbox style="mso-fit-shape-to-text:t" inset="0,0,0,0">
                    <w:txbxContent>
                      <w:p w14:paraId="0E597C06" w14:textId="13E75EBF" w:rsidR="002871AD" w:rsidRDefault="002871AD">
                        <w:r>
                          <w:rPr>
                            <w:rFonts w:cs="Segoe UI"/>
                            <w:color w:val="00264D"/>
                            <w:sz w:val="16"/>
                            <w:szCs w:val="16"/>
                            <w:lang w:val="en-US"/>
                          </w:rPr>
                          <w:t>specialist palliative care provision</w:t>
                        </w:r>
                      </w:p>
                    </w:txbxContent>
                  </v:textbox>
                </v:rect>
                <v:rect id="Rectangle 59" o:spid="_x0000_s1083" style="position:absolute;left:19843;top:2889;width:16663;height:5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" fillcolor="#f2f2f2" stroked="f"/>
                <v:rect id="Rectangle 60" o:spid="_x0000_s1084" style="position:absolute;left:24415;top:3263;width:2039;height:20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" filled="f" stroked="f">
                  <v:textbox style="mso-fit-shape-to-text:t" inset="0,0,0,0">
                    <w:txbxContent>
                      <w:p w14:paraId="0869BD0B" w14:textId="6E95152D" w:rsidR="002871AD" w:rsidRDefault="002871AD">
                        <w:r>
                          <w:rPr>
                            <w:rFonts w:ascii="Segoe UI Semibold" w:hAnsi="Segoe UI Semibold" w:cs="Segoe UI Semibold"/>
                            <w:color w:val="00264D"/>
                            <w:sz w:val="14"/>
                            <w:szCs w:val="14"/>
                            <w:lang w:val="en-US"/>
                          </w:rPr>
                          <w:t>NON</w:t>
                        </w:r>
                      </w:p>
                    </w:txbxContent>
                  </v:textbox>
                </v:rect>
                <v:rect id="Rectangle 61" o:spid="_x0000_s1085" style="position:absolute;left:26523;top:3263;width:362;height:20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" filled="f" stroked="f">
                  <v:textbox style="mso-fit-shape-to-text:t" inset="0,0,0,0">
                    <w:txbxContent>
                      <w:p w14:paraId="37110F0C" w14:textId="7C97CC03" w:rsidR="002871AD" w:rsidRDefault="002871AD">
                        <w:r>
                          <w:rPr>
                            <w:rFonts w:ascii="Segoe UI Semibold" w:hAnsi="Segoe UI Semibold" w:cs="Segoe UI Semibold"/>
                            <w:color w:val="00264D"/>
                            <w:sz w:val="14"/>
                            <w:szCs w:val="14"/>
                            <w:lang w:val="en-US"/>
                          </w:rPr>
                          <w:t>-</w:t>
                        </w:r>
                      </w:p>
                    </w:txbxContent>
                  </v:textbox>
                </v:rect>
                <v:rect id="Rectangle 62" o:spid="_x0000_s1086" style="position:absolute;left:26879;top:3263;width:5029;height:20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" filled="f" stroked="f">
                  <v:textbox style="mso-fit-shape-to-text:t" inset="0,0,0,0">
                    <w:txbxContent>
                      <w:p w14:paraId="392250FF" w14:textId="2274E111" w:rsidR="002871AD" w:rsidRDefault="002871AD">
                        <w:r>
                          <w:rPr>
                            <w:rFonts w:ascii="Segoe UI Semibold" w:hAnsi="Segoe UI Semibold" w:cs="Segoe UI Semibold"/>
                            <w:color w:val="00264D"/>
                            <w:sz w:val="14"/>
                            <w:szCs w:val="14"/>
                            <w:lang w:val="en-US"/>
                          </w:rPr>
                          <w:t>SPECIALISTS</w:t>
                        </w:r>
                      </w:p>
                    </w:txbxContent>
                  </v:textbox>
                </v:rect>
                <v:rect id="Rectangle 63" o:spid="_x0000_s1087" style="position:absolute;left:19843;top:603;width:33858;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" fillcolor="#00264d" stroked="f"/>
                <v:rect id="Rectangle 64" o:spid="_x0000_s1088" style="position:absolute;left:33559;top:1104;width:6484;height:20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" filled="f" stroked="f">
                  <v:textbox style="mso-fit-shape-to-text:t" inset="0,0,0,0">
                    <w:txbxContent>
                      <w:p w14:paraId="265B238B" w14:textId="254F6F3C" w:rsidR="002871AD" w:rsidRDefault="002871AD">
                        <w:r>
                          <w:rPr>
                            <w:rFonts w:ascii="Segoe UI Semibold" w:hAnsi="Segoe UI Semibold" w:cs="Segoe UI Semibold"/>
                            <w:color w:val="FFFFFF"/>
                            <w:sz w:val="14"/>
                            <w:szCs w:val="14"/>
                            <w:lang w:val="en-US"/>
                          </w:rPr>
                          <w:t>CLINICAL STAFF</w:t>
                        </w:r>
                      </w:p>
                    </w:txbxContent>
                  </v:textbox>
                </v:rect>
                <v:rect id="Rectangle 65" o:spid="_x0000_s1089" style="position:absolute;left:2584;top:603;width:16662;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" fillcolor="#00264d" stroked="f"/>
                <v:rect id="Rectangle 66" o:spid="_x0000_s1090" style="position:absolute;left:6451;top:1104;width:2038;height:20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" filled="f" stroked="f">
                  <v:textbox style="mso-fit-shape-to-text:t" inset="0,0,0,0">
                    <w:txbxContent>
                      <w:p w14:paraId="6657BBE0" w14:textId="0E817BDD" w:rsidR="002871AD" w:rsidRDefault="002871AD">
                        <w:r>
                          <w:rPr>
                            <w:rFonts w:ascii="Segoe UI Semibold" w:hAnsi="Segoe UI Semibold" w:cs="Segoe UI Semibold"/>
                            <w:color w:val="FFFFFF"/>
                            <w:sz w:val="14"/>
                            <w:szCs w:val="14"/>
                            <w:lang w:val="en-US"/>
                          </w:rPr>
                          <w:t>NON</w:t>
                        </w:r>
                      </w:p>
                    </w:txbxContent>
                  </v:textbox>
                </v:rect>
                <v:rect id="Rectangle 67" o:spid="_x0000_s1091" style="position:absolute;left:8559;top:1104;width:362;height:20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" filled="f" stroked="f">
                  <v:textbox style="mso-fit-shape-to-text:t" inset="0,0,0,0">
                    <w:txbxContent>
                      <w:p w14:paraId="79CC713A" w14:textId="2CE093FE" w:rsidR="002871AD" w:rsidRDefault="002871AD">
                        <w:r>
                          <w:rPr>
                            <w:rFonts w:ascii="Segoe UI Semibold" w:hAnsi="Segoe UI Semibold" w:cs="Segoe UI Semibold"/>
                            <w:color w:val="FFFFFF"/>
                            <w:sz w:val="14"/>
                            <w:szCs w:val="14"/>
                            <w:lang w:val="en-US"/>
                          </w:rPr>
                          <w:t>-</w:t>
                        </w:r>
                      </w:p>
                    </w:txbxContent>
                  </v:textbox>
                </v:rect>
                <v:rect id="Rectangle 68" o:spid="_x0000_s1092" style="position:absolute;left:8921;top:1104;width:6484;height:20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" filled="f" stroked="f">
                  <v:textbox style="mso-fit-shape-to-text:t" inset="0,0,0,0">
                    <w:txbxContent>
                      <w:p w14:paraId="59F36A5F" w14:textId="576FBAA5" w:rsidR="002871AD" w:rsidRDefault="002871AD">
                        <w:r>
                          <w:rPr>
                            <w:rFonts w:ascii="Segoe UI Semibold" w:hAnsi="Segoe UI Semibold" w:cs="Segoe UI Semibold"/>
                            <w:color w:val="FFFFFF"/>
                            <w:sz w:val="14"/>
                            <w:szCs w:val="14"/>
                            <w:lang w:val="en-US"/>
                          </w:rPr>
                          <w:t>CLINICAL STAFF</w:t>
                        </w:r>
                      </w:p>
                    </w:txbxContent>
                  </v:textbox>
                </v:rect>
                <v:rect id="Rectangle 69" o:spid="_x0000_s1093" style="position:absolute;left:37045;top:2889;width:16656;height:5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" fillcolor="#f2f2f2" stroked="f"/>
                <v:rect id="Rectangle 70" o:spid="_x0000_s1094" style="position:absolute;left:39312;top:3263;width:12300;height:20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" filled="f" stroked="f">
                  <v:textbox style="mso-fit-shape-to-text:t" inset="0,0,0,0">
                    <w:txbxContent>
                      <w:p w14:paraId="7E36F988" w14:textId="09A1FA54" w:rsidR="002871AD" w:rsidRDefault="002871AD">
                        <w:r>
                          <w:rPr>
                            <w:rFonts w:ascii="Segoe UI Semibold" w:hAnsi="Segoe UI Semibold" w:cs="Segoe UI Semibold"/>
                            <w:color w:val="00264D"/>
                            <w:sz w:val="14"/>
                            <w:szCs w:val="14"/>
                            <w:lang w:val="en-US"/>
                          </w:rPr>
                          <w:t>PALLIATIVE CARE SPECIALISTS</w:t>
                        </w:r>
                      </w:p>
                    </w:txbxContent>
                  </v:textbox>
                </v:rect>
                <v:rect id="Rectangle 71" o:spid="_x0000_s1095" style="position:absolute;left:2584;top:2825;width:16662;height:5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" fillcolor="#f2f2f2" stroked="f"/>
                <v:rect id="Rectangle 72" o:spid="_x0000_s1096" style="position:absolute;left:5372;top:3181;width:11182;height:20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" filled="f" stroked="f">
                  <v:textbox style="mso-fit-shape-to-text:t" inset="0,0,0,0">
                    <w:txbxContent>
                      <w:p w14:paraId="57DCCB63" w14:textId="1908193A" w:rsidR="002871AD" w:rsidRDefault="002871AD">
                        <w:r>
                          <w:rPr>
                            <w:rFonts w:ascii="Segoe UI Semibold" w:hAnsi="Segoe UI Semibold" w:cs="Segoe UI Semibold"/>
                            <w:color w:val="00264D"/>
                            <w:sz w:val="14"/>
                            <w:szCs w:val="14"/>
                            <w:lang w:val="en-US"/>
                          </w:rPr>
                          <w:t>PERSONAL CARE WORKERS</w:t>
                        </w:r>
                      </w:p>
                    </w:txbxContent>
                  </v:textbox>
                </v:rect>
                <v:shape id="Freeform 73" o:spid="_x0000_s1097" style="position:absolute;left:26758;top:4991;width:2769;height:2768;visibility:visible;mso-wrap-style:square;v-text-anchor:top" coordsize="736,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" path="m719,583c711,537,677,494,630,477,473,417,473,417,473,417v,-25,,-25,,-25c511,358,532,311,532,264v,-68,,-68,,-68c562,47,562,47,562,47v,-4,-4,-12,-8,-17c549,30,481,,371,,260,,192,30,188,30v-5,5,-9,13,-9,17c209,196,209,196,209,196v,68,,68,,68c209,311,230,358,268,392v,25,,25,,25c107,477,107,477,107,477,64,494,30,537,22,583,5,719,5,719,5,719v-5,5,,9,,13c9,736,13,736,17,736v707,,707,,707,c728,736,732,736,732,732v4,-4,4,-8,4,-13l719,583xm209,56c234,47,290,30,371,30v80,,136,17,157,26c507,171,507,171,507,171,481,162,434,149,371,149v-64,,-111,13,-137,22l209,56xm239,264v,-64,,-64,,-64c256,196,307,179,371,179v63,,114,17,131,21c502,264,502,264,502,264v,43,-21,81,-55,111c447,379,443,383,443,388v,34,,34,,34c371,519,371,519,371,519,298,422,298,422,298,422v,-34,,-34,,-34c298,383,294,379,290,375,256,345,239,307,239,264xm35,707c52,588,52,588,52,588v4,-39,29,-69,68,-81c277,447,277,447,277,447v81,107,81,107,81,107c362,558,366,562,371,562v4,,8,-4,12,-8c464,447,464,447,464,447v158,60,158,60,158,60c660,519,685,549,690,588v17,119,17,119,17,119l35,707xm571,562v-22,,-22,,-22,c549,541,549,541,549,541v,-9,-4,-13,-12,-13c498,528,498,528,498,528v-8,,-13,4,-13,13c485,562,485,562,485,562v-21,,-21,,-21,c456,562,451,571,451,575v,38,,38,,38c451,622,456,630,464,630v21,,21,,21,c485,651,485,651,485,651v,5,5,13,13,13c537,664,537,664,537,664v8,,12,-8,12,-13c549,630,549,630,549,630v22,,22,,22,c579,630,588,622,588,613v,-38,,-38,,-38c588,571,579,562,571,562xm562,600v-21,,-21,,-21,c532,600,524,609,524,617v,26,,26,,26c511,643,511,643,511,643v,-26,,-26,,-26c511,609,507,600,494,600v-21,,-21,,-21,c473,592,473,592,473,592v21,,21,,21,c507,592,511,583,511,575v,-26,,-26,,-26c524,549,524,549,524,549v,26,,26,,26c524,583,532,592,541,592v21,,21,,21,l562,600xe" fillcolor="#f25e21" strokeweight="0">
                  <v:path arrowok="t" o:connecttype="custom" o:connectlocs="236986,179432;177928,147458;200122,73729;208397,11285;70720,11285;78619,73729;100813,147458;40250,179432;1881,270465;6395,276860;275355,275355;270465,219306;139559,11285;190717,64325;88023,64325;89904,99308;139559,67334;188837,99308;166643,145953;139559,195231;112098,145953;89904,99308;19561,221187;104199,168147;139559,211407;174542,168147;259556,221187;13166,265951;206516,211407;202002,198617;182442,203507;174542,211407;169652,230591;182442,236986;187332,249776;206516,244886;214792,236986;221187,216297;211407,225701;197112,232096;192222,241876;185827,225701;177928,222692;192222,216297;197112,206516;203507,222692;211407,225701" o:connectangles="0,0,0,0,0,0,0,0,0,0,0,0,0,0,0,0,0,0,0,0,0,0,0,0,0,0,0,0,0,0,0,0,0,0,0,0,0,0,0,0,0,0,0,0,0,0,0"/>
                  <o:lock v:ext="edit" verticies="t"/>
                </v:shape>
                <v:shape id="Freeform 74" o:spid="_x0000_s1098" style="position:absolute;left:44259;top:4991;width:2286;height:2946;visibility:visible;mso-wrap-style:square;v-text-anchor:top" coordsize="608,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" path="m475,485c415,471,415,471,415,471v92,-9,129,-28,134,-32c553,439,553,434,558,429v,-4,,-9,-5,-9c493,309,503,203,503,203,503,97,406,,304,,203,,106,97,106,203v,,10,106,-50,217c51,420,51,425,56,429v,5,,10,4,10c65,439,106,462,194,471v-55,9,-55,9,-55,9c139,480,139,480,139,480v-5,5,-5,5,-5,5c28,512,,706,,771v,9,10,13,19,13c304,784,304,784,304,784v286,,286,,286,c599,784,608,780,608,771,608,706,585,512,475,485xm139,203c139,111,217,33,304,33v88,,166,78,166,170c470,213,466,309,521,420v-23,5,-65,19,-134,23c387,439,387,434,387,429v5,-4,14,-13,23,-23c443,360,461,309,461,250v,-5,,-10,,-14c456,226,452,217,443,217v-42,,-74,-27,-79,-69c360,139,355,134,351,134v-10,,-14,5,-19,9c318,180,245,208,166,213v,,,,,c157,213,152,217,152,226v,10,,19,,24c152,309,166,360,203,406v5,10,14,19,23,23c226,434,226,439,226,443,152,439,111,425,88,420,143,309,139,213,139,203xm489,605v9,,18,9,18,18c507,632,498,642,489,642v-14,,-19,-10,-19,-19c470,614,475,605,489,605xm304,439c258,439,180,360,180,250v,,,-5,,-10c249,240,309,217,341,185v14,37,46,60,88,65c429,250,429,250,429,250v,110,-74,189,-125,189xm254,462v,,,-5,,-10c291,475,323,475,355,452v,5,5,10,5,10c364,485,383,494,392,499v14,,14,,14,c378,558,323,609,304,609v-18,,-69,-51,-101,-110c217,499,217,499,217,499v14,-5,28,-14,37,-37xm129,517v-4,14,-4,28,-9,41c93,568,74,595,79,628v4,37,4,37,4,37c79,674,79,678,83,688v,4,5,4,10,9c97,697,102,697,106,692v14,-4,14,-18,10,-27c116,665,111,660,111,660v-5,-37,-5,-37,-5,-37c102,614,106,605,111,600v5,-9,14,-14,23,-14c143,582,152,586,162,591v9,9,13,14,13,23c180,651,180,651,180,651v-5,4,-5,4,-5,9c171,669,175,678,189,683v10,5,19,-5,23,-14c212,665,212,655,208,651v-5,-37,-5,-37,-5,-37c199,586,175,563,148,558v4,-18,9,-32,14,-50c171,508,171,508,171,508v28,50,78,110,115,124c286,757,286,757,286,757v-253,,-253,,-253,c37,688,60,531,129,517xm323,757v,-125,,-125,,-125c360,618,410,558,438,508v18,4,18,4,18,4c466,531,470,554,470,582v-18,4,-27,23,-27,41c443,651,461,669,489,669v23,,46,-18,46,-46c535,600,521,582,498,577v,-19,-5,-37,-9,-55c553,563,572,692,576,757r-253,xe" fillcolor="#f25e21" strokeweight="0">
                  <v:path arrowok="t" o:connecttype="custom" o:connectlocs="156035,177009;209801,161225;189121,76291;39855,76291;21055,161225;72941,177009;52262,180392;0,289754;114300,294640;228600,289754;52262,76291;176714,76291;145507,166487;154155,152581;173330,88693;136859,55621;124828,53742;62414,80049;57150,93954;84973,161225;33087,157843;183858,227369;183858,241274;183858,227369;67678,93954;128212,69526;161298,93954;95501,173627;133475,169869;147387,187532;114300,228872;81589,187532;48502,194297;29703,236013;31207,258562;39855,260065;41735,248039;41735,225490;60910,222107;67678,244656;71062,256683;78205,244656;55646,209706;64294,190915;107532,284493;48502,194297;121444,237516;171450,192418;166562,234134;201153,234134;183858,196176;121444,284493" o:connectangles="0,0,0,0,0,0,0,0,0,0,0,0,0,0,0,0,0,0,0,0,0,0,0,0,0,0,0,0,0,0,0,0,0,0,0,0,0,0,0,0,0,0,0,0,0,0,0,0,0,0,0,0"/>
                  <o:lock v:ext="edit" verticies="t"/>
                </v:shape>
                <v:shape id="Freeform 75" o:spid="_x0000_s1099" style="position:absolute;left:8839;top:4749;width:3613;height:3010;visibility:visible;mso-wrap-style:square;v-text-anchor:top" coordsize="96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" path="m932,336v-8,-12,-16,-29,-25,-45c879,212,822,162,773,162v20,-16,32,-37,32,-62c805,96,801,92,801,88v4,-5,4,-13,,-21c797,46,773,13,740,5,699,,654,21,642,63v,,,4,4,12c646,83,642,92,642,100v,46,37,83,82,83c724,183,728,179,728,179v-17,20,-21,45,-25,78c699,282,691,320,670,340v-16,25,-69,63,-106,75c544,423,532,448,536,465v,,4,4,4,8c331,473,331,473,331,473,319,461,274,423,254,415v-13,-4,-33,-8,-53,-8c225,394,241,374,246,349v4,-25,,-50,-17,-71c229,278,229,274,229,274v-4,-8,-12,-17,-24,-21c205,253,205,253,205,253v-21,-12,-53,-25,-86,-4c103,262,90,282,82,299v-16,-8,-33,-8,-45,c13,307,5,328,9,357v4,37,,46,,50c5,411,,415,5,423v4,4,8,9,16,9c25,432,25,432,29,432v12,-5,29,-13,33,-34c62,394,66,390,66,382v,-13,4,-37,8,-37c78,345,78,345,78,340v4,25,12,42,21,50c94,390,94,394,94,398v,382,,382,,382c94,784,99,792,107,792v8,,12,-8,12,-12c119,655,119,655,119,655v670,,670,,670,c789,780,789,780,789,780v,4,8,12,12,12c809,792,813,784,813,780v,-282,,-282,,-282c813,490,809,485,801,485v-4,,-12,5,-12,13c789,498,789,498,789,498,773,477,752,473,748,473v-131,,-131,,-131,c650,461,683,440,715,411v21,-17,37,-54,49,-87c813,394,842,436,854,452v,38,,282,,299c858,784,875,800,891,800v,,,,,c916,800,936,776,936,747v4,-34,20,-228,24,-291c960,444,960,436,960,436v,-46,-16,-75,-28,-100xm736,29v24,5,41,38,45,46c781,75,781,75,781,75v-4,,-8,,-13,c756,75,744,58,736,54v,-4,,-4,,-4c732,50,732,50,732,46v,,,,,c732,46,728,46,728,46v,,,,,c728,46,728,46,728,46v-4,,-4,,-4,c724,46,724,46,724,46v,,,,,c719,46,719,46,715,46v,,,,,c715,46,711,46,711,50v-4,,-12,4,-20,4c687,54,687,58,683,58v,,,,-4,c679,58,675,58,675,58v,,,,,c675,58,670,58,670,58,683,38,711,29,736,29xm666,100v,-8,,-12,4,-17c670,83,670,83,670,83v5,,5,,5,c679,83,679,83,683,83v,,4,,4,c691,83,695,79,699,79v8,-4,16,-4,20,-8c719,71,719,71,719,71v5,4,5,4,9,8c736,88,752,100,768,100v,,,,,c768,100,773,100,773,100v4,,4,,4,c777,100,777,100,781,100v-4,33,-29,58,-57,58c691,158,666,129,666,100xm66,320v-21,8,-21,37,-25,62c41,386,37,390,37,394v,4,,4,-4,9c37,390,33,374,33,353v-4,-25,4,-29,12,-33c49,320,54,320,58,320v4,,8,,12,c66,320,66,320,66,320xm246,440v12,4,53,33,73,54c323,498,323,498,323,498v110,,110,,110,c433,560,433,560,433,560v-85,4,-175,4,-192,4c237,556,217,531,148,448v4,,8,-4,12,-4c164,440,172,436,180,432v12,-5,49,,66,8xm152,415v4,,8,,8,c156,415,152,419,148,423v-9,4,-13,4,-17,9c119,411,119,411,119,411v,-8,,-8,,-8c119,403,119,403,123,403v8,4,16,8,29,12xm221,340v-4,34,-33,54,-65,50c152,386,143,386,139,382v,,,,,c143,382,143,382,143,378v,,5,,5,-4c148,374,152,369,152,365v12,-16,12,-29,12,-37c164,324,164,320,164,315v4,-4,20,-4,28,-4c197,311,197,311,201,311v,-4,,-4,,-4c205,307,205,307,205,307v4,,4,,4,c209,307,213,303,213,303v,,,,,c213,303,217,303,217,303v4,12,8,25,4,37xm103,320v,-13,12,-38,28,-50c152,262,168,262,197,274v,,,,,c201,278,201,278,205,278v,,,,-4,4c201,282,201,282,201,282v,,,,-4,c197,282,197,282,197,282v-5,4,-5,4,-9,4c168,286,143,291,139,311v,4,,13,,17c139,336,139,340,131,353v,4,-4,4,-4,8c127,361,127,361,127,361v-4,4,-4,4,-4,8c123,369,123,369,119,369v,,,5,,5c119,374,119,374,115,374v,,,,,c111,365,103,349,103,328v,-4,,-4,,-4l103,320xm781,527v4,4,4,4,4,8c785,535,785,535,785,535v4,,4,,4,4c789,539,789,539,789,539v,92,,92,,92c119,631,119,631,119,631v,-179,,-179,,-179c131,465,131,465,131,465v90,112,94,116,94,116c229,585,233,589,299,589v32,,77,,147,-4c458,585,458,585,458,585v,-87,,-87,,-87c748,498,748,498,748,498v,,16,4,33,29xm936,456v-4,58,-20,253,-25,291c911,763,899,776,891,776v,,,,,c883,776,879,763,879,747v,-13,,-204,,-299c879,444,879,440,875,440,871,432,846,398,773,295v-5,-4,-9,-13,-13,-13c760,282,756,282,756,286v-4,,-8,5,-8,5c732,340,715,378,699,394v-37,33,-74,50,-118,62c568,461,560,461,560,456v,-4,4,-16,12,-16c613,423,666,386,691,357v24,-33,33,-83,37,-95c732,216,736,199,760,187v37,-12,94,37,127,116c891,320,899,332,907,349v17,25,29,49,29,87l936,456xe" fillcolor="#f25e21" strokeweight="0">
                  <v:path arrowok="t" o:connecttype="custom" o:connectlocs="302978,37624;241629,23703;273997,67347;201734,174950;75650,153129;77156,95188;13926,112495;7904,162535;27851,129802;35379,293465;296956,246436;305989,187366;281525,177960;321420,170059;352282,281049;277008,10911;277008,20317;273997,17307;272492,17307;267599,18812;254050,21822;250662,37624;257061,31228;270610,26713;290934,37624;250662,37624;12420,151624;26346,120396;121567,187366;55703,168554;57208,156139;44788,154634;83178,127921;53821,142218;61725,118515;77156,115505;81672,114000;74145,103089;75650,106099;52315,117010;47799,135822;43283,140713;38766,120396;296956,202792;44788,170059;167861,220099;293945,198277;335345,291960;290934,110990;263082,148238;260072,134317;341367,131307" o:connectangles="0,0,0,0,0,0,0,0,0,0,0,0,0,0,0,0,0,0,0,0,0,0,0,0,0,0,0,0,0,0,0,0,0,0,0,0,0,0,0,0,0,0,0,0,0,0,0,0,0,0,0,0"/>
                  <o:lock v:ext="edit" verticies="t"/>
                </v:shape>
              </v:group>
            </w:pict>
          </mc:Fallback>
        </mc:AlternateContent>
      </w:r>
      <w:r w:rsidR="00865D2F">
        <w:t xml:space="preserve">Figure </w:t>
      </w:r>
      <w:r w:rsidR="00865D2F">
        <w:fldChar w:fldCharType="begin"/>
      </w:r>
      <w:r w:rsidR="00865D2F">
        <w:instrText xml:space="preserve"> SEQ Figure \* ARABIC </w:instrText>
      </w:r>
      <w:r w:rsidR="00865D2F">
        <w:fldChar w:fldCharType="separate"/>
      </w:r>
      <w:r w:rsidR="000E59E1">
        <w:rPr>
          <w:noProof/>
        </w:rPr>
        <w:t>4</w:t>
      </w:r>
      <w:r w:rsidR="00865D2F">
        <w:fldChar w:fldCharType="end"/>
      </w:r>
      <w:bookmarkEnd w:id="39"/>
      <w:r w:rsidR="00865D2F">
        <w:t xml:space="preserve"> | Staff </w:t>
      </w:r>
      <w:r w:rsidR="009142F6">
        <w:t>working</w:t>
      </w:r>
      <w:r w:rsidR="00865D2F">
        <w:t xml:space="preserve"> in RACFs have different needs based on their skill set and role, but all require appropriate education and access to other services</w:t>
      </w:r>
      <w:r w:rsidR="00CD176C">
        <w:rPr>
          <w:rStyle w:val="FootnoteReference"/>
        </w:rPr>
        <w:footnoteReference w:id="44"/>
      </w:r>
      <w:r w:rsidR="00CD176C" w:rsidRPr="00496A67">
        <w:rPr>
          <w:vertAlign w:val="superscript"/>
        </w:rPr>
        <w:t>,</w:t>
      </w:r>
      <w:r w:rsidR="00953896">
        <w:rPr>
          <w:rStyle w:val="FootnoteReference"/>
        </w:rPr>
        <w:footnoteReference w:id="45"/>
      </w:r>
      <w:r w:rsidR="00953896" w:rsidRPr="00496A67">
        <w:rPr>
          <w:vertAlign w:val="superscript"/>
        </w:rPr>
        <w:t>,</w:t>
      </w:r>
      <w:r w:rsidR="00B0001B">
        <w:rPr>
          <w:rStyle w:val="FootnoteReference"/>
        </w:rPr>
        <w:footnoteReference w:id="46"/>
      </w:r>
      <w:r w:rsidR="00953896" w:rsidRPr="00496A67">
        <w:rPr>
          <w:vertAlign w:val="superscript"/>
        </w:rPr>
        <w:t>,</w:t>
      </w:r>
      <w:r w:rsidR="00B0001B">
        <w:rPr>
          <w:rStyle w:val="FootnoteReference"/>
        </w:rPr>
        <w:footnoteReference w:id="47"/>
      </w:r>
      <w:r w:rsidR="00953896" w:rsidRPr="00496A67">
        <w:rPr>
          <w:vertAlign w:val="superscript"/>
        </w:rPr>
        <w:t>,</w:t>
      </w:r>
      <w:r w:rsidR="00B0001B">
        <w:rPr>
          <w:rStyle w:val="FootnoteReference"/>
        </w:rPr>
        <w:footnoteReference w:id="48"/>
      </w:r>
      <w:r w:rsidR="00953896" w:rsidRPr="00496A67">
        <w:rPr>
          <w:vertAlign w:val="superscript"/>
        </w:rPr>
        <w:t>,</w:t>
      </w:r>
      <w:r w:rsidR="00B0001B">
        <w:rPr>
          <w:rStyle w:val="FootnoteReference"/>
        </w:rPr>
        <w:footnoteReference w:id="49"/>
      </w:r>
      <w:r w:rsidR="00AC42F0">
        <w:rPr>
          <w:vertAlign w:val="superscript"/>
        </w:rPr>
        <w:t>,</w:t>
      </w:r>
      <w:r w:rsidR="00AC42F0">
        <w:rPr>
          <w:rStyle w:val="FootnoteReference"/>
        </w:rPr>
        <w:footnoteReference w:id="50"/>
      </w:r>
    </w:p>
    <w:p w14:paraId="11D7CF61" w14:textId="092C5074" w:rsidR="00436981" w:rsidRPr="00436981" w:rsidRDefault="00E82355" w:rsidP="00436981">
      <w:r w:rsidRPr="00906A5E">
        <w:rPr>
          <w:noProof/>
        </w:rPr>
        <w:drawing>
          <wp:inline distT="0" distB="0" distL="0" distR="0" wp14:anchorId="08B4B8CF" wp14:editId="4EBA86F7">
            <wp:extent cx="5670551" cy="3529965"/>
            <wp:effectExtent l="0" t="0" r="6350" b="0"/>
            <wp:docPr id="1" name="Picture 1" descr="Figure 4 shows the individual and common needs across non-clinical staff and clinical personnel.&#10;&#10;Individual needs of staff working in RACFs are different depending on their skill set and role. Common (system) needs of non-clinical staff and clinical personnel include the ability to communicate with patients, carers and families about palliative care needs, death and dying, appropriate facilities, workforce and funding to provide care, communication channels across the health system, including with other RACF staff and hospitals, and appropriate education and training options underpinned by competency and capability frame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4 shows the individual and common needs across non-clinical staff and clinical personnel.&#10;&#10;Individual needs of staff working in RACFs are different depending on their skill set and role. Common (system) needs of non-clinical staff and clinical personnel include the ability to communicate with patients, carers and families about palliative care needs, death and dying, appropriate facilities, workforce and funding to provide care, communication channels across the health system, including with other RACF staff and hospitals, and appropriate education and training options underpinned by competency and capability framework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70551" cy="3529965"/>
                    </a:xfrm>
                    <a:prstGeom prst="rect">
                      <a:avLst/>
                    </a:prstGeom>
                    <a:noFill/>
                    <a:ln>
                      <a:noFill/>
                    </a:ln>
                  </pic:spPr>
                </pic:pic>
              </a:graphicData>
            </a:graphic>
          </wp:inline>
        </w:drawing>
      </w:r>
    </w:p>
    <w:p w14:paraId="74BB1381" w14:textId="0201A20F" w:rsidR="003B7086" w:rsidRDefault="00D218F5" w:rsidP="0015262A">
      <w:r w:rsidRPr="00457EF9">
        <w:t xml:space="preserve">A key component of staff needs </w:t>
      </w:r>
      <w:r w:rsidR="00B6723C">
        <w:t xml:space="preserve">identified in the literature </w:t>
      </w:r>
      <w:r w:rsidRPr="00457EF9">
        <w:t>is appropriate education and training</w:t>
      </w:r>
      <w:r w:rsidR="0072351D">
        <w:t xml:space="preserve">. </w:t>
      </w:r>
      <w:r w:rsidR="00354DF9">
        <w:t>A</w:t>
      </w:r>
      <w:r w:rsidR="00D541EE" w:rsidRPr="001B3ECD">
        <w:rPr>
          <w:lang w:eastAsia="en-AU"/>
        </w:rPr>
        <w:t>ppropriate workforce models in RACF</w:t>
      </w:r>
      <w:r w:rsidR="00D541EE">
        <w:rPr>
          <w:lang w:eastAsia="en-AU"/>
        </w:rPr>
        <w:t xml:space="preserve">s </w:t>
      </w:r>
      <w:r w:rsidR="00D541EE" w:rsidRPr="001B3ECD">
        <w:rPr>
          <w:lang w:eastAsia="en-AU"/>
        </w:rPr>
        <w:t>need to recogni</w:t>
      </w:r>
      <w:r w:rsidR="00D541EE">
        <w:rPr>
          <w:lang w:eastAsia="en-AU"/>
        </w:rPr>
        <w:t>s</w:t>
      </w:r>
      <w:r w:rsidR="00D541EE" w:rsidRPr="001B3ECD">
        <w:rPr>
          <w:lang w:eastAsia="en-AU"/>
        </w:rPr>
        <w:t xml:space="preserve">e a continuum of skills from basic care </w:t>
      </w:r>
      <w:r w:rsidR="00D541EE">
        <w:rPr>
          <w:lang w:eastAsia="en-AU"/>
        </w:rPr>
        <w:t xml:space="preserve">through </w:t>
      </w:r>
      <w:r w:rsidR="00D541EE" w:rsidRPr="001B3ECD">
        <w:rPr>
          <w:lang w:eastAsia="en-AU"/>
        </w:rPr>
        <w:t>to complex health care</w:t>
      </w:r>
      <w:r w:rsidR="0072351D">
        <w:rPr>
          <w:lang w:eastAsia="en-AU"/>
        </w:rPr>
        <w:t>.</w:t>
      </w:r>
      <w:r w:rsidR="00D541EE">
        <w:rPr>
          <w:rStyle w:val="FootnoteReference"/>
          <w:lang w:eastAsia="en-AU"/>
        </w:rPr>
        <w:footnoteReference w:id="51"/>
      </w:r>
      <w:r w:rsidR="0072351D">
        <w:rPr>
          <w:lang w:eastAsia="en-AU"/>
        </w:rPr>
        <w:t xml:space="preserve"> </w:t>
      </w:r>
      <w:r w:rsidR="003D6F98">
        <w:rPr>
          <w:lang w:eastAsia="en-AU"/>
        </w:rPr>
        <w:t>S</w:t>
      </w:r>
      <w:r w:rsidR="00473238">
        <w:rPr>
          <w:lang w:eastAsia="en-AU"/>
        </w:rPr>
        <w:t>taff</w:t>
      </w:r>
      <w:r w:rsidR="000A7602">
        <w:rPr>
          <w:lang w:eastAsia="en-AU"/>
        </w:rPr>
        <w:t xml:space="preserve"> w</w:t>
      </w:r>
      <w:r w:rsidR="000A7602" w:rsidRPr="00457EF9">
        <w:t>orking in RACFs report a need for palliative care education and improved access to specialist palliative care</w:t>
      </w:r>
      <w:r w:rsidR="00B1068C" w:rsidRPr="00457EF9">
        <w:t>.</w:t>
      </w:r>
      <w:r w:rsidR="00B1068C" w:rsidRPr="00457EF9">
        <w:rPr>
          <w:rStyle w:val="FootnoteReference"/>
        </w:rPr>
        <w:footnoteReference w:id="52"/>
      </w:r>
      <w:r w:rsidR="00457EF9">
        <w:t xml:space="preserve"> </w:t>
      </w:r>
      <w:r w:rsidR="00FC407F">
        <w:t xml:space="preserve">Reported barriers to </w:t>
      </w:r>
      <w:r w:rsidR="0024660C">
        <w:t>training and education in the aged care sector include time</w:t>
      </w:r>
      <w:r w:rsidR="00DC701E">
        <w:t xml:space="preserve">, money and access to </w:t>
      </w:r>
      <w:r w:rsidR="008728D7">
        <w:t>qualified staff to act as trainers and assessor</w:t>
      </w:r>
      <w:r w:rsidR="00EB5F07">
        <w:t>s.</w:t>
      </w:r>
      <w:r w:rsidR="00DC701E">
        <w:t xml:space="preserve"> </w:t>
      </w:r>
      <w:r w:rsidR="00EB5F07">
        <w:t>For example,</w:t>
      </w:r>
      <w:r w:rsidR="00DC701E">
        <w:t xml:space="preserve"> many staff are unable to travel off site or complete training after hours</w:t>
      </w:r>
      <w:r w:rsidR="001C7438">
        <w:t>, making training difficult to access</w:t>
      </w:r>
      <w:r w:rsidR="00DC701E">
        <w:t>.</w:t>
      </w:r>
      <w:r w:rsidR="001C7438">
        <w:rPr>
          <w:rStyle w:val="FootnoteReference"/>
        </w:rPr>
        <w:footnoteReference w:id="53"/>
      </w:r>
    </w:p>
    <w:p w14:paraId="1C75FD10" w14:textId="41CFBCD3" w:rsidR="00AE5ECA" w:rsidRPr="00D541EE" w:rsidRDefault="00354DF9" w:rsidP="005E3359">
      <w:r>
        <w:t>T</w:t>
      </w:r>
      <w:r w:rsidR="003B34CA">
        <w:t xml:space="preserve">raining and education should enable staff to </w:t>
      </w:r>
      <w:r w:rsidR="003B34CA" w:rsidRPr="003B34CA">
        <w:t>identify palliative care needs, communicate about palliative care with families and carers, and provide high quality care.</w:t>
      </w:r>
      <w:r w:rsidR="003B34CA">
        <w:t xml:space="preserve"> Education and training </w:t>
      </w:r>
      <w:proofErr w:type="gramStart"/>
      <w:r w:rsidR="003B34CA">
        <w:t>needs</w:t>
      </w:r>
      <w:proofErr w:type="gramEnd"/>
      <w:r w:rsidR="003B34CA">
        <w:t xml:space="preserve"> to be </w:t>
      </w:r>
      <w:r w:rsidR="00177490">
        <w:t xml:space="preserve">consistent, quality and long enough to ensure that </w:t>
      </w:r>
      <w:r w:rsidR="00AE5ECA">
        <w:t>students gain the necessary skills and practical training</w:t>
      </w:r>
      <w:r w:rsidR="00177490">
        <w:t>.</w:t>
      </w:r>
      <w:r w:rsidR="00177490">
        <w:rPr>
          <w:rStyle w:val="FootnoteReference"/>
        </w:rPr>
        <w:footnoteReference w:id="54"/>
      </w:r>
    </w:p>
    <w:p w14:paraId="24DDBCE2" w14:textId="10CE7BA7" w:rsidR="00E9296A" w:rsidRPr="00E9296A" w:rsidRDefault="004B6037" w:rsidP="00351182">
      <w:pPr>
        <w:pStyle w:val="Heading5"/>
      </w:pPr>
      <w:r>
        <w:lastRenderedPageBreak/>
        <w:t>System need</w:t>
      </w:r>
      <w:r w:rsidR="007D232C">
        <w:t>s include</w:t>
      </w:r>
      <w:r>
        <w:t xml:space="preserve"> </w:t>
      </w:r>
      <w:r w:rsidR="008279C8">
        <w:t xml:space="preserve">appropriate funding, </w:t>
      </w:r>
      <w:proofErr w:type="gramStart"/>
      <w:r w:rsidR="008279C8">
        <w:t>delivery</w:t>
      </w:r>
      <w:proofErr w:type="gramEnd"/>
      <w:r w:rsidR="008279C8">
        <w:t xml:space="preserve"> and integration</w:t>
      </w:r>
      <w:r>
        <w:t xml:space="preserve"> </w:t>
      </w:r>
      <w:r w:rsidR="008279C8">
        <w:t>support to meet</w:t>
      </w:r>
      <w:r w:rsidR="000D7773">
        <w:t xml:space="preserve"> the needs of residents, families, carers and staff</w:t>
      </w:r>
    </w:p>
    <w:p w14:paraId="579C0134" w14:textId="3F12D319" w:rsidR="00F00E20" w:rsidRPr="00F00E20" w:rsidRDefault="00261FB1" w:rsidP="00F00E20">
      <w:pPr>
        <w:rPr>
          <w:lang w:eastAsia="en-AU"/>
        </w:rPr>
      </w:pPr>
      <w:r>
        <w:rPr>
          <w:lang w:eastAsia="en-AU"/>
        </w:rPr>
        <w:t>System</w:t>
      </w:r>
      <w:r w:rsidR="000F1A55">
        <w:rPr>
          <w:lang w:eastAsia="en-AU"/>
        </w:rPr>
        <w:t>-</w:t>
      </w:r>
      <w:r w:rsidR="004C02E9">
        <w:t>level needs refer to needs at the Commonwealth (predomina</w:t>
      </w:r>
      <w:r w:rsidR="003773E8">
        <w:t>n</w:t>
      </w:r>
      <w:r w:rsidR="004C02E9">
        <w:t>tly related to the aged care system</w:t>
      </w:r>
      <w:r w:rsidR="005372BA">
        <w:t xml:space="preserve"> and primary care </w:t>
      </w:r>
      <w:r w:rsidR="004C02E9">
        <w:t>system) and state/territory government level (predomina</w:t>
      </w:r>
      <w:r w:rsidR="00326B23">
        <w:t>n</w:t>
      </w:r>
      <w:r w:rsidR="004C02E9">
        <w:t>tly related to health care systems). Across both levels, system</w:t>
      </w:r>
      <w:r w:rsidR="004C02E9">
        <w:rPr>
          <w:lang w:eastAsia="en-AU"/>
        </w:rPr>
        <w:t xml:space="preserve"> needs largely relate to the need for support to overcome funding, delivery and interface issues,</w:t>
      </w:r>
      <w:r w:rsidR="007F1BC6">
        <w:rPr>
          <w:lang w:eastAsia="en-AU"/>
        </w:rPr>
        <w:t xml:space="preserve"> which are</w:t>
      </w:r>
      <w:r w:rsidR="00C64C77">
        <w:rPr>
          <w:lang w:eastAsia="en-AU"/>
        </w:rPr>
        <w:t xml:space="preserve"> discussed</w:t>
      </w:r>
      <w:r w:rsidR="007B6D7C">
        <w:rPr>
          <w:lang w:eastAsia="en-AU"/>
        </w:rPr>
        <w:t xml:space="preserve"> in </w:t>
      </w:r>
      <w:r w:rsidR="00C64C77">
        <w:rPr>
          <w:lang w:eastAsia="en-AU"/>
        </w:rPr>
        <w:t xml:space="preserve">greater </w:t>
      </w:r>
      <w:r w:rsidR="00C64C77" w:rsidRPr="00A912DF">
        <w:rPr>
          <w:lang w:eastAsia="en-AU"/>
        </w:rPr>
        <w:t>detail in Sections</w:t>
      </w:r>
      <w:r w:rsidR="00A912DF" w:rsidRPr="00A912DF">
        <w:rPr>
          <w:lang w:eastAsia="en-AU"/>
        </w:rPr>
        <w:t xml:space="preserve"> </w:t>
      </w:r>
      <w:r w:rsidR="00A912DF" w:rsidRPr="00A912DF">
        <w:rPr>
          <w:lang w:eastAsia="en-AU"/>
        </w:rPr>
        <w:fldChar w:fldCharType="begin"/>
      </w:r>
      <w:r w:rsidR="00A912DF" w:rsidRPr="00A912DF">
        <w:rPr>
          <w:lang w:eastAsia="en-AU"/>
        </w:rPr>
        <w:instrText xml:space="preserve"> REF _Ref51926612 \r \h </w:instrText>
      </w:r>
      <w:r w:rsidR="00A912DF">
        <w:rPr>
          <w:lang w:eastAsia="en-AU"/>
        </w:rPr>
        <w:instrText xml:space="preserve"> \* MERGEFORMAT </w:instrText>
      </w:r>
      <w:r w:rsidR="00A912DF" w:rsidRPr="00A912DF">
        <w:rPr>
          <w:lang w:eastAsia="en-AU"/>
        </w:rPr>
      </w:r>
      <w:r w:rsidR="00A912DF" w:rsidRPr="00A912DF">
        <w:rPr>
          <w:lang w:eastAsia="en-AU"/>
        </w:rPr>
        <w:fldChar w:fldCharType="separate"/>
      </w:r>
      <w:r w:rsidR="000E59E1">
        <w:rPr>
          <w:lang w:eastAsia="en-AU"/>
        </w:rPr>
        <w:t>3.3</w:t>
      </w:r>
      <w:r w:rsidR="00A912DF" w:rsidRPr="00A912DF">
        <w:rPr>
          <w:lang w:eastAsia="en-AU"/>
        </w:rPr>
        <w:fldChar w:fldCharType="end"/>
      </w:r>
      <w:r w:rsidR="00A912DF" w:rsidRPr="00A912DF">
        <w:rPr>
          <w:lang w:eastAsia="en-AU"/>
        </w:rPr>
        <w:t xml:space="preserve"> and </w:t>
      </w:r>
      <w:r w:rsidR="00A912DF" w:rsidRPr="00A912DF">
        <w:rPr>
          <w:lang w:eastAsia="en-AU"/>
        </w:rPr>
        <w:fldChar w:fldCharType="begin"/>
      </w:r>
      <w:r w:rsidR="00A912DF" w:rsidRPr="00A912DF">
        <w:rPr>
          <w:lang w:eastAsia="en-AU"/>
        </w:rPr>
        <w:instrText xml:space="preserve"> REF _Ref52270672 \r \h </w:instrText>
      </w:r>
      <w:r w:rsidR="00A912DF">
        <w:rPr>
          <w:lang w:eastAsia="en-AU"/>
        </w:rPr>
        <w:instrText xml:space="preserve"> \* MERGEFORMAT </w:instrText>
      </w:r>
      <w:r w:rsidR="00A912DF" w:rsidRPr="00A912DF">
        <w:rPr>
          <w:lang w:eastAsia="en-AU"/>
        </w:rPr>
      </w:r>
      <w:r w:rsidR="00A912DF" w:rsidRPr="00A912DF">
        <w:rPr>
          <w:lang w:eastAsia="en-AU"/>
        </w:rPr>
        <w:fldChar w:fldCharType="separate"/>
      </w:r>
      <w:r w:rsidR="000E59E1">
        <w:rPr>
          <w:lang w:eastAsia="en-AU"/>
        </w:rPr>
        <w:t>3.4</w:t>
      </w:r>
      <w:r w:rsidR="00A912DF" w:rsidRPr="00A912DF">
        <w:rPr>
          <w:lang w:eastAsia="en-AU"/>
        </w:rPr>
        <w:fldChar w:fldCharType="end"/>
      </w:r>
      <w:r w:rsidR="00C64C77" w:rsidRPr="00A912DF">
        <w:rPr>
          <w:lang w:eastAsia="en-AU"/>
        </w:rPr>
        <w:t>.</w:t>
      </w:r>
      <w:r w:rsidR="00C64C77">
        <w:rPr>
          <w:lang w:eastAsia="en-AU"/>
        </w:rPr>
        <w:t xml:space="preserve"> Other system</w:t>
      </w:r>
      <w:r w:rsidR="000F1A55">
        <w:rPr>
          <w:lang w:eastAsia="en-AU"/>
        </w:rPr>
        <w:t>-level</w:t>
      </w:r>
      <w:r w:rsidR="00C64C77">
        <w:rPr>
          <w:lang w:eastAsia="en-AU"/>
        </w:rPr>
        <w:t xml:space="preserve"> needs indicated in the evidence include:</w:t>
      </w:r>
    </w:p>
    <w:p w14:paraId="73E72FB2" w14:textId="41E2F79C" w:rsidR="00452143" w:rsidRDefault="00452143" w:rsidP="00C074E2">
      <w:pPr>
        <w:pStyle w:val="Bullet"/>
      </w:pPr>
      <w:r>
        <w:t>Effective clinical governance</w:t>
      </w:r>
      <w:r w:rsidR="00A0395B">
        <w:t>;</w:t>
      </w:r>
      <w:r w:rsidR="00A0395B">
        <w:rPr>
          <w:rStyle w:val="FootnoteReference"/>
        </w:rPr>
        <w:footnoteReference w:id="55"/>
      </w:r>
    </w:p>
    <w:p w14:paraId="716F3451" w14:textId="75F7968F" w:rsidR="00C5415F" w:rsidRPr="00C5415F" w:rsidRDefault="001156C9" w:rsidP="00C5415F">
      <w:pPr>
        <w:pStyle w:val="Bullet"/>
      </w:pPr>
      <w:r>
        <w:t xml:space="preserve">Broad engagement from the health, </w:t>
      </w:r>
      <w:proofErr w:type="gramStart"/>
      <w:r w:rsidR="00815FF7">
        <w:t>disability</w:t>
      </w:r>
      <w:proofErr w:type="gramEnd"/>
      <w:r w:rsidR="00815FF7">
        <w:t xml:space="preserve"> and aged care systems</w:t>
      </w:r>
      <w:r w:rsidR="00815FF7">
        <w:rPr>
          <w:rStyle w:val="FootnoteReference"/>
        </w:rPr>
        <w:footnoteReference w:id="56"/>
      </w:r>
      <w:r w:rsidR="000C3702">
        <w:t xml:space="preserve"> and i</w:t>
      </w:r>
      <w:r w:rsidR="00C074E2">
        <w:t>ntegration of palliative</w:t>
      </w:r>
      <w:r w:rsidR="00AA7753">
        <w:t xml:space="preserve"> care </w:t>
      </w:r>
      <w:r w:rsidR="00AD0A55">
        <w:t>into primary health care</w:t>
      </w:r>
      <w:r w:rsidR="0055430E">
        <w:t xml:space="preserve"> and other systems</w:t>
      </w:r>
      <w:r w:rsidR="007D232C">
        <w:t>;</w:t>
      </w:r>
      <w:r w:rsidR="0055430E">
        <w:rPr>
          <w:rStyle w:val="FootnoteReference"/>
        </w:rPr>
        <w:footnoteReference w:id="57"/>
      </w:r>
    </w:p>
    <w:p w14:paraId="7F90BF21" w14:textId="3711A7D0" w:rsidR="008E3BDE" w:rsidRDefault="008E3BDE" w:rsidP="00C074E2">
      <w:pPr>
        <w:pStyle w:val="Bullet"/>
      </w:pPr>
      <w:r>
        <w:t xml:space="preserve">Organisational awareness </w:t>
      </w:r>
      <w:r w:rsidR="007819F2">
        <w:t xml:space="preserve">and implementation </w:t>
      </w:r>
      <w:r>
        <w:t>of advance care planning</w:t>
      </w:r>
      <w:r w:rsidR="007D232C">
        <w:t>;</w:t>
      </w:r>
      <w:r w:rsidR="007819F2">
        <w:rPr>
          <w:rStyle w:val="FootnoteReference"/>
        </w:rPr>
        <w:footnoteReference w:id="58"/>
      </w:r>
      <w:r>
        <w:t xml:space="preserve"> </w:t>
      </w:r>
      <w:r w:rsidR="007D232C">
        <w:t>and</w:t>
      </w:r>
    </w:p>
    <w:p w14:paraId="03B55481" w14:textId="66318CF0" w:rsidR="00C5415F" w:rsidRDefault="00CD736C" w:rsidP="00C5415F">
      <w:pPr>
        <w:pStyle w:val="Bullet"/>
      </w:pPr>
      <w:r>
        <w:t xml:space="preserve">The resources and enablers </w:t>
      </w:r>
      <w:r w:rsidR="00F17A3B">
        <w:t>for continuous learning and improvement.</w:t>
      </w:r>
      <w:r w:rsidR="00F17A3B">
        <w:rPr>
          <w:rStyle w:val="FootnoteReference"/>
        </w:rPr>
        <w:footnoteReference w:id="59"/>
      </w:r>
    </w:p>
    <w:p w14:paraId="6305EE06" w14:textId="60E48358" w:rsidR="001C6615" w:rsidRDefault="001C6615" w:rsidP="00FE19F4">
      <w:r>
        <w:t xml:space="preserve">There is limited evidence on </w:t>
      </w:r>
      <w:r w:rsidR="00553CC7">
        <w:t>the needs of</w:t>
      </w:r>
      <w:r>
        <w:t xml:space="preserve"> state public health systems</w:t>
      </w:r>
      <w:r w:rsidR="00D11FF8">
        <w:t>’</w:t>
      </w:r>
      <w:r>
        <w:t xml:space="preserve"> </w:t>
      </w:r>
      <w:r w:rsidR="007A7A4F">
        <w:t>in</w:t>
      </w:r>
      <w:r>
        <w:t xml:space="preserve"> deliver</w:t>
      </w:r>
      <w:r w:rsidR="007A7A4F">
        <w:t>ing</w:t>
      </w:r>
      <w:r>
        <w:t xml:space="preserve"> palliative care in RACFs </w:t>
      </w:r>
      <w:r w:rsidR="00553CC7">
        <w:t>beyond</w:t>
      </w:r>
      <w:r>
        <w:t xml:space="preserve"> the staffing, capacity, and workforce needs</w:t>
      </w:r>
      <w:r w:rsidR="00553CC7">
        <w:t xml:space="preserve"> identified </w:t>
      </w:r>
      <w:r w:rsidR="00F36FED">
        <w:t>elsewhere in this report</w:t>
      </w:r>
      <w:r>
        <w:t>. This will be further explored in the evaluation</w:t>
      </w:r>
      <w:r w:rsidR="00DE1642">
        <w:t>.</w:t>
      </w:r>
    </w:p>
    <w:p w14:paraId="6BB48ACF" w14:textId="627BC022" w:rsidR="0080205A" w:rsidRDefault="0080205A" w:rsidP="001826E1">
      <w:pPr>
        <w:pStyle w:val="Heading3"/>
      </w:pPr>
      <w:bookmarkStart w:id="40" w:name="_Ref56504094"/>
      <w:bookmarkStart w:id="41" w:name="_Toc82767264"/>
      <w:r>
        <w:t>What are the service gaps from the perspective of residents, families,</w:t>
      </w:r>
      <w:r w:rsidR="004E1B01">
        <w:t xml:space="preserve"> </w:t>
      </w:r>
      <w:proofErr w:type="gramStart"/>
      <w:r>
        <w:t>carers</w:t>
      </w:r>
      <w:proofErr w:type="gramEnd"/>
      <w:r w:rsidR="004E1B01">
        <w:t xml:space="preserve"> and staff</w:t>
      </w:r>
      <w:r>
        <w:t>?</w:t>
      </w:r>
      <w:bookmarkEnd w:id="40"/>
      <w:bookmarkEnd w:id="41"/>
    </w:p>
    <w:p w14:paraId="38C515EB" w14:textId="77777777" w:rsidR="00F0521D" w:rsidRDefault="00B6723C" w:rsidP="00C865B4">
      <w:r>
        <w:t>Evidence on service gaps and unmet needs from the perspective of residents, families</w:t>
      </w:r>
      <w:r w:rsidR="00C865B4">
        <w:t xml:space="preserve">, </w:t>
      </w:r>
      <w:proofErr w:type="gramStart"/>
      <w:r>
        <w:t>carers</w:t>
      </w:r>
      <w:proofErr w:type="gramEnd"/>
      <w:r>
        <w:t xml:space="preserve"> and staff was relatively consistent. </w:t>
      </w:r>
      <w:r w:rsidR="006A5AF6">
        <w:t xml:space="preserve">Broadly, evidence indicated that </w:t>
      </w:r>
      <w:r w:rsidR="007933B0">
        <w:t xml:space="preserve">access and availability of palliative </w:t>
      </w:r>
      <w:r w:rsidR="00B22A65">
        <w:t>care delivered by appropriately skilled staff with the RACF is a challenge for many</w:t>
      </w:r>
      <w:r w:rsidR="00D22F7C">
        <w:t xml:space="preserve">, with evidence </w:t>
      </w:r>
      <w:r w:rsidR="00AA684E">
        <w:t>noting</w:t>
      </w:r>
      <w:r w:rsidR="00D22F7C">
        <w:t xml:space="preserve"> that there is highly variable availability of palliative care in RACFs</w:t>
      </w:r>
      <w:r w:rsidR="00B22A65">
        <w:t>.</w:t>
      </w:r>
      <w:r w:rsidR="00B22A65">
        <w:rPr>
          <w:rStyle w:val="FootnoteReference"/>
        </w:rPr>
        <w:footnoteReference w:id="60"/>
      </w:r>
      <w:r w:rsidR="00B22A65">
        <w:t xml:space="preserve"> </w:t>
      </w:r>
      <w:r w:rsidR="009A5BC8">
        <w:t>Identified services gaps related to</w:t>
      </w:r>
      <w:r w:rsidR="00F0521D">
        <w:t xml:space="preserve">: </w:t>
      </w:r>
    </w:p>
    <w:p w14:paraId="09092077" w14:textId="23A354BD" w:rsidR="00F0521D" w:rsidRDefault="00CE738C" w:rsidP="00F0521D">
      <w:pPr>
        <w:pStyle w:val="Bullet"/>
      </w:pPr>
      <w:r>
        <w:t xml:space="preserve">the capacity </w:t>
      </w:r>
      <w:r w:rsidR="00C202CB">
        <w:t xml:space="preserve">and skill base </w:t>
      </w:r>
      <w:r>
        <w:t xml:space="preserve">of the </w:t>
      </w:r>
      <w:proofErr w:type="gramStart"/>
      <w:r>
        <w:t>workforce</w:t>
      </w:r>
      <w:r w:rsidR="0007617A">
        <w:t>;</w:t>
      </w:r>
      <w:proofErr w:type="gramEnd"/>
    </w:p>
    <w:p w14:paraId="26873943" w14:textId="27F3EDB3" w:rsidR="00D81203" w:rsidRDefault="00CE738C" w:rsidP="00C5415F">
      <w:pPr>
        <w:pStyle w:val="Bullet"/>
      </w:pPr>
      <w:r>
        <w:t xml:space="preserve">the availability of education </w:t>
      </w:r>
      <w:r w:rsidR="009406E2">
        <w:t>and</w:t>
      </w:r>
      <w:r>
        <w:t xml:space="preserve"> </w:t>
      </w:r>
      <w:proofErr w:type="gramStart"/>
      <w:r>
        <w:t>training</w:t>
      </w:r>
      <w:r w:rsidR="0007617A">
        <w:t>;</w:t>
      </w:r>
      <w:proofErr w:type="gramEnd"/>
    </w:p>
    <w:p w14:paraId="62A7D00E" w14:textId="039C2749" w:rsidR="0007617A" w:rsidRDefault="0007617A" w:rsidP="00C5415F">
      <w:pPr>
        <w:pStyle w:val="Bullet"/>
      </w:pPr>
      <w:r>
        <w:t>the availability of information about available services or what should be available to support residents;</w:t>
      </w:r>
      <w:r>
        <w:rPr>
          <w:rStyle w:val="FootnoteReference"/>
        </w:rPr>
        <w:footnoteReference w:id="61"/>
      </w:r>
      <w:r>
        <w:t xml:space="preserve"> </w:t>
      </w:r>
    </w:p>
    <w:p w14:paraId="083E2349" w14:textId="41F14080" w:rsidR="00C5415F" w:rsidRPr="00C5415F" w:rsidRDefault="00CE738C" w:rsidP="00C5415F">
      <w:pPr>
        <w:pStyle w:val="Bullet"/>
      </w:pPr>
      <w:r>
        <w:t>the confidence of staff in identifying palliative care needs and communicating about palliative care</w:t>
      </w:r>
      <w:r w:rsidR="0007617A">
        <w:t>;</w:t>
      </w:r>
      <w:r w:rsidR="00697D1F">
        <w:t xml:space="preserve"> and</w:t>
      </w:r>
    </w:p>
    <w:p w14:paraId="303E9150" w14:textId="1B0DDD45" w:rsidR="008A6F2D" w:rsidRPr="00C5415F" w:rsidRDefault="008A6F2D" w:rsidP="00C5415F">
      <w:pPr>
        <w:pStyle w:val="Bullet"/>
      </w:pPr>
      <w:r>
        <w:t>the highly variable access to specialist palliative care support from health services.</w:t>
      </w:r>
    </w:p>
    <w:p w14:paraId="524287EF" w14:textId="253944EA" w:rsidR="008D78AB" w:rsidRDefault="00C63497" w:rsidP="00D81203">
      <w:r>
        <w:t>The evidence d</w:t>
      </w:r>
      <w:r w:rsidR="00BF4EF2">
        <w:t>id</w:t>
      </w:r>
      <w:r>
        <w:t xml:space="preserve"> not </w:t>
      </w:r>
      <w:r w:rsidR="009C736C">
        <w:t>tend to</w:t>
      </w:r>
      <w:r>
        <w:t xml:space="preserve"> separate out the service gaps from the perspectives of residents, families</w:t>
      </w:r>
      <w:r w:rsidR="00CD01E5">
        <w:t>,</w:t>
      </w:r>
      <w:r>
        <w:t xml:space="preserve"> </w:t>
      </w:r>
      <w:proofErr w:type="gramStart"/>
      <w:r>
        <w:t>carers</w:t>
      </w:r>
      <w:proofErr w:type="gramEnd"/>
      <w:r>
        <w:t xml:space="preserve"> and staff. Instead, it </w:t>
      </w:r>
      <w:r w:rsidR="00F0521D">
        <w:t>often noted that</w:t>
      </w:r>
      <w:r>
        <w:t xml:space="preserve"> the service gaps in the provision of palliative care in </w:t>
      </w:r>
      <w:proofErr w:type="gramStart"/>
      <w:r>
        <w:t>RACFs as a whole</w:t>
      </w:r>
      <w:proofErr w:type="gramEnd"/>
      <w:r>
        <w:t xml:space="preserve">. Many of the same service gaps are observed through the </w:t>
      </w:r>
      <w:r w:rsidR="000401FA">
        <w:t xml:space="preserve">different </w:t>
      </w:r>
      <w:r>
        <w:t>lens</w:t>
      </w:r>
      <w:r w:rsidR="000401FA">
        <w:t>es</w:t>
      </w:r>
      <w:r>
        <w:t xml:space="preserve"> of multiple stakeholders – for example,</w:t>
      </w:r>
      <w:r w:rsidR="00E76D67">
        <w:t xml:space="preserve"> service gaps in the identification of palliative care </w:t>
      </w:r>
      <w:r w:rsidR="00BF4EF2">
        <w:t xml:space="preserve">needs </w:t>
      </w:r>
      <w:r w:rsidR="00E76D67">
        <w:t>are viewed by staff as a lack of appropriate education</w:t>
      </w:r>
      <w:r w:rsidR="00BF4EF2">
        <w:t xml:space="preserve"> but is seen</w:t>
      </w:r>
      <w:r w:rsidR="00E76D67">
        <w:t xml:space="preserve"> by residents, families and carers as a lack o</w:t>
      </w:r>
      <w:r w:rsidR="000401FA">
        <w:t>f timely care.</w:t>
      </w:r>
    </w:p>
    <w:p w14:paraId="52DC5334" w14:textId="54A4102D" w:rsidR="00B22A65" w:rsidRPr="00BB0BBA" w:rsidRDefault="00C6073E" w:rsidP="00351182">
      <w:pPr>
        <w:pStyle w:val="Heading5"/>
      </w:pPr>
      <w:r w:rsidRPr="00BB0BBA">
        <w:lastRenderedPageBreak/>
        <w:t>Access and availability to high quality palliative care within the RACF is a challenge for many</w:t>
      </w:r>
    </w:p>
    <w:p w14:paraId="39F28802" w14:textId="3BEB122F" w:rsidR="00DA63F8" w:rsidRDefault="00C6073E" w:rsidP="004B1428">
      <w:r>
        <w:rPr>
          <w:lang w:eastAsia="en-AU"/>
        </w:rPr>
        <w:t>Evidence</w:t>
      </w:r>
      <w:r w:rsidR="00B22A65">
        <w:rPr>
          <w:lang w:eastAsia="en-AU"/>
        </w:rPr>
        <w:t xml:space="preserve"> indicated that </w:t>
      </w:r>
      <w:r w:rsidR="00483C5D">
        <w:t>residents require greater access to services delivered by clinically qualified staff.</w:t>
      </w:r>
      <w:r w:rsidR="005D2D43">
        <w:t xml:space="preserve"> </w:t>
      </w:r>
      <w:r w:rsidR="004C3B8C">
        <w:t xml:space="preserve">Palliative Care Australia and the </w:t>
      </w:r>
      <w:r w:rsidR="005F522C">
        <w:t>PCOC</w:t>
      </w:r>
      <w:r w:rsidR="004C3B8C">
        <w:t xml:space="preserve"> stated that</w:t>
      </w:r>
      <w:r w:rsidR="00DA63F8">
        <w:t>:</w:t>
      </w:r>
    </w:p>
    <w:p w14:paraId="64FE0967" w14:textId="46AAEF38" w:rsidR="00DA63F8" w:rsidRPr="00DA63F8" w:rsidRDefault="004C3B8C" w:rsidP="00DA63F8">
      <w:pPr>
        <w:pStyle w:val="Longformcallout"/>
        <w:ind w:left="567"/>
        <w:rPr>
          <w:rFonts w:ascii="Segoe UI Semilight" w:hAnsi="Segoe UI Semilight" w:cs="Segoe UI Semilight"/>
        </w:rPr>
      </w:pPr>
      <w:r w:rsidRPr="00DA63F8">
        <w:rPr>
          <w:rFonts w:ascii="Segoe UI Semilight" w:hAnsi="Segoe UI Semilight" w:cs="Segoe UI Semilight"/>
        </w:rPr>
        <w:t>“</w:t>
      </w:r>
      <w:r w:rsidR="00DA63F8">
        <w:rPr>
          <w:rFonts w:ascii="Segoe UI Semilight" w:hAnsi="Segoe UI Semilight" w:cs="Segoe UI Semilight"/>
        </w:rPr>
        <w:t>T</w:t>
      </w:r>
      <w:r w:rsidRPr="00DA63F8">
        <w:rPr>
          <w:rFonts w:ascii="Segoe UI Semilight" w:hAnsi="Segoe UI Semilight" w:cs="Segoe UI Semilight"/>
        </w:rPr>
        <w:t>he greatest current barrier to patients receiving their preferred care is the availability and quality of palliative care services, including in the primary health sector”.</w:t>
      </w:r>
      <w:r w:rsidRPr="0098321A">
        <w:rPr>
          <w:rStyle w:val="FootnoteReference"/>
          <w:rFonts w:ascii="Segoe UI Semilight" w:hAnsi="Segoe UI Semilight" w:cs="Segoe UI Semilight"/>
        </w:rPr>
        <w:footnoteReference w:id="62"/>
      </w:r>
      <w:r w:rsidRPr="00DA63F8">
        <w:rPr>
          <w:rFonts w:ascii="Segoe UI Semilight" w:hAnsi="Segoe UI Semilight" w:cs="Segoe UI Semilight"/>
        </w:rPr>
        <w:t xml:space="preserve"> </w:t>
      </w:r>
    </w:p>
    <w:p w14:paraId="6970C7C2" w14:textId="50762098" w:rsidR="004B1428" w:rsidRDefault="004C3B8C" w:rsidP="004B1428">
      <w:r>
        <w:t>It was also stated that</w:t>
      </w:r>
      <w:r w:rsidR="009256D5">
        <w:t xml:space="preserve"> in </w:t>
      </w:r>
      <w:r w:rsidR="004B1428">
        <w:t>RACFs,</w:t>
      </w:r>
      <w:r>
        <w:t xml:space="preserve"> staff ratios </w:t>
      </w:r>
      <w:r w:rsidR="00EF1588">
        <w:t xml:space="preserve">[of </w:t>
      </w:r>
      <w:r w:rsidR="00FB7078">
        <w:t>unregulated staff to qualified healthcare staff]</w:t>
      </w:r>
      <w:r>
        <w:t xml:space="preserve"> </w:t>
      </w:r>
      <w:r w:rsidR="00FC44A2">
        <w:t>can be</w:t>
      </w:r>
      <w:r>
        <w:t xml:space="preserve"> weighted towards lower paid unregulated staff, with </w:t>
      </w:r>
      <w:r w:rsidR="00B22A65" w:rsidRPr="004C3B8C">
        <w:t>inadequate levels of qualified healthcare staff especially outside standard business hours</w:t>
      </w:r>
      <w:r w:rsidR="00052033">
        <w:t>.</w:t>
      </w:r>
      <w:r w:rsidR="004B1428" w:rsidRPr="004C3B8C">
        <w:t>”</w:t>
      </w:r>
      <w:r w:rsidR="004B1428" w:rsidRPr="004C3B8C">
        <w:rPr>
          <w:rStyle w:val="FootnoteReference"/>
        </w:rPr>
        <w:footnoteReference w:id="63"/>
      </w:r>
      <w:r w:rsidR="004B1428" w:rsidRPr="004C3B8C">
        <w:t xml:space="preserve"> </w:t>
      </w:r>
    </w:p>
    <w:p w14:paraId="26AC3D76" w14:textId="483527B3" w:rsidR="00C6073E" w:rsidRDefault="005A47E1" w:rsidP="00C6073E">
      <w:r>
        <w:t xml:space="preserve">Evidence indicated that this is particularly relevant for groups of </w:t>
      </w:r>
      <w:r w:rsidR="00DF5351">
        <w:t xml:space="preserve">people with </w:t>
      </w:r>
      <w:r>
        <w:t>particular need</w:t>
      </w:r>
      <w:r w:rsidR="00DF5351">
        <w:t>s</w:t>
      </w:r>
      <w:r>
        <w:t xml:space="preserve">, for example those living in rural and remote areas, </w:t>
      </w:r>
      <w:r w:rsidR="002E17E5">
        <w:t>Aboriginal and Torres Strait Islander</w:t>
      </w:r>
      <w:r w:rsidR="002F51BF">
        <w:t xml:space="preserve"> people</w:t>
      </w:r>
      <w:r w:rsidR="002E17E5">
        <w:t>, people from culturally and linguistically diverse backgrounds</w:t>
      </w:r>
      <w:r w:rsidR="00377DDE">
        <w:t>, LGBTQI people</w:t>
      </w:r>
      <w:r w:rsidR="002E17E5">
        <w:t xml:space="preserve"> and people with disabilities.</w:t>
      </w:r>
      <w:r w:rsidR="00C6073E">
        <w:rPr>
          <w:rStyle w:val="FootnoteReference"/>
        </w:rPr>
        <w:footnoteReference w:id="64"/>
      </w:r>
      <w:r w:rsidR="004D2EB9">
        <w:t xml:space="preserve"> </w:t>
      </w:r>
      <w:r w:rsidR="00A2339B">
        <w:t>For example, t</w:t>
      </w:r>
      <w:r w:rsidR="004D2EB9" w:rsidRPr="004D2EB9">
        <w:t>he Royal Commission heard that it is important for providers to understand local practices or ask for advice from local communities on appropriate practices.</w:t>
      </w:r>
      <w:r w:rsidR="00A2339B">
        <w:rPr>
          <w:rStyle w:val="FootnoteReference"/>
        </w:rPr>
        <w:footnoteReference w:id="65"/>
      </w:r>
    </w:p>
    <w:p w14:paraId="38BEA57E" w14:textId="350D779F" w:rsidR="004269FD" w:rsidRPr="00A30578" w:rsidRDefault="009502D4" w:rsidP="00A30578">
      <w:pPr>
        <w:pStyle w:val="Heading5"/>
      </w:pPr>
      <w:r w:rsidRPr="00A30578">
        <w:t xml:space="preserve">Evidence </w:t>
      </w:r>
      <w:r w:rsidR="006A2C8C" w:rsidRPr="00A30578">
        <w:t>indicated</w:t>
      </w:r>
      <w:r w:rsidRPr="00A30578">
        <w:t xml:space="preserve"> that i</w:t>
      </w:r>
      <w:r w:rsidR="004269FD" w:rsidRPr="00A30578">
        <w:t xml:space="preserve">dentifying and communicating about palliative care needs is </w:t>
      </w:r>
      <w:r w:rsidRPr="00A30578">
        <w:t>a key service gap</w:t>
      </w:r>
    </w:p>
    <w:p w14:paraId="42154408" w14:textId="350221E9" w:rsidR="00517F01" w:rsidRDefault="0025371D" w:rsidP="004269FD">
      <w:pPr>
        <w:rPr>
          <w:lang w:eastAsia="en-AU"/>
        </w:rPr>
      </w:pPr>
      <w:r>
        <w:rPr>
          <w:lang w:eastAsia="en-AU"/>
        </w:rPr>
        <w:t>Evidence identifie</w:t>
      </w:r>
      <w:r w:rsidR="00595DA6">
        <w:rPr>
          <w:lang w:eastAsia="en-AU"/>
        </w:rPr>
        <w:t>d</w:t>
      </w:r>
      <w:r>
        <w:rPr>
          <w:lang w:eastAsia="en-AU"/>
        </w:rPr>
        <w:t xml:space="preserve"> the early identification of palliative care needs as</w:t>
      </w:r>
      <w:r w:rsidR="005021C4">
        <w:rPr>
          <w:lang w:eastAsia="en-AU"/>
        </w:rPr>
        <w:t xml:space="preserve"> </w:t>
      </w:r>
      <w:r w:rsidR="00D92D07">
        <w:rPr>
          <w:lang w:eastAsia="en-AU"/>
        </w:rPr>
        <w:t>a critical prerequisite for effective palliative care</w:t>
      </w:r>
      <w:r w:rsidR="005021C4">
        <w:rPr>
          <w:lang w:eastAsia="en-AU"/>
        </w:rPr>
        <w:t>, and as a service gap</w:t>
      </w:r>
      <w:r w:rsidR="00D63590">
        <w:rPr>
          <w:lang w:eastAsia="en-AU"/>
        </w:rPr>
        <w:t>.</w:t>
      </w:r>
      <w:r w:rsidR="00D92D07">
        <w:rPr>
          <w:rStyle w:val="FootnoteReference"/>
          <w:lang w:eastAsia="en-AU"/>
        </w:rPr>
        <w:footnoteReference w:id="66"/>
      </w:r>
      <w:r w:rsidR="005021C4">
        <w:rPr>
          <w:lang w:eastAsia="en-AU"/>
        </w:rPr>
        <w:t xml:space="preserve"> </w:t>
      </w:r>
      <w:r w:rsidR="00517F01">
        <w:rPr>
          <w:lang w:eastAsia="en-AU"/>
        </w:rPr>
        <w:t>Another service gap identified was the</w:t>
      </w:r>
      <w:r w:rsidR="00F4299B">
        <w:rPr>
          <w:lang w:eastAsia="en-AU"/>
        </w:rPr>
        <w:t xml:space="preserve"> lack of clear communication about palliative and end-of-life care from the perspectives of residents, families/carers and staff. </w:t>
      </w:r>
      <w:r w:rsidR="00E84BB9">
        <w:rPr>
          <w:lang w:eastAsia="en-AU"/>
        </w:rPr>
        <w:t xml:space="preserve">In one study, RACF staff </w:t>
      </w:r>
      <w:r w:rsidR="00157479">
        <w:rPr>
          <w:lang w:eastAsia="en-AU"/>
        </w:rPr>
        <w:t>were noted to appear confident in providing end of life care but were not confident in d</w:t>
      </w:r>
      <w:r w:rsidR="00157479">
        <w:t>iscussing goals of care or effecting a transition to a palliative approach.</w:t>
      </w:r>
      <w:r w:rsidR="006135A6">
        <w:rPr>
          <w:rStyle w:val="FootnoteReference"/>
        </w:rPr>
        <w:footnoteReference w:id="67"/>
      </w:r>
      <w:r w:rsidR="006135A6">
        <w:rPr>
          <w:lang w:eastAsia="en-AU"/>
        </w:rPr>
        <w:t xml:space="preserve"> </w:t>
      </w:r>
    </w:p>
    <w:p w14:paraId="04DFB383" w14:textId="17E67DF8" w:rsidR="00D92D07" w:rsidRDefault="00E84BB9" w:rsidP="004269FD">
      <w:pPr>
        <w:rPr>
          <w:lang w:eastAsia="en-AU"/>
        </w:rPr>
      </w:pPr>
      <w:r>
        <w:rPr>
          <w:lang w:eastAsia="en-AU"/>
        </w:rPr>
        <w:t>Evidence also indicated that</w:t>
      </w:r>
      <w:r w:rsidR="00376D55">
        <w:rPr>
          <w:lang w:eastAsia="en-AU"/>
        </w:rPr>
        <w:t xml:space="preserve"> </w:t>
      </w:r>
      <w:r w:rsidR="00C4033F">
        <w:rPr>
          <w:lang w:eastAsia="en-AU"/>
        </w:rPr>
        <w:t>residents</w:t>
      </w:r>
      <w:r w:rsidR="00376D55">
        <w:rPr>
          <w:lang w:eastAsia="en-AU"/>
        </w:rPr>
        <w:t xml:space="preserve"> rely on clinicians to initiate end of life care conversations, but many are inadequately trained to hold these conversations.</w:t>
      </w:r>
      <w:r w:rsidR="004269FD">
        <w:rPr>
          <w:rStyle w:val="FootnoteReference"/>
        </w:rPr>
        <w:footnoteReference w:id="68"/>
      </w:r>
      <w:r w:rsidR="00376D55">
        <w:rPr>
          <w:lang w:eastAsia="en-AU"/>
        </w:rPr>
        <w:t xml:space="preserve"> </w:t>
      </w:r>
    </w:p>
    <w:p w14:paraId="14F648D0" w14:textId="60B2F077" w:rsidR="000C7D42" w:rsidRPr="00351182" w:rsidRDefault="002F61FA" w:rsidP="00351182">
      <w:pPr>
        <w:pStyle w:val="Heading5"/>
      </w:pPr>
      <w:r>
        <w:t>From a system perspective, e</w:t>
      </w:r>
      <w:r w:rsidR="00B445AF" w:rsidRPr="00351182">
        <w:t xml:space="preserve">vidence consistently indicates </w:t>
      </w:r>
      <w:r w:rsidR="00465FD5" w:rsidRPr="00351182">
        <w:t xml:space="preserve">that workforce capacity and capability </w:t>
      </w:r>
      <w:r w:rsidR="00C6073E" w:rsidRPr="00351182">
        <w:t xml:space="preserve">are significant contributors to </w:t>
      </w:r>
      <w:r w:rsidR="00B445AF" w:rsidRPr="00351182">
        <w:t>service gaps</w:t>
      </w:r>
    </w:p>
    <w:p w14:paraId="5976901D" w14:textId="1F100CA5" w:rsidR="00C32452" w:rsidRDefault="0043545A" w:rsidP="00B445AF">
      <w:r>
        <w:t xml:space="preserve">Workforce capacity and capability </w:t>
      </w:r>
      <w:r w:rsidR="00494EE5">
        <w:t xml:space="preserve">were </w:t>
      </w:r>
      <w:r w:rsidR="00146655">
        <w:t>consistently identified in the literature as</w:t>
      </w:r>
      <w:r>
        <w:t xml:space="preserve"> key contributors to service gaps. Evidence </w:t>
      </w:r>
      <w:r w:rsidR="006A2C8C">
        <w:t>indicated</w:t>
      </w:r>
      <w:r>
        <w:t xml:space="preserve"> that limited medical </w:t>
      </w:r>
      <w:r w:rsidR="006E3F42">
        <w:t xml:space="preserve">or nursing </w:t>
      </w:r>
      <w:r>
        <w:t>cover and heavy workloads for RACF staff result in increased emergency department presentations and impacts on end of life care.</w:t>
      </w:r>
      <w:r w:rsidR="00794540">
        <w:rPr>
          <w:rStyle w:val="FootnoteReference"/>
        </w:rPr>
        <w:footnoteReference w:id="69"/>
      </w:r>
      <w:r w:rsidR="00794540">
        <w:t xml:space="preserve"> </w:t>
      </w:r>
    </w:p>
    <w:p w14:paraId="47540B16" w14:textId="6153732E" w:rsidR="001B3ECD" w:rsidRDefault="000904AB" w:rsidP="00B445AF">
      <w:pPr>
        <w:rPr>
          <w:vertAlign w:val="superscript"/>
        </w:rPr>
      </w:pPr>
      <w:r>
        <w:t>W</w:t>
      </w:r>
      <w:r w:rsidR="00230471">
        <w:t xml:space="preserve">orkforce capacity challenges span from personal care workers through to clinical staff, with evidence indicating that a shortage of available </w:t>
      </w:r>
      <w:r w:rsidR="00553C24">
        <w:t>GPs and specialist after-hours care</w:t>
      </w:r>
      <w:r w:rsidR="00230471">
        <w:t xml:space="preserve"> </w:t>
      </w:r>
      <w:r w:rsidR="008239B8">
        <w:t>impacts on the quality of care.</w:t>
      </w:r>
      <w:r w:rsidR="008239B8">
        <w:rPr>
          <w:rStyle w:val="FootnoteReference"/>
        </w:rPr>
        <w:footnoteReference w:id="70"/>
      </w:r>
      <w:r w:rsidR="002507A8" w:rsidRPr="007657B6">
        <w:rPr>
          <w:vertAlign w:val="superscript"/>
        </w:rPr>
        <w:t>,</w:t>
      </w:r>
      <w:r w:rsidR="002507A8">
        <w:rPr>
          <w:rStyle w:val="FootnoteReference"/>
        </w:rPr>
        <w:footnoteReference w:id="71"/>
      </w:r>
      <w:r w:rsidR="004269FD">
        <w:rPr>
          <w:vertAlign w:val="superscript"/>
        </w:rPr>
        <w:t xml:space="preserve"> </w:t>
      </w:r>
    </w:p>
    <w:p w14:paraId="7E3A1551" w14:textId="77777777" w:rsidR="00B445AF" w:rsidRDefault="00B445AF" w:rsidP="00B445AF">
      <w:r>
        <w:t xml:space="preserve">A study of barriers to the provision of palliative care in long-term care facilities in Canada identified </w:t>
      </w:r>
      <w:proofErr w:type="gramStart"/>
      <w:r>
        <w:t>a number of</w:t>
      </w:r>
      <w:proofErr w:type="gramEnd"/>
      <w:r>
        <w:t xml:space="preserve"> barriers relating to education and support, including:</w:t>
      </w:r>
    </w:p>
    <w:p w14:paraId="1550CBD3" w14:textId="6802E001" w:rsidR="00B445AF" w:rsidRDefault="00DC610A" w:rsidP="00DC610A">
      <w:pPr>
        <w:pStyle w:val="Bullet"/>
      </w:pPr>
      <w:r>
        <w:lastRenderedPageBreak/>
        <w:t>l</w:t>
      </w:r>
      <w:r w:rsidR="00B445AF">
        <w:t xml:space="preserve">ack of pain assessment and monitoring </w:t>
      </w:r>
      <w:proofErr w:type="gramStart"/>
      <w:r w:rsidR="00B445AF">
        <w:t>protocols</w:t>
      </w:r>
      <w:r w:rsidR="002860E1">
        <w:t>;</w:t>
      </w:r>
      <w:proofErr w:type="gramEnd"/>
    </w:p>
    <w:p w14:paraId="57A819D2" w14:textId="51586479" w:rsidR="00B445AF" w:rsidRDefault="00DC610A" w:rsidP="00DC610A">
      <w:pPr>
        <w:pStyle w:val="Bullet"/>
      </w:pPr>
      <w:r>
        <w:t>l</w:t>
      </w:r>
      <w:r w:rsidR="00B445AF">
        <w:t xml:space="preserve">ack of practice guidelines related to assessing and managing palliative </w:t>
      </w:r>
      <w:proofErr w:type="gramStart"/>
      <w:r w:rsidR="00B445AF">
        <w:t>patients</w:t>
      </w:r>
      <w:r w:rsidR="002860E1">
        <w:t>;</w:t>
      </w:r>
      <w:proofErr w:type="gramEnd"/>
    </w:p>
    <w:p w14:paraId="66F361A8" w14:textId="705D9E49" w:rsidR="00B445AF" w:rsidRDefault="00DC610A" w:rsidP="00DC610A">
      <w:pPr>
        <w:pStyle w:val="Bullet"/>
      </w:pPr>
      <w:r>
        <w:t>l</w:t>
      </w:r>
      <w:r w:rsidR="00B445AF">
        <w:t>ack of knowledge and specialized skills in palliative care</w:t>
      </w:r>
      <w:r w:rsidR="002860E1">
        <w:t>; and</w:t>
      </w:r>
    </w:p>
    <w:p w14:paraId="21F6581A" w14:textId="77777777" w:rsidR="00B445AF" w:rsidRPr="00840708" w:rsidRDefault="00DC610A" w:rsidP="00DC610A">
      <w:pPr>
        <w:pStyle w:val="Bullet"/>
      </w:pPr>
      <w:r>
        <w:t>l</w:t>
      </w:r>
      <w:r w:rsidR="00B445AF">
        <w:t>ack of access to literature on palliative care</w:t>
      </w:r>
      <w:r>
        <w:t>.</w:t>
      </w:r>
      <w:r w:rsidR="00B445AF">
        <w:rPr>
          <w:rStyle w:val="FootnoteReference"/>
        </w:rPr>
        <w:footnoteReference w:id="72"/>
      </w:r>
    </w:p>
    <w:p w14:paraId="1A76A4E2" w14:textId="33BE1F2A" w:rsidR="005E4845" w:rsidRDefault="002C4171" w:rsidP="00465FD5">
      <w:pPr>
        <w:rPr>
          <w:lang w:eastAsia="en-AU"/>
        </w:rPr>
      </w:pPr>
      <w:r>
        <w:rPr>
          <w:lang w:eastAsia="en-AU"/>
        </w:rPr>
        <w:t xml:space="preserve">These workforce challenges are </w:t>
      </w:r>
      <w:proofErr w:type="gramStart"/>
      <w:r>
        <w:rPr>
          <w:lang w:eastAsia="en-AU"/>
        </w:rPr>
        <w:t>similar to</w:t>
      </w:r>
      <w:proofErr w:type="gramEnd"/>
      <w:r>
        <w:rPr>
          <w:lang w:eastAsia="en-AU"/>
        </w:rPr>
        <w:t xml:space="preserve"> evidence on challenges domestically. In addition, the Royal Commission noted that more could be done to train and upskill Aboriginal and Torres Strait </w:t>
      </w:r>
      <w:r w:rsidR="004C02E9">
        <w:rPr>
          <w:lang w:eastAsia="en-AU"/>
        </w:rPr>
        <w:t>Islander</w:t>
      </w:r>
      <w:r>
        <w:rPr>
          <w:lang w:eastAsia="en-AU"/>
        </w:rPr>
        <w:t xml:space="preserve"> </w:t>
      </w:r>
      <w:r w:rsidR="00A23F33">
        <w:rPr>
          <w:lang w:eastAsia="en-AU"/>
        </w:rPr>
        <w:t>staff</w:t>
      </w:r>
      <w:r>
        <w:rPr>
          <w:lang w:eastAsia="en-AU"/>
        </w:rPr>
        <w:t xml:space="preserve"> in palliative care</w:t>
      </w:r>
      <w:r w:rsidR="005E4845">
        <w:rPr>
          <w:lang w:eastAsia="en-AU"/>
        </w:rPr>
        <w:t xml:space="preserve"> in aged care.</w:t>
      </w:r>
      <w:r w:rsidR="005E4845">
        <w:rPr>
          <w:rStyle w:val="FootnoteReference"/>
          <w:lang w:eastAsia="en-AU"/>
        </w:rPr>
        <w:footnoteReference w:id="73"/>
      </w:r>
      <w:r w:rsidR="005E4845">
        <w:rPr>
          <w:lang w:eastAsia="en-AU"/>
        </w:rPr>
        <w:t xml:space="preserve"> </w:t>
      </w:r>
    </w:p>
    <w:p w14:paraId="029EB0C5" w14:textId="41C4F0BC" w:rsidR="00B445AF" w:rsidRDefault="00041B0E" w:rsidP="00465FD5">
      <w:pPr>
        <w:rPr>
          <w:lang w:eastAsia="en-AU"/>
        </w:rPr>
      </w:pPr>
      <w:r>
        <w:rPr>
          <w:lang w:eastAsia="en-AU"/>
        </w:rPr>
        <w:t xml:space="preserve">Evidence indicated that quality education and training in Australia is </w:t>
      </w:r>
      <w:r w:rsidR="00292E54">
        <w:rPr>
          <w:lang w:eastAsia="en-AU"/>
        </w:rPr>
        <w:t xml:space="preserve">also </w:t>
      </w:r>
      <w:r w:rsidR="00F278D0">
        <w:rPr>
          <w:lang w:eastAsia="en-AU"/>
        </w:rPr>
        <w:t>made challenging as there are</w:t>
      </w:r>
      <w:r w:rsidR="00F278D0" w:rsidRPr="00F278D0">
        <w:rPr>
          <w:lang w:eastAsia="en-AU"/>
        </w:rPr>
        <w:t xml:space="preserve"> </w:t>
      </w:r>
      <w:r w:rsidR="0055077F">
        <w:rPr>
          <w:lang w:eastAsia="en-AU"/>
        </w:rPr>
        <w:t xml:space="preserve">no </w:t>
      </w:r>
      <w:r w:rsidR="00F278D0" w:rsidRPr="00F278D0">
        <w:rPr>
          <w:lang w:eastAsia="en-AU"/>
        </w:rPr>
        <w:t>national minimum standardised training requirements for aged care</w:t>
      </w:r>
      <w:r w:rsidR="00F278D0">
        <w:rPr>
          <w:lang w:eastAsia="en-AU"/>
        </w:rPr>
        <w:t>.</w:t>
      </w:r>
      <w:r w:rsidR="00F278D0">
        <w:rPr>
          <w:rStyle w:val="FootnoteReference"/>
          <w:lang w:eastAsia="en-AU"/>
        </w:rPr>
        <w:footnoteReference w:id="74"/>
      </w:r>
    </w:p>
    <w:p w14:paraId="3B5437EF" w14:textId="77777777" w:rsidR="00981FF4" w:rsidRDefault="00981FF4" w:rsidP="00465FD5">
      <w:pPr>
        <w:rPr>
          <w:lang w:eastAsia="en-AU"/>
        </w:rPr>
      </w:pPr>
    </w:p>
    <w:tbl>
      <w:tblPr>
        <w:tblStyle w:val="TableGrid"/>
        <w:tblW w:w="0" w:type="auto"/>
        <w:tblBorders>
          <w:top w:val="single" w:sz="8" w:space="0" w:color="00264D" w:themeColor="background2"/>
          <w:left w:val="single" w:sz="8" w:space="0" w:color="00264D" w:themeColor="background2"/>
          <w:bottom w:val="single" w:sz="8" w:space="0" w:color="00264D" w:themeColor="background2"/>
          <w:right w:val="single" w:sz="8" w:space="0" w:color="00264D" w:themeColor="background2"/>
          <w:insideH w:val="single" w:sz="8" w:space="0" w:color="00264D" w:themeColor="background2"/>
          <w:insideV w:val="single" w:sz="8" w:space="0" w:color="00264D" w:themeColor="background2"/>
        </w:tblBorders>
        <w:tblLook w:val="0400" w:firstRow="0" w:lastRow="0" w:firstColumn="0" w:lastColumn="0" w:noHBand="0" w:noVBand="1"/>
        <w:tblCaption w:val="The Royal Commission into Aged Care Quality and Safety"/>
        <w:tblDescription w:val="Insights from the Royal Commission into Aged Care Quality and Safety have identified that ‘the availability and standard of palliative care provided in RACFs is highly variable’. It found that inadequate palliative care provision is a major feature of safety and quality issues."/>
      </w:tblPr>
      <w:tblGrid>
        <w:gridCol w:w="8930"/>
      </w:tblGrid>
      <w:tr w:rsidR="00741C43" w14:paraId="3D5FE40F" w14:textId="77777777" w:rsidTr="22C19DAE">
        <w:tc>
          <w:tcPr>
            <w:tcW w:w="9016" w:type="dxa"/>
            <w:tcBorders>
              <w:top w:val="single" w:sz="18" w:space="0" w:color="00264D" w:themeColor="background2"/>
              <w:left w:val="nil"/>
              <w:bottom w:val="nil"/>
              <w:right w:val="nil"/>
            </w:tcBorders>
            <w:shd w:val="clear" w:color="auto" w:fill="EDEDE8" w:themeFill="accent5"/>
          </w:tcPr>
          <w:p w14:paraId="69D52CDE" w14:textId="49D39950" w:rsidR="00741C43" w:rsidRPr="007F6FD1" w:rsidRDefault="00741C43" w:rsidP="00020F39">
            <w:pPr>
              <w:pStyle w:val="Longformcallout"/>
              <w:spacing w:after="120"/>
              <w:rPr>
                <w:rFonts w:ascii="Segoe UI Semibold" w:hAnsi="Segoe UI Semibold" w:cs="Segoe UI Semibold"/>
              </w:rPr>
            </w:pPr>
            <w:r w:rsidRPr="007F6FD1">
              <w:rPr>
                <w:rFonts w:ascii="Segoe UI Semibold" w:hAnsi="Segoe UI Semibold" w:cs="Segoe UI Semibold"/>
              </w:rPr>
              <w:t>THE ROYAL COMMISSION INTO AGED CARE QUALITY AND SAFETY</w:t>
            </w:r>
          </w:p>
          <w:p w14:paraId="1094F3F6" w14:textId="1ABBC7E1" w:rsidR="00741C43" w:rsidRPr="00C713E2" w:rsidRDefault="00741C43" w:rsidP="00CF381E">
            <w:pPr>
              <w:pStyle w:val="Longformcallout"/>
              <w:spacing w:after="120"/>
            </w:pPr>
            <w:r>
              <w:t>Insights from the Royal Commission into Aged Care Quality and Safety have identified that ‘the availability and standard of palliative care provided in RACFs is highly variable’. It found that inadequate palliative care provision is a major feature of safety and quality issues</w:t>
            </w:r>
            <w:r w:rsidRPr="00915CF1">
              <w:t>.</w:t>
            </w:r>
            <w:r>
              <w:rPr>
                <w:rStyle w:val="FootnoteReference"/>
              </w:rPr>
              <w:footnoteReference w:id="75"/>
            </w:r>
          </w:p>
        </w:tc>
      </w:tr>
    </w:tbl>
    <w:p w14:paraId="581DCE51" w14:textId="77777777" w:rsidR="00981FF4" w:rsidRDefault="00981FF4" w:rsidP="00501137">
      <w:bookmarkStart w:id="42" w:name="_Ref51335572"/>
      <w:bookmarkStart w:id="43" w:name="_Toc51571046"/>
    </w:p>
    <w:p w14:paraId="0EF2DE50" w14:textId="77777777" w:rsidR="00981FF4" w:rsidRDefault="00981FF4">
      <w:pPr>
        <w:spacing w:after="160" w:line="259" w:lineRule="auto"/>
      </w:pPr>
      <w:r>
        <w:br w:type="page"/>
      </w:r>
    </w:p>
    <w:p w14:paraId="431D5CF3" w14:textId="0A80EC38" w:rsidR="00501137" w:rsidRDefault="00501137" w:rsidP="00501137">
      <w:r>
        <w:rPr>
          <w:noProof/>
          <w:lang w:eastAsia="en-AU"/>
        </w:rPr>
        <w:lastRenderedPageBreak/>
        <w:drawing>
          <wp:anchor distT="0" distB="0" distL="114300" distR="114300" simplePos="0" relativeHeight="251658241" behindDoc="1" locked="0" layoutInCell="1" allowOverlap="1" wp14:anchorId="33C7F12F" wp14:editId="64D8A3FF">
            <wp:simplePos x="0" y="0"/>
            <wp:positionH relativeFrom="column">
              <wp:posOffset>-980440</wp:posOffset>
            </wp:positionH>
            <wp:positionV relativeFrom="paragraph">
              <wp:posOffset>288290</wp:posOffset>
            </wp:positionV>
            <wp:extent cx="6645275" cy="847725"/>
            <wp:effectExtent l="0" t="0" r="3175" b="9525"/>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45275" cy="847725"/>
                    </a:xfrm>
                    <a:prstGeom prst="rect">
                      <a:avLst/>
                    </a:prstGeom>
                    <a:noFill/>
                  </pic:spPr>
                </pic:pic>
              </a:graphicData>
            </a:graphic>
          </wp:anchor>
        </w:drawing>
      </w:r>
    </w:p>
    <w:p w14:paraId="177D6B62" w14:textId="162DF73A" w:rsidR="006538FD" w:rsidRDefault="008E62D5" w:rsidP="003E59AA">
      <w:pPr>
        <w:pStyle w:val="Heading2"/>
        <w:spacing w:after="360"/>
        <w:ind w:left="578" w:hanging="578"/>
      </w:pPr>
      <w:bookmarkStart w:id="44" w:name="_Ref52270734"/>
      <w:bookmarkStart w:id="45" w:name="_Ref52270749"/>
      <w:bookmarkStart w:id="46" w:name="_Toc82767265"/>
      <w:r>
        <w:t xml:space="preserve">What </w:t>
      </w:r>
      <w:r w:rsidR="0080205A">
        <w:t>models of care exist that have proven successful</w:t>
      </w:r>
      <w:r>
        <w:t>?</w:t>
      </w:r>
      <w:bookmarkEnd w:id="42"/>
      <w:bookmarkEnd w:id="43"/>
      <w:bookmarkEnd w:id="44"/>
      <w:bookmarkEnd w:id="45"/>
      <w:bookmarkEnd w:id="46"/>
    </w:p>
    <w:p w14:paraId="4A42C061" w14:textId="7F64F87D" w:rsidR="00502E9C" w:rsidRDefault="00502E9C" w:rsidP="00D968BD"/>
    <w:p w14:paraId="5FFCF04A" w14:textId="4EEBE1D0" w:rsidR="00F77AF6" w:rsidRDefault="00F77AF6" w:rsidP="00D968BD">
      <w:r>
        <w:t>This sub-section summarises evidence from the literature on</w:t>
      </w:r>
      <w:r w:rsidR="00494EE5">
        <w:t xml:space="preserve"> the</w:t>
      </w:r>
      <w:r>
        <w:t xml:space="preserve">: </w:t>
      </w:r>
    </w:p>
    <w:p w14:paraId="059B3B8D" w14:textId="3C0058D1" w:rsidR="00F77AF6" w:rsidRDefault="00660F6B" w:rsidP="00F77AF6">
      <w:pPr>
        <w:pStyle w:val="Bullet"/>
      </w:pPr>
      <w:r>
        <w:t>evidence on</w:t>
      </w:r>
      <w:r w:rsidR="00F77AF6">
        <w:t xml:space="preserve"> </w:t>
      </w:r>
      <w:r>
        <w:t>domestic and international examples of models of care</w:t>
      </w:r>
      <w:r w:rsidR="00AC037F">
        <w:t xml:space="preserve"> in RACFs</w:t>
      </w:r>
      <w:r>
        <w:t xml:space="preserve"> (see </w:t>
      </w:r>
      <w:r w:rsidR="00494EE5">
        <w:t>s</w:t>
      </w:r>
      <w:r w:rsidR="00E93C51">
        <w:t>ection</w:t>
      </w:r>
      <w:r>
        <w:t xml:space="preserve"> </w:t>
      </w:r>
      <w:r w:rsidR="003D3132">
        <w:fldChar w:fldCharType="begin"/>
      </w:r>
      <w:r w:rsidR="003D3132">
        <w:instrText xml:space="preserve"> REF _Ref52267242 \r \h </w:instrText>
      </w:r>
      <w:r w:rsidR="003D3132">
        <w:fldChar w:fldCharType="separate"/>
      </w:r>
      <w:r w:rsidR="000E59E1">
        <w:t>3.2.2</w:t>
      </w:r>
      <w:r w:rsidR="003D3132">
        <w:fldChar w:fldCharType="end"/>
      </w:r>
      <w:r w:rsidR="00E93C51">
        <w:t>)</w:t>
      </w:r>
    </w:p>
    <w:p w14:paraId="4CC4B9EC" w14:textId="0D36CEFE" w:rsidR="00B101DE" w:rsidRDefault="00E93C51" w:rsidP="00F77AF6">
      <w:pPr>
        <w:pStyle w:val="Bullet"/>
      </w:pPr>
      <w:r>
        <w:t>critical enablers in successful models of care</w:t>
      </w:r>
      <w:r w:rsidR="00AC037F">
        <w:t xml:space="preserve"> in RACFs</w:t>
      </w:r>
      <w:r>
        <w:t xml:space="preserve"> (see </w:t>
      </w:r>
      <w:r w:rsidR="00494EE5">
        <w:t>s</w:t>
      </w:r>
      <w:r>
        <w:t xml:space="preserve">ection </w:t>
      </w:r>
      <w:r w:rsidR="005C3646">
        <w:fldChar w:fldCharType="begin"/>
      </w:r>
      <w:r w:rsidR="005C3646">
        <w:instrText xml:space="preserve"> REF _Ref51764244 \r \h </w:instrText>
      </w:r>
      <w:r w:rsidR="005C3646">
        <w:fldChar w:fldCharType="separate"/>
      </w:r>
      <w:r w:rsidR="000E59E1">
        <w:t>3.2.3</w:t>
      </w:r>
      <w:r w:rsidR="005C3646">
        <w:fldChar w:fldCharType="end"/>
      </w:r>
      <w:r>
        <w:t>)</w:t>
      </w:r>
      <w:r w:rsidR="00C97763">
        <w:t>.</w:t>
      </w:r>
    </w:p>
    <w:tbl>
      <w:tblPr>
        <w:tblStyle w:val="TableGrid"/>
        <w:tblW w:w="9016" w:type="dxa"/>
        <w:tblBorders>
          <w:bottom w:val="none" w:sz="0" w:space="0" w:color="auto"/>
          <w:insideH w:val="none" w:sz="0" w:space="0" w:color="auto"/>
        </w:tblBorders>
        <w:shd w:val="clear" w:color="auto" w:fill="F2F2F2" w:themeFill="background1" w:themeFillShade="F2"/>
        <w:tblCellMar>
          <w:top w:w="85" w:type="dxa"/>
        </w:tblCellMar>
        <w:tblLook w:val="0400" w:firstRow="0" w:lastRow="0" w:firstColumn="0" w:lastColumn="0" w:noHBand="0" w:noVBand="1"/>
        <w:tblCaption w:val="Key findings for the second key literature review question - What models of care exist that have proven successful?"/>
        <w:tblDescription w:val="Evidence suggested that changing population needs and health system policy and drivers have necessitated dynamic, integrative models of care for palliative care delivery in RACFs. &#10;&#10;There is significant variation in practice and availability of palliative care in RACFs in Australia and internationally. Relatively limited evidence has led to an absence of clear, evidenced-based models of care for providing efficient and quality palliative care services in RACFs.&#10;&#10;Palliative care models of care in RACFs vary, but integrating specialist palliative care into RACFs is a common theme. Evidence identified six frequently cited components of palliative care models of care in RACFs: case management, capability building, specialist in-reach services, shared care, specialist out-reach services, and integrated care. &#10;&#10;Australia &#10;The literature review identified 12 separate models of delivering palliative care in RACFs in Australia.  &#10;&#10;Of these, there was a high concentration of models of care identified in RACFs in New South Wales and Victoria. 25 per cent of the models of care identified were specialist in-reach services.  &#10;&#10;Australian palliative care models of care in RACFs vary in terms of what they deliver, but the INSPIRED model is an effective, evidence-based approach.  &#10;&#10;International &#10;The literature review identified seven international models of delivering palliative care in RACFs or equivalents. These models were concentrated in countries that provide universal health coverage, New Zealand, Canada, and the United Kingdom.  &#10;&#10;There was no predominant model of care identified. Instead, the components of these models were spread across specialist in-reach services, capability building, and case management. &#10;&#10;Success factors &#10;The success factors for palliative care models of care in RACFs are multi-dimensional but share a common theme of integrating specialist palliative knowledge and/or care into RACFs. "/>
      </w:tblPr>
      <w:tblGrid>
        <w:gridCol w:w="1219"/>
        <w:gridCol w:w="7797"/>
      </w:tblGrid>
      <w:tr w:rsidR="0093446F" w14:paraId="64894F70" w14:textId="77777777" w:rsidTr="22C19DAE">
        <w:trPr>
          <w:trHeight w:val="624"/>
        </w:trPr>
        <w:tc>
          <w:tcPr>
            <w:tcW w:w="1219" w:type="dxa"/>
            <w:shd w:val="clear" w:color="auto" w:fill="2E368F" w:themeFill="text2"/>
            <w:vAlign w:val="center"/>
          </w:tcPr>
          <w:p w14:paraId="2DCF31CB" w14:textId="77777777" w:rsidR="0093446F" w:rsidRPr="006B5F38" w:rsidRDefault="0093446F" w:rsidP="00413ACE">
            <w:pPr>
              <w:spacing w:after="0" w:line="257" w:lineRule="auto"/>
              <w:jc w:val="center"/>
              <w:rPr>
                <w:rFonts w:ascii="Segoe UI Semibold" w:hAnsi="Segoe UI Semibold" w:cs="Segoe UI Semibold"/>
                <w:color w:val="FFFFFF" w:themeColor="background1"/>
              </w:rPr>
            </w:pPr>
            <w:r w:rsidRPr="00753F4A">
              <w:rPr>
                <w:rFonts w:ascii="Segoe UI Semibold" w:hAnsi="Segoe UI Semibold" w:cs="Segoe UI Semibold"/>
                <w:noProof/>
                <w:color w:val="FFFFFF" w:themeColor="background1"/>
                <w:lang w:eastAsia="en-AU"/>
              </w:rPr>
              <mc:AlternateContent>
                <mc:Choice Requires="wpg">
                  <w:drawing>
                    <wp:inline distT="0" distB="0" distL="0" distR="0" wp14:anchorId="23A33810" wp14:editId="6618478C">
                      <wp:extent cx="360000" cy="360000"/>
                      <wp:effectExtent l="0" t="0" r="2540" b="2540"/>
                      <wp:docPr id="50" name="Group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60000" cy="360000"/>
                                <a:chOff x="0" y="0"/>
                                <a:chExt cx="539750" cy="539750"/>
                              </a:xfrm>
                              <a:solidFill>
                                <a:sysClr val="window" lastClr="FFFFFF"/>
                              </a:solidFill>
                            </wpg:grpSpPr>
                            <wps:wsp>
                              <wps:cNvPr id="51" name="Freeform 103"/>
                              <wps:cNvSpPr>
                                <a:spLocks noChangeAspect="1" noEditPoints="1"/>
                              </wps:cNvSpPr>
                              <wps:spPr bwMode="auto">
                                <a:xfrm>
                                  <a:off x="0" y="0"/>
                                  <a:ext cx="539750" cy="539750"/>
                                </a:xfrm>
                                <a:custGeom>
                                  <a:avLst/>
                                  <a:gdLst>
                                    <a:gd name="T0" fmla="*/ 168 w 169"/>
                                    <a:gd name="T1" fmla="*/ 164 h 169"/>
                                    <a:gd name="T2" fmla="*/ 127 w 169"/>
                                    <a:gd name="T3" fmla="*/ 122 h 169"/>
                                    <a:gd name="T4" fmla="*/ 127 w 169"/>
                                    <a:gd name="T5" fmla="*/ 122 h 169"/>
                                    <a:gd name="T6" fmla="*/ 146 w 169"/>
                                    <a:gd name="T7" fmla="*/ 73 h 169"/>
                                    <a:gd name="T8" fmla="*/ 73 w 169"/>
                                    <a:gd name="T9" fmla="*/ 0 h 169"/>
                                    <a:gd name="T10" fmla="*/ 0 w 169"/>
                                    <a:gd name="T11" fmla="*/ 73 h 169"/>
                                    <a:gd name="T12" fmla="*/ 73 w 169"/>
                                    <a:gd name="T13" fmla="*/ 146 h 169"/>
                                    <a:gd name="T14" fmla="*/ 122 w 169"/>
                                    <a:gd name="T15" fmla="*/ 128 h 169"/>
                                    <a:gd name="T16" fmla="*/ 122 w 169"/>
                                    <a:gd name="T17" fmla="*/ 127 h 169"/>
                                    <a:gd name="T18" fmla="*/ 122 w 169"/>
                                    <a:gd name="T19" fmla="*/ 128 h 169"/>
                                    <a:gd name="T20" fmla="*/ 163 w 169"/>
                                    <a:gd name="T21" fmla="*/ 168 h 169"/>
                                    <a:gd name="T22" fmla="*/ 166 w 169"/>
                                    <a:gd name="T23" fmla="*/ 169 h 169"/>
                                    <a:gd name="T24" fmla="*/ 169 w 169"/>
                                    <a:gd name="T25" fmla="*/ 166 h 169"/>
                                    <a:gd name="T26" fmla="*/ 168 w 169"/>
                                    <a:gd name="T27" fmla="*/ 164 h 169"/>
                                    <a:gd name="T28" fmla="*/ 73 w 169"/>
                                    <a:gd name="T29" fmla="*/ 140 h 169"/>
                                    <a:gd name="T30" fmla="*/ 7 w 169"/>
                                    <a:gd name="T31" fmla="*/ 73 h 169"/>
                                    <a:gd name="T32" fmla="*/ 73 w 169"/>
                                    <a:gd name="T33" fmla="*/ 7 h 169"/>
                                    <a:gd name="T34" fmla="*/ 139 w 169"/>
                                    <a:gd name="T35" fmla="*/ 73 h 169"/>
                                    <a:gd name="T36" fmla="*/ 73 w 169"/>
                                    <a:gd name="T37" fmla="*/ 140 h 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69" h="169">
                                      <a:moveTo>
                                        <a:pt x="168" y="164"/>
                                      </a:moveTo>
                                      <a:cubicBezTo>
                                        <a:pt x="127" y="122"/>
                                        <a:pt x="127" y="122"/>
                                        <a:pt x="127" y="122"/>
                                      </a:cubicBezTo>
                                      <a:cubicBezTo>
                                        <a:pt x="127" y="122"/>
                                        <a:pt x="127" y="122"/>
                                        <a:pt x="127" y="122"/>
                                      </a:cubicBezTo>
                                      <a:cubicBezTo>
                                        <a:pt x="139" y="109"/>
                                        <a:pt x="146" y="91"/>
                                        <a:pt x="146" y="73"/>
                                      </a:cubicBezTo>
                                      <a:cubicBezTo>
                                        <a:pt x="146" y="33"/>
                                        <a:pt x="113" y="0"/>
                                        <a:pt x="73" y="0"/>
                                      </a:cubicBezTo>
                                      <a:cubicBezTo>
                                        <a:pt x="33" y="0"/>
                                        <a:pt x="0" y="33"/>
                                        <a:pt x="0" y="73"/>
                                      </a:cubicBezTo>
                                      <a:cubicBezTo>
                                        <a:pt x="0" y="114"/>
                                        <a:pt x="33" y="146"/>
                                        <a:pt x="73" y="146"/>
                                      </a:cubicBezTo>
                                      <a:cubicBezTo>
                                        <a:pt x="91" y="146"/>
                                        <a:pt x="108" y="140"/>
                                        <a:pt x="122" y="128"/>
                                      </a:cubicBezTo>
                                      <a:cubicBezTo>
                                        <a:pt x="122" y="127"/>
                                        <a:pt x="122" y="127"/>
                                        <a:pt x="122" y="127"/>
                                      </a:cubicBezTo>
                                      <a:cubicBezTo>
                                        <a:pt x="122" y="128"/>
                                        <a:pt x="122" y="128"/>
                                        <a:pt x="122" y="128"/>
                                      </a:cubicBezTo>
                                      <a:cubicBezTo>
                                        <a:pt x="163" y="168"/>
                                        <a:pt x="163" y="168"/>
                                        <a:pt x="163" y="168"/>
                                      </a:cubicBezTo>
                                      <a:cubicBezTo>
                                        <a:pt x="164" y="169"/>
                                        <a:pt x="165" y="169"/>
                                        <a:pt x="166" y="169"/>
                                      </a:cubicBezTo>
                                      <a:cubicBezTo>
                                        <a:pt x="168" y="169"/>
                                        <a:pt x="169" y="168"/>
                                        <a:pt x="169" y="166"/>
                                      </a:cubicBezTo>
                                      <a:cubicBezTo>
                                        <a:pt x="169" y="165"/>
                                        <a:pt x="169" y="164"/>
                                        <a:pt x="168" y="164"/>
                                      </a:cubicBezTo>
                                      <a:close/>
                                      <a:moveTo>
                                        <a:pt x="73" y="140"/>
                                      </a:moveTo>
                                      <a:cubicBezTo>
                                        <a:pt x="37" y="140"/>
                                        <a:pt x="7" y="110"/>
                                        <a:pt x="7" y="73"/>
                                      </a:cubicBezTo>
                                      <a:cubicBezTo>
                                        <a:pt x="7" y="37"/>
                                        <a:pt x="37" y="7"/>
                                        <a:pt x="73" y="7"/>
                                      </a:cubicBezTo>
                                      <a:cubicBezTo>
                                        <a:pt x="110" y="7"/>
                                        <a:pt x="139" y="37"/>
                                        <a:pt x="139" y="73"/>
                                      </a:cubicBezTo>
                                      <a:cubicBezTo>
                                        <a:pt x="139" y="110"/>
                                        <a:pt x="110" y="140"/>
                                        <a:pt x="73" y="140"/>
                                      </a:cubicBezTo>
                                      <a:close/>
                                    </a:path>
                                  </a:pathLst>
                                </a:custGeom>
                                <a:grpFill/>
                                <a:ln>
                                  <a:noFill/>
                                </a:ln>
                              </wps:spPr>
                              <wps:bodyPr vert="horz" wrap="square" lIns="91440" tIns="45720" rIns="91440" bIns="45720" numCol="1" anchor="t" anchorCtr="0" compatLnSpc="1">
                                <a:prstTxWarp prst="textNoShape">
                                  <a:avLst/>
                                </a:prstTxWarp>
                              </wps:bodyPr>
                            </wps:wsp>
                            <wpg:grpSp>
                              <wpg:cNvPr id="52" name="Group 52"/>
                              <wpg:cNvGrpSpPr/>
                              <wpg:grpSpPr>
                                <a:xfrm>
                                  <a:off x="185109" y="112004"/>
                                  <a:ext cx="92075" cy="244475"/>
                                  <a:chOff x="185109" y="112004"/>
                                  <a:chExt cx="92075" cy="244475"/>
                                </a:xfrm>
                                <a:grpFill/>
                              </wpg:grpSpPr>
                              <wps:wsp>
                                <wps:cNvPr id="53" name="Freeform 7"/>
                                <wps:cNvSpPr>
                                  <a:spLocks/>
                                </wps:cNvSpPr>
                                <wps:spPr bwMode="auto">
                                  <a:xfrm>
                                    <a:off x="204159" y="112004"/>
                                    <a:ext cx="53975" cy="57150"/>
                                  </a:xfrm>
                                  <a:custGeom>
                                    <a:avLst/>
                                    <a:gdLst>
                                      <a:gd name="T0" fmla="*/ 8 w 17"/>
                                      <a:gd name="T1" fmla="*/ 0 h 18"/>
                                      <a:gd name="T2" fmla="*/ 2 w 17"/>
                                      <a:gd name="T3" fmla="*/ 3 h 18"/>
                                      <a:gd name="T4" fmla="*/ 0 w 17"/>
                                      <a:gd name="T5" fmla="*/ 9 h 18"/>
                                      <a:gd name="T6" fmla="*/ 2 w 17"/>
                                      <a:gd name="T7" fmla="*/ 16 h 18"/>
                                      <a:gd name="T8" fmla="*/ 8 w 17"/>
                                      <a:gd name="T9" fmla="*/ 18 h 18"/>
                                      <a:gd name="T10" fmla="*/ 15 w 17"/>
                                      <a:gd name="T11" fmla="*/ 16 h 18"/>
                                      <a:gd name="T12" fmla="*/ 17 w 17"/>
                                      <a:gd name="T13" fmla="*/ 9 h 18"/>
                                      <a:gd name="T14" fmla="*/ 15 w 17"/>
                                      <a:gd name="T15" fmla="*/ 3 h 18"/>
                                      <a:gd name="T16" fmla="*/ 8 w 17"/>
                                      <a:gd name="T17"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8">
                                        <a:moveTo>
                                          <a:pt x="8" y="0"/>
                                        </a:moveTo>
                                        <a:cubicBezTo>
                                          <a:pt x="6" y="0"/>
                                          <a:pt x="4" y="1"/>
                                          <a:pt x="2" y="3"/>
                                        </a:cubicBezTo>
                                        <a:cubicBezTo>
                                          <a:pt x="1" y="5"/>
                                          <a:pt x="0" y="7"/>
                                          <a:pt x="0" y="9"/>
                                        </a:cubicBezTo>
                                        <a:cubicBezTo>
                                          <a:pt x="0" y="12"/>
                                          <a:pt x="1" y="14"/>
                                          <a:pt x="2" y="16"/>
                                        </a:cubicBezTo>
                                        <a:cubicBezTo>
                                          <a:pt x="4" y="17"/>
                                          <a:pt x="6" y="18"/>
                                          <a:pt x="8" y="18"/>
                                        </a:cubicBezTo>
                                        <a:cubicBezTo>
                                          <a:pt x="11" y="18"/>
                                          <a:pt x="13" y="17"/>
                                          <a:pt x="15" y="16"/>
                                        </a:cubicBezTo>
                                        <a:cubicBezTo>
                                          <a:pt x="16" y="14"/>
                                          <a:pt x="17" y="12"/>
                                          <a:pt x="17" y="9"/>
                                        </a:cubicBezTo>
                                        <a:cubicBezTo>
                                          <a:pt x="17" y="7"/>
                                          <a:pt x="16" y="5"/>
                                          <a:pt x="15" y="3"/>
                                        </a:cubicBezTo>
                                        <a:cubicBezTo>
                                          <a:pt x="13" y="1"/>
                                          <a:pt x="11" y="0"/>
                                          <a:pt x="8"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4" name="Freeform 8"/>
                                <wps:cNvSpPr>
                                  <a:spLocks/>
                                </wps:cNvSpPr>
                                <wps:spPr bwMode="auto">
                                  <a:xfrm>
                                    <a:off x="185109" y="194554"/>
                                    <a:ext cx="92075" cy="161925"/>
                                  </a:xfrm>
                                  <a:custGeom>
                                    <a:avLst/>
                                    <a:gdLst>
                                      <a:gd name="T0" fmla="*/ 24 w 29"/>
                                      <a:gd name="T1" fmla="*/ 44 h 51"/>
                                      <a:gd name="T2" fmla="*/ 20 w 29"/>
                                      <a:gd name="T3" fmla="*/ 43 h 51"/>
                                      <a:gd name="T4" fmla="*/ 19 w 29"/>
                                      <a:gd name="T5" fmla="*/ 40 h 51"/>
                                      <a:gd name="T6" fmla="*/ 19 w 29"/>
                                      <a:gd name="T7" fmla="*/ 36 h 51"/>
                                      <a:gd name="T8" fmla="*/ 20 w 29"/>
                                      <a:gd name="T9" fmla="*/ 32 h 51"/>
                                      <a:gd name="T10" fmla="*/ 24 w 29"/>
                                      <a:gd name="T11" fmla="*/ 18 h 51"/>
                                      <a:gd name="T12" fmla="*/ 24 w 29"/>
                                      <a:gd name="T13" fmla="*/ 14 h 51"/>
                                      <a:gd name="T14" fmla="*/ 25 w 29"/>
                                      <a:gd name="T15" fmla="*/ 11 h 51"/>
                                      <a:gd name="T16" fmla="*/ 22 w 29"/>
                                      <a:gd name="T17" fmla="*/ 3 h 51"/>
                                      <a:gd name="T18" fmla="*/ 14 w 29"/>
                                      <a:gd name="T19" fmla="*/ 0 h 51"/>
                                      <a:gd name="T20" fmla="*/ 7 w 29"/>
                                      <a:gd name="T21" fmla="*/ 2 h 51"/>
                                      <a:gd name="T22" fmla="*/ 1 w 29"/>
                                      <a:gd name="T23" fmla="*/ 4 h 51"/>
                                      <a:gd name="T24" fmla="*/ 0 w 29"/>
                                      <a:gd name="T25" fmla="*/ 9 h 51"/>
                                      <a:gd name="T26" fmla="*/ 2 w 29"/>
                                      <a:gd name="T27" fmla="*/ 8 h 51"/>
                                      <a:gd name="T28" fmla="*/ 5 w 29"/>
                                      <a:gd name="T29" fmla="*/ 7 h 51"/>
                                      <a:gd name="T30" fmla="*/ 9 w 29"/>
                                      <a:gd name="T31" fmla="*/ 8 h 51"/>
                                      <a:gd name="T32" fmla="*/ 10 w 29"/>
                                      <a:gd name="T33" fmla="*/ 12 h 51"/>
                                      <a:gd name="T34" fmla="*/ 10 w 29"/>
                                      <a:gd name="T35" fmla="*/ 16 h 51"/>
                                      <a:gd name="T36" fmla="*/ 9 w 29"/>
                                      <a:gd name="T37" fmla="*/ 19 h 51"/>
                                      <a:gd name="T38" fmla="*/ 5 w 29"/>
                                      <a:gd name="T39" fmla="*/ 34 h 51"/>
                                      <a:gd name="T40" fmla="*/ 4 w 29"/>
                                      <a:gd name="T41" fmla="*/ 38 h 51"/>
                                      <a:gd name="T42" fmla="*/ 4 w 29"/>
                                      <a:gd name="T43" fmla="*/ 41 h 51"/>
                                      <a:gd name="T44" fmla="*/ 7 w 29"/>
                                      <a:gd name="T45" fmla="*/ 48 h 51"/>
                                      <a:gd name="T46" fmla="*/ 15 w 29"/>
                                      <a:gd name="T47" fmla="*/ 51 h 51"/>
                                      <a:gd name="T48" fmla="*/ 21 w 29"/>
                                      <a:gd name="T49" fmla="*/ 50 h 51"/>
                                      <a:gd name="T50" fmla="*/ 28 w 29"/>
                                      <a:gd name="T51" fmla="*/ 47 h 51"/>
                                      <a:gd name="T52" fmla="*/ 29 w 29"/>
                                      <a:gd name="T53" fmla="*/ 43 h 51"/>
                                      <a:gd name="T54" fmla="*/ 27 w 29"/>
                                      <a:gd name="T55" fmla="*/ 44 h 51"/>
                                      <a:gd name="T56" fmla="*/ 24 w 29"/>
                                      <a:gd name="T57" fmla="*/ 44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9" h="51">
                                        <a:moveTo>
                                          <a:pt x="24" y="44"/>
                                        </a:moveTo>
                                        <a:cubicBezTo>
                                          <a:pt x="22" y="44"/>
                                          <a:pt x="21" y="44"/>
                                          <a:pt x="20" y="43"/>
                                        </a:cubicBezTo>
                                        <a:cubicBezTo>
                                          <a:pt x="19" y="43"/>
                                          <a:pt x="19" y="41"/>
                                          <a:pt x="19" y="40"/>
                                        </a:cubicBezTo>
                                        <a:cubicBezTo>
                                          <a:pt x="19" y="39"/>
                                          <a:pt x="19" y="38"/>
                                          <a:pt x="19" y="36"/>
                                        </a:cubicBezTo>
                                        <a:cubicBezTo>
                                          <a:pt x="19" y="35"/>
                                          <a:pt x="20" y="33"/>
                                          <a:pt x="20" y="32"/>
                                        </a:cubicBezTo>
                                        <a:cubicBezTo>
                                          <a:pt x="24" y="18"/>
                                          <a:pt x="24" y="18"/>
                                          <a:pt x="24" y="18"/>
                                        </a:cubicBezTo>
                                        <a:cubicBezTo>
                                          <a:pt x="24" y="17"/>
                                          <a:pt x="24" y="15"/>
                                          <a:pt x="24" y="14"/>
                                        </a:cubicBezTo>
                                        <a:cubicBezTo>
                                          <a:pt x="24" y="12"/>
                                          <a:pt x="25" y="11"/>
                                          <a:pt x="25" y="11"/>
                                        </a:cubicBezTo>
                                        <a:cubicBezTo>
                                          <a:pt x="25" y="8"/>
                                          <a:pt x="24" y="5"/>
                                          <a:pt x="22" y="3"/>
                                        </a:cubicBezTo>
                                        <a:cubicBezTo>
                                          <a:pt x="20" y="1"/>
                                          <a:pt x="17" y="0"/>
                                          <a:pt x="14" y="0"/>
                                        </a:cubicBezTo>
                                        <a:cubicBezTo>
                                          <a:pt x="12" y="0"/>
                                          <a:pt x="10" y="1"/>
                                          <a:pt x="7" y="2"/>
                                        </a:cubicBezTo>
                                        <a:cubicBezTo>
                                          <a:pt x="5" y="2"/>
                                          <a:pt x="3" y="3"/>
                                          <a:pt x="1" y="4"/>
                                        </a:cubicBezTo>
                                        <a:cubicBezTo>
                                          <a:pt x="0" y="9"/>
                                          <a:pt x="0" y="9"/>
                                          <a:pt x="0" y="9"/>
                                        </a:cubicBezTo>
                                        <a:cubicBezTo>
                                          <a:pt x="0" y="8"/>
                                          <a:pt x="1" y="8"/>
                                          <a:pt x="2" y="8"/>
                                        </a:cubicBezTo>
                                        <a:cubicBezTo>
                                          <a:pt x="3" y="8"/>
                                          <a:pt x="4" y="7"/>
                                          <a:pt x="5" y="7"/>
                                        </a:cubicBezTo>
                                        <a:cubicBezTo>
                                          <a:pt x="7" y="7"/>
                                          <a:pt x="8" y="8"/>
                                          <a:pt x="9" y="8"/>
                                        </a:cubicBezTo>
                                        <a:cubicBezTo>
                                          <a:pt x="10" y="9"/>
                                          <a:pt x="10" y="10"/>
                                          <a:pt x="10" y="12"/>
                                        </a:cubicBezTo>
                                        <a:cubicBezTo>
                                          <a:pt x="10" y="13"/>
                                          <a:pt x="10" y="14"/>
                                          <a:pt x="10" y="16"/>
                                        </a:cubicBezTo>
                                        <a:cubicBezTo>
                                          <a:pt x="9" y="17"/>
                                          <a:pt x="9" y="18"/>
                                          <a:pt x="9" y="19"/>
                                        </a:cubicBezTo>
                                        <a:cubicBezTo>
                                          <a:pt x="5" y="34"/>
                                          <a:pt x="5" y="34"/>
                                          <a:pt x="5" y="34"/>
                                        </a:cubicBezTo>
                                        <a:cubicBezTo>
                                          <a:pt x="5" y="35"/>
                                          <a:pt x="5" y="37"/>
                                          <a:pt x="4" y="38"/>
                                        </a:cubicBezTo>
                                        <a:cubicBezTo>
                                          <a:pt x="4" y="39"/>
                                          <a:pt x="4" y="40"/>
                                          <a:pt x="4" y="41"/>
                                        </a:cubicBezTo>
                                        <a:cubicBezTo>
                                          <a:pt x="4" y="44"/>
                                          <a:pt x="5" y="47"/>
                                          <a:pt x="7" y="48"/>
                                        </a:cubicBezTo>
                                        <a:cubicBezTo>
                                          <a:pt x="9" y="50"/>
                                          <a:pt x="12" y="51"/>
                                          <a:pt x="15" y="51"/>
                                        </a:cubicBezTo>
                                        <a:cubicBezTo>
                                          <a:pt x="18" y="51"/>
                                          <a:pt x="20" y="51"/>
                                          <a:pt x="21" y="50"/>
                                        </a:cubicBezTo>
                                        <a:cubicBezTo>
                                          <a:pt x="23" y="50"/>
                                          <a:pt x="25" y="49"/>
                                          <a:pt x="28" y="47"/>
                                        </a:cubicBezTo>
                                        <a:cubicBezTo>
                                          <a:pt x="29" y="43"/>
                                          <a:pt x="29" y="43"/>
                                          <a:pt x="29" y="43"/>
                                        </a:cubicBezTo>
                                        <a:cubicBezTo>
                                          <a:pt x="29" y="43"/>
                                          <a:pt x="28" y="44"/>
                                          <a:pt x="27" y="44"/>
                                        </a:cubicBezTo>
                                        <a:cubicBezTo>
                                          <a:pt x="26" y="44"/>
                                          <a:pt x="25" y="44"/>
                                          <a:pt x="24" y="44"/>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wgp>
                        </a:graphicData>
                      </a:graphic>
                    </wp:inline>
                  </w:drawing>
                </mc:Choice>
                <mc:Fallback xmlns:w16sdtdh="http://schemas.microsoft.com/office/word/2020/wordml/sdtdatahash">
                  <w:pict>
                    <v:group w14:anchorId="7A12DD39" id="Group 54" o:spid="_x0000_s1026" alt="&quot;&quot;" style="width:28.35pt;height:28.35pt;mso-position-horizontal-relative:char;mso-position-vertical-relative:line" coordsize="5397,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">
                      <o:lock v:ext="edit" aspectratio="t"/>
                      <v:shape id="Freeform 103" o:spid="_x0000_s1027" style="position:absolute;width:5397;height:5397;visibility:visible;mso-wrap-style:square;v-text-anchor:top" coordsize="16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" path="m168,164c127,122,127,122,127,122v,,,,,c139,109,146,91,146,73,146,33,113,,73,,33,,,33,,73v,41,33,73,73,73c91,146,108,140,122,128v,-1,,-1,,-1c122,128,122,128,122,128v41,40,41,40,41,40c164,169,165,169,166,169v2,,3,-1,3,-3c169,165,169,164,168,164xm73,140c37,140,7,110,7,73,7,37,37,7,73,7v37,,66,30,66,66c139,110,110,140,73,140xe" filled="f" stroked="f">
                        <v:path arrowok="t" o:connecttype="custom" o:connectlocs="536556,523781;405611,389642;405611,389642;466293,233146;233146,0;0,233146;233146,466293;389642,408805;389642,405611;389642,408805;520587,536556;530169,539750;539750,530169;536556,523781;233146,447130;22357,233146;233146,22357;443936,233146;233146,447130" o:connectangles="0,0,0,0,0,0,0,0,0,0,0,0,0,0,0,0,0,0,0"/>
                        <o:lock v:ext="edit" aspectratio="t" verticies="t"/>
                      </v:shape>
                      <v:group id="Group 52" o:spid="_x0000_s1028" style="position:absolute;left:1851;top:1120;width:920;height:2444" coordorigin="185109,112004" coordsize="92075,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7" o:spid="_x0000_s1029" style="position:absolute;left:204159;top:112004;width:53975;height:57150;visibility:visible;mso-wrap-style:square;v-text-anchor:top" coordsize="1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" path="m8,c6,,4,1,2,3,1,5,,7,,9v,3,1,5,2,7c4,17,6,18,8,18v3,,5,-1,7,-2c16,14,17,12,17,9,17,7,16,5,15,3,13,1,11,,8,e" filled="f" stroked="f">
                          <v:path arrowok="t" o:connecttype="custom" o:connectlocs="25400,0;6350,9525;0,28575;6350,50800;25400,57150;47625,50800;53975,28575;47625,9525;25400,0" o:connectangles="0,0,0,0,0,0,0,0,0"/>
                        </v:shape>
                        <v:shape id="Freeform 8" o:spid="_x0000_s1030" style="position:absolute;left:185109;top:194554;width:92075;height:161925;visibility:visible;mso-wrap-style:square;v-text-anchor:top" coordsize="2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" path="m24,44v-2,,-3,,-4,-1c19,43,19,41,19,40v,-1,,-2,,-4c19,35,20,33,20,32,24,18,24,18,24,18v,-1,,-3,,-4c24,12,25,11,25,11,25,8,24,5,22,3,20,1,17,,14,,12,,10,1,7,2,5,2,3,3,1,4,,9,,9,,9,,8,1,8,2,8,3,8,4,7,5,7v2,,3,1,4,1c10,9,10,10,10,12v,1,,2,,4c9,17,9,18,9,19,5,34,5,34,5,34v,1,,3,-1,4c4,39,4,40,4,41v,3,1,6,3,7c9,50,12,51,15,51v3,,5,,6,-1c23,50,25,49,28,47v1,-4,1,-4,1,-4c29,43,28,44,27,44v-1,,-2,,-3,e" filled="f" stroked="f">
                          <v:path arrowok="t" o:connecttype="custom" o:connectlocs="76200,139700;63500,136525;60325,127000;60325,114300;63500,101600;76200,57150;76200,44450;79375,34925;69850,9525;44450,0;22225,6350;3175,12700;0,28575;6350,25400;15875,22225;28575,25400;31750,38100;31750,50800;28575,60325;15875,107950;12700,120650;12700,130175;22225,152400;47625,161925;66675,158750;88900,149225;92075,136525;85725,139700;76200,139700" o:connectangles="0,0,0,0,0,0,0,0,0,0,0,0,0,0,0,0,0,0,0,0,0,0,0,0,0,0,0,0,0"/>
                        </v:shape>
                      </v:group>
                      <w10:anchorlock/>
                    </v:group>
                  </w:pict>
                </mc:Fallback>
              </mc:AlternateContent>
            </w:r>
          </w:p>
        </w:tc>
        <w:tc>
          <w:tcPr>
            <w:tcW w:w="7797" w:type="dxa"/>
            <w:shd w:val="clear" w:color="auto" w:fill="2E368F" w:themeFill="text2"/>
            <w:vAlign w:val="center"/>
          </w:tcPr>
          <w:p w14:paraId="00B6167C" w14:textId="77777777" w:rsidR="0093446F" w:rsidRPr="006B5F38" w:rsidRDefault="0093446F" w:rsidP="00413ACE">
            <w:pPr>
              <w:spacing w:after="0" w:line="257" w:lineRule="auto"/>
              <w:rPr>
                <w:rFonts w:ascii="Segoe UI Semibold" w:hAnsi="Segoe UI Semibold" w:cs="Segoe UI Semibold"/>
                <w:color w:val="FFFFFF" w:themeColor="background1"/>
              </w:rPr>
            </w:pPr>
            <w:r w:rsidRPr="006B5F38">
              <w:rPr>
                <w:rFonts w:ascii="Segoe UI Semibold" w:hAnsi="Segoe UI Semibold" w:cs="Segoe UI Semibold"/>
                <w:color w:val="FFFFFF" w:themeColor="background1"/>
              </w:rPr>
              <w:t>KEY FINDINGS</w:t>
            </w:r>
          </w:p>
        </w:tc>
      </w:tr>
      <w:tr w:rsidR="0093446F" w14:paraId="038515D5" w14:textId="77777777" w:rsidTr="22C19DAE">
        <w:tc>
          <w:tcPr>
            <w:tcW w:w="9016" w:type="dxa"/>
            <w:gridSpan w:val="2"/>
            <w:shd w:val="clear" w:color="auto" w:fill="F2F2F2" w:themeFill="background1" w:themeFillShade="F2"/>
          </w:tcPr>
          <w:p w14:paraId="12AFFE02" w14:textId="43E17373" w:rsidR="0093446F" w:rsidRDefault="0093446F" w:rsidP="0093446F">
            <w:pPr>
              <w:pStyle w:val="TableExpBullet0"/>
              <w:rPr>
                <w:color w:val="00264D" w:themeColor="background2"/>
                <w:sz w:val="19"/>
              </w:rPr>
            </w:pPr>
            <w:r>
              <w:rPr>
                <w:color w:val="00264D" w:themeColor="background2"/>
                <w:sz w:val="19"/>
              </w:rPr>
              <w:t>Evidence suggested that c</w:t>
            </w:r>
            <w:r w:rsidRPr="004C3739">
              <w:rPr>
                <w:color w:val="00264D" w:themeColor="background2"/>
                <w:sz w:val="19"/>
              </w:rPr>
              <w:t>hanging population needs and health system policy and drivers have necessitated dynamic, integrative models of care</w:t>
            </w:r>
            <w:r>
              <w:rPr>
                <w:color w:val="00264D" w:themeColor="background2"/>
                <w:sz w:val="19"/>
              </w:rPr>
              <w:t xml:space="preserve"> for palliative care delivery in RAC</w:t>
            </w:r>
            <w:r w:rsidR="00BA7940">
              <w:rPr>
                <w:color w:val="00264D" w:themeColor="background2"/>
                <w:sz w:val="19"/>
              </w:rPr>
              <w:t>F</w:t>
            </w:r>
            <w:r>
              <w:rPr>
                <w:color w:val="00264D" w:themeColor="background2"/>
                <w:sz w:val="19"/>
              </w:rPr>
              <w:t>s</w:t>
            </w:r>
            <w:r w:rsidRPr="004C3739">
              <w:rPr>
                <w:color w:val="00264D" w:themeColor="background2"/>
                <w:sz w:val="19"/>
              </w:rPr>
              <w:t>.</w:t>
            </w:r>
            <w:r w:rsidRPr="004C3739">
              <w:rPr>
                <w:rStyle w:val="FootnoteReference"/>
                <w:color w:val="00264D" w:themeColor="background2"/>
                <w:sz w:val="19"/>
              </w:rPr>
              <w:footnoteReference w:id="76"/>
            </w:r>
          </w:p>
          <w:p w14:paraId="04B042D6" w14:textId="77777777" w:rsidR="0093446F" w:rsidRPr="004C3739" w:rsidRDefault="0093446F" w:rsidP="0093446F">
            <w:pPr>
              <w:pStyle w:val="TableExpBullet0"/>
              <w:rPr>
                <w:color w:val="00264D" w:themeColor="background2"/>
                <w:sz w:val="19"/>
              </w:rPr>
            </w:pPr>
            <w:r>
              <w:rPr>
                <w:color w:val="00264D" w:themeColor="background2"/>
                <w:sz w:val="19"/>
              </w:rPr>
              <w:t>T</w:t>
            </w:r>
            <w:r w:rsidRPr="004C3739">
              <w:rPr>
                <w:color w:val="00264D" w:themeColor="background2"/>
                <w:sz w:val="19"/>
              </w:rPr>
              <w:t xml:space="preserve">here is significant variation in practice and availability of palliative care in RACFs in Australia and internationally. </w:t>
            </w:r>
            <w:r>
              <w:rPr>
                <w:color w:val="00264D" w:themeColor="background2"/>
                <w:sz w:val="19"/>
              </w:rPr>
              <w:t>Relatively li</w:t>
            </w:r>
            <w:r w:rsidRPr="004C3739">
              <w:rPr>
                <w:color w:val="00264D" w:themeColor="background2"/>
                <w:sz w:val="19"/>
              </w:rPr>
              <w:t>mited evidence has led to an absence of clear, evidenced-based models of care for providing efficient and quality palliative care services in RACFs.</w:t>
            </w:r>
            <w:r w:rsidRPr="004C3739">
              <w:rPr>
                <w:rStyle w:val="FootnoteReference"/>
                <w:color w:val="00264D" w:themeColor="background2"/>
                <w:sz w:val="19"/>
              </w:rPr>
              <w:footnoteReference w:id="77"/>
            </w:r>
            <w:r w:rsidRPr="004C3739">
              <w:rPr>
                <w:color w:val="00264D" w:themeColor="background2"/>
                <w:sz w:val="19"/>
              </w:rPr>
              <w:t xml:space="preserve"> </w:t>
            </w:r>
          </w:p>
          <w:p w14:paraId="7900B061" w14:textId="77777777" w:rsidR="0093446F" w:rsidRPr="001C6615" w:rsidRDefault="0093446F" w:rsidP="0093446F">
            <w:pPr>
              <w:pStyle w:val="TableExpBullet0"/>
              <w:rPr>
                <w:color w:val="00264D" w:themeColor="background2"/>
                <w:sz w:val="19"/>
              </w:rPr>
            </w:pPr>
            <w:r w:rsidRPr="001C6615">
              <w:rPr>
                <w:color w:val="00264D" w:themeColor="background2"/>
                <w:sz w:val="19"/>
              </w:rPr>
              <w:t xml:space="preserve">Palliative care models of care in RACFs </w:t>
            </w:r>
            <w:proofErr w:type="gramStart"/>
            <w:r w:rsidRPr="001C6615">
              <w:rPr>
                <w:color w:val="00264D" w:themeColor="background2"/>
                <w:sz w:val="19"/>
              </w:rPr>
              <w:t>vary, but</w:t>
            </w:r>
            <w:proofErr w:type="gramEnd"/>
            <w:r w:rsidRPr="001C6615">
              <w:rPr>
                <w:color w:val="00264D" w:themeColor="background2"/>
                <w:sz w:val="19"/>
              </w:rPr>
              <w:t xml:space="preserve"> integrating specialist palliative care</w:t>
            </w:r>
            <w:r>
              <w:rPr>
                <w:color w:val="00264D" w:themeColor="background2"/>
                <w:sz w:val="19"/>
              </w:rPr>
              <w:t xml:space="preserve"> into RACFs</w:t>
            </w:r>
            <w:r w:rsidRPr="001C6615">
              <w:rPr>
                <w:color w:val="00264D" w:themeColor="background2"/>
                <w:sz w:val="19"/>
              </w:rPr>
              <w:t xml:space="preserve"> is a common theme. Evidence identified six frequently cited components of palliative care models of care in RACFs</w:t>
            </w:r>
            <w:r>
              <w:rPr>
                <w:color w:val="00264D" w:themeColor="background2"/>
                <w:sz w:val="19"/>
              </w:rPr>
              <w:t>: case management, capability building, specialist in-reach services, shared care, specialist out-reach services, and integrated care.</w:t>
            </w:r>
          </w:p>
          <w:p w14:paraId="2A7B72A0" w14:textId="77777777" w:rsidR="0093446F" w:rsidRPr="00114C94" w:rsidRDefault="0093446F" w:rsidP="0093446F">
            <w:pPr>
              <w:pStyle w:val="TableExpBullet0"/>
              <w:numPr>
                <w:ilvl w:val="0"/>
                <w:numId w:val="0"/>
              </w:numPr>
              <w:rPr>
                <w:i/>
                <w:iCs/>
                <w:color w:val="00264D" w:themeColor="background2"/>
                <w:sz w:val="19"/>
              </w:rPr>
            </w:pPr>
            <w:r>
              <w:rPr>
                <w:i/>
                <w:iCs/>
                <w:color w:val="00264D" w:themeColor="background2"/>
                <w:sz w:val="19"/>
              </w:rPr>
              <w:t>Australia</w:t>
            </w:r>
          </w:p>
          <w:p w14:paraId="5CE9217D" w14:textId="77777777" w:rsidR="0093446F" w:rsidRDefault="0093446F" w:rsidP="0093446F">
            <w:pPr>
              <w:pStyle w:val="TableExpBullet0"/>
              <w:rPr>
                <w:color w:val="00264D" w:themeColor="background2"/>
                <w:sz w:val="19"/>
              </w:rPr>
            </w:pPr>
            <w:r w:rsidRPr="004C3739">
              <w:rPr>
                <w:color w:val="00264D" w:themeColor="background2"/>
                <w:sz w:val="19"/>
              </w:rPr>
              <w:t xml:space="preserve">The literature review identified 12 </w:t>
            </w:r>
            <w:r>
              <w:rPr>
                <w:color w:val="00264D" w:themeColor="background2"/>
                <w:sz w:val="19"/>
              </w:rPr>
              <w:t xml:space="preserve">separate </w:t>
            </w:r>
            <w:r w:rsidRPr="004C3739">
              <w:rPr>
                <w:color w:val="00264D" w:themeColor="background2"/>
                <w:sz w:val="19"/>
              </w:rPr>
              <w:t xml:space="preserve">models of delivering palliative care in RACFs </w:t>
            </w:r>
            <w:r>
              <w:rPr>
                <w:color w:val="00264D" w:themeColor="background2"/>
                <w:sz w:val="19"/>
              </w:rPr>
              <w:t>in</w:t>
            </w:r>
            <w:r w:rsidRPr="004C3739">
              <w:rPr>
                <w:color w:val="00264D" w:themeColor="background2"/>
                <w:sz w:val="19"/>
              </w:rPr>
              <w:t xml:space="preserve"> Australia. </w:t>
            </w:r>
          </w:p>
          <w:p w14:paraId="76B6AF8B" w14:textId="77777777" w:rsidR="0093446F" w:rsidRPr="004C3739" w:rsidRDefault="0093446F" w:rsidP="0093446F">
            <w:pPr>
              <w:pStyle w:val="TableExpBullet0"/>
              <w:rPr>
                <w:color w:val="00264D" w:themeColor="background2"/>
                <w:sz w:val="19"/>
              </w:rPr>
            </w:pPr>
            <w:r w:rsidRPr="004C3739">
              <w:rPr>
                <w:color w:val="00264D" w:themeColor="background2"/>
                <w:sz w:val="19"/>
              </w:rPr>
              <w:t xml:space="preserve">Of these, there was a high concentration of models of care identified in RACFs in New South Wales and Victoria. 25 per cent of the models of care identified were specialist in-reach services. </w:t>
            </w:r>
          </w:p>
          <w:p w14:paraId="5979605B" w14:textId="77777777" w:rsidR="0093446F" w:rsidRDefault="0093446F" w:rsidP="0093446F">
            <w:pPr>
              <w:pStyle w:val="TableExpBullet0"/>
              <w:rPr>
                <w:color w:val="00264D" w:themeColor="background2"/>
                <w:sz w:val="19"/>
              </w:rPr>
            </w:pPr>
            <w:r w:rsidRPr="004C3739">
              <w:rPr>
                <w:color w:val="00264D" w:themeColor="background2"/>
                <w:sz w:val="19"/>
              </w:rPr>
              <w:t xml:space="preserve">Australian palliative care models of care in RACFs vary in terms of what they deliver, but the INSPIRED model is an effective, evidence-based approach. </w:t>
            </w:r>
          </w:p>
          <w:p w14:paraId="20725C73" w14:textId="77777777" w:rsidR="0093446F" w:rsidRPr="00114C94" w:rsidRDefault="0093446F" w:rsidP="0093446F">
            <w:pPr>
              <w:pStyle w:val="TableExpBullet0"/>
              <w:numPr>
                <w:ilvl w:val="0"/>
                <w:numId w:val="0"/>
              </w:numPr>
              <w:rPr>
                <w:i/>
                <w:iCs/>
                <w:color w:val="00264D" w:themeColor="background2"/>
                <w:sz w:val="19"/>
              </w:rPr>
            </w:pPr>
            <w:r>
              <w:rPr>
                <w:i/>
                <w:iCs/>
                <w:color w:val="00264D" w:themeColor="background2"/>
                <w:sz w:val="19"/>
              </w:rPr>
              <w:t>International</w:t>
            </w:r>
          </w:p>
          <w:p w14:paraId="3C3D371B" w14:textId="77777777" w:rsidR="002441BC" w:rsidRDefault="0093446F" w:rsidP="0093446F">
            <w:pPr>
              <w:pStyle w:val="TableExpBullet0"/>
              <w:rPr>
                <w:color w:val="00264D" w:themeColor="background2"/>
                <w:sz w:val="19"/>
              </w:rPr>
            </w:pPr>
            <w:r w:rsidRPr="004C3739">
              <w:rPr>
                <w:color w:val="00264D" w:themeColor="background2"/>
                <w:sz w:val="19"/>
              </w:rPr>
              <w:t xml:space="preserve">The literature review identified seven international models of delivering palliative care in RACFs or equivalents. These models were concentrated in countries that provide universal health coverage, New Zealand, Canada, and the United Kingdom. </w:t>
            </w:r>
          </w:p>
          <w:p w14:paraId="5E517600" w14:textId="722623ED" w:rsidR="0093446F" w:rsidRDefault="0093446F" w:rsidP="0093446F">
            <w:pPr>
              <w:pStyle w:val="TableExpBullet0"/>
              <w:rPr>
                <w:color w:val="00264D" w:themeColor="background2"/>
                <w:sz w:val="19"/>
              </w:rPr>
            </w:pPr>
            <w:r w:rsidRPr="004C3739">
              <w:rPr>
                <w:color w:val="00264D" w:themeColor="background2"/>
                <w:sz w:val="19"/>
              </w:rPr>
              <w:t>There was no predominant model of care identified. Instead, the components of these models were spread across specialist in-reach services, capability building, and case management.</w:t>
            </w:r>
          </w:p>
          <w:p w14:paraId="7628D01D" w14:textId="77777777" w:rsidR="0093446F" w:rsidRPr="00A2717D" w:rsidRDefault="0093446F" w:rsidP="0093446F">
            <w:pPr>
              <w:pStyle w:val="TableExpBullet0"/>
              <w:numPr>
                <w:ilvl w:val="0"/>
                <w:numId w:val="0"/>
              </w:numPr>
              <w:ind w:left="227" w:hanging="227"/>
              <w:rPr>
                <w:i/>
                <w:iCs/>
                <w:color w:val="00264D" w:themeColor="background2"/>
                <w:sz w:val="19"/>
              </w:rPr>
            </w:pPr>
            <w:r>
              <w:rPr>
                <w:i/>
                <w:iCs/>
                <w:color w:val="00264D" w:themeColor="background2"/>
                <w:sz w:val="19"/>
              </w:rPr>
              <w:t>Success factors</w:t>
            </w:r>
          </w:p>
          <w:p w14:paraId="70B5A4ED" w14:textId="16C4DAE1" w:rsidR="0093446F" w:rsidRPr="003D04DC" w:rsidRDefault="0093446F" w:rsidP="0093446F">
            <w:pPr>
              <w:pStyle w:val="longformcalloutbullet"/>
              <w:ind w:left="426" w:hanging="284"/>
            </w:pPr>
            <w:r w:rsidRPr="00483A68">
              <w:t xml:space="preserve">The success factors for palliative care models of care in RACFs are multi-dimensional but share </w:t>
            </w:r>
            <w:r w:rsidRPr="004C3739">
              <w:t>a common</w:t>
            </w:r>
            <w:r w:rsidRPr="00483A68">
              <w:t xml:space="preserve"> theme of integrating specialist palliative knowledge and/or care</w:t>
            </w:r>
            <w:r>
              <w:t xml:space="preserve"> into RACFs</w:t>
            </w:r>
            <w:r w:rsidRPr="00483A68">
              <w:t>.</w:t>
            </w:r>
          </w:p>
        </w:tc>
      </w:tr>
    </w:tbl>
    <w:p w14:paraId="07CA71FB" w14:textId="6DA92B67" w:rsidR="0093446F" w:rsidRDefault="0093446F" w:rsidP="0093446F"/>
    <w:p w14:paraId="1931109F" w14:textId="4BC0000A" w:rsidR="005A6F92" w:rsidRPr="005A6F92" w:rsidRDefault="00D4648B" w:rsidP="00351182">
      <w:pPr>
        <w:pStyle w:val="Heading5"/>
      </w:pPr>
      <w:r>
        <w:lastRenderedPageBreak/>
        <w:t>Evidence show</w:t>
      </w:r>
      <w:r w:rsidR="00B55A76">
        <w:t>ed</w:t>
      </w:r>
      <w:r>
        <w:t xml:space="preserve"> that </w:t>
      </w:r>
      <w:r w:rsidR="00405404">
        <w:t xml:space="preserve">palliative </w:t>
      </w:r>
      <w:r w:rsidR="005A6F92">
        <w:t xml:space="preserve">care </w:t>
      </w:r>
      <w:r w:rsidR="00405404">
        <w:t xml:space="preserve">models of care </w:t>
      </w:r>
      <w:r w:rsidR="005A6F92">
        <w:t xml:space="preserve">in RACFs </w:t>
      </w:r>
      <w:r w:rsidR="00502808">
        <w:t>vary</w:t>
      </w:r>
      <w:r w:rsidR="00054515">
        <w:t xml:space="preserve"> </w:t>
      </w:r>
      <w:r w:rsidR="00D735A5">
        <w:t xml:space="preserve">but </w:t>
      </w:r>
      <w:r w:rsidR="00B72DC4">
        <w:t xml:space="preserve">integrating </w:t>
      </w:r>
      <w:r w:rsidR="00D735A5">
        <w:t xml:space="preserve">specialist palliative care </w:t>
      </w:r>
      <w:r w:rsidR="00025C52">
        <w:t xml:space="preserve">is </w:t>
      </w:r>
      <w:r w:rsidR="00B72DC4">
        <w:t>a c</w:t>
      </w:r>
      <w:r w:rsidR="006F3E4B">
        <w:t>ommon theme</w:t>
      </w:r>
    </w:p>
    <w:p w14:paraId="42CF4737" w14:textId="3D939D64" w:rsidR="008B202D" w:rsidRDefault="0045457E" w:rsidP="004E0B8B">
      <w:pPr>
        <w:rPr>
          <w:lang w:eastAsia="en-AU"/>
        </w:rPr>
      </w:pPr>
      <w:r>
        <w:rPr>
          <w:lang w:eastAsia="en-AU"/>
        </w:rPr>
        <w:t xml:space="preserve">The </w:t>
      </w:r>
      <w:r w:rsidR="00495A29">
        <w:rPr>
          <w:lang w:eastAsia="en-AU"/>
        </w:rPr>
        <w:t>NSW</w:t>
      </w:r>
      <w:r>
        <w:rPr>
          <w:lang w:eastAsia="en-AU"/>
        </w:rPr>
        <w:t xml:space="preserve"> </w:t>
      </w:r>
      <w:r w:rsidR="00014AB7" w:rsidRPr="00014AB7">
        <w:rPr>
          <w:lang w:eastAsia="en-AU"/>
        </w:rPr>
        <w:t>Agency for Clinical Innovation defin</w:t>
      </w:r>
      <w:r w:rsidR="00EE6493">
        <w:rPr>
          <w:lang w:eastAsia="en-AU"/>
        </w:rPr>
        <w:t>es</w:t>
      </w:r>
      <w:r w:rsidR="00014AB7" w:rsidRPr="00014AB7">
        <w:rPr>
          <w:lang w:eastAsia="en-AU"/>
        </w:rPr>
        <w:t xml:space="preserve"> </w:t>
      </w:r>
      <w:r w:rsidR="00EE6493">
        <w:rPr>
          <w:lang w:eastAsia="en-AU"/>
        </w:rPr>
        <w:t xml:space="preserve">a </w:t>
      </w:r>
      <w:r w:rsidR="00014AB7" w:rsidRPr="00014AB7">
        <w:rPr>
          <w:lang w:eastAsia="en-AU"/>
        </w:rPr>
        <w:t>Model of Care</w:t>
      </w:r>
      <w:r w:rsidR="00840321">
        <w:rPr>
          <w:lang w:eastAsia="en-AU"/>
        </w:rPr>
        <w:t xml:space="preserve"> (MOC)</w:t>
      </w:r>
      <w:r w:rsidR="00014AB7" w:rsidRPr="00014AB7">
        <w:rPr>
          <w:lang w:eastAsia="en-AU"/>
        </w:rPr>
        <w:t xml:space="preserve"> </w:t>
      </w:r>
      <w:r w:rsidR="00EE6493">
        <w:rPr>
          <w:lang w:eastAsia="en-AU"/>
        </w:rPr>
        <w:t>a</w:t>
      </w:r>
      <w:r w:rsidR="00014AB7">
        <w:rPr>
          <w:lang w:eastAsia="en-AU"/>
        </w:rPr>
        <w:t>s</w:t>
      </w:r>
      <w:r w:rsidR="00014AB7" w:rsidRPr="00014AB7">
        <w:rPr>
          <w:lang w:eastAsia="en-AU"/>
        </w:rPr>
        <w:t xml:space="preserve"> </w:t>
      </w:r>
      <w:r w:rsidR="00290277">
        <w:rPr>
          <w:lang w:eastAsia="en-AU"/>
        </w:rPr>
        <w:t xml:space="preserve">the </w:t>
      </w:r>
      <w:r w:rsidR="00014AB7" w:rsidRPr="00014AB7">
        <w:rPr>
          <w:lang w:eastAsia="en-AU"/>
        </w:rPr>
        <w:t xml:space="preserve">way </w:t>
      </w:r>
      <w:r w:rsidR="00290277">
        <w:rPr>
          <w:lang w:eastAsia="en-AU"/>
        </w:rPr>
        <w:t xml:space="preserve">in which </w:t>
      </w:r>
      <w:r w:rsidR="00014AB7" w:rsidRPr="00014AB7">
        <w:rPr>
          <w:lang w:eastAsia="en-AU"/>
        </w:rPr>
        <w:t>health services are delivered.</w:t>
      </w:r>
      <w:r w:rsidR="00290277">
        <w:rPr>
          <w:rStyle w:val="FootnoteReference"/>
          <w:lang w:eastAsia="en-AU"/>
        </w:rPr>
        <w:footnoteReference w:id="78"/>
      </w:r>
      <w:r w:rsidR="00014AB7" w:rsidRPr="00014AB7">
        <w:rPr>
          <w:lang w:eastAsia="en-AU"/>
        </w:rPr>
        <w:t xml:space="preserve"> </w:t>
      </w:r>
      <w:r w:rsidR="00686567">
        <w:rPr>
          <w:lang w:eastAsia="en-AU"/>
        </w:rPr>
        <w:t xml:space="preserve">A </w:t>
      </w:r>
      <w:r w:rsidR="00290277">
        <w:rPr>
          <w:lang w:eastAsia="en-AU"/>
        </w:rPr>
        <w:t>MOC</w:t>
      </w:r>
      <w:r w:rsidR="00014AB7" w:rsidRPr="00014AB7">
        <w:rPr>
          <w:lang w:eastAsia="en-AU"/>
        </w:rPr>
        <w:t xml:space="preserve"> outlines best practice </w:t>
      </w:r>
      <w:r w:rsidR="00686567">
        <w:rPr>
          <w:lang w:eastAsia="en-AU"/>
        </w:rPr>
        <w:t>principles of care and service delivery</w:t>
      </w:r>
      <w:r w:rsidR="00014AB7" w:rsidRPr="00014AB7">
        <w:rPr>
          <w:lang w:eastAsia="en-AU"/>
        </w:rPr>
        <w:t xml:space="preserve"> for a </w:t>
      </w:r>
      <w:r w:rsidR="00686567">
        <w:rPr>
          <w:lang w:eastAsia="en-AU"/>
        </w:rPr>
        <w:t xml:space="preserve">patient </w:t>
      </w:r>
      <w:r w:rsidR="00014AB7" w:rsidRPr="00014AB7">
        <w:rPr>
          <w:lang w:eastAsia="en-AU"/>
        </w:rPr>
        <w:t>cohort</w:t>
      </w:r>
      <w:r w:rsidR="000342C2">
        <w:rPr>
          <w:lang w:eastAsia="en-AU"/>
        </w:rPr>
        <w:t xml:space="preserve"> </w:t>
      </w:r>
      <w:r w:rsidR="00014AB7" w:rsidRPr="00014AB7">
        <w:rPr>
          <w:lang w:eastAsia="en-AU"/>
        </w:rPr>
        <w:t xml:space="preserve">to ensure </w:t>
      </w:r>
      <w:r w:rsidR="00686567">
        <w:rPr>
          <w:lang w:eastAsia="en-AU"/>
        </w:rPr>
        <w:t>“</w:t>
      </w:r>
      <w:r w:rsidR="00014AB7" w:rsidRPr="00014AB7">
        <w:rPr>
          <w:lang w:eastAsia="en-AU"/>
        </w:rPr>
        <w:t>people get the right care, at the right time, by the right team and in the right place”</w:t>
      </w:r>
      <w:r w:rsidR="00E83284">
        <w:rPr>
          <w:lang w:eastAsia="en-AU"/>
        </w:rPr>
        <w:t>.</w:t>
      </w:r>
      <w:r w:rsidR="0004647C">
        <w:rPr>
          <w:lang w:eastAsia="en-AU"/>
        </w:rPr>
        <w:t xml:space="preserve"> A model of care can provide a framework or system for the organisation of care, distinct from practices that contribute to a model of care.</w:t>
      </w:r>
      <w:r w:rsidR="0004647C">
        <w:rPr>
          <w:rStyle w:val="FootnoteReference"/>
          <w:lang w:eastAsia="en-AU"/>
        </w:rPr>
        <w:footnoteReference w:id="79"/>
      </w:r>
      <w:r w:rsidR="0004647C">
        <w:rPr>
          <w:lang w:eastAsia="en-AU"/>
        </w:rPr>
        <w:t xml:space="preserve"> </w:t>
      </w:r>
    </w:p>
    <w:p w14:paraId="48E105E4" w14:textId="6EEC1CDD" w:rsidR="00D4375B" w:rsidRDefault="00636FE5" w:rsidP="004E0B8B">
      <w:pPr>
        <w:rPr>
          <w:lang w:eastAsia="en-AU"/>
        </w:rPr>
      </w:pPr>
      <w:r>
        <w:rPr>
          <w:lang w:eastAsia="en-AU"/>
        </w:rPr>
        <w:t>The evidence suggested that c</w:t>
      </w:r>
      <w:r w:rsidR="00D6678B">
        <w:rPr>
          <w:lang w:eastAsia="en-AU"/>
        </w:rPr>
        <w:t>hanging</w:t>
      </w:r>
      <w:r w:rsidR="00FA7E2B">
        <w:rPr>
          <w:lang w:eastAsia="en-AU"/>
        </w:rPr>
        <w:t xml:space="preserve"> population needs and health system policy and drivers</w:t>
      </w:r>
      <w:r w:rsidR="008B202D">
        <w:rPr>
          <w:lang w:eastAsia="en-AU"/>
        </w:rPr>
        <w:t xml:space="preserve"> have </w:t>
      </w:r>
      <w:r w:rsidR="00FA7E2B">
        <w:rPr>
          <w:lang w:eastAsia="en-AU"/>
        </w:rPr>
        <w:t>necessitate</w:t>
      </w:r>
      <w:r w:rsidR="008B202D">
        <w:rPr>
          <w:lang w:eastAsia="en-AU"/>
        </w:rPr>
        <w:t>d</w:t>
      </w:r>
      <w:r w:rsidR="00FA7E2B">
        <w:rPr>
          <w:lang w:eastAsia="en-AU"/>
        </w:rPr>
        <w:t xml:space="preserve"> dynamic, integrative models of care.</w:t>
      </w:r>
      <w:r w:rsidR="008B202D">
        <w:rPr>
          <w:rStyle w:val="FootnoteReference"/>
          <w:lang w:eastAsia="en-AU"/>
        </w:rPr>
        <w:footnoteReference w:id="80"/>
      </w:r>
      <w:r w:rsidR="008B202D">
        <w:rPr>
          <w:lang w:eastAsia="en-AU"/>
        </w:rPr>
        <w:t xml:space="preserve"> </w:t>
      </w:r>
      <w:r w:rsidR="00E16045">
        <w:rPr>
          <w:lang w:eastAsia="en-AU"/>
        </w:rPr>
        <w:t xml:space="preserve">Unfortunately, there is significant variation in practice and availability of palliative care in RACFs in Australia and internationally. </w:t>
      </w:r>
      <w:r w:rsidR="00C66A17">
        <w:rPr>
          <w:lang w:eastAsia="en-AU"/>
        </w:rPr>
        <w:t>Limited evidence internationally and domestically</w:t>
      </w:r>
      <w:r w:rsidR="00E16045">
        <w:rPr>
          <w:lang w:eastAsia="en-AU"/>
        </w:rPr>
        <w:t xml:space="preserve"> has led to</w:t>
      </w:r>
      <w:r w:rsidR="00E33039">
        <w:rPr>
          <w:lang w:eastAsia="en-AU"/>
        </w:rPr>
        <w:t xml:space="preserve"> an absence of clear</w:t>
      </w:r>
      <w:r w:rsidR="009426F4">
        <w:rPr>
          <w:lang w:eastAsia="en-AU"/>
        </w:rPr>
        <w:t>, evidenced</w:t>
      </w:r>
      <w:r w:rsidR="00D774BF">
        <w:rPr>
          <w:lang w:eastAsia="en-AU"/>
        </w:rPr>
        <w:t>-based</w:t>
      </w:r>
      <w:r w:rsidR="00E33039">
        <w:rPr>
          <w:lang w:eastAsia="en-AU"/>
        </w:rPr>
        <w:t xml:space="preserve"> models </w:t>
      </w:r>
      <w:r w:rsidR="009426F4">
        <w:rPr>
          <w:lang w:eastAsia="en-AU"/>
        </w:rPr>
        <w:t xml:space="preserve">of </w:t>
      </w:r>
      <w:r w:rsidR="00E33039">
        <w:rPr>
          <w:lang w:eastAsia="en-AU"/>
        </w:rPr>
        <w:t xml:space="preserve">care </w:t>
      </w:r>
      <w:r w:rsidR="00D774BF">
        <w:rPr>
          <w:lang w:eastAsia="en-AU"/>
        </w:rPr>
        <w:t>for</w:t>
      </w:r>
      <w:r w:rsidR="00E33039">
        <w:rPr>
          <w:lang w:eastAsia="en-AU"/>
        </w:rPr>
        <w:t xml:space="preserve"> </w:t>
      </w:r>
      <w:r w:rsidR="009426F4">
        <w:rPr>
          <w:lang w:eastAsia="en-AU"/>
        </w:rPr>
        <w:t>providing</w:t>
      </w:r>
      <w:r w:rsidR="00E33039">
        <w:rPr>
          <w:lang w:eastAsia="en-AU"/>
        </w:rPr>
        <w:t xml:space="preserve"> efficient and quality palliative care services in RACFs.</w:t>
      </w:r>
      <w:r w:rsidR="00EA5E95" w:rsidRPr="00EA5E95">
        <w:rPr>
          <w:rStyle w:val="FootnoteReference"/>
          <w:lang w:eastAsia="en-AU"/>
        </w:rPr>
        <w:footnoteReference w:id="81"/>
      </w:r>
      <w:r w:rsidR="00E33039">
        <w:rPr>
          <w:lang w:eastAsia="en-AU"/>
        </w:rPr>
        <w:t xml:space="preserve"> </w:t>
      </w:r>
    </w:p>
    <w:p w14:paraId="328D55DE" w14:textId="5A5688B3" w:rsidR="0077577A" w:rsidRDefault="00870FB2" w:rsidP="004E0B8B">
      <w:pPr>
        <w:rPr>
          <w:lang w:eastAsia="en-AU"/>
        </w:rPr>
      </w:pPr>
      <w:r>
        <w:rPr>
          <w:lang w:eastAsia="en-AU"/>
        </w:rPr>
        <w:t xml:space="preserve">A review by </w:t>
      </w:r>
      <w:r w:rsidR="00E54808" w:rsidRPr="00E54808">
        <w:rPr>
          <w:lang w:eastAsia="en-AU"/>
        </w:rPr>
        <w:t>Luckett</w:t>
      </w:r>
      <w:r w:rsidR="00E54808">
        <w:rPr>
          <w:lang w:eastAsia="en-AU"/>
        </w:rPr>
        <w:t xml:space="preserve"> and colleagues</w:t>
      </w:r>
      <w:r w:rsidR="00E16045">
        <w:rPr>
          <w:lang w:eastAsia="en-AU"/>
        </w:rPr>
        <w:t xml:space="preserve"> </w:t>
      </w:r>
      <w:r w:rsidR="00E54808" w:rsidRPr="00E54808">
        <w:rPr>
          <w:lang w:eastAsia="en-AU"/>
        </w:rPr>
        <w:t>suggests that models</w:t>
      </w:r>
      <w:r>
        <w:rPr>
          <w:lang w:eastAsia="en-AU"/>
        </w:rPr>
        <w:t xml:space="preserve"> of care</w:t>
      </w:r>
      <w:r w:rsidR="00E54808" w:rsidRPr="00E54808">
        <w:rPr>
          <w:lang w:eastAsia="en-AU"/>
        </w:rPr>
        <w:t xml:space="preserve"> inte</w:t>
      </w:r>
      <w:r w:rsidR="00E54808">
        <w:rPr>
          <w:lang w:eastAsia="en-AU"/>
        </w:rPr>
        <w:t>g</w:t>
      </w:r>
      <w:r w:rsidR="00E54808" w:rsidRPr="00E54808">
        <w:rPr>
          <w:lang w:eastAsia="en-AU"/>
        </w:rPr>
        <w:t xml:space="preserve">rating </w:t>
      </w:r>
      <w:r w:rsidR="00E54808">
        <w:rPr>
          <w:lang w:eastAsia="en-AU"/>
        </w:rPr>
        <w:t>specialist palliative care</w:t>
      </w:r>
      <w:r w:rsidR="00E54808" w:rsidRPr="00E54808">
        <w:rPr>
          <w:lang w:eastAsia="en-AU"/>
        </w:rPr>
        <w:t xml:space="preserve"> </w:t>
      </w:r>
      <w:r w:rsidR="00BC0EC1">
        <w:rPr>
          <w:lang w:eastAsia="en-AU"/>
        </w:rPr>
        <w:t xml:space="preserve">into RACFs </w:t>
      </w:r>
      <w:r w:rsidR="00E84FE3">
        <w:rPr>
          <w:lang w:eastAsia="en-AU"/>
        </w:rPr>
        <w:t>are</w:t>
      </w:r>
      <w:r w:rsidR="00735180">
        <w:rPr>
          <w:lang w:eastAsia="en-AU"/>
        </w:rPr>
        <w:t xml:space="preserve"> effective way</w:t>
      </w:r>
      <w:r w:rsidR="00E84FE3">
        <w:rPr>
          <w:lang w:eastAsia="en-AU"/>
        </w:rPr>
        <w:t>s</w:t>
      </w:r>
      <w:r w:rsidR="00735180">
        <w:rPr>
          <w:lang w:eastAsia="en-AU"/>
        </w:rPr>
        <w:t xml:space="preserve"> to address </w:t>
      </w:r>
      <w:r w:rsidR="00F10513">
        <w:rPr>
          <w:lang w:eastAsia="en-AU"/>
        </w:rPr>
        <w:t>the n</w:t>
      </w:r>
      <w:r w:rsidR="00735180">
        <w:rPr>
          <w:lang w:eastAsia="en-AU"/>
        </w:rPr>
        <w:t xml:space="preserve">eeds </w:t>
      </w:r>
      <w:r w:rsidR="00BC0EC1">
        <w:rPr>
          <w:lang w:eastAsia="en-AU"/>
        </w:rPr>
        <w:t>of residents</w:t>
      </w:r>
      <w:r w:rsidR="00F10513">
        <w:rPr>
          <w:lang w:eastAsia="en-AU"/>
        </w:rPr>
        <w:t xml:space="preserve"> towards the end-of-life</w:t>
      </w:r>
      <w:r w:rsidR="00735180">
        <w:rPr>
          <w:lang w:eastAsia="en-AU"/>
        </w:rPr>
        <w:t>.</w:t>
      </w:r>
      <w:r w:rsidR="005427A0">
        <w:rPr>
          <w:rStyle w:val="FootnoteReference"/>
          <w:lang w:eastAsia="en-AU"/>
        </w:rPr>
        <w:footnoteReference w:id="82"/>
      </w:r>
      <w:r w:rsidR="00735180">
        <w:rPr>
          <w:lang w:eastAsia="en-AU"/>
        </w:rPr>
        <w:t xml:space="preserve"> </w:t>
      </w:r>
      <w:r w:rsidR="00F10513">
        <w:rPr>
          <w:lang w:eastAsia="en-AU"/>
        </w:rPr>
        <w:t>For palliative care to be</w:t>
      </w:r>
      <w:r w:rsidR="00735180">
        <w:rPr>
          <w:lang w:eastAsia="en-AU"/>
        </w:rPr>
        <w:t xml:space="preserve"> </w:t>
      </w:r>
      <w:r w:rsidR="00F10513">
        <w:rPr>
          <w:lang w:eastAsia="en-AU"/>
        </w:rPr>
        <w:t xml:space="preserve">effectively </w:t>
      </w:r>
      <w:r w:rsidR="00735180">
        <w:rPr>
          <w:lang w:eastAsia="en-AU"/>
        </w:rPr>
        <w:t xml:space="preserve">integrated </w:t>
      </w:r>
      <w:r w:rsidR="00E54808" w:rsidRPr="00E54808">
        <w:rPr>
          <w:lang w:eastAsia="en-AU"/>
        </w:rPr>
        <w:t xml:space="preserve">into </w:t>
      </w:r>
      <w:r w:rsidR="00E17E4F">
        <w:rPr>
          <w:lang w:eastAsia="en-AU"/>
        </w:rPr>
        <w:t>residential aged</w:t>
      </w:r>
      <w:r w:rsidR="00E54808" w:rsidRPr="00E54808">
        <w:rPr>
          <w:lang w:eastAsia="en-AU"/>
        </w:rPr>
        <w:t xml:space="preserve"> care </w:t>
      </w:r>
      <w:r w:rsidR="00E17E4F">
        <w:rPr>
          <w:lang w:eastAsia="en-AU"/>
        </w:rPr>
        <w:t>facilities</w:t>
      </w:r>
      <w:r w:rsidR="00735180">
        <w:rPr>
          <w:lang w:eastAsia="en-AU"/>
        </w:rPr>
        <w:t>, it</w:t>
      </w:r>
      <w:r w:rsidR="00E17E4F">
        <w:rPr>
          <w:lang w:eastAsia="en-AU"/>
        </w:rPr>
        <w:t xml:space="preserve"> must</w:t>
      </w:r>
      <w:r w:rsidR="00E54808">
        <w:rPr>
          <w:lang w:eastAsia="en-AU"/>
        </w:rPr>
        <w:t xml:space="preserve"> </w:t>
      </w:r>
      <w:r w:rsidR="00E54808" w:rsidRPr="00E54808">
        <w:rPr>
          <w:lang w:eastAsia="en-AU"/>
        </w:rPr>
        <w:t>be needs-led, with particular a</w:t>
      </w:r>
      <w:r w:rsidR="00BC6E1F">
        <w:rPr>
          <w:lang w:eastAsia="en-AU"/>
        </w:rPr>
        <w:t xml:space="preserve">ttention paid to care coordination and </w:t>
      </w:r>
      <w:r w:rsidR="00E54808" w:rsidRPr="00E54808">
        <w:rPr>
          <w:lang w:eastAsia="en-AU"/>
        </w:rPr>
        <w:t>transitions</w:t>
      </w:r>
      <w:r w:rsidR="00E54808">
        <w:rPr>
          <w:lang w:eastAsia="en-AU"/>
        </w:rPr>
        <w:t xml:space="preserve"> </w:t>
      </w:r>
      <w:r w:rsidR="00E54808" w:rsidRPr="00E54808">
        <w:rPr>
          <w:lang w:eastAsia="en-AU"/>
        </w:rPr>
        <w:t>across care settings</w:t>
      </w:r>
      <w:r w:rsidR="00BC6E1F">
        <w:rPr>
          <w:lang w:eastAsia="en-AU"/>
        </w:rPr>
        <w:t xml:space="preserve">. </w:t>
      </w:r>
      <w:r w:rsidR="00003CE9">
        <w:rPr>
          <w:lang w:eastAsia="en-AU"/>
        </w:rPr>
        <w:t xml:space="preserve">In addition, </w:t>
      </w:r>
      <w:r w:rsidR="00885398">
        <w:rPr>
          <w:lang w:eastAsia="en-AU"/>
        </w:rPr>
        <w:t>RACFs</w:t>
      </w:r>
      <w:r w:rsidR="00E54808" w:rsidRPr="00E54808">
        <w:rPr>
          <w:lang w:eastAsia="en-AU"/>
        </w:rPr>
        <w:t xml:space="preserve"> and </w:t>
      </w:r>
      <w:r w:rsidR="00885398">
        <w:rPr>
          <w:lang w:eastAsia="en-AU"/>
        </w:rPr>
        <w:t>staff</w:t>
      </w:r>
      <w:r w:rsidR="00003CE9">
        <w:rPr>
          <w:lang w:eastAsia="en-AU"/>
        </w:rPr>
        <w:t xml:space="preserve"> must be </w:t>
      </w:r>
      <w:r w:rsidR="00885398">
        <w:rPr>
          <w:lang w:eastAsia="en-AU"/>
        </w:rPr>
        <w:t>able to detect and adapt</w:t>
      </w:r>
      <w:r w:rsidR="00E54808" w:rsidRPr="00E54808">
        <w:rPr>
          <w:lang w:eastAsia="en-AU"/>
        </w:rPr>
        <w:t xml:space="preserve"> to the changing needs of </w:t>
      </w:r>
      <w:r w:rsidR="008F3275">
        <w:rPr>
          <w:lang w:eastAsia="en-AU"/>
        </w:rPr>
        <w:t>residents</w:t>
      </w:r>
      <w:r w:rsidR="00E54808" w:rsidRPr="00E54808">
        <w:rPr>
          <w:lang w:eastAsia="en-AU"/>
        </w:rPr>
        <w:t>.</w:t>
      </w:r>
    </w:p>
    <w:p w14:paraId="07148176" w14:textId="109E40FF" w:rsidR="0032151B" w:rsidRDefault="00D4648B" w:rsidP="00351182">
      <w:pPr>
        <w:pStyle w:val="Heading5"/>
      </w:pPr>
      <w:r>
        <w:t xml:space="preserve">Evidence identified </w:t>
      </w:r>
      <w:r w:rsidR="0032151B">
        <w:t xml:space="preserve">six </w:t>
      </w:r>
      <w:r>
        <w:t>frequently cited components of</w:t>
      </w:r>
      <w:r w:rsidR="0032151B">
        <w:t xml:space="preserve"> palliative care models </w:t>
      </w:r>
      <w:r>
        <w:t xml:space="preserve">of care </w:t>
      </w:r>
      <w:r w:rsidR="0032151B">
        <w:t>in RACFs.</w:t>
      </w:r>
    </w:p>
    <w:p w14:paraId="491AEE31" w14:textId="1115C8B1" w:rsidR="00DB5D44" w:rsidRDefault="00422353" w:rsidP="00DB5D44">
      <w:r>
        <w:t>Successful models of palliative care are often multi-component models</w:t>
      </w:r>
      <w:r w:rsidR="00AF3284">
        <w:t xml:space="preserve"> that seek specialist </w:t>
      </w:r>
      <w:r w:rsidR="001D51C4">
        <w:t>input, care, and/or</w:t>
      </w:r>
      <w:r w:rsidR="00AF3284">
        <w:t xml:space="preserve"> training from specialist palliative care providers (e.g. palliative care nurses, </w:t>
      </w:r>
      <w:r w:rsidR="002C67B8">
        <w:t>geriatricians</w:t>
      </w:r>
      <w:r w:rsidR="00AF3284">
        <w:t>)</w:t>
      </w:r>
      <w:r w:rsidR="00E81B8A">
        <w:t>.</w:t>
      </w:r>
      <w:r w:rsidR="006155CF">
        <w:rPr>
          <w:rStyle w:val="FootnoteReference"/>
        </w:rPr>
        <w:footnoteReference w:id="83"/>
      </w:r>
      <w:r>
        <w:t xml:space="preserve"> </w:t>
      </w:r>
      <w:r w:rsidR="006D127A">
        <w:fldChar w:fldCharType="begin"/>
      </w:r>
      <w:r w:rsidR="006D127A">
        <w:instrText xml:space="preserve"> REF _Ref51162311 \h </w:instrText>
      </w:r>
      <w:r w:rsidR="006D127A">
        <w:fldChar w:fldCharType="separate"/>
      </w:r>
      <w:r w:rsidR="000E59E1">
        <w:t xml:space="preserve">Figure </w:t>
      </w:r>
      <w:r w:rsidR="000E59E1">
        <w:rPr>
          <w:noProof/>
        </w:rPr>
        <w:t>5</w:t>
      </w:r>
      <w:r w:rsidR="006D127A">
        <w:fldChar w:fldCharType="end"/>
      </w:r>
      <w:r w:rsidR="006D127A">
        <w:t xml:space="preserve"> </w:t>
      </w:r>
      <w:r w:rsidR="00395C99">
        <w:t xml:space="preserve">illustrates </w:t>
      </w:r>
      <w:r w:rsidR="001D1391">
        <w:t>frequently cited components</w:t>
      </w:r>
      <w:r w:rsidR="00395C99">
        <w:t xml:space="preserve"> of</w:t>
      </w:r>
      <w:r w:rsidR="00DB5D44">
        <w:t xml:space="preserve"> pall</w:t>
      </w:r>
      <w:r w:rsidR="00F81789">
        <w:t>iative</w:t>
      </w:r>
      <w:r w:rsidR="00DB5D44">
        <w:t xml:space="preserve"> care models of care in RACFs</w:t>
      </w:r>
      <w:r w:rsidR="00395C99">
        <w:t>, which</w:t>
      </w:r>
      <w:r w:rsidR="00DB5D44">
        <w:t xml:space="preserve"> </w:t>
      </w:r>
      <w:r w:rsidR="0058285A">
        <w:t>ar</w:t>
      </w:r>
      <w:r w:rsidR="00DB5D44">
        <w:t xml:space="preserve">e: </w:t>
      </w:r>
    </w:p>
    <w:p w14:paraId="0A921EA7" w14:textId="4978F1CE" w:rsidR="00A75C82" w:rsidRDefault="00A75C82" w:rsidP="00A75C82">
      <w:pPr>
        <w:pStyle w:val="Caption"/>
      </w:pPr>
      <w:bookmarkStart w:id="47" w:name="_Ref51162311"/>
      <w:r>
        <w:t xml:space="preserve">Figure </w:t>
      </w:r>
      <w:r>
        <w:fldChar w:fldCharType="begin"/>
      </w:r>
      <w:r>
        <w:instrText xml:space="preserve"> SEQ Figure \* ARABIC </w:instrText>
      </w:r>
      <w:r>
        <w:fldChar w:fldCharType="separate"/>
      </w:r>
      <w:r w:rsidR="000E59E1">
        <w:rPr>
          <w:noProof/>
        </w:rPr>
        <w:t>5</w:t>
      </w:r>
      <w:r>
        <w:fldChar w:fldCharType="end"/>
      </w:r>
      <w:bookmarkEnd w:id="47"/>
      <w:r>
        <w:t xml:space="preserve"> </w:t>
      </w:r>
      <w:r w:rsidR="006D127A">
        <w:t xml:space="preserve">| </w:t>
      </w:r>
      <w:r>
        <w:t xml:space="preserve">Forms of palliative care models </w:t>
      </w:r>
      <w:r w:rsidR="005376C7">
        <w:t>of care</w:t>
      </w:r>
      <w:r>
        <w:t xml:space="preserve"> in RACFs</w:t>
      </w:r>
      <w:r w:rsidR="00783E98">
        <w:rPr>
          <w:rStyle w:val="FootnoteReference"/>
        </w:rPr>
        <w:footnoteReference w:id="84"/>
      </w:r>
    </w:p>
    <w:p w14:paraId="3BB6DD60" w14:textId="45E2807D" w:rsidR="00FA6BE7" w:rsidRDefault="3924C98C" w:rsidP="003614E5">
      <w:pPr>
        <w:rPr>
          <w:lang w:eastAsia="en-AU"/>
        </w:rPr>
      </w:pPr>
      <w:r>
        <w:rPr>
          <w:noProof/>
        </w:rPr>
        <w:drawing>
          <wp:inline distT="0" distB="0" distL="0" distR="0" wp14:anchorId="0BDB5858" wp14:editId="6174037C">
            <wp:extent cx="5670002" cy="2508308"/>
            <wp:effectExtent l="0" t="0" r="6985" b="6350"/>
            <wp:docPr id="14" name="Picture 14" descr="Figure 5 depicts the forms of palliative care models of care in RACFs&#10;&#10;There are six forms of palliative care models of care in RACFs which include case management, capability building, specialist in-reach services, shared care, specialist outreach services and integrat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5 depicts the forms of palliative care models of care in RACFs&#10;&#10;There are six forms of palliative care models of care in RACFs which include case management, capability building, specialist in-reach services, shared care, specialist outreach services and integrated car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70002" cy="2508308"/>
                    </a:xfrm>
                    <a:prstGeom prst="rect">
                      <a:avLst/>
                    </a:prstGeom>
                  </pic:spPr>
                </pic:pic>
              </a:graphicData>
            </a:graphic>
          </wp:inline>
        </w:drawing>
      </w:r>
    </w:p>
    <w:p w14:paraId="0C3242B8" w14:textId="77777777" w:rsidR="00A2717D" w:rsidRDefault="00A2717D">
      <w:pPr>
        <w:spacing w:after="160"/>
        <w:rPr>
          <w:rFonts w:ascii="Segoe UI Semibold" w:eastAsia="Times New Roman" w:hAnsi="Segoe UI Semibold" w:cs="Times New Roman"/>
          <w:color w:val="00264D"/>
          <w:sz w:val="26"/>
          <w:szCs w:val="19"/>
          <w:lang w:eastAsia="en-AU"/>
        </w:rPr>
      </w:pPr>
      <w:bookmarkStart w:id="48" w:name="_Ref51335583"/>
      <w:r>
        <w:br w:type="page"/>
      </w:r>
    </w:p>
    <w:p w14:paraId="1CE0E643" w14:textId="5A29AF2D" w:rsidR="00C51ABA" w:rsidRPr="000A0A4F" w:rsidRDefault="00C51ABA" w:rsidP="0030344D">
      <w:pPr>
        <w:pStyle w:val="Heading3"/>
      </w:pPr>
      <w:bookmarkStart w:id="49" w:name="_Ref52267242"/>
      <w:bookmarkStart w:id="50" w:name="_Toc82767266"/>
      <w:r>
        <w:lastRenderedPageBreak/>
        <w:t>What examples exist of good practice palliative care in RACFs in Australia or internationally?</w:t>
      </w:r>
      <w:bookmarkEnd w:id="48"/>
      <w:bookmarkEnd w:id="49"/>
      <w:bookmarkEnd w:id="50"/>
    </w:p>
    <w:p w14:paraId="608BA252" w14:textId="05CDAF82" w:rsidR="00E10F0A" w:rsidRPr="00E10F0A" w:rsidRDefault="00E10F0A" w:rsidP="00E10F0A">
      <w:pPr>
        <w:rPr>
          <w:rFonts w:eastAsia="Times New Roman" w:cs="Times New Roman"/>
          <w:b/>
          <w:color w:val="000000" w:themeColor="text1"/>
          <w:sz w:val="20"/>
          <w:szCs w:val="24"/>
          <w:lang w:eastAsia="en-AU"/>
        </w:rPr>
      </w:pPr>
      <w:r w:rsidRPr="00E10F0A">
        <w:rPr>
          <w:rFonts w:eastAsia="Times New Roman" w:cs="Times New Roman"/>
          <w:b/>
          <w:color w:val="000000" w:themeColor="text1"/>
          <w:sz w:val="20"/>
          <w:szCs w:val="24"/>
          <w:lang w:eastAsia="en-AU"/>
        </w:rPr>
        <w:t>Australian palliative care models of care in RACFs are variable but the INSPIRED model is an effective, evidence-based approach</w:t>
      </w:r>
    </w:p>
    <w:p w14:paraId="38B7E043" w14:textId="2DA92BFA" w:rsidR="00903F4C" w:rsidRDefault="00ED1AAB" w:rsidP="00C51ABA">
      <w:r>
        <w:t xml:space="preserve">The literature review identified </w:t>
      </w:r>
      <w:r w:rsidR="00C572C8">
        <w:t>14</w:t>
      </w:r>
      <w:r>
        <w:t xml:space="preserve"> models of </w:t>
      </w:r>
      <w:r w:rsidR="00BE534C">
        <w:t>delivering palliative care in RACFs</w:t>
      </w:r>
      <w:r w:rsidR="00AF1660">
        <w:t xml:space="preserve"> </w:t>
      </w:r>
      <w:r w:rsidR="00BE534C">
        <w:t>across Australia</w:t>
      </w:r>
      <w:r w:rsidR="00300A6D">
        <w:t xml:space="preserve"> </w:t>
      </w:r>
      <w:r w:rsidR="00300A6D">
        <w:rPr>
          <w:lang w:eastAsia="en-AU"/>
        </w:rPr>
        <w:t xml:space="preserve">(see </w:t>
      </w:r>
      <w:r w:rsidR="00300A6D">
        <w:rPr>
          <w:lang w:eastAsia="en-AU"/>
        </w:rPr>
        <w:fldChar w:fldCharType="begin"/>
      </w:r>
      <w:r w:rsidR="00300A6D">
        <w:rPr>
          <w:lang w:eastAsia="en-AU"/>
        </w:rPr>
        <w:instrText xml:space="preserve"> REF _Ref51163437 \r \h </w:instrText>
      </w:r>
      <w:r w:rsidR="00300A6D">
        <w:rPr>
          <w:lang w:eastAsia="en-AU"/>
        </w:rPr>
      </w:r>
      <w:r w:rsidR="00300A6D">
        <w:rPr>
          <w:lang w:eastAsia="en-AU"/>
        </w:rPr>
        <w:fldChar w:fldCharType="separate"/>
      </w:r>
      <w:r w:rsidR="000E59E1">
        <w:rPr>
          <w:lang w:eastAsia="en-AU"/>
        </w:rPr>
        <w:t>Appendix A</w:t>
      </w:r>
      <w:r w:rsidR="00300A6D">
        <w:rPr>
          <w:lang w:eastAsia="en-AU"/>
        </w:rPr>
        <w:fldChar w:fldCharType="end"/>
      </w:r>
      <w:r w:rsidR="00300A6D">
        <w:rPr>
          <w:lang w:eastAsia="en-AU"/>
        </w:rPr>
        <w:t xml:space="preserve"> for </w:t>
      </w:r>
      <w:r w:rsidR="00D51E5A">
        <w:rPr>
          <w:lang w:eastAsia="en-AU"/>
        </w:rPr>
        <w:t xml:space="preserve">full </w:t>
      </w:r>
      <w:r w:rsidR="00300A6D">
        <w:rPr>
          <w:lang w:eastAsia="en-AU"/>
        </w:rPr>
        <w:t>details)</w:t>
      </w:r>
      <w:r w:rsidR="00FD48C2">
        <w:t>.</w:t>
      </w:r>
      <w:r w:rsidR="00BA5348">
        <w:t xml:space="preserve"> </w:t>
      </w:r>
    </w:p>
    <w:p w14:paraId="61B45A53" w14:textId="53C1C0B1" w:rsidR="00903F4C" w:rsidRDefault="00BA5348" w:rsidP="00C51ABA">
      <w:r>
        <w:t xml:space="preserve">Of </w:t>
      </w:r>
      <w:r w:rsidR="006E6C6E">
        <w:t>these</w:t>
      </w:r>
      <w:r>
        <w:t>, there was a h</w:t>
      </w:r>
      <w:r w:rsidR="00375A5A">
        <w:t xml:space="preserve">igh </w:t>
      </w:r>
      <w:r w:rsidR="00C76A8E">
        <w:t>concentrat</w:t>
      </w:r>
      <w:r w:rsidR="00375A5A">
        <w:t>ion of models</w:t>
      </w:r>
      <w:r w:rsidR="00C76A8E">
        <w:t xml:space="preserve"> </w:t>
      </w:r>
      <w:r w:rsidR="00375A5A">
        <w:t xml:space="preserve">of care </w:t>
      </w:r>
      <w:r w:rsidR="00C76A8E">
        <w:t>in New South Wales (</w:t>
      </w:r>
      <w:r w:rsidR="004E1852">
        <w:t xml:space="preserve">5 or </w:t>
      </w:r>
      <w:r w:rsidR="00A86CC2">
        <w:t>3</w:t>
      </w:r>
      <w:r w:rsidR="00316F90">
        <w:t>6</w:t>
      </w:r>
      <w:r w:rsidR="00257D7A">
        <w:t xml:space="preserve"> per cent</w:t>
      </w:r>
      <w:r w:rsidR="00375A5A">
        <w:t xml:space="preserve">) and Victoria </w:t>
      </w:r>
      <w:r w:rsidR="00257D7A">
        <w:t>(</w:t>
      </w:r>
      <w:r w:rsidR="004E1852">
        <w:t xml:space="preserve">4 or </w:t>
      </w:r>
      <w:r w:rsidR="00866125">
        <w:t>29</w:t>
      </w:r>
      <w:r w:rsidR="002411A8">
        <w:t xml:space="preserve"> per cent</w:t>
      </w:r>
      <w:r w:rsidR="00375A5A">
        <w:t>)</w:t>
      </w:r>
      <w:r w:rsidR="00283B8C">
        <w:t xml:space="preserve">. </w:t>
      </w:r>
      <w:r w:rsidR="00A11AB7">
        <w:t>2</w:t>
      </w:r>
      <w:r w:rsidR="008F11A4">
        <w:t>1</w:t>
      </w:r>
      <w:r w:rsidR="00150C67">
        <w:t xml:space="preserve"> per cent of the models of care identified were specialist in-reach services.</w:t>
      </w:r>
      <w:r w:rsidR="00CD5522">
        <w:t xml:space="preserve"> </w:t>
      </w:r>
    </w:p>
    <w:p w14:paraId="0DC73C33" w14:textId="26B7C60B" w:rsidR="0030320F" w:rsidRDefault="00636D53" w:rsidP="00C51ABA">
      <w:r>
        <w:t>A quarter of the</w:t>
      </w:r>
      <w:r w:rsidR="0002546F">
        <w:t xml:space="preserve"> models </w:t>
      </w:r>
      <w:r>
        <w:t xml:space="preserve">of </w:t>
      </w:r>
      <w:r w:rsidR="0002546F">
        <w:t xml:space="preserve">care </w:t>
      </w:r>
      <w:r>
        <w:t>included</w:t>
      </w:r>
      <w:r w:rsidR="0002546F">
        <w:t xml:space="preserve"> palliative care as a component of a broader range of services.</w:t>
      </w:r>
      <w:r w:rsidR="001F22EC">
        <w:t xml:space="preserve"> </w:t>
      </w:r>
      <w:r w:rsidR="009966CD">
        <w:t>1</w:t>
      </w:r>
      <w:r w:rsidR="00C572C8">
        <w:t>3</w:t>
      </w:r>
      <w:r w:rsidR="00910308">
        <w:t xml:space="preserve"> of </w:t>
      </w:r>
      <w:r w:rsidR="009966CD">
        <w:t>1</w:t>
      </w:r>
      <w:r w:rsidR="00C572C8">
        <w:t>4</w:t>
      </w:r>
      <w:r w:rsidR="00910308">
        <w:t xml:space="preserve"> models were concerned with delivering clinical care in particular, except for the Indigenous Palliative Care Service Delivery model, which was concerned with delivering respectful and culturally appropriate care.</w:t>
      </w:r>
    </w:p>
    <w:p w14:paraId="72706977" w14:textId="12CEFFC3" w:rsidR="00775F2C" w:rsidRDefault="00743B73" w:rsidP="00743B73">
      <w:pPr>
        <w:rPr>
          <w:lang w:eastAsia="en-AU"/>
        </w:rPr>
      </w:pPr>
      <w:r>
        <w:rPr>
          <w:lang w:eastAsia="en-AU"/>
        </w:rPr>
        <w:t xml:space="preserve">See </w:t>
      </w:r>
      <w:r>
        <w:rPr>
          <w:lang w:eastAsia="en-AU"/>
        </w:rPr>
        <w:fldChar w:fldCharType="begin"/>
      </w:r>
      <w:r>
        <w:rPr>
          <w:lang w:eastAsia="en-AU"/>
        </w:rPr>
        <w:instrText xml:space="preserve"> REF _Ref51265273 \h </w:instrText>
      </w:r>
      <w:r>
        <w:rPr>
          <w:lang w:eastAsia="en-AU"/>
        </w:rPr>
      </w:r>
      <w:r>
        <w:rPr>
          <w:lang w:eastAsia="en-AU"/>
        </w:rPr>
        <w:fldChar w:fldCharType="separate"/>
      </w:r>
      <w:r w:rsidR="000E59E1">
        <w:t xml:space="preserve">Figure </w:t>
      </w:r>
      <w:r w:rsidR="000E59E1">
        <w:rPr>
          <w:noProof/>
        </w:rPr>
        <w:t>6</w:t>
      </w:r>
      <w:r>
        <w:rPr>
          <w:lang w:eastAsia="en-AU"/>
        </w:rPr>
        <w:fldChar w:fldCharType="end"/>
      </w:r>
      <w:r>
        <w:rPr>
          <w:lang w:eastAsia="en-AU"/>
        </w:rPr>
        <w:t xml:space="preserve"> and </w:t>
      </w:r>
      <w:r>
        <w:rPr>
          <w:lang w:eastAsia="en-AU"/>
        </w:rPr>
        <w:fldChar w:fldCharType="begin"/>
      </w:r>
      <w:r>
        <w:rPr>
          <w:lang w:eastAsia="en-AU"/>
        </w:rPr>
        <w:instrText xml:space="preserve"> REF _Ref51333357 \h </w:instrText>
      </w:r>
      <w:r>
        <w:rPr>
          <w:lang w:eastAsia="en-AU"/>
        </w:rPr>
      </w:r>
      <w:r>
        <w:rPr>
          <w:lang w:eastAsia="en-AU"/>
        </w:rPr>
        <w:fldChar w:fldCharType="separate"/>
      </w:r>
      <w:r w:rsidR="000E59E1">
        <w:t xml:space="preserve">Table </w:t>
      </w:r>
      <w:r w:rsidR="000E59E1">
        <w:rPr>
          <w:noProof/>
        </w:rPr>
        <w:t>3</w:t>
      </w:r>
      <w:r>
        <w:rPr>
          <w:lang w:eastAsia="en-AU"/>
        </w:rPr>
        <w:fldChar w:fldCharType="end"/>
      </w:r>
      <w:r>
        <w:rPr>
          <w:lang w:eastAsia="en-AU"/>
        </w:rPr>
        <w:t xml:space="preserve"> for a summary of key Australian models identified</w:t>
      </w:r>
      <w:r w:rsidR="007049E0">
        <w:rPr>
          <w:lang w:eastAsia="en-AU"/>
        </w:rPr>
        <w:t>.</w:t>
      </w:r>
    </w:p>
    <w:tbl>
      <w:tblPr>
        <w:tblStyle w:val="TableGrid"/>
        <w:tblW w:w="0" w:type="auto"/>
        <w:tblBorders>
          <w:top w:val="single" w:sz="8" w:space="0" w:color="00264D" w:themeColor="background2"/>
          <w:left w:val="single" w:sz="8" w:space="0" w:color="00264D" w:themeColor="background2"/>
          <w:bottom w:val="single" w:sz="8" w:space="0" w:color="00264D" w:themeColor="background2"/>
          <w:right w:val="single" w:sz="8" w:space="0" w:color="00264D" w:themeColor="background2"/>
          <w:insideH w:val="single" w:sz="8" w:space="0" w:color="00264D" w:themeColor="background2"/>
          <w:insideV w:val="single" w:sz="8" w:space="0" w:color="00264D" w:themeColor="background2"/>
        </w:tblBorders>
        <w:tblLook w:val="0400" w:firstRow="0" w:lastRow="0" w:firstColumn="0" w:lastColumn="0" w:noHBand="0" w:noVBand="1"/>
        <w:tblCaption w:val="Summary of key Australian models identified"/>
        <w:tblDescription w:val="THE COST EFFECTIVENESS OF IMPROVED PALLIATIVE CARE &#10;Examining the cost effectiveness of palliative care delivery in RACFs is complicated by several factors: difficulty quantifying savings, data limitations, and issues with attribution.  &#10;&#10;Given the complicated context in which palliative care is delivered, in RACFs and in acute care, certain savings are difficult to quantify. For example, while costs from bed days are well quantified in literature, there are second order savings, such as bereavement support, that are difficult to measure and may result in inaccurate analyses.&#10;&#10;In addition, data limitations exist both within RACFs and at the interface of aged care and acute care. Aged Care Funding Instrument (ACFI) appraisals to receive palliative care are limited in RACFs and point to underreporting of palliative care. Further, while PCOC takes a comprehensive and detailed approach to measuring quality of palliative care delivery, it too has limited rollout in RACFs. &#10;&#10;Lastly, attributing costs and savings incurred to palliative care interventions is difficult to ascertain due to the nature of care delivery. Many factors contribute to palliative care, leading to a range of potential areas to intervene. Interventions have the potential to overlap with each other, complicating the ability to attribute certain outcomes to certain interventions.  &#10;&#10;One recent comprehensive economic analysis undertook a pragmatic evaluation on the return on investment on key palliative care interventions. The analysis found that a $1 investment in improving uptake of advance care planning can return an average between $0.47 and $2.99 from reduced hospitalisation costs. Based on the INSPIRED Model, implementing a Nurse Practitioner in RACFs is estimated to return $1.68 to $4.14 for every $1 spent. Costs saved result from reduced bed days, ICU admissions, and ED transport costs."/>
      </w:tblPr>
      <w:tblGrid>
        <w:gridCol w:w="8930"/>
      </w:tblGrid>
      <w:tr w:rsidR="004D71E9" w14:paraId="4CF88336" w14:textId="77777777" w:rsidTr="22C19DAE">
        <w:tc>
          <w:tcPr>
            <w:tcW w:w="9016" w:type="dxa"/>
            <w:tcBorders>
              <w:top w:val="single" w:sz="18" w:space="0" w:color="00264D" w:themeColor="background2"/>
              <w:left w:val="nil"/>
              <w:bottom w:val="nil"/>
              <w:right w:val="nil"/>
            </w:tcBorders>
            <w:shd w:val="clear" w:color="auto" w:fill="EDEDE8" w:themeFill="accent5"/>
          </w:tcPr>
          <w:p w14:paraId="5D8AFE54" w14:textId="461F60CD" w:rsidR="004D71E9" w:rsidRPr="007F6FD1" w:rsidRDefault="00217487" w:rsidP="00A3459C">
            <w:pPr>
              <w:pStyle w:val="Longformcallout"/>
              <w:spacing w:after="120"/>
              <w:rPr>
                <w:rFonts w:ascii="Segoe UI Semibold" w:hAnsi="Segoe UI Semibold" w:cs="Segoe UI Semibold"/>
              </w:rPr>
            </w:pPr>
            <w:r>
              <w:rPr>
                <w:rFonts w:ascii="Segoe UI Semibold" w:hAnsi="Segoe UI Semibold" w:cs="Segoe UI Semibold"/>
              </w:rPr>
              <w:t>THE COST EFFECTIVENESS OF IMPROVED PALLIATIVE CARE</w:t>
            </w:r>
          </w:p>
          <w:p w14:paraId="647440D3" w14:textId="77777777" w:rsidR="00202716" w:rsidRDefault="00210D76" w:rsidP="003E1149">
            <w:pPr>
              <w:pStyle w:val="Longformcallout"/>
              <w:spacing w:after="120"/>
            </w:pPr>
            <w:r>
              <w:t xml:space="preserve">Examining the cost effectiveness of palliative care delivery in RACFs is complicated by several factors: </w:t>
            </w:r>
            <w:r w:rsidR="00F3425C">
              <w:t xml:space="preserve">difficulty </w:t>
            </w:r>
            <w:r w:rsidR="00215FD4">
              <w:t>quantifying</w:t>
            </w:r>
            <w:r w:rsidR="00B20866">
              <w:t xml:space="preserve"> savings</w:t>
            </w:r>
            <w:r w:rsidR="003E1149">
              <w:t xml:space="preserve">, data </w:t>
            </w:r>
            <w:r w:rsidR="00202716">
              <w:t>limitations</w:t>
            </w:r>
            <w:r w:rsidR="003E1149">
              <w:t xml:space="preserve">, and issues with attribution. </w:t>
            </w:r>
          </w:p>
          <w:p w14:paraId="496E275A" w14:textId="396CA1DB" w:rsidR="00B03181" w:rsidRDefault="00017418" w:rsidP="000140E8">
            <w:pPr>
              <w:pStyle w:val="Longformcallout"/>
              <w:spacing w:after="120"/>
            </w:pPr>
            <w:r>
              <w:t xml:space="preserve">Given the complicated context in which palliative care is delivered, in RACFs and in acute care, certain savings are </w:t>
            </w:r>
            <w:r w:rsidR="00202716">
              <w:t>difficult</w:t>
            </w:r>
            <w:r>
              <w:t xml:space="preserve"> to quantify. For example, while</w:t>
            </w:r>
            <w:r w:rsidR="00EA754D">
              <w:t xml:space="preserve"> costs from</w:t>
            </w:r>
            <w:r>
              <w:t xml:space="preserve"> </w:t>
            </w:r>
            <w:r w:rsidR="00B03181">
              <w:t>bed days are well quantified in literature</w:t>
            </w:r>
            <w:r>
              <w:t>,</w:t>
            </w:r>
            <w:r w:rsidR="00B03181">
              <w:t xml:space="preserve"> there are second order savings, such as </w:t>
            </w:r>
            <w:r w:rsidR="00EA754D">
              <w:t>bereavement support</w:t>
            </w:r>
            <w:r w:rsidR="00B03181">
              <w:t xml:space="preserve">, that are difficult </w:t>
            </w:r>
            <w:r w:rsidR="00BD27D0">
              <w:t>to measure</w:t>
            </w:r>
            <w:r>
              <w:t xml:space="preserve"> and</w:t>
            </w:r>
            <w:r w:rsidR="00B05D11">
              <w:t xml:space="preserve"> may </w:t>
            </w:r>
            <w:r>
              <w:t>result</w:t>
            </w:r>
            <w:r w:rsidR="00202716">
              <w:t xml:space="preserve"> in</w:t>
            </w:r>
            <w:r w:rsidR="00B05D11">
              <w:t xml:space="preserve"> inaccurate analyses.</w:t>
            </w:r>
            <w:r w:rsidR="00EA754D">
              <w:rPr>
                <w:rStyle w:val="FootnoteReference"/>
              </w:rPr>
              <w:footnoteReference w:id="85"/>
            </w:r>
          </w:p>
          <w:p w14:paraId="6F4B3B9D" w14:textId="6F0E1BBD" w:rsidR="00B03181" w:rsidRDefault="00202716" w:rsidP="00202716">
            <w:pPr>
              <w:pStyle w:val="Bullet"/>
              <w:numPr>
                <w:ilvl w:val="0"/>
                <w:numId w:val="0"/>
              </w:numPr>
            </w:pPr>
            <w:r>
              <w:t xml:space="preserve">In addition, </w:t>
            </w:r>
            <w:r w:rsidR="00B03181">
              <w:t>data limitations exist both within RACFs and at the interface of aged care and acute care.</w:t>
            </w:r>
            <w:r w:rsidR="00243EDC">
              <w:t xml:space="preserve"> </w:t>
            </w:r>
            <w:r w:rsidR="00DF3EB4" w:rsidRPr="00DF3EB4">
              <w:t>Aged Care Funding Instrument (ACFI) appraisal</w:t>
            </w:r>
            <w:r w:rsidR="00DF3EB4">
              <w:t>s to receive palliative care are limited in RACFs and point to underreporting of palliative care.</w:t>
            </w:r>
            <w:r w:rsidR="003B1973">
              <w:rPr>
                <w:rStyle w:val="FootnoteReference"/>
                <w:lang w:val="en-US"/>
              </w:rPr>
              <w:footnoteReference w:id="86"/>
            </w:r>
            <w:r w:rsidR="00C207D7">
              <w:t xml:space="preserve"> Further, while PCOC takes a comprehensive and detailed approach to measuring quality of palliative care delivery, it</w:t>
            </w:r>
            <w:r w:rsidR="00D86315">
              <w:t xml:space="preserve"> too</w:t>
            </w:r>
            <w:r w:rsidR="00C207D7">
              <w:t xml:space="preserve"> has limited rollout in RACFs.</w:t>
            </w:r>
            <w:r w:rsidR="00C207D7">
              <w:rPr>
                <w:rStyle w:val="FootnoteReference"/>
              </w:rPr>
              <w:footnoteReference w:id="87"/>
            </w:r>
          </w:p>
          <w:p w14:paraId="7F1693E7" w14:textId="4A9F622D" w:rsidR="00DF3EB4" w:rsidRDefault="00DF3EB4" w:rsidP="000140E8">
            <w:pPr>
              <w:pStyle w:val="Bullet"/>
              <w:numPr>
                <w:ilvl w:val="0"/>
                <w:numId w:val="0"/>
              </w:numPr>
            </w:pPr>
            <w:r>
              <w:t>Lastly, attributing costs and savings incurred to palliative care interventions is difficult to ascertain</w:t>
            </w:r>
            <w:r w:rsidR="00F00B55">
              <w:t xml:space="preserve"> due to the nature of care delivery. </w:t>
            </w:r>
            <w:r w:rsidR="00CB2B4C">
              <w:t>Many factors</w:t>
            </w:r>
            <w:r w:rsidR="00AB0B17">
              <w:t xml:space="preserve"> contribute to palliative care, </w:t>
            </w:r>
            <w:r w:rsidR="00AA26A7">
              <w:t>leading to a range of</w:t>
            </w:r>
            <w:r w:rsidR="00AB0B17">
              <w:t xml:space="preserve"> potential areas to intervene.</w:t>
            </w:r>
            <w:r w:rsidR="00CB2B4C">
              <w:rPr>
                <w:rStyle w:val="FootnoteReference"/>
              </w:rPr>
              <w:footnoteReference w:id="88"/>
            </w:r>
            <w:r w:rsidR="00AB0B17">
              <w:t xml:space="preserve"> </w:t>
            </w:r>
            <w:r w:rsidR="00CB2B4C">
              <w:t xml:space="preserve">Interventions have the potential to overlap with each other, complicating the ability to attribute certain outcomes to certain interventions. </w:t>
            </w:r>
          </w:p>
          <w:p w14:paraId="384BBF59" w14:textId="7A4B926F" w:rsidR="004D71E9" w:rsidRPr="00C713E2" w:rsidRDefault="00AE442B" w:rsidP="00A3459C">
            <w:pPr>
              <w:pStyle w:val="Longformcallout"/>
              <w:spacing w:after="120"/>
            </w:pPr>
            <w:r>
              <w:t xml:space="preserve">One </w:t>
            </w:r>
            <w:r w:rsidR="00AE1853">
              <w:t xml:space="preserve">recent </w:t>
            </w:r>
            <w:r>
              <w:t xml:space="preserve">comprehensive </w:t>
            </w:r>
            <w:r w:rsidR="005025F7">
              <w:t xml:space="preserve">economic analysis </w:t>
            </w:r>
            <w:r w:rsidR="008D552C">
              <w:t xml:space="preserve">undertook a pragmatic evaluation on the return on investment on key palliative care interventions. </w:t>
            </w:r>
            <w:r w:rsidR="00624A46">
              <w:t xml:space="preserve">The analysis </w:t>
            </w:r>
            <w:r w:rsidR="005025F7">
              <w:t>found that a $1 investment in improving uptake of advance care planning can return an average between $0.47 and $2.99</w:t>
            </w:r>
            <w:r w:rsidR="00123E9C">
              <w:t xml:space="preserve"> from reduced hospitalisation costs</w:t>
            </w:r>
            <w:r w:rsidR="005025F7">
              <w:t xml:space="preserve">. </w:t>
            </w:r>
            <w:r w:rsidR="00BD0B04">
              <w:t xml:space="preserve">Based on the INSPIRED </w:t>
            </w:r>
            <w:r w:rsidR="00A3459C">
              <w:t>Mode</w:t>
            </w:r>
            <w:r w:rsidR="00BD0B04">
              <w:t>l, i</w:t>
            </w:r>
            <w:r w:rsidR="003628B9">
              <w:t xml:space="preserve">mplementing a Nurse Practitioner </w:t>
            </w:r>
            <w:r w:rsidR="00866CC5">
              <w:t xml:space="preserve">in RACFs is estimated to </w:t>
            </w:r>
            <w:r w:rsidR="00BD0B04">
              <w:t xml:space="preserve">return $1.68 to $4.14 for every $1 </w:t>
            </w:r>
            <w:r w:rsidR="00DA791F">
              <w:t>spent. Cost</w:t>
            </w:r>
            <w:r w:rsidR="00327D53">
              <w:t>s saved result from</w:t>
            </w:r>
            <w:r w:rsidR="003E2F5C">
              <w:t xml:space="preserve"> </w:t>
            </w:r>
            <w:r w:rsidR="00123E9C">
              <w:t>reduced bed days, ICU admissions, and ED transport costs.</w:t>
            </w:r>
            <w:r w:rsidR="009A231F">
              <w:rPr>
                <w:rStyle w:val="FootnoteReference"/>
              </w:rPr>
              <w:footnoteReference w:id="89"/>
            </w:r>
          </w:p>
        </w:tc>
      </w:tr>
    </w:tbl>
    <w:p w14:paraId="118C8C7A" w14:textId="32E57BB6" w:rsidR="007D7318" w:rsidRPr="004D71E9" w:rsidRDefault="007D7318" w:rsidP="004D71E9">
      <w:pPr>
        <w:rPr>
          <w:lang w:eastAsia="en-AU"/>
        </w:rPr>
        <w:sectPr w:rsidR="007D7318" w:rsidRPr="004D71E9" w:rsidSect="000D19FD">
          <w:footerReference w:type="default" r:id="rId27"/>
          <w:pgSz w:w="11907" w:h="16839" w:code="9"/>
          <w:pgMar w:top="1418" w:right="1418" w:bottom="1418" w:left="1559" w:header="720" w:footer="720" w:gutter="0"/>
          <w:pgNumType w:start="1"/>
          <w:cols w:space="720"/>
          <w:docGrid w:linePitch="360"/>
        </w:sectPr>
      </w:pPr>
    </w:p>
    <w:p w14:paraId="707ECC0F" w14:textId="6A866CF5" w:rsidR="00C5415F" w:rsidRPr="00C5415F" w:rsidRDefault="00E764D4" w:rsidP="00C5415F">
      <w:pPr>
        <w:pStyle w:val="Caption"/>
        <w:rPr>
          <w:lang w:eastAsia="en-AU"/>
        </w:rPr>
      </w:pPr>
      <w:bookmarkStart w:id="51" w:name="_Ref51265273"/>
      <w:bookmarkStart w:id="52" w:name="_Ref51572225"/>
      <w:bookmarkStart w:id="53" w:name="_Ref57182614"/>
      <w:r w:rsidRPr="00E764D4">
        <w:rPr>
          <w:noProof/>
        </w:rPr>
        <w:lastRenderedPageBreak/>
        <w:drawing>
          <wp:anchor distT="0" distB="0" distL="114300" distR="114300" simplePos="0" relativeHeight="251658247" behindDoc="0" locked="0" layoutInCell="1" allowOverlap="1" wp14:anchorId="63036CEA" wp14:editId="16E5DA03">
            <wp:simplePos x="0" y="0"/>
            <wp:positionH relativeFrom="page">
              <wp:align>right</wp:align>
            </wp:positionH>
            <wp:positionV relativeFrom="paragraph">
              <wp:posOffset>-227965</wp:posOffset>
            </wp:positionV>
            <wp:extent cx="10696574" cy="6465502"/>
            <wp:effectExtent l="0" t="0" r="0" b="0"/>
            <wp:wrapNone/>
            <wp:docPr id="7" name="Picture 7" descr="Bupa provides national delivery of preventative healthcare in RACFs. Indigenous Palliative Care Service Delivery offers Indigenous palliative care service delivery in the Northern Territory. In Queensland, Care-pact provides consultative services for GPs regarding their resident's acute issues. The Geriatric Flying Squad, the Aged Raped Response Team, Aged Care Emergency, Virtual Aged Care Services and Outreach geriatric medication advisory service are offered in New South Wales. In the Australian Capital Territory, Inspired specialists conduct needs rounds for residents. The Envelope, Hammond Care Lavender Palliative Care Suite, St Vincent's Health Network Palliative Care Nurses and Austin Health Residential InReach are offered in Victoria." title="Key Australian models of care identified in the literature revi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696574" cy="64655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530C5380">
        <w:t xml:space="preserve">Figure </w:t>
      </w:r>
      <w:r w:rsidR="00DE7D7D">
        <w:fldChar w:fldCharType="begin"/>
      </w:r>
      <w:r w:rsidR="00DE7D7D">
        <w:instrText xml:space="preserve"> SEQ Figure \* ARABIC </w:instrText>
      </w:r>
      <w:r w:rsidR="00DE7D7D">
        <w:fldChar w:fldCharType="separate"/>
      </w:r>
      <w:r w:rsidR="000E59E1">
        <w:rPr>
          <w:noProof/>
        </w:rPr>
        <w:t>6</w:t>
      </w:r>
      <w:r w:rsidR="00DE7D7D">
        <w:fldChar w:fldCharType="end"/>
      </w:r>
      <w:bookmarkEnd w:id="51"/>
      <w:bookmarkEnd w:id="52"/>
      <w:r w:rsidR="530C5380">
        <w:t xml:space="preserve"> | Map of domestic</w:t>
      </w:r>
      <w:r w:rsidR="7C29B667">
        <w:t xml:space="preserve"> models of</w:t>
      </w:r>
      <w:r w:rsidR="530C5380">
        <w:t xml:space="preserve"> palliative care in </w:t>
      </w:r>
      <w:r w:rsidR="7C29B667">
        <w:t>RACFs</w:t>
      </w:r>
      <w:bookmarkEnd w:id="53"/>
      <w:r w:rsidR="46747970">
        <w:rPr>
          <w:lang w:eastAsia="en-AU"/>
        </w:rPr>
        <w:t xml:space="preserve"> </w:t>
      </w:r>
    </w:p>
    <w:p w14:paraId="0D43F30B" w14:textId="08022041" w:rsidR="00950DB4" w:rsidRPr="00950DB4" w:rsidRDefault="00950DB4" w:rsidP="00950DB4">
      <w:pPr>
        <w:rPr>
          <w:lang w:eastAsia="en-AU"/>
        </w:rPr>
      </w:pPr>
    </w:p>
    <w:p w14:paraId="23126747" w14:textId="2ECCDF3A" w:rsidR="00DE7D7D" w:rsidRDefault="00DE7D7D" w:rsidP="002C661D">
      <w:pPr>
        <w:rPr>
          <w:noProof/>
        </w:rPr>
      </w:pPr>
    </w:p>
    <w:p w14:paraId="2ADD4579" w14:textId="766D0830" w:rsidR="00DE7D7D" w:rsidRDefault="00DE7D7D" w:rsidP="002C661D">
      <w:pPr>
        <w:sectPr w:rsidR="00DE7D7D" w:rsidSect="003B52E5">
          <w:pgSz w:w="16839" w:h="11907" w:orient="landscape" w:code="9"/>
          <w:pgMar w:top="1559" w:right="1418" w:bottom="1418" w:left="1701" w:header="720" w:footer="720" w:gutter="0"/>
          <w:cols w:space="720"/>
          <w:docGrid w:linePitch="360"/>
        </w:sectPr>
      </w:pPr>
    </w:p>
    <w:p w14:paraId="225A9CF1" w14:textId="1BD0A7E7" w:rsidR="00B40590" w:rsidRDefault="00CC0B96" w:rsidP="00B40590">
      <w:bookmarkStart w:id="54" w:name="_Ref51265246"/>
      <w:r>
        <w:lastRenderedPageBreak/>
        <w:t>Of the 1</w:t>
      </w:r>
      <w:r w:rsidR="00D762A8">
        <w:t>4</w:t>
      </w:r>
      <w:r>
        <w:t xml:space="preserve"> domestic models of care identified, </w:t>
      </w:r>
      <w:r w:rsidR="00D762A8">
        <w:t>seven</w:t>
      </w:r>
      <w:r>
        <w:t xml:space="preserve"> models were supported by evidence that demonstrated their efficacy through their study design and/or via review or evaluation. </w:t>
      </w:r>
      <w:r w:rsidR="007560C6">
        <w:t>The</w:t>
      </w:r>
      <w:r w:rsidR="00EA2E52">
        <w:t xml:space="preserve"> </w:t>
      </w:r>
      <w:r w:rsidR="00CE5DCA">
        <w:t>variety of</w:t>
      </w:r>
      <w:r w:rsidR="007560C6">
        <w:t xml:space="preserve"> approaches to palliative care models</w:t>
      </w:r>
      <w:r w:rsidR="00CD1718">
        <w:t xml:space="preserve"> of care</w:t>
      </w:r>
      <w:r w:rsidR="007560C6">
        <w:t xml:space="preserve"> in RACFs </w:t>
      </w:r>
      <w:r w:rsidR="00CE5DCA">
        <w:t xml:space="preserve">suggest that </w:t>
      </w:r>
      <w:r w:rsidR="00992111">
        <w:t xml:space="preserve">there </w:t>
      </w:r>
      <w:r w:rsidR="00CD1718">
        <w:t>are multiple ways</w:t>
      </w:r>
      <w:r w:rsidR="00992111">
        <w:t xml:space="preserve"> to </w:t>
      </w:r>
      <w:r w:rsidR="00EA2E52">
        <w:t>address current service gaps</w:t>
      </w:r>
      <w:r w:rsidR="00992111">
        <w:t xml:space="preserve">, but that integrating specialist care into RACFs is </w:t>
      </w:r>
      <w:r w:rsidR="006F7F99">
        <w:t>a consistent theme</w:t>
      </w:r>
      <w:r w:rsidR="00EA2E52">
        <w:t>.</w:t>
      </w:r>
      <w:r w:rsidR="00EA2E52">
        <w:rPr>
          <w:rStyle w:val="FootnoteReference"/>
        </w:rPr>
        <w:footnoteReference w:id="90"/>
      </w:r>
      <w:r w:rsidR="00EA2E52">
        <w:t xml:space="preserve"> </w:t>
      </w:r>
      <w:r w:rsidR="00DE28E4">
        <w:t>The majority of m</w:t>
      </w:r>
      <w:r w:rsidR="00852AA6">
        <w:t>odel</w:t>
      </w:r>
      <w:r w:rsidR="00DE28E4">
        <w:t>s are not solely focused on palliative care but programs or initiatives that w</w:t>
      </w:r>
      <w:r w:rsidR="00AA7B2D">
        <w:t>i</w:t>
      </w:r>
      <w:r w:rsidR="00DE28E4">
        <w:t xml:space="preserve">ll contribute to improved palliative care </w:t>
      </w:r>
      <w:r w:rsidR="00852AA6">
        <w:t xml:space="preserve">alongside broader care improvement. </w:t>
      </w:r>
      <w:r w:rsidR="00043EE0">
        <w:t xml:space="preserve">Models were predominantly rolled out in one or two facilities but were not done at a regional or national scale. The INSPIRED Model was the only model that was rolled out at scale, done so in the region of ACT (over 1000 participants and in 12 sites across the region). </w:t>
      </w:r>
      <w:r>
        <w:t>The key features of each</w:t>
      </w:r>
      <w:r w:rsidR="00F91395">
        <w:t xml:space="preserve"> model that is supported by evidence</w:t>
      </w:r>
      <w:r>
        <w:t xml:space="preserve">, including why the model is considered good practice, are described in </w:t>
      </w:r>
      <w:r w:rsidR="00B40590">
        <w:fldChar w:fldCharType="begin"/>
      </w:r>
      <w:r w:rsidR="00B40590">
        <w:instrText xml:space="preserve"> REF _Ref51333357 \h </w:instrText>
      </w:r>
      <w:r w:rsidR="00B40590">
        <w:fldChar w:fldCharType="separate"/>
      </w:r>
      <w:r w:rsidR="000E59E1">
        <w:t xml:space="preserve">Table </w:t>
      </w:r>
      <w:r w:rsidR="000E59E1">
        <w:rPr>
          <w:noProof/>
        </w:rPr>
        <w:t>3</w:t>
      </w:r>
      <w:r w:rsidR="00B40590">
        <w:fldChar w:fldCharType="end"/>
      </w:r>
      <w:r>
        <w:t xml:space="preserve">. </w:t>
      </w:r>
      <w:r w:rsidR="00C47811">
        <w:rPr>
          <w:lang w:eastAsia="en-AU"/>
        </w:rPr>
        <w:t>S</w:t>
      </w:r>
      <w:r w:rsidR="00FD48C2">
        <w:rPr>
          <w:lang w:eastAsia="en-AU"/>
        </w:rPr>
        <w:t xml:space="preserve">ee </w:t>
      </w:r>
      <w:r w:rsidR="00FD48C2">
        <w:rPr>
          <w:lang w:eastAsia="en-AU"/>
        </w:rPr>
        <w:fldChar w:fldCharType="begin"/>
      </w:r>
      <w:r w:rsidR="00FD48C2">
        <w:rPr>
          <w:lang w:eastAsia="en-AU"/>
        </w:rPr>
        <w:instrText xml:space="preserve"> REF _Ref51163437 \r \h </w:instrText>
      </w:r>
      <w:r w:rsidR="00FD48C2">
        <w:rPr>
          <w:lang w:eastAsia="en-AU"/>
        </w:rPr>
      </w:r>
      <w:r w:rsidR="00FD48C2">
        <w:rPr>
          <w:lang w:eastAsia="en-AU"/>
        </w:rPr>
        <w:fldChar w:fldCharType="separate"/>
      </w:r>
      <w:r w:rsidR="000E59E1">
        <w:rPr>
          <w:lang w:eastAsia="en-AU"/>
        </w:rPr>
        <w:t>Appendix A</w:t>
      </w:r>
      <w:r w:rsidR="00FD48C2">
        <w:rPr>
          <w:lang w:eastAsia="en-AU"/>
        </w:rPr>
        <w:fldChar w:fldCharType="end"/>
      </w:r>
      <w:r w:rsidR="00FD48C2">
        <w:rPr>
          <w:lang w:eastAsia="en-AU"/>
        </w:rPr>
        <w:t xml:space="preserve"> for </w:t>
      </w:r>
      <w:r w:rsidR="00C47811">
        <w:rPr>
          <w:lang w:eastAsia="en-AU"/>
        </w:rPr>
        <w:t>the detailed list</w:t>
      </w:r>
      <w:r w:rsidR="00F91395">
        <w:rPr>
          <w:lang w:eastAsia="en-AU"/>
        </w:rPr>
        <w:t xml:space="preserve"> of all models.</w:t>
      </w:r>
    </w:p>
    <w:p w14:paraId="65ADE36A" w14:textId="755E4DD2" w:rsidR="00D96927" w:rsidRDefault="00D96927" w:rsidP="00D96927">
      <w:pPr>
        <w:pStyle w:val="Caption"/>
      </w:pPr>
      <w:bookmarkStart w:id="55" w:name="_Ref51333357"/>
      <w:bookmarkStart w:id="56" w:name="_Ref57182623"/>
      <w:r>
        <w:t xml:space="preserve">Table </w:t>
      </w:r>
      <w:r>
        <w:fldChar w:fldCharType="begin"/>
      </w:r>
      <w:r>
        <w:instrText xml:space="preserve"> SEQ Table \* ARABIC </w:instrText>
      </w:r>
      <w:r>
        <w:fldChar w:fldCharType="separate"/>
      </w:r>
      <w:r w:rsidR="000E59E1">
        <w:rPr>
          <w:noProof/>
        </w:rPr>
        <w:t>3</w:t>
      </w:r>
      <w:r>
        <w:fldChar w:fldCharType="end"/>
      </w:r>
      <w:bookmarkEnd w:id="54"/>
      <w:bookmarkEnd w:id="55"/>
      <w:r>
        <w:t xml:space="preserve"> | Australian examples of palliative care activities or initiatives in RACFs</w:t>
      </w:r>
      <w:bookmarkEnd w:id="56"/>
    </w:p>
    <w:tbl>
      <w:tblPr>
        <w:tblStyle w:val="TableGrid"/>
        <w:tblW w:w="5000" w:type="pct"/>
        <w:tblLook w:val="0400" w:firstRow="0" w:lastRow="0" w:firstColumn="0" w:lastColumn="0" w:noHBand="0" w:noVBand="1"/>
        <w:tblCaption w:val="Australian examples of palliative care activities or initiatives in RACFs and why they are good practice models of care"/>
        <w:tblDescription w:val="The ACT's INSPIRED model consists of palliative care practitioners in RACFs who conduct 'Needs rounds' and provide direct and indirect support. This model normalises death and dying in RACFs, provides timely access to palliative care specialists and develops capabilities of RACF staff indirectly through needs rounds.&#10;&#10;In New  South Wales, the outreach geriatric medication advisory services provides a holistic, person-centred care through the multidisciplinary team involving GP, geriatrician and pharmacists and residential care staff for each resident. The Aged Care emergency (ACE) program supports staff in RACFs to facilitate residents' acute care needs and aims to reduce ED visits for acute care. The Virtual Aged Care Services also aims to reduce unnecessary hospital presentations and admissions for older people by providing access to specialist care providers and by developing capabilities of RACF staff through education.&#10;&#10;In Victoria, The Envelope is a simple tool used to transfer clinical information during ED transfers. It raises staff awareness of the importance of clinical handover and perceptions of improved clinical handover. &#10;&#10;BUPA's Model of Care is delivered nationally and provides individual services in RACFs including delivery of palliative care by trained and educated GPs as required. "/>
      </w:tblPr>
      <w:tblGrid>
        <w:gridCol w:w="1718"/>
        <w:gridCol w:w="1482"/>
        <w:gridCol w:w="5042"/>
        <w:gridCol w:w="5749"/>
        <w:gridCol w:w="6"/>
      </w:tblGrid>
      <w:tr w:rsidR="00822B63" w14:paraId="6A8BBC33" w14:textId="77777777" w:rsidTr="22C19DAE">
        <w:trPr>
          <w:trHeight w:val="454"/>
          <w:tblHeader/>
        </w:trPr>
        <w:tc>
          <w:tcPr>
            <w:tcW w:w="1718" w:type="dxa"/>
            <w:tcBorders>
              <w:top w:val="nil"/>
              <w:left w:val="single" w:sz="6" w:space="0" w:color="EDEDE8" w:themeColor="accent5"/>
              <w:right w:val="single" w:sz="4" w:space="0" w:color="FFFFFF" w:themeColor="background1"/>
            </w:tcBorders>
            <w:shd w:val="clear" w:color="auto" w:fill="00264D" w:themeFill="background2"/>
          </w:tcPr>
          <w:p w14:paraId="2AE6F208" w14:textId="6FC076FB" w:rsidR="00A37C12" w:rsidRPr="000B424D" w:rsidRDefault="00A37C12" w:rsidP="000B424D">
            <w:pPr>
              <w:pStyle w:val="TableNheader"/>
              <w:rPr>
                <w:color w:val="FFFFFF" w:themeColor="background1"/>
              </w:rPr>
            </w:pPr>
            <w:r w:rsidRPr="000B424D">
              <w:rPr>
                <w:color w:val="FFFFFF" w:themeColor="background1"/>
              </w:rPr>
              <w:t>Model of care</w:t>
            </w:r>
          </w:p>
        </w:tc>
        <w:tc>
          <w:tcPr>
            <w:tcW w:w="1482" w:type="dxa"/>
            <w:tcBorders>
              <w:top w:val="nil"/>
              <w:left w:val="single" w:sz="4" w:space="0" w:color="FFFFFF" w:themeColor="background1"/>
              <w:right w:val="single" w:sz="4" w:space="0" w:color="FFFFFF" w:themeColor="background1"/>
            </w:tcBorders>
            <w:shd w:val="clear" w:color="auto" w:fill="00264D" w:themeFill="background2"/>
          </w:tcPr>
          <w:p w14:paraId="78DFECB4" w14:textId="68B26446" w:rsidR="00A37C12" w:rsidRPr="000B424D" w:rsidRDefault="0010383F" w:rsidP="000B424D">
            <w:pPr>
              <w:pStyle w:val="TableNheader"/>
              <w:rPr>
                <w:color w:val="FFFFFF" w:themeColor="background1"/>
              </w:rPr>
            </w:pPr>
            <w:r w:rsidRPr="000B424D">
              <w:rPr>
                <w:color w:val="FFFFFF" w:themeColor="background1"/>
              </w:rPr>
              <w:t xml:space="preserve">Key </w:t>
            </w:r>
            <w:r w:rsidR="006B0CA9">
              <w:rPr>
                <w:color w:val="FFFFFF" w:themeColor="background1"/>
              </w:rPr>
              <w:t>component</w:t>
            </w:r>
          </w:p>
        </w:tc>
        <w:tc>
          <w:tcPr>
            <w:tcW w:w="5042" w:type="dxa"/>
            <w:tcBorders>
              <w:top w:val="nil"/>
              <w:left w:val="single" w:sz="4" w:space="0" w:color="FFFFFF" w:themeColor="background1"/>
              <w:right w:val="single" w:sz="4" w:space="0" w:color="FFFFFF" w:themeColor="background1"/>
            </w:tcBorders>
            <w:shd w:val="clear" w:color="auto" w:fill="00264D" w:themeFill="background2"/>
          </w:tcPr>
          <w:p w14:paraId="44CD4A29" w14:textId="1EF57188" w:rsidR="00A37C12" w:rsidRPr="000B424D" w:rsidRDefault="00A37C12" w:rsidP="000B424D">
            <w:pPr>
              <w:pStyle w:val="TableNheader"/>
              <w:rPr>
                <w:color w:val="FFFFFF" w:themeColor="background1"/>
              </w:rPr>
            </w:pPr>
            <w:r w:rsidRPr="000B424D">
              <w:rPr>
                <w:color w:val="FFFFFF" w:themeColor="background1"/>
              </w:rPr>
              <w:t>Description</w:t>
            </w:r>
          </w:p>
        </w:tc>
        <w:tc>
          <w:tcPr>
            <w:tcW w:w="5755" w:type="dxa"/>
            <w:gridSpan w:val="2"/>
            <w:tcBorders>
              <w:top w:val="nil"/>
              <w:left w:val="single" w:sz="4" w:space="0" w:color="FFFFFF" w:themeColor="background1"/>
            </w:tcBorders>
            <w:shd w:val="clear" w:color="auto" w:fill="00264D" w:themeFill="background2"/>
          </w:tcPr>
          <w:p w14:paraId="0D32A25F" w14:textId="01851CBA" w:rsidR="00A37C12" w:rsidRPr="000B424D" w:rsidRDefault="00A37C12" w:rsidP="000B424D">
            <w:pPr>
              <w:pStyle w:val="TableNheader"/>
              <w:rPr>
                <w:color w:val="FFFFFF" w:themeColor="background1"/>
              </w:rPr>
            </w:pPr>
            <w:r w:rsidRPr="000B424D">
              <w:rPr>
                <w:color w:val="FFFFFF" w:themeColor="background1"/>
              </w:rPr>
              <w:t>Rationale for why the model is good practice</w:t>
            </w:r>
          </w:p>
        </w:tc>
      </w:tr>
      <w:tr w:rsidR="00CE0768" w:rsidRPr="00D82AB1" w14:paraId="3DB5A7A9" w14:textId="77777777" w:rsidTr="002B221A">
        <w:trPr>
          <w:gridAfter w:val="1"/>
          <w:wAfter w:w="6" w:type="dxa"/>
          <w:trHeight w:val="283"/>
        </w:trPr>
        <w:tc>
          <w:tcPr>
            <w:tcW w:w="13991" w:type="dxa"/>
            <w:gridSpan w:val="4"/>
            <w:tcBorders>
              <w:top w:val="single" w:sz="8" w:space="0" w:color="EDEDE8" w:themeColor="accent5"/>
              <w:left w:val="single" w:sz="6" w:space="0" w:color="EDEDE8" w:themeColor="accent5"/>
              <w:bottom w:val="single" w:sz="4" w:space="0" w:color="F8981D" w:themeColor="accent3"/>
              <w:right w:val="single" w:sz="6" w:space="0" w:color="EDEDE8" w:themeColor="accent5"/>
            </w:tcBorders>
          </w:tcPr>
          <w:p w14:paraId="391D8CF7" w14:textId="2461F61F" w:rsidR="00CE0768" w:rsidRPr="009D5C86" w:rsidRDefault="009D5C86" w:rsidP="009D5C86">
            <w:pPr>
              <w:spacing w:after="0"/>
              <w:rPr>
                <w:b/>
              </w:rPr>
            </w:pPr>
            <w:r w:rsidRPr="002B221A">
              <w:rPr>
                <w:b/>
                <w:bCs/>
                <w:color w:val="F8981D" w:themeColor="accent3"/>
              </w:rPr>
              <w:t>ACT</w:t>
            </w:r>
          </w:p>
        </w:tc>
      </w:tr>
      <w:tr w:rsidR="00822B63" w14:paraId="3B9219BD" w14:textId="77777777" w:rsidTr="002B221A">
        <w:trPr>
          <w:gridAfter w:val="1"/>
          <w:wAfter w:w="6" w:type="dxa"/>
        </w:trPr>
        <w:tc>
          <w:tcPr>
            <w:tcW w:w="1718" w:type="dxa"/>
            <w:tcBorders>
              <w:top w:val="single" w:sz="4" w:space="0" w:color="F8981D" w:themeColor="accent3"/>
              <w:left w:val="single" w:sz="6" w:space="0" w:color="EDEDE8" w:themeColor="accent5"/>
              <w:bottom w:val="single" w:sz="6" w:space="0" w:color="EDEDE8" w:themeColor="accent5"/>
            </w:tcBorders>
            <w:shd w:val="clear" w:color="auto" w:fill="F2F2F2" w:themeFill="background1" w:themeFillShade="F2"/>
          </w:tcPr>
          <w:p w14:paraId="75C2534A" w14:textId="77777777" w:rsidR="0049411F" w:rsidRPr="00483021" w:rsidRDefault="0049411F" w:rsidP="00FE19F4">
            <w:pPr>
              <w:pStyle w:val="TableNText"/>
            </w:pPr>
            <w:r w:rsidRPr="00483021">
              <w:t>INSPIRED Model</w:t>
            </w:r>
            <w:r w:rsidRPr="00483021">
              <w:rPr>
                <w:rStyle w:val="FootnoteReference"/>
                <w:rFonts w:cs="Source Sans Pro"/>
                <w:sz w:val="16"/>
                <w:szCs w:val="16"/>
              </w:rPr>
              <w:footnoteReference w:id="91"/>
            </w:r>
          </w:p>
          <w:p w14:paraId="0DBFD862" w14:textId="794303F5" w:rsidR="00C6361F" w:rsidRPr="00DE7D7D" w:rsidRDefault="00C6361F" w:rsidP="00FE19F4">
            <w:pPr>
              <w:pStyle w:val="TableNText"/>
              <w:rPr>
                <w:b/>
              </w:rPr>
            </w:pPr>
          </w:p>
        </w:tc>
        <w:tc>
          <w:tcPr>
            <w:tcW w:w="1482" w:type="dxa"/>
            <w:tcBorders>
              <w:top w:val="single" w:sz="4" w:space="0" w:color="F8981D" w:themeColor="accent3"/>
              <w:bottom w:val="single" w:sz="6" w:space="0" w:color="EDEDE8" w:themeColor="accent5"/>
            </w:tcBorders>
          </w:tcPr>
          <w:p w14:paraId="13DCD1A4" w14:textId="2A47D187" w:rsidR="0049411F" w:rsidRPr="00DE7D7D" w:rsidRDefault="0049411F" w:rsidP="00FE19F4">
            <w:pPr>
              <w:pStyle w:val="TableNText"/>
            </w:pPr>
            <w:r w:rsidRPr="00483021">
              <w:t>Case management</w:t>
            </w:r>
          </w:p>
        </w:tc>
        <w:tc>
          <w:tcPr>
            <w:tcW w:w="5042" w:type="dxa"/>
            <w:tcBorders>
              <w:top w:val="single" w:sz="4" w:space="0" w:color="F8981D" w:themeColor="accent3"/>
              <w:bottom w:val="single" w:sz="6" w:space="0" w:color="EDEDE8" w:themeColor="accent5"/>
            </w:tcBorders>
          </w:tcPr>
          <w:p w14:paraId="2691A972" w14:textId="782B8699" w:rsidR="0049411F" w:rsidRPr="00DE7D7D" w:rsidRDefault="00C6361F" w:rsidP="00FE19F4">
            <w:pPr>
              <w:pStyle w:val="TableNText"/>
            </w:pPr>
            <w:r w:rsidRPr="00483021">
              <w:t>INSPIRED model consists of placing</w:t>
            </w:r>
            <w:r w:rsidR="0049411F" w:rsidRPr="00483021">
              <w:t xml:space="preserve"> </w:t>
            </w:r>
            <w:r w:rsidR="000670EF">
              <w:t>a</w:t>
            </w:r>
            <w:r w:rsidR="0049411F" w:rsidRPr="00483021">
              <w:t xml:space="preserve"> palliative care nurse practitioner </w:t>
            </w:r>
            <w:r w:rsidRPr="00483021">
              <w:t>in RACFs. Nurse practi</w:t>
            </w:r>
            <w:r w:rsidR="00236055" w:rsidRPr="00483021">
              <w:t>ti</w:t>
            </w:r>
            <w:r w:rsidRPr="00483021">
              <w:t>oners conduct ‘Needs rounds’ to asses</w:t>
            </w:r>
            <w:r w:rsidR="00236055" w:rsidRPr="00483021">
              <w:t xml:space="preserve">s residents’ palliative care needs and deterioration. Palliative care nurse practitioners provide direct support though clinical assessments and indirect support through needs rounds, which serve to uplift staff </w:t>
            </w:r>
            <w:r w:rsidR="0049411F" w:rsidRPr="00483021">
              <w:t>capability uplift through care plan discussions</w:t>
            </w:r>
            <w:r w:rsidR="00236055" w:rsidRPr="00483021">
              <w:t>.</w:t>
            </w:r>
          </w:p>
        </w:tc>
        <w:tc>
          <w:tcPr>
            <w:tcW w:w="5749" w:type="dxa"/>
            <w:tcBorders>
              <w:top w:val="single" w:sz="4" w:space="0" w:color="F8981D" w:themeColor="accent3"/>
              <w:bottom w:val="single" w:sz="6" w:space="0" w:color="EDEDE8" w:themeColor="accent5"/>
              <w:right w:val="single" w:sz="6" w:space="0" w:color="EDEDE8" w:themeColor="accent5"/>
            </w:tcBorders>
          </w:tcPr>
          <w:p w14:paraId="7CBA4582" w14:textId="77777777" w:rsidR="0049411F" w:rsidRPr="00483021" w:rsidRDefault="0049411F" w:rsidP="002528DA">
            <w:pPr>
              <w:pStyle w:val="TableNBullet"/>
            </w:pPr>
            <w:r w:rsidRPr="00483021">
              <w:t xml:space="preserve">Normalised death and dying in RACFs </w:t>
            </w:r>
          </w:p>
          <w:p w14:paraId="110992E0" w14:textId="73AE80F9" w:rsidR="002528DA" w:rsidRPr="00483021" w:rsidRDefault="002528DA" w:rsidP="002528DA">
            <w:pPr>
              <w:pStyle w:val="TableNBullet"/>
            </w:pPr>
            <w:r w:rsidRPr="00483021">
              <w:t>Provided timely access to palliative care specialist</w:t>
            </w:r>
          </w:p>
          <w:p w14:paraId="1D42AFF9" w14:textId="0AA021DE" w:rsidR="0084162A" w:rsidRPr="00D82AB1" w:rsidRDefault="0084162A" w:rsidP="00D82AB1">
            <w:pPr>
              <w:pStyle w:val="TableNBullet"/>
            </w:pPr>
            <w:r>
              <w:t xml:space="preserve">Reduced unnecessary hospitalisations </w:t>
            </w:r>
          </w:p>
          <w:p w14:paraId="04F603AD" w14:textId="77777777" w:rsidR="0049411F" w:rsidRDefault="002528DA" w:rsidP="00D82AB1">
            <w:pPr>
              <w:pStyle w:val="TableNBullet"/>
            </w:pPr>
            <w:r>
              <w:t>Improved</w:t>
            </w:r>
            <w:r w:rsidR="0049411F" w:rsidRPr="00483021">
              <w:t xml:space="preserve"> decision making and planned care for residents</w:t>
            </w:r>
            <w:r>
              <w:t>,</w:t>
            </w:r>
            <w:r w:rsidR="0049411F" w:rsidRPr="00483021">
              <w:t xml:space="preserve"> meaning staff and relatives were better informed on resident trajectory </w:t>
            </w:r>
          </w:p>
          <w:p w14:paraId="4AF8884F" w14:textId="50F5D193" w:rsidR="0049411F" w:rsidRPr="00D82AB1" w:rsidRDefault="00407407" w:rsidP="00407407">
            <w:pPr>
              <w:pStyle w:val="TableNBullet"/>
              <w:spacing w:line="259" w:lineRule="auto"/>
            </w:pPr>
            <w:r w:rsidRPr="00D82AB1">
              <w:t>Developed capabilities of RACF staff</w:t>
            </w:r>
            <w:r>
              <w:t xml:space="preserve"> indirectly through needs rounds</w:t>
            </w:r>
          </w:p>
        </w:tc>
      </w:tr>
      <w:tr w:rsidR="009D5C86" w:rsidRPr="00D82AB1" w14:paraId="71597658" w14:textId="77777777" w:rsidTr="002B221A">
        <w:trPr>
          <w:gridAfter w:val="1"/>
          <w:wAfter w:w="6" w:type="dxa"/>
          <w:trHeight w:val="283"/>
        </w:trPr>
        <w:tc>
          <w:tcPr>
            <w:tcW w:w="13991" w:type="dxa"/>
            <w:gridSpan w:val="4"/>
            <w:tcBorders>
              <w:top w:val="single" w:sz="6" w:space="0" w:color="EDEDE8" w:themeColor="accent5"/>
              <w:left w:val="single" w:sz="6" w:space="0" w:color="EDEDE8" w:themeColor="accent5"/>
              <w:bottom w:val="single" w:sz="4" w:space="0" w:color="F25E21" w:themeColor="accent2"/>
              <w:right w:val="single" w:sz="6" w:space="0" w:color="EDEDE8" w:themeColor="accent5"/>
            </w:tcBorders>
          </w:tcPr>
          <w:p w14:paraId="41C30311" w14:textId="21C6B53F" w:rsidR="009D5C86" w:rsidRPr="009D5C86" w:rsidRDefault="009D5C86" w:rsidP="009D5C86">
            <w:pPr>
              <w:spacing w:after="0"/>
              <w:rPr>
                <w:b/>
                <w:bCs/>
              </w:rPr>
            </w:pPr>
            <w:r w:rsidRPr="002B221A">
              <w:rPr>
                <w:b/>
                <w:bCs/>
                <w:color w:val="FF3A40" w:themeColor="accent1"/>
              </w:rPr>
              <w:t>NSW</w:t>
            </w:r>
          </w:p>
        </w:tc>
      </w:tr>
      <w:tr w:rsidR="00822B63" w14:paraId="35D502A1" w14:textId="77777777" w:rsidTr="002B221A">
        <w:trPr>
          <w:gridAfter w:val="1"/>
          <w:wAfter w:w="6" w:type="dxa"/>
        </w:trPr>
        <w:tc>
          <w:tcPr>
            <w:tcW w:w="1718" w:type="dxa"/>
            <w:tcBorders>
              <w:top w:val="single" w:sz="4" w:space="0" w:color="F25E21" w:themeColor="accent2"/>
              <w:left w:val="single" w:sz="6" w:space="0" w:color="EDEDE8" w:themeColor="accent5"/>
              <w:bottom w:val="single" w:sz="8" w:space="0" w:color="EDEDE8" w:themeColor="accent5"/>
            </w:tcBorders>
            <w:shd w:val="clear" w:color="auto" w:fill="F2F2F2" w:themeFill="background1" w:themeFillShade="F2"/>
          </w:tcPr>
          <w:p w14:paraId="6EF235BC" w14:textId="311E209C" w:rsidR="00C6361F" w:rsidRPr="00967829" w:rsidRDefault="002528DA" w:rsidP="00FE19F4">
            <w:pPr>
              <w:pStyle w:val="TableNText"/>
            </w:pPr>
            <w:r w:rsidRPr="00483021">
              <w:t>Outreach geriatric medication advisory service</w:t>
            </w:r>
            <w:r w:rsidRPr="00483021">
              <w:rPr>
                <w:rStyle w:val="FootnoteReference"/>
                <w:rFonts w:cs="Source Sans Pro"/>
                <w:sz w:val="16"/>
                <w:szCs w:val="16"/>
              </w:rPr>
              <w:footnoteReference w:id="92"/>
            </w:r>
          </w:p>
        </w:tc>
        <w:tc>
          <w:tcPr>
            <w:tcW w:w="1482" w:type="dxa"/>
            <w:tcBorders>
              <w:top w:val="single" w:sz="4" w:space="0" w:color="F25E21" w:themeColor="accent2"/>
            </w:tcBorders>
          </w:tcPr>
          <w:p w14:paraId="5D045179" w14:textId="7BBC14D1" w:rsidR="006C5F48" w:rsidRPr="00DE7D7D" w:rsidRDefault="002528DA" w:rsidP="00FE19F4">
            <w:pPr>
              <w:pStyle w:val="TableNText"/>
            </w:pPr>
            <w:r w:rsidRPr="00483021">
              <w:t xml:space="preserve">Case management </w:t>
            </w:r>
          </w:p>
        </w:tc>
        <w:tc>
          <w:tcPr>
            <w:tcW w:w="5042" w:type="dxa"/>
            <w:tcBorders>
              <w:top w:val="single" w:sz="4" w:space="0" w:color="F25E21" w:themeColor="accent2"/>
            </w:tcBorders>
          </w:tcPr>
          <w:p w14:paraId="7A189D27" w14:textId="392DD5A1" w:rsidR="006C5F48" w:rsidRPr="00DE7D7D" w:rsidRDefault="00A26C25" w:rsidP="00FE19F4">
            <w:pPr>
              <w:pStyle w:val="TableNText"/>
            </w:pPr>
            <w:r>
              <w:t>The outreach geriatric medication advisory service consist</w:t>
            </w:r>
            <w:r w:rsidR="000A0EE0">
              <w:t>s</w:t>
            </w:r>
            <w:r>
              <w:t xml:space="preserve"> of m</w:t>
            </w:r>
            <w:r w:rsidR="002528DA" w:rsidRPr="00483021">
              <w:t>ultidisciplinary case conferences involving GP, geriatrician and pharmacists and residential care staff held for each resident</w:t>
            </w:r>
            <w:r>
              <w:t>. The aim of the service is to improve medication prescribing for residents, so they are receiving the appropriate care.</w:t>
            </w:r>
          </w:p>
        </w:tc>
        <w:tc>
          <w:tcPr>
            <w:tcW w:w="5749" w:type="dxa"/>
            <w:tcBorders>
              <w:top w:val="single" w:sz="4" w:space="0" w:color="F25E21" w:themeColor="accent2"/>
              <w:right w:val="single" w:sz="6" w:space="0" w:color="EDEDE8" w:themeColor="accent5"/>
            </w:tcBorders>
          </w:tcPr>
          <w:p w14:paraId="417D9B9A" w14:textId="1BEB2FCC" w:rsidR="002528DA" w:rsidRPr="00483021" w:rsidRDefault="002528DA" w:rsidP="002528DA">
            <w:pPr>
              <w:pStyle w:val="TableNBullet"/>
            </w:pPr>
            <w:r w:rsidRPr="00D82AB1">
              <w:t xml:space="preserve">Provided holistic, person-centred care through the multidisciplinary team </w:t>
            </w:r>
          </w:p>
          <w:p w14:paraId="691A6D03" w14:textId="5DD280A2" w:rsidR="006C5F48" w:rsidRPr="00D82AB1" w:rsidRDefault="002528DA" w:rsidP="008034E2">
            <w:pPr>
              <w:pStyle w:val="TableNBullet"/>
            </w:pPr>
            <w:r>
              <w:t>Improved appropriate medication</w:t>
            </w:r>
            <w:r w:rsidRPr="00483021">
              <w:t xml:space="preserve"> prescribing</w:t>
            </w:r>
            <w:r>
              <w:t xml:space="preserve"> to residents</w:t>
            </w:r>
          </w:p>
        </w:tc>
      </w:tr>
      <w:tr w:rsidR="00850094" w14:paraId="22219D8A" w14:textId="77777777" w:rsidTr="22C19DAE">
        <w:tc>
          <w:tcPr>
            <w:tcW w:w="1718" w:type="dxa"/>
            <w:tcBorders>
              <w:top w:val="single" w:sz="8" w:space="0" w:color="EDEDE8" w:themeColor="accent5"/>
              <w:left w:val="single" w:sz="6" w:space="0" w:color="EDEDE8" w:themeColor="accent5"/>
            </w:tcBorders>
            <w:shd w:val="clear" w:color="auto" w:fill="F2F2F2" w:themeFill="background1" w:themeFillShade="F2"/>
          </w:tcPr>
          <w:p w14:paraId="0A79AF4B" w14:textId="77777777" w:rsidR="00850094" w:rsidRDefault="00850094" w:rsidP="00FE19F4">
            <w:pPr>
              <w:pStyle w:val="TableNText"/>
            </w:pPr>
            <w:r w:rsidRPr="00483021">
              <w:lastRenderedPageBreak/>
              <w:t>Aged Care emergency (ACE) program</w:t>
            </w:r>
            <w:r w:rsidRPr="00483021">
              <w:rPr>
                <w:rStyle w:val="FootnoteReference"/>
                <w:rFonts w:cs="Source Sans Pro"/>
                <w:sz w:val="16"/>
                <w:szCs w:val="16"/>
              </w:rPr>
              <w:footnoteReference w:id="93"/>
            </w:r>
          </w:p>
          <w:p w14:paraId="4BBFF094" w14:textId="193B13F7" w:rsidR="006A537D" w:rsidRPr="00DE7D7D" w:rsidRDefault="006A537D" w:rsidP="00FE19F4">
            <w:pPr>
              <w:pStyle w:val="TableNText"/>
              <w:rPr>
                <w:b/>
              </w:rPr>
            </w:pPr>
          </w:p>
        </w:tc>
        <w:tc>
          <w:tcPr>
            <w:tcW w:w="1482" w:type="dxa"/>
          </w:tcPr>
          <w:p w14:paraId="1D7D4ACA" w14:textId="5CA87AF8" w:rsidR="00850094" w:rsidRPr="00DE7D7D" w:rsidRDefault="00850094" w:rsidP="00FE19F4">
            <w:pPr>
              <w:pStyle w:val="TableNText"/>
            </w:pPr>
            <w:r w:rsidRPr="00483021">
              <w:t>Capability building</w:t>
            </w:r>
          </w:p>
        </w:tc>
        <w:tc>
          <w:tcPr>
            <w:tcW w:w="5042" w:type="dxa"/>
          </w:tcPr>
          <w:p w14:paraId="468258A1" w14:textId="77777777" w:rsidR="00850094" w:rsidRPr="00483021" w:rsidRDefault="00850094" w:rsidP="00FE19F4">
            <w:pPr>
              <w:pStyle w:val="TableNText"/>
            </w:pPr>
            <w:r w:rsidRPr="00483021">
              <w:t>ACE supports staff in RACFs to facilitate residents’ acute care needs being met within the facility and avoiding an ED presentation. Aim to reduce the need for residents of RACFs to present to an ED for acute care, or where ED presentation is required, to proactively manage the visit. Enhance integration of a range of services for older people.</w:t>
            </w:r>
          </w:p>
          <w:p w14:paraId="6AAAE5DF" w14:textId="77777777" w:rsidR="00850094" w:rsidRPr="00DE7D7D" w:rsidRDefault="00850094" w:rsidP="00FE19F4">
            <w:pPr>
              <w:pStyle w:val="TableNText"/>
            </w:pPr>
          </w:p>
        </w:tc>
        <w:tc>
          <w:tcPr>
            <w:tcW w:w="5755" w:type="dxa"/>
            <w:gridSpan w:val="2"/>
            <w:tcBorders>
              <w:top w:val="single" w:sz="8" w:space="0" w:color="EDEDE8" w:themeColor="accent5"/>
              <w:bottom w:val="single" w:sz="8" w:space="0" w:color="EDEDE8" w:themeColor="accent5"/>
              <w:right w:val="single" w:sz="6" w:space="0" w:color="EDEDE8" w:themeColor="accent5"/>
            </w:tcBorders>
          </w:tcPr>
          <w:p w14:paraId="35D35C97" w14:textId="77777777" w:rsidR="00961F84" w:rsidRPr="00483021" w:rsidRDefault="00961F84" w:rsidP="00961F84">
            <w:pPr>
              <w:pStyle w:val="TableNBullet"/>
            </w:pPr>
            <w:r>
              <w:t>Increased r</w:t>
            </w:r>
            <w:r w:rsidRPr="00483021">
              <w:t>espect for knowledge and skills of RACF staff</w:t>
            </w:r>
          </w:p>
          <w:p w14:paraId="0893E892" w14:textId="45967EB3" w:rsidR="00961F84" w:rsidRPr="00483021" w:rsidRDefault="00961F84" w:rsidP="00961F84">
            <w:pPr>
              <w:pStyle w:val="TableNBullet"/>
            </w:pPr>
            <w:r>
              <w:t xml:space="preserve">Provided RACF staff access to a network </w:t>
            </w:r>
            <w:r w:rsidRPr="00D82AB1">
              <w:t>o</w:t>
            </w:r>
            <w:r w:rsidR="007D5E14">
              <w:t>f</w:t>
            </w:r>
            <w:r>
              <w:t xml:space="preserve"> specialist palliative care providers</w:t>
            </w:r>
          </w:p>
          <w:p w14:paraId="2D4DE91B" w14:textId="0FFFB7A3" w:rsidR="00961F84" w:rsidRPr="00483021" w:rsidRDefault="000859EC" w:rsidP="00961F84">
            <w:pPr>
              <w:pStyle w:val="TableNBullet"/>
            </w:pPr>
            <w:r>
              <w:t xml:space="preserve">Developed </w:t>
            </w:r>
            <w:r w:rsidRPr="00483021">
              <w:t>collaborative</w:t>
            </w:r>
            <w:r w:rsidR="00961F84" w:rsidRPr="00483021">
              <w:t xml:space="preserve"> relationships and trust </w:t>
            </w:r>
            <w:r>
              <w:t>to enable</w:t>
            </w:r>
            <w:r w:rsidR="00961F84" w:rsidRPr="00483021">
              <w:t xml:space="preserve"> appropriate decision making </w:t>
            </w:r>
          </w:p>
          <w:p w14:paraId="20F46FE7" w14:textId="5BFA8FF5" w:rsidR="00961F84" w:rsidRPr="00483021" w:rsidRDefault="00961F84" w:rsidP="00961F84">
            <w:pPr>
              <w:pStyle w:val="TableNBullet"/>
            </w:pPr>
            <w:r w:rsidRPr="00483021">
              <w:t>Establish</w:t>
            </w:r>
            <w:r>
              <w:t xml:space="preserve">ed </w:t>
            </w:r>
            <w:r w:rsidRPr="00483021">
              <w:t xml:space="preserve">clear patient </w:t>
            </w:r>
            <w:r w:rsidRPr="00D82AB1">
              <w:t>goals</w:t>
            </w:r>
            <w:r w:rsidRPr="00483021">
              <w:t xml:space="preserve"> of care prior to transferring to an ED</w:t>
            </w:r>
          </w:p>
          <w:p w14:paraId="39418895" w14:textId="5C75A225" w:rsidR="00850094" w:rsidRPr="00D82AB1" w:rsidRDefault="00961F84" w:rsidP="00850094">
            <w:pPr>
              <w:pStyle w:val="TableNBullet"/>
            </w:pPr>
            <w:r w:rsidRPr="00483021">
              <w:t>Pro</w:t>
            </w:r>
            <w:r>
              <w:t>vided pro</w:t>
            </w:r>
            <w:r w:rsidRPr="00483021">
              <w:t>active case management within the ED</w:t>
            </w:r>
          </w:p>
        </w:tc>
      </w:tr>
      <w:tr w:rsidR="00CA7A6E" w14:paraId="514C846C" w14:textId="77777777" w:rsidTr="22C19DAE">
        <w:tc>
          <w:tcPr>
            <w:tcW w:w="1718" w:type="dxa"/>
            <w:tcBorders>
              <w:left w:val="single" w:sz="6" w:space="0" w:color="EDEDE8" w:themeColor="accent5"/>
              <w:bottom w:val="single" w:sz="8" w:space="0" w:color="EDEDE8" w:themeColor="accent5"/>
            </w:tcBorders>
            <w:shd w:val="clear" w:color="auto" w:fill="F2F2F2" w:themeFill="background1" w:themeFillShade="F2"/>
          </w:tcPr>
          <w:p w14:paraId="759177DE" w14:textId="77777777" w:rsidR="00CA7A6E" w:rsidRDefault="00CA7A6E" w:rsidP="00FE19F4">
            <w:pPr>
              <w:pStyle w:val="TableNText"/>
            </w:pPr>
            <w:r w:rsidRPr="00483021">
              <w:t>Virtual Aged Care Services (VACS)</w:t>
            </w:r>
            <w:r w:rsidRPr="00483021">
              <w:rPr>
                <w:rStyle w:val="FootnoteReference"/>
                <w:rFonts w:cs="Source Sans Pro"/>
                <w:sz w:val="16"/>
                <w:szCs w:val="16"/>
              </w:rPr>
              <w:footnoteReference w:id="94"/>
            </w:r>
          </w:p>
          <w:p w14:paraId="5A50C72B" w14:textId="2820BD25" w:rsidR="00CA7A6E" w:rsidRPr="00483021" w:rsidRDefault="00CA7A6E" w:rsidP="00FE19F4">
            <w:pPr>
              <w:pStyle w:val="TableNText"/>
            </w:pPr>
          </w:p>
        </w:tc>
        <w:tc>
          <w:tcPr>
            <w:tcW w:w="1482" w:type="dxa"/>
            <w:tcBorders>
              <w:bottom w:val="single" w:sz="8" w:space="0" w:color="EDEDE8" w:themeColor="accent5"/>
            </w:tcBorders>
          </w:tcPr>
          <w:p w14:paraId="67F5999B" w14:textId="3A341C7A" w:rsidR="00CA7A6E" w:rsidRPr="00483021" w:rsidRDefault="00CA7A6E" w:rsidP="00FE19F4">
            <w:pPr>
              <w:pStyle w:val="TableNText"/>
            </w:pPr>
            <w:r w:rsidRPr="00483021">
              <w:t>Specialist in-reach service</w:t>
            </w:r>
          </w:p>
        </w:tc>
        <w:tc>
          <w:tcPr>
            <w:tcW w:w="5042" w:type="dxa"/>
            <w:tcBorders>
              <w:bottom w:val="single" w:sz="8" w:space="0" w:color="EDEDE8" w:themeColor="accent5"/>
            </w:tcBorders>
          </w:tcPr>
          <w:p w14:paraId="5412B91B" w14:textId="7C354E02" w:rsidR="00CA7A6E" w:rsidRPr="00483021" w:rsidRDefault="00CA7A6E" w:rsidP="00FE19F4">
            <w:pPr>
              <w:pStyle w:val="TableNText"/>
            </w:pPr>
            <w:r w:rsidRPr="00483021">
              <w:rPr>
                <w:color w:val="000000"/>
              </w:rPr>
              <w:t>VACS aims to reduce unnecessary hospital presentations and admissions for older people, facilitate early discharge from hospital (reducing length of stay) and streamline older patients’ entry points to hospital. VACS was piloted in two RACFs to trial telehealth strategies for delivery.</w:t>
            </w:r>
          </w:p>
        </w:tc>
        <w:tc>
          <w:tcPr>
            <w:tcW w:w="5755" w:type="dxa"/>
            <w:gridSpan w:val="2"/>
            <w:tcBorders>
              <w:top w:val="single" w:sz="8" w:space="0" w:color="EDEDE8" w:themeColor="accent5"/>
              <w:bottom w:val="single" w:sz="8" w:space="0" w:color="EDEDE8" w:themeColor="accent5"/>
              <w:right w:val="single" w:sz="6" w:space="0" w:color="EDEDE8" w:themeColor="accent5"/>
            </w:tcBorders>
          </w:tcPr>
          <w:p w14:paraId="23FE8CD4" w14:textId="53BF869A" w:rsidR="00CA7A6E" w:rsidRPr="00D82AB1" w:rsidRDefault="00CA7A6E" w:rsidP="00CA7A6E">
            <w:pPr>
              <w:pStyle w:val="TableNBullet"/>
            </w:pPr>
            <w:r w:rsidRPr="00D82AB1">
              <w:t xml:space="preserve">Improved care coordination and collaborative care plan development </w:t>
            </w:r>
          </w:p>
          <w:p w14:paraId="776D5C48" w14:textId="77777777" w:rsidR="00CA7A6E" w:rsidRPr="00D82AB1" w:rsidRDefault="00CA7A6E" w:rsidP="00CA7A6E">
            <w:pPr>
              <w:pStyle w:val="TableNBullet"/>
            </w:pPr>
            <w:r w:rsidRPr="00D82AB1">
              <w:t xml:space="preserve">Provided access to a network of specialist </w:t>
            </w:r>
            <w:r>
              <w:t xml:space="preserve">care </w:t>
            </w:r>
            <w:r w:rsidRPr="00D82AB1">
              <w:t>providers</w:t>
            </w:r>
          </w:p>
          <w:p w14:paraId="397A29FF" w14:textId="77777777" w:rsidR="00CA7A6E" w:rsidRPr="00D82AB1" w:rsidRDefault="00CA7A6E" w:rsidP="00CA7A6E">
            <w:pPr>
              <w:pStyle w:val="TableNBullet"/>
            </w:pPr>
            <w:r w:rsidRPr="00D82AB1">
              <w:t>Developed capabilities of RACF staff</w:t>
            </w:r>
            <w:r>
              <w:t xml:space="preserve"> through education</w:t>
            </w:r>
          </w:p>
          <w:p w14:paraId="6D542CED" w14:textId="1EA9EE96" w:rsidR="00CA7A6E" w:rsidRPr="00D82AB1" w:rsidRDefault="00CA7A6E" w:rsidP="00CA7A6E">
            <w:pPr>
              <w:pStyle w:val="TableNBullet"/>
            </w:pPr>
            <w:r w:rsidRPr="00D82AB1">
              <w:t xml:space="preserve">Increased resource utilisation through telehealth strategies </w:t>
            </w:r>
          </w:p>
        </w:tc>
      </w:tr>
      <w:tr w:rsidR="002632B6" w14:paraId="196A84C2" w14:textId="77777777" w:rsidTr="22C19DAE">
        <w:tc>
          <w:tcPr>
            <w:tcW w:w="13997" w:type="dxa"/>
            <w:gridSpan w:val="5"/>
            <w:tcBorders>
              <w:top w:val="single" w:sz="8" w:space="0" w:color="EDEDE8" w:themeColor="accent5"/>
              <w:left w:val="single" w:sz="6" w:space="0" w:color="EDEDE8" w:themeColor="accent5"/>
              <w:bottom w:val="single" w:sz="12" w:space="0" w:color="25B3E0" w:themeColor="accent6"/>
              <w:right w:val="single" w:sz="6" w:space="0" w:color="EDEDE8" w:themeColor="accent5"/>
            </w:tcBorders>
          </w:tcPr>
          <w:p w14:paraId="57D17461" w14:textId="1C1B1341" w:rsidR="002632B6" w:rsidRPr="002632B6" w:rsidRDefault="002632B6" w:rsidP="002632B6">
            <w:pPr>
              <w:spacing w:after="0"/>
              <w:rPr>
                <w:b/>
                <w:bCs/>
              </w:rPr>
            </w:pPr>
            <w:r w:rsidRPr="002632B6">
              <w:rPr>
                <w:b/>
                <w:bCs/>
                <w:color w:val="25B3E0" w:themeColor="accent6"/>
              </w:rPr>
              <w:t>VIC</w:t>
            </w:r>
          </w:p>
        </w:tc>
      </w:tr>
      <w:tr w:rsidR="00BE7A26" w14:paraId="07344EA9" w14:textId="77777777" w:rsidTr="22C19DAE">
        <w:tc>
          <w:tcPr>
            <w:tcW w:w="1718" w:type="dxa"/>
            <w:tcBorders>
              <w:top w:val="single" w:sz="12" w:space="0" w:color="25B3E0" w:themeColor="accent6"/>
              <w:left w:val="single" w:sz="6" w:space="0" w:color="EDEDE8" w:themeColor="accent5"/>
              <w:bottom w:val="single" w:sz="4" w:space="0" w:color="EDEDE8" w:themeColor="accent5"/>
            </w:tcBorders>
            <w:shd w:val="clear" w:color="auto" w:fill="F2F2F2" w:themeFill="background1" w:themeFillShade="F2"/>
          </w:tcPr>
          <w:p w14:paraId="7CABC874" w14:textId="77777777" w:rsidR="00961F84" w:rsidRDefault="00961F84" w:rsidP="00FE19F4">
            <w:pPr>
              <w:pStyle w:val="TableNText"/>
            </w:pPr>
            <w:r w:rsidRPr="00483021">
              <w:t>The Envelope</w:t>
            </w:r>
            <w:r w:rsidRPr="00483021">
              <w:rPr>
                <w:rStyle w:val="FootnoteReference"/>
                <w:rFonts w:cs="Source Sans Pro"/>
                <w:sz w:val="16"/>
                <w:szCs w:val="16"/>
              </w:rPr>
              <w:footnoteReference w:id="95"/>
            </w:r>
          </w:p>
          <w:p w14:paraId="7676D2C8" w14:textId="4475F2DD" w:rsidR="007929C0" w:rsidRPr="00DE7D7D" w:rsidRDefault="007929C0" w:rsidP="00FE19F4">
            <w:pPr>
              <w:pStyle w:val="TableNText"/>
              <w:rPr>
                <w:b/>
              </w:rPr>
            </w:pPr>
          </w:p>
        </w:tc>
        <w:tc>
          <w:tcPr>
            <w:tcW w:w="1482" w:type="dxa"/>
            <w:tcBorders>
              <w:top w:val="single" w:sz="12" w:space="0" w:color="25B3E0" w:themeColor="accent6"/>
              <w:bottom w:val="single" w:sz="4" w:space="0" w:color="EDEDE8" w:themeColor="accent5"/>
            </w:tcBorders>
          </w:tcPr>
          <w:p w14:paraId="47813765" w14:textId="1D797542" w:rsidR="007929C0" w:rsidRPr="00DE7D7D" w:rsidRDefault="00961F84" w:rsidP="00FE19F4">
            <w:pPr>
              <w:pStyle w:val="TableNText"/>
            </w:pPr>
            <w:r w:rsidRPr="00483021">
              <w:t>Shared care</w:t>
            </w:r>
          </w:p>
        </w:tc>
        <w:tc>
          <w:tcPr>
            <w:tcW w:w="5042" w:type="dxa"/>
            <w:tcBorders>
              <w:top w:val="single" w:sz="12" w:space="0" w:color="25B3E0" w:themeColor="accent6"/>
              <w:bottom w:val="single" w:sz="4" w:space="0" w:color="EDEDE8" w:themeColor="accent5"/>
            </w:tcBorders>
          </w:tcPr>
          <w:p w14:paraId="4336F788" w14:textId="00CE639F" w:rsidR="007929C0" w:rsidRPr="00DE7D7D" w:rsidRDefault="00961F84" w:rsidP="00FE19F4">
            <w:pPr>
              <w:pStyle w:val="TableNText"/>
            </w:pPr>
            <w:r w:rsidRPr="00483021">
              <w:t xml:space="preserve">A simple tool </w:t>
            </w:r>
            <w:r w:rsidRPr="00840343">
              <w:t>to transfer clinical information</w:t>
            </w:r>
            <w:r w:rsidRPr="00483021">
              <w:t xml:space="preserve"> during ED transfers. The Envelope maintained privacy of the resident, was succinct</w:t>
            </w:r>
            <w:r>
              <w:t xml:space="preserve"> </w:t>
            </w:r>
            <w:r w:rsidRPr="00483021">
              <w:t>and</w:t>
            </w:r>
            <w:r>
              <w:t xml:space="preserve"> </w:t>
            </w:r>
            <w:r w:rsidRPr="00483021">
              <w:t>simple, and kept costs to a minimum.</w:t>
            </w:r>
          </w:p>
        </w:tc>
        <w:tc>
          <w:tcPr>
            <w:tcW w:w="5755" w:type="dxa"/>
            <w:gridSpan w:val="2"/>
            <w:tcBorders>
              <w:top w:val="single" w:sz="12" w:space="0" w:color="25B3E0" w:themeColor="accent6"/>
              <w:bottom w:val="single" w:sz="4" w:space="0" w:color="EDEDE8" w:themeColor="accent5"/>
              <w:right w:val="single" w:sz="6" w:space="0" w:color="EDEDE8" w:themeColor="accent5"/>
            </w:tcBorders>
          </w:tcPr>
          <w:p w14:paraId="210CA98A" w14:textId="77777777" w:rsidR="00961F84" w:rsidRPr="00483021" w:rsidRDefault="00961F84" w:rsidP="00961F84">
            <w:pPr>
              <w:pStyle w:val="TableNBullet"/>
            </w:pPr>
            <w:r w:rsidRPr="00483021">
              <w:t>Improved clinical</w:t>
            </w:r>
            <w:r>
              <w:t xml:space="preserve"> handover, as perceived by staff</w:t>
            </w:r>
          </w:p>
          <w:p w14:paraId="2EC2EE14" w14:textId="544E2A9F" w:rsidR="007929C0" w:rsidRPr="00D82AB1" w:rsidRDefault="00961F84" w:rsidP="0051409A">
            <w:pPr>
              <w:pStyle w:val="TableNBullet"/>
            </w:pPr>
            <w:r w:rsidRPr="00483021">
              <w:t xml:space="preserve">Raised </w:t>
            </w:r>
            <w:r w:rsidR="00EF5E1B">
              <w:t xml:space="preserve">staff </w:t>
            </w:r>
            <w:r w:rsidRPr="00483021">
              <w:t xml:space="preserve">awareness of the importance of clinical handover </w:t>
            </w:r>
          </w:p>
        </w:tc>
      </w:tr>
      <w:tr w:rsidR="00030420" w14:paraId="0FC6B294" w14:textId="77777777" w:rsidTr="22C19DAE">
        <w:tc>
          <w:tcPr>
            <w:tcW w:w="13997" w:type="dxa"/>
            <w:gridSpan w:val="5"/>
            <w:tcBorders>
              <w:top w:val="single" w:sz="4" w:space="0" w:color="EDEDE8" w:themeColor="accent5"/>
              <w:left w:val="single" w:sz="6" w:space="0" w:color="EDEDE8" w:themeColor="accent5"/>
              <w:bottom w:val="single" w:sz="4" w:space="0" w:color="00264D" w:themeColor="background2"/>
              <w:right w:val="single" w:sz="6" w:space="0" w:color="EDEDE8" w:themeColor="accent5"/>
            </w:tcBorders>
            <w:shd w:val="clear" w:color="auto" w:fill="auto"/>
          </w:tcPr>
          <w:p w14:paraId="5A732E5E" w14:textId="784801B8" w:rsidR="00030420" w:rsidRPr="00C0667E" w:rsidRDefault="00E151D3" w:rsidP="00030420">
            <w:pPr>
              <w:pStyle w:val="TableNBullet"/>
              <w:numPr>
                <w:ilvl w:val="0"/>
                <w:numId w:val="0"/>
              </w:numPr>
              <w:ind w:left="227" w:hanging="227"/>
              <w:rPr>
                <w:rFonts w:ascii="Segoe UI Semibold" w:hAnsi="Segoe UI Semibold" w:cs="Segoe UI Semibold"/>
              </w:rPr>
            </w:pPr>
            <w:r w:rsidRPr="00C0667E">
              <w:rPr>
                <w:rFonts w:ascii="Segoe UI Semibold" w:hAnsi="Segoe UI Semibold" w:cs="Segoe UI Semibold"/>
                <w:color w:val="00264D" w:themeColor="background2"/>
              </w:rPr>
              <w:t>NATIONAL</w:t>
            </w:r>
          </w:p>
        </w:tc>
      </w:tr>
      <w:tr w:rsidR="00030420" w14:paraId="3FCF32F9" w14:textId="77777777" w:rsidTr="22C19DAE">
        <w:tc>
          <w:tcPr>
            <w:tcW w:w="1718" w:type="dxa"/>
            <w:tcBorders>
              <w:top w:val="single" w:sz="4" w:space="0" w:color="00264D" w:themeColor="background2"/>
              <w:left w:val="single" w:sz="6" w:space="0" w:color="EDEDE8" w:themeColor="accent5"/>
            </w:tcBorders>
            <w:shd w:val="clear" w:color="auto" w:fill="F2F2F2" w:themeFill="background1" w:themeFillShade="F2"/>
          </w:tcPr>
          <w:p w14:paraId="6C3B5482" w14:textId="73DA1825" w:rsidR="00030420" w:rsidRPr="00483021" w:rsidRDefault="00030420" w:rsidP="00FE19F4">
            <w:pPr>
              <w:pStyle w:val="TableNText"/>
            </w:pPr>
            <w:r>
              <w:t>BUPA Model of Care</w:t>
            </w:r>
            <w:r w:rsidR="009173F6">
              <w:rPr>
                <w:rStyle w:val="FootnoteReference"/>
              </w:rPr>
              <w:footnoteReference w:id="96"/>
            </w:r>
          </w:p>
        </w:tc>
        <w:tc>
          <w:tcPr>
            <w:tcW w:w="1482" w:type="dxa"/>
            <w:tcBorders>
              <w:top w:val="single" w:sz="4" w:space="0" w:color="00264D" w:themeColor="background2"/>
            </w:tcBorders>
          </w:tcPr>
          <w:p w14:paraId="3B25E7E7" w14:textId="4BEC21BD" w:rsidR="00030420" w:rsidRPr="00483021" w:rsidRDefault="00E151D3" w:rsidP="00FE19F4">
            <w:pPr>
              <w:pStyle w:val="TableNText"/>
            </w:pPr>
            <w:r>
              <w:t>Integrated care</w:t>
            </w:r>
          </w:p>
        </w:tc>
        <w:tc>
          <w:tcPr>
            <w:tcW w:w="5042" w:type="dxa"/>
            <w:tcBorders>
              <w:top w:val="single" w:sz="4" w:space="0" w:color="00264D" w:themeColor="background2"/>
            </w:tcBorders>
          </w:tcPr>
          <w:p w14:paraId="383E5951" w14:textId="505878D7" w:rsidR="00030420" w:rsidRPr="00483021" w:rsidRDefault="005048B6" w:rsidP="00FE19F4">
            <w:pPr>
              <w:pStyle w:val="TableNText"/>
            </w:pPr>
            <w:r w:rsidRPr="005048B6">
              <w:t>A program where GPs deliver preventative healthcare and immediate medical treatment in residential aged care facilities.</w:t>
            </w:r>
          </w:p>
        </w:tc>
        <w:tc>
          <w:tcPr>
            <w:tcW w:w="5755" w:type="dxa"/>
            <w:gridSpan w:val="2"/>
            <w:tcBorders>
              <w:top w:val="single" w:sz="4" w:space="0" w:color="00264D" w:themeColor="background2"/>
              <w:right w:val="single" w:sz="6" w:space="0" w:color="EDEDE8" w:themeColor="accent5"/>
            </w:tcBorders>
          </w:tcPr>
          <w:p w14:paraId="43BEA0F8" w14:textId="77777777" w:rsidR="00AA6021" w:rsidRPr="00AA6021" w:rsidRDefault="00AA6021" w:rsidP="00AA6021">
            <w:pPr>
              <w:pStyle w:val="TableNBullet"/>
            </w:pPr>
            <w:r w:rsidRPr="00AA6021">
              <w:t>Provided individual services in RACFs, including delivery of palliative care</w:t>
            </w:r>
          </w:p>
          <w:p w14:paraId="4AF54E71" w14:textId="2C6C8CD8" w:rsidR="00030420" w:rsidRPr="00AA6021" w:rsidRDefault="00AA6021" w:rsidP="00AA6021">
            <w:pPr>
              <w:pStyle w:val="TableNBullet"/>
            </w:pPr>
            <w:r w:rsidRPr="00AA6021">
              <w:t xml:space="preserve">Trained and educated GPs as required </w:t>
            </w:r>
          </w:p>
        </w:tc>
      </w:tr>
    </w:tbl>
    <w:p w14:paraId="5A03F61E" w14:textId="77777777" w:rsidR="00E429F3" w:rsidRDefault="00E429F3" w:rsidP="00351182">
      <w:pPr>
        <w:pStyle w:val="Heading5"/>
        <w:sectPr w:rsidR="00E429F3" w:rsidSect="00AD22D0">
          <w:pgSz w:w="16840" w:h="11907" w:orient="landscape" w:code="9"/>
          <w:pgMar w:top="1247" w:right="1304" w:bottom="1077" w:left="1531" w:header="720" w:footer="720" w:gutter="0"/>
          <w:cols w:space="720"/>
          <w:docGrid w:linePitch="360"/>
        </w:sectPr>
      </w:pPr>
    </w:p>
    <w:p w14:paraId="6C1D3E05" w14:textId="613F6A5C" w:rsidR="00E429F3" w:rsidRDefault="00E429F3" w:rsidP="00390717">
      <w:r>
        <w:lastRenderedPageBreak/>
        <w:t xml:space="preserve">A case study of the INSPIRED trial </w:t>
      </w:r>
      <w:r w:rsidR="00390717">
        <w:t>demonstrates an example</w:t>
      </w:r>
      <w:r w:rsidR="00AA6238">
        <w:t xml:space="preserve"> of a model of care with demonstrated success through evaluation. </w:t>
      </w:r>
    </w:p>
    <w:p w14:paraId="58E03406" w14:textId="463C3A40" w:rsidR="00AA6238" w:rsidRDefault="00AA6238" w:rsidP="00D51E5A">
      <w:pPr>
        <w:pStyle w:val="Caption"/>
      </w:pPr>
      <w:r>
        <w:t xml:space="preserve">Figure </w:t>
      </w:r>
      <w:r>
        <w:fldChar w:fldCharType="begin"/>
      </w:r>
      <w:r>
        <w:instrText xml:space="preserve"> SEQ Figure \* ARABIC </w:instrText>
      </w:r>
      <w:r>
        <w:fldChar w:fldCharType="separate"/>
      </w:r>
      <w:r w:rsidR="000E59E1">
        <w:rPr>
          <w:noProof/>
        </w:rPr>
        <w:t>7</w:t>
      </w:r>
      <w:r>
        <w:fldChar w:fldCharType="end"/>
      </w:r>
      <w:r>
        <w:t xml:space="preserve"> | Case study of the INSPIRED model</w:t>
      </w:r>
    </w:p>
    <w:p w14:paraId="383F01BC" w14:textId="6AD0ECE7" w:rsidR="00E429F3" w:rsidRDefault="00E429F3" w:rsidP="00351182">
      <w:pPr>
        <w:pStyle w:val="Heading5"/>
      </w:pPr>
      <w:r>
        <w:rPr>
          <w:noProof/>
        </w:rPr>
        <w:drawing>
          <wp:inline distT="0" distB="0" distL="0" distR="0" wp14:anchorId="7BF8288C" wp14:editId="0018C54C">
            <wp:extent cx="5670002" cy="4571027"/>
            <wp:effectExtent l="0" t="0" r="6985" b="1270"/>
            <wp:docPr id="777" name="Picture 777" descr="Case study of the INSPIRED model&#10;&#10;The literature review identified the INSPIRED Model as a high-quality example of good practice palliative care in RACFs. Large scale, multi-facility interventions and repeated evaluations in both metropolitan and rural settings demonstrate that 'needs rounds' conducted by palliative care specialists (palliative care nurse practitioners, palliative medicine specialist) are an effective method to deliver quality palliative care to residents', reduce residents' hospital admissions, and improve staff confidence in managing end-of-life care.&#10;&#10;The INSPIRED Model was first trialled in 2015 in four RACFs in the Australian Capital Territory. In this model, palliative care nurse practitioners workers with RACFs to conduct needs rounds. Needs rounds assessed residents' palliative care needs and stratified specialist provision of care based on deterioration. Needs rounds served to uplift staff capability and confidence in delivering palliative care through care plan discussions. The INSPIRED model resulted in substantially reduced overall hospital admissions and reduced length of stay in hospital.&#10;&#10;In 2019, the INSPIRED Model was trialled in two rural RACFs in New South Wales. In rural settings, palliative care is typically provided by RACF staff and GPs. This intervention consisted of a palliative medicine specialist who conducted needs rounds to identify dying residents. Staff reported a strengthened awareness of the end of life, strengthened decision making, and improved confidence in managing pain at the end of life.&#10;&#10;The INSPIRED model used a variety of data including specially collected data like the Quality of Dying and Death (QODD) Questionnaire during its randomised control trial to measure outcomes. The QODD Questionnaire was completed by health care professionals and provides information on symptom control, preparation, connectedness and transcendence. Family perspectives were also collected during the INSPIRED trial using the Brief Assessment Scale for Caregivers of the Medically Ill. These measures provide both direct and indirect measures of the extent to which residents needs are being met. &#10;Chapman, M, Johnston, N, Lovell, Et al., &quot;Avoiding costly hospitalisations at end of life: findings from a specialist palliative care pilot in residential care for older adults,&quot; British Medical Journal. 2015.&#10;Rainsford, S, Johnston, N, Liu, W-M, 'Palliative care Needs Rounds in rural residential aged care: A mixed-methods study exploring experiences and perceptions of staff and general practitioners,' Progress in Palliative Car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 name="Picture 777" descr="Case study of the INSPIRED model&#10;&#10;The literature review identified the INSPIRED Model as a high-quality example of good practice palliative care in RACFs. Large scale, multi-facility interventions and repeated evaluations in both metropolitan and rural settings demonstrate that 'needs rounds' conducted by palliative care specialists (palliative care nurse practitioners, palliative medicine specialist) are an effective method to deliver quality palliative care to residents', reduce residents' hospital admissions, and improve staff confidence in managing end-of-life care.&#10;&#10;The INSPIRED Model was first trialled in 2015 in four RACFs in the Australian Capital Territory. In this model, palliative care nurse practitioners workers with RACFs to conduct needs rounds. Needs rounds assessed residents' palliative care needs and stratified specialist provision of care based on deterioration. Needs rounds served to uplift staff capability and confidence in delivering palliative care through care plan discussions. The INSPIRED model resulted in substantially reduced overall hospital admissions and reduced length of stay in hospital.&#10;&#10;In 2019, the INSPIRED Model was trialled in two rural RACFs in New South Wales. In rural settings, palliative care is typically provided by RACF staff and GPs. This intervention consisted of a palliative medicine specialist who conducted needs rounds to identify dying residents. Staff reported a strengthened awareness of the end of life, strengthened decision making, and improved confidence in managing pain at the end of life.&#10;&#10;The INSPIRED model used a variety of data including specially collected data like the Quality of Dying and Death (QODD) Questionnaire during its randomised control trial to measure outcomes. The QODD Questionnaire was completed by health care professionals and provides information on symptom control, preparation, connectedness and transcendence. Family perspectives were also collected during the INSPIRED trial using the Brief Assessment Scale for Caregivers of the Medically Ill. These measures provide both direct and indirect measures of the extent to which residents needs are being met. &#10;Chapman, M, Johnston, N, Lovell, Et al., &quot;Avoiding costly hospitalisations at end of life: findings from a specialist palliative care pilot in residential care for older adults,&quot; British Medical Journal. 2015.&#10;Rainsford, S, Johnston, N, Liu, W-M, 'Palliative care Needs Rounds in rural residential aged care: A mixed-methods study exploring experiences and perceptions of staff and general practitioners,' Progress in Palliative Care. 2019."/>
                    <pic:cNvPicPr/>
                  </pic:nvPicPr>
                  <pic:blipFill>
                    <a:blip r:embed="rId29">
                      <a:extLst>
                        <a:ext uri="{28A0092B-C50C-407E-A947-70E740481C1C}">
                          <a14:useLocalDpi xmlns:a14="http://schemas.microsoft.com/office/drawing/2010/main" val="0"/>
                        </a:ext>
                      </a:extLst>
                    </a:blip>
                    <a:stretch>
                      <a:fillRect/>
                    </a:stretch>
                  </pic:blipFill>
                  <pic:spPr>
                    <a:xfrm>
                      <a:off x="0" y="0"/>
                      <a:ext cx="5670002" cy="4571027"/>
                    </a:xfrm>
                    <a:prstGeom prst="rect">
                      <a:avLst/>
                    </a:prstGeom>
                  </pic:spPr>
                </pic:pic>
              </a:graphicData>
            </a:graphic>
          </wp:inline>
        </w:drawing>
      </w:r>
    </w:p>
    <w:p w14:paraId="73335628" w14:textId="3ED2B4F7" w:rsidR="00B101DE" w:rsidRDefault="00743E99" w:rsidP="00351182">
      <w:pPr>
        <w:pStyle w:val="Heading5"/>
      </w:pPr>
      <w:r>
        <w:t>Evidence of i</w:t>
      </w:r>
      <w:r w:rsidR="00852273">
        <w:t>nternational</w:t>
      </w:r>
      <w:r w:rsidR="00547E6B">
        <w:t xml:space="preserve"> </w:t>
      </w:r>
      <w:r w:rsidR="00547E6B" w:rsidRPr="00547E6B">
        <w:t>models of care</w:t>
      </w:r>
      <w:r w:rsidR="0033539D">
        <w:t xml:space="preserve"> are concentrated in countries with </w:t>
      </w:r>
      <w:r w:rsidR="00775983">
        <w:t>universal</w:t>
      </w:r>
      <w:r w:rsidR="0033539D">
        <w:t xml:space="preserve"> health systems</w:t>
      </w:r>
    </w:p>
    <w:p w14:paraId="07EE9E50" w14:textId="20042DA5" w:rsidR="00490897" w:rsidRDefault="009B37D2" w:rsidP="0076154F">
      <w:pPr>
        <w:rPr>
          <w:lang w:eastAsia="en-AU"/>
        </w:rPr>
      </w:pPr>
      <w:r>
        <w:t xml:space="preserve">The literature review identified </w:t>
      </w:r>
      <w:r w:rsidR="00DB6A3F">
        <w:t>seven international</w:t>
      </w:r>
      <w:r>
        <w:t xml:space="preserve"> models of delivering palliative care in RACFs </w:t>
      </w:r>
      <w:r w:rsidR="00DB6A3F">
        <w:t>or equivalents</w:t>
      </w:r>
      <w:r>
        <w:t xml:space="preserve"> </w:t>
      </w:r>
      <w:r>
        <w:rPr>
          <w:lang w:eastAsia="en-AU"/>
        </w:rPr>
        <w:t xml:space="preserve">(see </w:t>
      </w:r>
      <w:r>
        <w:rPr>
          <w:lang w:eastAsia="en-AU"/>
        </w:rPr>
        <w:fldChar w:fldCharType="begin"/>
      </w:r>
      <w:r>
        <w:rPr>
          <w:lang w:eastAsia="en-AU"/>
        </w:rPr>
        <w:instrText xml:space="preserve"> REF _Ref51163437 \r \h </w:instrText>
      </w:r>
      <w:r>
        <w:rPr>
          <w:lang w:eastAsia="en-AU"/>
        </w:rPr>
      </w:r>
      <w:r>
        <w:rPr>
          <w:lang w:eastAsia="en-AU"/>
        </w:rPr>
        <w:fldChar w:fldCharType="separate"/>
      </w:r>
      <w:r w:rsidR="000E59E1">
        <w:rPr>
          <w:lang w:eastAsia="en-AU"/>
        </w:rPr>
        <w:t>Appendix A</w:t>
      </w:r>
      <w:r>
        <w:rPr>
          <w:lang w:eastAsia="en-AU"/>
        </w:rPr>
        <w:fldChar w:fldCharType="end"/>
      </w:r>
      <w:r>
        <w:rPr>
          <w:lang w:eastAsia="en-AU"/>
        </w:rPr>
        <w:t xml:space="preserve"> for details)</w:t>
      </w:r>
      <w:r>
        <w:t xml:space="preserve">. </w:t>
      </w:r>
      <w:r w:rsidR="00FF7B3E">
        <w:t xml:space="preserve">These models were </w:t>
      </w:r>
      <w:r w:rsidR="0033539D">
        <w:t xml:space="preserve">concentrated in </w:t>
      </w:r>
      <w:r w:rsidR="00775983">
        <w:t xml:space="preserve">countries that </w:t>
      </w:r>
      <w:r w:rsidR="0096696F">
        <w:t xml:space="preserve">provide </w:t>
      </w:r>
      <w:r w:rsidR="00775983">
        <w:t>universal health</w:t>
      </w:r>
      <w:r w:rsidR="0096696F">
        <w:t xml:space="preserve"> coverage</w:t>
      </w:r>
      <w:r w:rsidR="00775983">
        <w:t>,</w:t>
      </w:r>
      <w:r w:rsidR="007C1394">
        <w:t xml:space="preserve"> </w:t>
      </w:r>
      <w:r w:rsidR="00DB6A3F">
        <w:t xml:space="preserve">New Zealand, </w:t>
      </w:r>
      <w:r w:rsidR="007C1394">
        <w:t>Canada</w:t>
      </w:r>
      <w:r w:rsidR="00DB6A3F">
        <w:t xml:space="preserve">, and the United </w:t>
      </w:r>
      <w:r w:rsidR="00DB6A3F" w:rsidRPr="0030320F">
        <w:t>Kingdom</w:t>
      </w:r>
      <w:r w:rsidRPr="0030320F">
        <w:t xml:space="preserve"> (</w:t>
      </w:r>
      <w:r w:rsidR="001979DC">
        <w:t>see</w:t>
      </w:r>
      <w:r w:rsidR="00A77D93">
        <w:t xml:space="preserve"> </w:t>
      </w:r>
      <w:r w:rsidR="00A77D93">
        <w:fldChar w:fldCharType="begin"/>
      </w:r>
      <w:r w:rsidR="00A77D93">
        <w:instrText xml:space="preserve"> REF _Ref57644854 \h </w:instrText>
      </w:r>
      <w:r w:rsidR="00A77D93">
        <w:fldChar w:fldCharType="separate"/>
      </w:r>
      <w:r w:rsidR="000E59E1">
        <w:t xml:space="preserve">Figure </w:t>
      </w:r>
      <w:r w:rsidR="000E59E1">
        <w:rPr>
          <w:noProof/>
        </w:rPr>
        <w:t>8</w:t>
      </w:r>
      <w:r w:rsidR="00A77D93">
        <w:fldChar w:fldCharType="end"/>
      </w:r>
      <w:r w:rsidRPr="0030320F">
        <w:rPr>
          <w:lang w:eastAsia="en-AU"/>
        </w:rPr>
        <w:t>)</w:t>
      </w:r>
      <w:r w:rsidR="00494CE6" w:rsidRPr="0030320F">
        <w:t>.</w:t>
      </w:r>
      <w:r>
        <w:t xml:space="preserve"> </w:t>
      </w:r>
      <w:r w:rsidR="00494CE6">
        <w:t xml:space="preserve">There was no predominant model of care identified. </w:t>
      </w:r>
      <w:r w:rsidR="005E14CA">
        <w:t>Instead, t</w:t>
      </w:r>
      <w:r w:rsidR="00064115">
        <w:t>he components of these</w:t>
      </w:r>
      <w:r w:rsidR="00494CE6">
        <w:t xml:space="preserve"> models were </w:t>
      </w:r>
      <w:r w:rsidR="005E14CA">
        <w:t>spread</w:t>
      </w:r>
      <w:r w:rsidR="00494CE6">
        <w:t xml:space="preserve"> across </w:t>
      </w:r>
      <w:r w:rsidR="005E14CA">
        <w:t>specialist in-reach services, capability building, and case management.</w:t>
      </w:r>
      <w:r w:rsidR="00494CE6">
        <w:t xml:space="preserve"> </w:t>
      </w:r>
      <w:r w:rsidR="005B36B6">
        <w:rPr>
          <w:lang w:eastAsia="en-AU"/>
        </w:rPr>
        <w:fldChar w:fldCharType="begin"/>
      </w:r>
      <w:r w:rsidR="005B36B6">
        <w:instrText xml:space="preserve"> REF _Ref51335379 \h </w:instrText>
      </w:r>
      <w:r w:rsidR="005B36B6">
        <w:rPr>
          <w:lang w:eastAsia="en-AU"/>
        </w:rPr>
      </w:r>
      <w:r w:rsidR="005B36B6">
        <w:rPr>
          <w:lang w:eastAsia="en-AU"/>
        </w:rPr>
        <w:fldChar w:fldCharType="separate"/>
      </w:r>
      <w:r w:rsidR="000E59E1">
        <w:t xml:space="preserve">Table </w:t>
      </w:r>
      <w:r w:rsidR="000E59E1">
        <w:rPr>
          <w:noProof/>
        </w:rPr>
        <w:t>4</w:t>
      </w:r>
      <w:r w:rsidR="005B36B6">
        <w:rPr>
          <w:lang w:eastAsia="en-AU"/>
        </w:rPr>
        <w:fldChar w:fldCharType="end"/>
      </w:r>
      <w:r>
        <w:rPr>
          <w:lang w:eastAsia="en-AU"/>
        </w:rPr>
        <w:t xml:space="preserve"> provides detail on models with</w:t>
      </w:r>
      <w:r w:rsidR="00D96927">
        <w:rPr>
          <w:lang w:eastAsia="en-AU"/>
        </w:rPr>
        <w:t xml:space="preserve"> demonstrated efficacy through their study design and/or via review or evaluation</w:t>
      </w:r>
      <w:r>
        <w:rPr>
          <w:lang w:eastAsia="en-AU"/>
        </w:rPr>
        <w:t>.</w:t>
      </w:r>
      <w:r w:rsidR="0030320F">
        <w:rPr>
          <w:lang w:eastAsia="en-AU"/>
        </w:rPr>
        <w:t xml:space="preserve"> </w:t>
      </w:r>
      <w:r w:rsidR="007109F4">
        <w:rPr>
          <w:lang w:eastAsia="en-AU"/>
        </w:rPr>
        <w:t>Six of seven</w:t>
      </w:r>
      <w:r w:rsidR="00800E8F">
        <w:rPr>
          <w:lang w:eastAsia="en-AU"/>
        </w:rPr>
        <w:t xml:space="preserve"> models were </w:t>
      </w:r>
      <w:r w:rsidR="00C919D9">
        <w:rPr>
          <w:lang w:eastAsia="en-AU"/>
        </w:rPr>
        <w:t>clinically focused</w:t>
      </w:r>
      <w:r w:rsidR="0063386B">
        <w:rPr>
          <w:lang w:eastAsia="en-AU"/>
        </w:rPr>
        <w:t>, palliative</w:t>
      </w:r>
      <w:r w:rsidR="00800E8F">
        <w:rPr>
          <w:lang w:eastAsia="en-AU"/>
        </w:rPr>
        <w:t xml:space="preserve"> care </w:t>
      </w:r>
      <w:r w:rsidR="00B954CD">
        <w:rPr>
          <w:lang w:eastAsia="en-AU"/>
        </w:rPr>
        <w:t>or end-of-life</w:t>
      </w:r>
      <w:r w:rsidR="00800E8F">
        <w:rPr>
          <w:lang w:eastAsia="en-AU"/>
        </w:rPr>
        <w:t xml:space="preserve"> models</w:t>
      </w:r>
      <w:r w:rsidR="0063386B">
        <w:rPr>
          <w:lang w:eastAsia="en-AU"/>
        </w:rPr>
        <w:t xml:space="preserve"> of care</w:t>
      </w:r>
      <w:r w:rsidR="00137DF1">
        <w:rPr>
          <w:lang w:eastAsia="en-AU"/>
        </w:rPr>
        <w:t>,</w:t>
      </w:r>
      <w:r w:rsidR="00D53CA5">
        <w:rPr>
          <w:rStyle w:val="FootnoteReference"/>
          <w:lang w:eastAsia="en-AU"/>
        </w:rPr>
        <w:footnoteReference w:id="97"/>
      </w:r>
      <w:r w:rsidR="00137DF1">
        <w:rPr>
          <w:lang w:eastAsia="en-AU"/>
        </w:rPr>
        <w:t xml:space="preserve"> except for the </w:t>
      </w:r>
      <w:r w:rsidR="00232CA2">
        <w:rPr>
          <w:lang w:eastAsia="en-AU"/>
        </w:rPr>
        <w:t xml:space="preserve">United States </w:t>
      </w:r>
      <w:r w:rsidR="00137DF1">
        <w:rPr>
          <w:lang w:eastAsia="en-AU"/>
        </w:rPr>
        <w:t>social worker model focused on improving advance care planning and end-of-life discussions.</w:t>
      </w:r>
    </w:p>
    <w:p w14:paraId="2AE9582C" w14:textId="77777777" w:rsidR="00E429F3" w:rsidRDefault="00E429F3">
      <w:pPr>
        <w:spacing w:after="160" w:line="259" w:lineRule="auto"/>
        <w:sectPr w:rsidR="00E429F3" w:rsidSect="00E429F3">
          <w:pgSz w:w="11907" w:h="16840" w:code="9"/>
          <w:pgMar w:top="1304" w:right="1077" w:bottom="1531" w:left="1247" w:header="720" w:footer="720" w:gutter="0"/>
          <w:cols w:space="720"/>
          <w:docGrid w:linePitch="360"/>
        </w:sectPr>
      </w:pPr>
      <w:bookmarkStart w:id="57" w:name="_Ref51265355"/>
      <w:bookmarkStart w:id="58" w:name="_Ref51573835"/>
    </w:p>
    <w:p w14:paraId="19A76558" w14:textId="2E37F6CC" w:rsidR="008608DA" w:rsidRDefault="00AA205A" w:rsidP="20608A1D">
      <w:pPr>
        <w:spacing w:after="160" w:line="259" w:lineRule="auto"/>
        <w:rPr>
          <w:rFonts w:ascii="Segoe UI Semibold" w:hAnsi="Segoe UI Semibold"/>
          <w:color w:val="00264D" w:themeColor="background2"/>
        </w:rPr>
      </w:pPr>
      <w:r>
        <w:rPr>
          <w:noProof/>
          <w:lang w:eastAsia="en-AU"/>
        </w:rPr>
        <w:lastRenderedPageBreak/>
        <w:drawing>
          <wp:anchor distT="0" distB="0" distL="114300" distR="114300" simplePos="0" relativeHeight="251658248" behindDoc="0" locked="0" layoutInCell="1" allowOverlap="1" wp14:anchorId="5005EC90" wp14:editId="3403C993">
            <wp:simplePos x="0" y="0"/>
            <wp:positionH relativeFrom="page">
              <wp:align>left</wp:align>
            </wp:positionH>
            <wp:positionV relativeFrom="paragraph">
              <wp:posOffset>13335</wp:posOffset>
            </wp:positionV>
            <wp:extent cx="10690726" cy="6467474"/>
            <wp:effectExtent l="0" t="0" r="0" b="0"/>
            <wp:wrapNone/>
            <wp:docPr id="24" name="Picture 24" descr="Across the globe, different models of palliative care have been identified including a palliative care mobile unit; social workers to enhance advance care planning; palliative care leadership teams; supportive and palliative care indicator tool; gold standard framework; residential aged care integration program; and aged care residential care health utilisation study. " title="International models of care identified in the literature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90726" cy="6467474"/>
                    </a:xfrm>
                    <a:prstGeom prst="rect">
                      <a:avLst/>
                    </a:prstGeom>
                    <a:noFill/>
                  </pic:spPr>
                </pic:pic>
              </a:graphicData>
            </a:graphic>
            <wp14:sizeRelH relativeFrom="margin">
              <wp14:pctWidth>0</wp14:pctWidth>
            </wp14:sizeRelH>
            <wp14:sizeRelV relativeFrom="margin">
              <wp14:pctHeight>0</wp14:pctHeight>
            </wp14:sizeRelV>
          </wp:anchor>
        </w:drawing>
      </w:r>
    </w:p>
    <w:p w14:paraId="56D572A3" w14:textId="7D4E71CE" w:rsidR="00742186" w:rsidRDefault="00775F2C" w:rsidP="00D876EB">
      <w:pPr>
        <w:pStyle w:val="Caption"/>
        <w:rPr>
          <w:lang w:eastAsia="en-AU"/>
        </w:rPr>
      </w:pPr>
      <w:bookmarkStart w:id="59" w:name="_Ref57644854"/>
      <w:r>
        <w:t xml:space="preserve">Figure </w:t>
      </w:r>
      <w:r>
        <w:fldChar w:fldCharType="begin"/>
      </w:r>
      <w:r>
        <w:instrText xml:space="preserve"> SEQ Figure \* ARABIC </w:instrText>
      </w:r>
      <w:r>
        <w:fldChar w:fldCharType="separate"/>
      </w:r>
      <w:r w:rsidR="000E59E1">
        <w:rPr>
          <w:noProof/>
        </w:rPr>
        <w:t>8</w:t>
      </w:r>
      <w:r>
        <w:fldChar w:fldCharType="end"/>
      </w:r>
      <w:bookmarkEnd w:id="57"/>
      <w:bookmarkEnd w:id="58"/>
      <w:bookmarkEnd w:id="59"/>
      <w:r>
        <w:t xml:space="preserve"> | Map of international models of palliative care in RACFs</w:t>
      </w:r>
    </w:p>
    <w:p w14:paraId="17F4E444" w14:textId="4475BF3C" w:rsidR="00D876EB" w:rsidRDefault="00EC11FF">
      <w:pPr>
        <w:spacing w:after="160"/>
      </w:pPr>
      <w:bookmarkStart w:id="60" w:name="_Ref51265341"/>
      <w:bookmarkStart w:id="61" w:name="_Ref51333431"/>
      <w:r>
        <w:br w:type="page"/>
      </w:r>
    </w:p>
    <w:p w14:paraId="0CBC9326" w14:textId="19C49C44" w:rsidR="005B36B6" w:rsidRDefault="001C25E6" w:rsidP="005B36B6">
      <w:pPr>
        <w:rPr>
          <w:lang w:eastAsia="en-AU"/>
        </w:rPr>
      </w:pPr>
      <w:r>
        <w:lastRenderedPageBreak/>
        <w:t xml:space="preserve">Of the seven </w:t>
      </w:r>
      <w:r w:rsidR="00DB0B11">
        <w:t>international</w:t>
      </w:r>
      <w:r>
        <w:t xml:space="preserve"> models of care identified, five models were supported by evidence that demonstrated their efficacy through their study design and/or via review or evaluation.</w:t>
      </w:r>
      <w:r w:rsidRPr="00FD48C2">
        <w:rPr>
          <w:lang w:eastAsia="en-AU"/>
        </w:rPr>
        <w:t xml:space="preserve"> </w:t>
      </w:r>
      <w:r w:rsidR="003C489F">
        <w:t xml:space="preserve">Similar to what the evidence revealed for domestic models, </w:t>
      </w:r>
      <w:r w:rsidR="00CD1718">
        <w:t>integrating specialist care into RACFs is a theme across the variety of approaches to delivering care.</w:t>
      </w:r>
      <w:r w:rsidR="00CD1718">
        <w:rPr>
          <w:rStyle w:val="FootnoteReference"/>
        </w:rPr>
        <w:footnoteReference w:id="98"/>
      </w:r>
      <w:r w:rsidR="00006BDC">
        <w:t xml:space="preserve"> The Gold Standards Framework, ARCHUS, and RACIP were models that was rolled out at scale regionally but not nationally (over 1000 participants and in multiple sites across their respective region). </w:t>
      </w:r>
      <w:r>
        <w:t>The key features of each</w:t>
      </w:r>
      <w:r w:rsidR="00CD49A8">
        <w:t xml:space="preserve"> of the five models</w:t>
      </w:r>
      <w:r w:rsidR="00F91395">
        <w:t xml:space="preserve"> supported by evidence</w:t>
      </w:r>
      <w:r>
        <w:t xml:space="preserve">, including why the model is considered good practice, are described in </w:t>
      </w:r>
      <w:r w:rsidR="0030320F" w:rsidRPr="00C74714">
        <w:fldChar w:fldCharType="begin"/>
      </w:r>
      <w:r w:rsidR="0030320F" w:rsidRPr="00C74714">
        <w:instrText xml:space="preserve"> REF _Ref51335379 \h </w:instrText>
      </w:r>
      <w:r w:rsidR="00C74714">
        <w:instrText xml:space="preserve"> \* MERGEFORMAT </w:instrText>
      </w:r>
      <w:r w:rsidR="0030320F" w:rsidRPr="00C74714">
        <w:fldChar w:fldCharType="separate"/>
      </w:r>
      <w:r w:rsidR="000E59E1">
        <w:t xml:space="preserve">Table </w:t>
      </w:r>
      <w:r w:rsidR="000E59E1">
        <w:rPr>
          <w:noProof/>
        </w:rPr>
        <w:t>4</w:t>
      </w:r>
      <w:r w:rsidR="0030320F" w:rsidRPr="00C74714">
        <w:fldChar w:fldCharType="end"/>
      </w:r>
      <w:r w:rsidR="005B36B6" w:rsidRPr="00C74714">
        <w:t>.</w:t>
      </w:r>
      <w:r w:rsidR="005B36B6" w:rsidRPr="00C74714">
        <w:rPr>
          <w:lang w:eastAsia="en-AU"/>
        </w:rPr>
        <w:t xml:space="preserve"> See </w:t>
      </w:r>
      <w:r w:rsidR="005B36B6" w:rsidRPr="00C74714">
        <w:rPr>
          <w:lang w:eastAsia="en-AU"/>
        </w:rPr>
        <w:fldChar w:fldCharType="begin"/>
      </w:r>
      <w:r w:rsidR="005B36B6" w:rsidRPr="00C74714">
        <w:rPr>
          <w:lang w:eastAsia="en-AU"/>
        </w:rPr>
        <w:instrText xml:space="preserve"> REF _Ref51163437 \r \h </w:instrText>
      </w:r>
      <w:r w:rsidR="00C74714">
        <w:rPr>
          <w:lang w:eastAsia="en-AU"/>
        </w:rPr>
        <w:instrText xml:space="preserve"> \* MERGEFORMAT </w:instrText>
      </w:r>
      <w:r w:rsidR="005B36B6" w:rsidRPr="00C74714">
        <w:rPr>
          <w:lang w:eastAsia="en-AU"/>
        </w:rPr>
      </w:r>
      <w:r w:rsidR="005B36B6" w:rsidRPr="00C74714">
        <w:rPr>
          <w:lang w:eastAsia="en-AU"/>
        </w:rPr>
        <w:fldChar w:fldCharType="separate"/>
      </w:r>
      <w:r w:rsidR="000E59E1">
        <w:rPr>
          <w:lang w:eastAsia="en-AU"/>
        </w:rPr>
        <w:t>Appendix A</w:t>
      </w:r>
      <w:r w:rsidR="005B36B6" w:rsidRPr="00C74714">
        <w:rPr>
          <w:lang w:eastAsia="en-AU"/>
        </w:rPr>
        <w:fldChar w:fldCharType="end"/>
      </w:r>
      <w:r w:rsidR="005B36B6">
        <w:rPr>
          <w:lang w:eastAsia="en-AU"/>
        </w:rPr>
        <w:t xml:space="preserve"> for detail</w:t>
      </w:r>
      <w:r w:rsidR="0030320F">
        <w:rPr>
          <w:lang w:eastAsia="en-AU"/>
        </w:rPr>
        <w:t>s</w:t>
      </w:r>
      <w:r w:rsidR="00F91395">
        <w:rPr>
          <w:lang w:eastAsia="en-AU"/>
        </w:rPr>
        <w:t xml:space="preserve"> of all models</w:t>
      </w:r>
      <w:r w:rsidR="005B36B6">
        <w:rPr>
          <w:lang w:eastAsia="en-AU"/>
        </w:rPr>
        <w:t>.</w:t>
      </w:r>
    </w:p>
    <w:p w14:paraId="40F3A965" w14:textId="1E25DC55" w:rsidR="00D96927" w:rsidRDefault="00D96927" w:rsidP="00D96927">
      <w:pPr>
        <w:pStyle w:val="Caption"/>
      </w:pPr>
      <w:bookmarkStart w:id="62" w:name="_Ref51335379"/>
      <w:r>
        <w:t xml:space="preserve">Table </w:t>
      </w:r>
      <w:r>
        <w:fldChar w:fldCharType="begin"/>
      </w:r>
      <w:r>
        <w:instrText xml:space="preserve"> SEQ Table \* ARABIC </w:instrText>
      </w:r>
      <w:r>
        <w:fldChar w:fldCharType="separate"/>
      </w:r>
      <w:r w:rsidR="000E59E1">
        <w:rPr>
          <w:noProof/>
        </w:rPr>
        <w:t>4</w:t>
      </w:r>
      <w:r>
        <w:fldChar w:fldCharType="end"/>
      </w:r>
      <w:bookmarkEnd w:id="60"/>
      <w:bookmarkEnd w:id="61"/>
      <w:bookmarkEnd w:id="62"/>
      <w:r>
        <w:t xml:space="preserve"> | </w:t>
      </w:r>
      <w:r w:rsidRPr="00387B68">
        <w:t>International examples of palliative care activities in RACFs</w:t>
      </w:r>
    </w:p>
    <w:tbl>
      <w:tblPr>
        <w:tblStyle w:val="TableGrid"/>
        <w:tblW w:w="5000" w:type="pct"/>
        <w:tblLook w:val="0400" w:firstRow="0" w:lastRow="0" w:firstColumn="0" w:lastColumn="0" w:noHBand="0" w:noVBand="1"/>
        <w:tblCaption w:val="Table 4 lists international examples of palliative care activities in RACFS and why they are good practice models of care"/>
        <w:tblDescription w:val="In New Zealand, the Residential Aged Care Integration Program supports RACF staff through education and clinical coaching and care coordination provided by gerontology nurse specialists. The Aged Residential Care Health Utilisation Study is a multi-disciplinary team intervention in long-term care facilities involving a meetings with a geriatrician, facility GP, pharmacist, GNS and senior nursing staff. &#10;&#10;In the UK, the Gold Standards Framework is a model of end-of-life care and helps practitioners to identify individual in need of supportive end-of-life care, to assess their needs, symptoms, preferences and other concerns important to them. The Supportive and Palliative Care Indicators Tool provide holistic, person-centred care through a multidisciplinary team  of primary and secondary care teams to recognise when their patients might be at risk of dying and likely to benefit from supportive and palliative care in parallel with ongoing management of their advanced conditions.&#10;&#10;In the United States, nursing home social workers are given education to enhance advance care planning for residents of nursing home, to discuss the goals of care at team meetings and 'flagged' advance directives on nursing home charts. "/>
      </w:tblPr>
      <w:tblGrid>
        <w:gridCol w:w="1510"/>
        <w:gridCol w:w="1387"/>
        <w:gridCol w:w="4837"/>
        <w:gridCol w:w="6263"/>
      </w:tblGrid>
      <w:tr w:rsidR="0063604C" w14:paraId="32B59A13" w14:textId="77777777" w:rsidTr="22C19DAE">
        <w:trPr>
          <w:trHeight w:val="454"/>
          <w:tblHeader/>
        </w:trPr>
        <w:tc>
          <w:tcPr>
            <w:tcW w:w="1447" w:type="dxa"/>
            <w:tcBorders>
              <w:top w:val="nil"/>
              <w:left w:val="single" w:sz="6" w:space="0" w:color="EDEDE8" w:themeColor="accent5"/>
              <w:bottom w:val="single" w:sz="8" w:space="0" w:color="EDEDE8" w:themeColor="accent5"/>
              <w:right w:val="single" w:sz="4" w:space="0" w:color="FFFFFF" w:themeColor="background1"/>
            </w:tcBorders>
            <w:shd w:val="clear" w:color="auto" w:fill="00264D" w:themeFill="background2"/>
          </w:tcPr>
          <w:p w14:paraId="559BC728" w14:textId="5AA64926" w:rsidR="00A37C12" w:rsidRPr="000B424D" w:rsidRDefault="00A37C12" w:rsidP="000B424D">
            <w:pPr>
              <w:pStyle w:val="TableNheader"/>
              <w:rPr>
                <w:color w:val="FFFFFF" w:themeColor="background1"/>
              </w:rPr>
            </w:pPr>
            <w:r w:rsidRPr="000B424D">
              <w:rPr>
                <w:color w:val="FFFFFF" w:themeColor="background1"/>
              </w:rPr>
              <w:t>Model of care</w:t>
            </w:r>
          </w:p>
        </w:tc>
        <w:tc>
          <w:tcPr>
            <w:tcW w:w="1329" w:type="dxa"/>
            <w:tcBorders>
              <w:top w:val="nil"/>
              <w:left w:val="single" w:sz="4" w:space="0" w:color="FFFFFF" w:themeColor="background1"/>
              <w:bottom w:val="single" w:sz="8" w:space="0" w:color="EDEDE8" w:themeColor="accent5"/>
              <w:right w:val="single" w:sz="4" w:space="0" w:color="FFFFFF" w:themeColor="background1"/>
            </w:tcBorders>
            <w:shd w:val="clear" w:color="auto" w:fill="00264D" w:themeFill="background2"/>
          </w:tcPr>
          <w:p w14:paraId="5434319B" w14:textId="5D39A16A" w:rsidR="00A37C12" w:rsidRPr="000B424D" w:rsidRDefault="0010383F" w:rsidP="000B424D">
            <w:pPr>
              <w:pStyle w:val="TableNheader"/>
              <w:rPr>
                <w:color w:val="FFFFFF" w:themeColor="background1"/>
              </w:rPr>
            </w:pPr>
            <w:r w:rsidRPr="000B424D">
              <w:rPr>
                <w:color w:val="FFFFFF" w:themeColor="background1"/>
              </w:rPr>
              <w:t>Key elements</w:t>
            </w:r>
          </w:p>
        </w:tc>
        <w:tc>
          <w:tcPr>
            <w:tcW w:w="4634" w:type="dxa"/>
            <w:tcBorders>
              <w:top w:val="nil"/>
              <w:left w:val="single" w:sz="4" w:space="0" w:color="FFFFFF" w:themeColor="background1"/>
              <w:bottom w:val="single" w:sz="8" w:space="0" w:color="EDEDE8" w:themeColor="accent5"/>
              <w:right w:val="single" w:sz="4" w:space="0" w:color="FFFFFF" w:themeColor="background1"/>
            </w:tcBorders>
            <w:shd w:val="clear" w:color="auto" w:fill="00264D" w:themeFill="background2"/>
          </w:tcPr>
          <w:p w14:paraId="44C4AB0E" w14:textId="5A7C6654" w:rsidR="00A37C12" w:rsidRPr="000B424D" w:rsidRDefault="00A37C12" w:rsidP="000B424D">
            <w:pPr>
              <w:pStyle w:val="TableNheader"/>
              <w:rPr>
                <w:color w:val="FFFFFF" w:themeColor="background1"/>
              </w:rPr>
            </w:pPr>
            <w:r w:rsidRPr="000B424D">
              <w:rPr>
                <w:color w:val="FFFFFF" w:themeColor="background1"/>
              </w:rPr>
              <w:t>Description</w:t>
            </w:r>
          </w:p>
        </w:tc>
        <w:tc>
          <w:tcPr>
            <w:tcW w:w="6000" w:type="dxa"/>
            <w:tcBorders>
              <w:top w:val="nil"/>
              <w:left w:val="single" w:sz="4" w:space="0" w:color="FFFFFF" w:themeColor="background1"/>
              <w:bottom w:val="single" w:sz="8" w:space="0" w:color="EDEDE8" w:themeColor="accent5"/>
            </w:tcBorders>
            <w:shd w:val="clear" w:color="auto" w:fill="00264D" w:themeFill="background2"/>
          </w:tcPr>
          <w:p w14:paraId="6F588A11" w14:textId="2976E45E" w:rsidR="00A37C12" w:rsidRPr="000B424D" w:rsidRDefault="00A37C12" w:rsidP="000B424D">
            <w:pPr>
              <w:pStyle w:val="TableNheader"/>
              <w:rPr>
                <w:color w:val="FFFFFF" w:themeColor="background1"/>
              </w:rPr>
            </w:pPr>
            <w:r w:rsidRPr="000B424D">
              <w:rPr>
                <w:color w:val="FFFFFF" w:themeColor="background1"/>
              </w:rPr>
              <w:t xml:space="preserve">Rationale for why the model is good practice </w:t>
            </w:r>
          </w:p>
        </w:tc>
      </w:tr>
      <w:tr w:rsidR="00744DF8" w14:paraId="362F9246" w14:textId="77777777" w:rsidTr="22C19DAE">
        <w:trPr>
          <w:trHeight w:val="283"/>
        </w:trPr>
        <w:tc>
          <w:tcPr>
            <w:tcW w:w="13410" w:type="dxa"/>
            <w:gridSpan w:val="4"/>
            <w:tcBorders>
              <w:top w:val="single" w:sz="8" w:space="0" w:color="EDEDE8" w:themeColor="accent5"/>
              <w:left w:val="single" w:sz="6" w:space="0" w:color="EDEDE8" w:themeColor="accent5"/>
              <w:bottom w:val="single" w:sz="12" w:space="0" w:color="2E368F" w:themeColor="text2"/>
              <w:right w:val="single" w:sz="6" w:space="0" w:color="EDEDE8" w:themeColor="accent5"/>
            </w:tcBorders>
          </w:tcPr>
          <w:p w14:paraId="3BE408BA" w14:textId="20E0540B" w:rsidR="00744DF8" w:rsidRPr="00744DF8" w:rsidRDefault="00744DF8" w:rsidP="00744DF8">
            <w:pPr>
              <w:spacing w:after="0"/>
              <w:rPr>
                <w:b/>
                <w:bCs/>
              </w:rPr>
            </w:pPr>
            <w:r w:rsidRPr="00744DF8">
              <w:rPr>
                <w:b/>
                <w:bCs/>
                <w:color w:val="2E368F" w:themeColor="text2"/>
              </w:rPr>
              <w:t>NEW ZEALAND</w:t>
            </w:r>
          </w:p>
        </w:tc>
      </w:tr>
      <w:tr w:rsidR="00BE7A26" w14:paraId="429D8A08" w14:textId="77777777" w:rsidTr="22C19DAE">
        <w:tc>
          <w:tcPr>
            <w:tcW w:w="1447" w:type="dxa"/>
            <w:tcBorders>
              <w:top w:val="single" w:sz="12" w:space="0" w:color="2E368F" w:themeColor="text2"/>
              <w:left w:val="single" w:sz="6" w:space="0" w:color="EDEDE8" w:themeColor="accent5"/>
              <w:bottom w:val="single" w:sz="4" w:space="0" w:color="FFFFFF" w:themeColor="background1"/>
            </w:tcBorders>
            <w:shd w:val="clear" w:color="auto" w:fill="EDEDE8" w:themeFill="accent5"/>
          </w:tcPr>
          <w:p w14:paraId="7BE493F4" w14:textId="4851FCF9" w:rsidR="006D127A" w:rsidRPr="006C1386" w:rsidRDefault="006D127A" w:rsidP="00FE19F4">
            <w:pPr>
              <w:pStyle w:val="TableNText"/>
              <w:rPr>
                <w:szCs w:val="17"/>
              </w:rPr>
            </w:pPr>
            <w:r w:rsidRPr="00483021">
              <w:t>Residential Aged Care Integration Program (RACIP)</w:t>
            </w:r>
            <w:r w:rsidRPr="00483021">
              <w:rPr>
                <w:rStyle w:val="FootnoteReference"/>
                <w:rFonts w:cs="Calibri"/>
                <w:sz w:val="16"/>
                <w:szCs w:val="16"/>
              </w:rPr>
              <w:footnoteReference w:id="99"/>
            </w:r>
            <w:r w:rsidRPr="00483021">
              <w:br/>
            </w:r>
            <w:r w:rsidRPr="00483021">
              <w:br/>
            </w:r>
          </w:p>
        </w:tc>
        <w:tc>
          <w:tcPr>
            <w:tcW w:w="1329" w:type="dxa"/>
            <w:tcBorders>
              <w:top w:val="single" w:sz="12" w:space="0" w:color="2E368F" w:themeColor="text2"/>
            </w:tcBorders>
          </w:tcPr>
          <w:p w14:paraId="0B0CFBAB" w14:textId="5DF4E85B" w:rsidR="006D127A" w:rsidRPr="006C1386" w:rsidRDefault="005503C6" w:rsidP="00FE19F4">
            <w:pPr>
              <w:pStyle w:val="TableNText"/>
              <w:rPr>
                <w:szCs w:val="17"/>
              </w:rPr>
            </w:pPr>
            <w:r w:rsidRPr="00483021">
              <w:t>Specialist outreach service</w:t>
            </w:r>
          </w:p>
        </w:tc>
        <w:tc>
          <w:tcPr>
            <w:tcW w:w="4634" w:type="dxa"/>
            <w:tcBorders>
              <w:top w:val="single" w:sz="12" w:space="0" w:color="2E368F" w:themeColor="text2"/>
            </w:tcBorders>
          </w:tcPr>
          <w:p w14:paraId="1AD7A0F2" w14:textId="22354586" w:rsidR="006D127A" w:rsidRPr="006C1386" w:rsidRDefault="006D127A" w:rsidP="00FE19F4">
            <w:pPr>
              <w:pStyle w:val="TableNText"/>
              <w:rPr>
                <w:szCs w:val="17"/>
              </w:rPr>
            </w:pPr>
            <w:r w:rsidRPr="00483021">
              <w:t>RACIP is a quality improvement intervention to support residential aged care staff and includes on-site support, education, clinical coaching, and care coordination provided by gerontology nurse specialists</w:t>
            </w:r>
            <w:r w:rsidR="005503C6">
              <w:t xml:space="preserve"> </w:t>
            </w:r>
            <w:r w:rsidRPr="00483021">
              <w:t>(GNSs) employed by a large district health board.</w:t>
            </w:r>
          </w:p>
        </w:tc>
        <w:tc>
          <w:tcPr>
            <w:tcW w:w="6000" w:type="dxa"/>
            <w:tcBorders>
              <w:top w:val="single" w:sz="12" w:space="0" w:color="2E368F" w:themeColor="text2"/>
              <w:bottom w:val="single" w:sz="8" w:space="0" w:color="EDEDE8" w:themeColor="accent5"/>
              <w:right w:val="single" w:sz="6" w:space="0" w:color="EDEDE8" w:themeColor="accent5"/>
            </w:tcBorders>
          </w:tcPr>
          <w:p w14:paraId="3EF2FE69" w14:textId="0EF86F56" w:rsidR="005950F0" w:rsidRPr="00D82AB1" w:rsidRDefault="005950F0" w:rsidP="005950F0">
            <w:pPr>
              <w:pStyle w:val="TableNBullet"/>
              <w:spacing w:line="259" w:lineRule="auto"/>
            </w:pPr>
            <w:r w:rsidRPr="00D82AB1">
              <w:t>Developed capabilities of RACF staff</w:t>
            </w:r>
            <w:r>
              <w:t xml:space="preserve"> through education and clinical coaching</w:t>
            </w:r>
          </w:p>
          <w:p w14:paraId="1518E202" w14:textId="77777777" w:rsidR="005503C6" w:rsidRPr="00483021" w:rsidRDefault="005503C6" w:rsidP="005503C6">
            <w:pPr>
              <w:pStyle w:val="TableNBullet"/>
            </w:pPr>
            <w:r>
              <w:t xml:space="preserve">Developed a </w:t>
            </w:r>
            <w:r w:rsidRPr="00483021">
              <w:t>collaborative relationship between GNS and facility staff</w:t>
            </w:r>
          </w:p>
          <w:p w14:paraId="76A33313" w14:textId="3F940787" w:rsidR="005503C6" w:rsidRPr="00483021" w:rsidRDefault="005503C6" w:rsidP="005503C6">
            <w:pPr>
              <w:pStyle w:val="TableNBullet"/>
            </w:pPr>
            <w:r>
              <w:t xml:space="preserve">Established quality initiatives and indicators </w:t>
            </w:r>
          </w:p>
          <w:p w14:paraId="1B540A3D" w14:textId="77777777" w:rsidR="002805D8" w:rsidRDefault="005503C6" w:rsidP="002805D8">
            <w:pPr>
              <w:pStyle w:val="TableNBullet"/>
            </w:pPr>
            <w:r>
              <w:t>Improved</w:t>
            </w:r>
            <w:r w:rsidR="0090491A">
              <w:t xml:space="preserve"> c</w:t>
            </w:r>
            <w:r w:rsidR="006D127A" w:rsidRPr="00483021">
              <w:t>are coordination for high-risk residents</w:t>
            </w:r>
          </w:p>
          <w:p w14:paraId="64D10AF0" w14:textId="6B4B3DB7" w:rsidR="006D127A" w:rsidRPr="002805D8" w:rsidRDefault="005503C6" w:rsidP="00BC2F04">
            <w:pPr>
              <w:pStyle w:val="TableNBullet"/>
              <w:spacing w:line="259" w:lineRule="auto"/>
            </w:pPr>
            <w:r w:rsidRPr="002805D8">
              <w:t xml:space="preserve">Provided access to a network of </w:t>
            </w:r>
            <w:r w:rsidR="00BC2F04" w:rsidRPr="00D82AB1">
              <w:t>specialist</w:t>
            </w:r>
            <w:r w:rsidRPr="002805D8">
              <w:t xml:space="preserve"> care </w:t>
            </w:r>
            <w:r w:rsidR="00BC2F04" w:rsidRPr="00D82AB1">
              <w:t>providers</w:t>
            </w:r>
          </w:p>
        </w:tc>
      </w:tr>
      <w:tr w:rsidR="00BE7A26" w14:paraId="39F497C3" w14:textId="77777777" w:rsidTr="22C19DAE">
        <w:tc>
          <w:tcPr>
            <w:tcW w:w="1447" w:type="dxa"/>
            <w:tcBorders>
              <w:top w:val="single" w:sz="4" w:space="0" w:color="FFFFFF" w:themeColor="background1"/>
              <w:left w:val="single" w:sz="6" w:space="0" w:color="EDEDE8" w:themeColor="accent5"/>
              <w:bottom w:val="single" w:sz="4" w:space="0" w:color="FFFFFF" w:themeColor="background1"/>
            </w:tcBorders>
            <w:shd w:val="clear" w:color="auto" w:fill="EDEDE8" w:themeFill="accent5"/>
          </w:tcPr>
          <w:p w14:paraId="53EDD7A8" w14:textId="77777777" w:rsidR="006D127A" w:rsidRPr="00483021" w:rsidRDefault="006D127A" w:rsidP="00FE19F4">
            <w:pPr>
              <w:pStyle w:val="TableNText"/>
            </w:pPr>
            <w:r w:rsidRPr="00483021">
              <w:t>Aged Residential Care Health Utilisation Study (ARCHUS)</w:t>
            </w:r>
            <w:r w:rsidRPr="00483021">
              <w:rPr>
                <w:rStyle w:val="FootnoteReference"/>
                <w:rFonts w:cs="Calibri"/>
                <w:sz w:val="16"/>
                <w:szCs w:val="16"/>
              </w:rPr>
              <w:footnoteReference w:id="100"/>
            </w:r>
          </w:p>
          <w:p w14:paraId="30C51D83" w14:textId="0C62C00A" w:rsidR="006D127A" w:rsidRPr="002A0835" w:rsidRDefault="006D127A" w:rsidP="00FE19F4">
            <w:pPr>
              <w:pStyle w:val="TableNText"/>
              <w:rPr>
                <w:rFonts w:ascii="Segoe UI Semilight" w:hAnsi="Segoe UI Semilight"/>
                <w:szCs w:val="17"/>
              </w:rPr>
            </w:pPr>
          </w:p>
        </w:tc>
        <w:tc>
          <w:tcPr>
            <w:tcW w:w="1329" w:type="dxa"/>
            <w:tcBorders>
              <w:bottom w:val="single" w:sz="4" w:space="0" w:color="FFFFFF" w:themeColor="background1"/>
            </w:tcBorders>
          </w:tcPr>
          <w:p w14:paraId="150A04CE" w14:textId="0BC64167" w:rsidR="006D127A" w:rsidRPr="002A0835" w:rsidRDefault="006D127A" w:rsidP="00FE19F4">
            <w:pPr>
              <w:pStyle w:val="TableNText"/>
              <w:rPr>
                <w:szCs w:val="17"/>
              </w:rPr>
            </w:pPr>
            <w:r w:rsidRPr="00483021">
              <w:t>Case management</w:t>
            </w:r>
          </w:p>
        </w:tc>
        <w:tc>
          <w:tcPr>
            <w:tcW w:w="4634" w:type="dxa"/>
            <w:tcBorders>
              <w:bottom w:val="single" w:sz="4" w:space="0" w:color="FFFFFF" w:themeColor="background1"/>
            </w:tcBorders>
          </w:tcPr>
          <w:p w14:paraId="71FCD2C2" w14:textId="1BA53B94" w:rsidR="006D127A" w:rsidRPr="002A0835" w:rsidRDefault="006D127A" w:rsidP="00FE19F4">
            <w:pPr>
              <w:pStyle w:val="TableNText"/>
              <w:rPr>
                <w:szCs w:val="17"/>
              </w:rPr>
            </w:pPr>
            <w:r w:rsidRPr="00483021">
              <w:t xml:space="preserve">A complex multi-disciplinary team intervention in long-term care facilities. A gerontology nurse specialist (GNS) conducted baseline facility needs assessment and quality indicator benchmarking. </w:t>
            </w:r>
            <w:r w:rsidR="000118E1">
              <w:t>M</w:t>
            </w:r>
            <w:r w:rsidRPr="00483021">
              <w:t>ulti-disciplinary team (MDT) meetings were held involving a geriatrician, facility GP, pharmacist, GNS and senior nursing staff.</w:t>
            </w:r>
          </w:p>
        </w:tc>
        <w:tc>
          <w:tcPr>
            <w:tcW w:w="6000" w:type="dxa"/>
            <w:tcBorders>
              <w:top w:val="single" w:sz="8" w:space="0" w:color="EDEDE8" w:themeColor="accent5"/>
              <w:bottom w:val="single" w:sz="4" w:space="0" w:color="FFFFFF" w:themeColor="background1"/>
              <w:right w:val="single" w:sz="6" w:space="0" w:color="EDEDE8" w:themeColor="accent5"/>
            </w:tcBorders>
          </w:tcPr>
          <w:p w14:paraId="69B07354" w14:textId="61203AAA" w:rsidR="00970FC7" w:rsidRPr="00483021" w:rsidRDefault="00970FC7" w:rsidP="00970FC7">
            <w:pPr>
              <w:pStyle w:val="TableNBullet"/>
            </w:pPr>
            <w:r>
              <w:t>I</w:t>
            </w:r>
            <w:r w:rsidRPr="00483021">
              <w:t>mproved integration of RAC</w:t>
            </w:r>
            <w:r w:rsidR="00F50C6B">
              <w:t>F</w:t>
            </w:r>
            <w:r w:rsidRPr="00483021">
              <w:t xml:space="preserve"> with geriatricians and with emergency/acute services</w:t>
            </w:r>
          </w:p>
          <w:p w14:paraId="0B979FC2" w14:textId="14B75E8A" w:rsidR="00407407" w:rsidRPr="00D82AB1" w:rsidRDefault="00407407" w:rsidP="00407407">
            <w:pPr>
              <w:pStyle w:val="TableNBullet"/>
              <w:spacing w:line="259" w:lineRule="auto"/>
            </w:pPr>
            <w:r w:rsidRPr="00D82AB1">
              <w:t>Developed capabilities of RACF staff</w:t>
            </w:r>
            <w:r>
              <w:t xml:space="preserve"> through education</w:t>
            </w:r>
          </w:p>
          <w:p w14:paraId="68DFE3DE" w14:textId="2C77636D" w:rsidR="002805D8" w:rsidRDefault="00970FC7" w:rsidP="002805D8">
            <w:pPr>
              <w:pStyle w:val="TableNBullet"/>
            </w:pPr>
            <w:r>
              <w:t>I</w:t>
            </w:r>
            <w:r w:rsidRPr="00483021">
              <w:t>mproved RAC</w:t>
            </w:r>
            <w:r w:rsidR="00F50C6B">
              <w:t>F</w:t>
            </w:r>
            <w:r w:rsidRPr="00483021">
              <w:t xml:space="preserve"> palliative care practices</w:t>
            </w:r>
          </w:p>
          <w:p w14:paraId="438572D5" w14:textId="138CF72B" w:rsidR="00744DF8" w:rsidRPr="001774D5" w:rsidRDefault="00970FC7" w:rsidP="001774D5">
            <w:pPr>
              <w:pStyle w:val="TableNBullet"/>
            </w:pPr>
            <w:r w:rsidRPr="002805D8">
              <w:t xml:space="preserve">Provided </w:t>
            </w:r>
            <w:r w:rsidR="006D127A" w:rsidRPr="002805D8">
              <w:t xml:space="preserve">alternative residential aged care models to </w:t>
            </w:r>
            <w:r w:rsidRPr="002805D8">
              <w:t>target</w:t>
            </w:r>
            <w:r w:rsidR="006D127A" w:rsidRPr="002805D8">
              <w:t xml:space="preserve"> care for high risk groups, e.g.: those with end-stage dementia</w:t>
            </w:r>
          </w:p>
          <w:p w14:paraId="0DA62560" w14:textId="564B584E" w:rsidR="006D127A" w:rsidRPr="002805D8" w:rsidRDefault="006D127A" w:rsidP="00744DF8">
            <w:pPr>
              <w:pStyle w:val="TableNBullet"/>
              <w:numPr>
                <w:ilvl w:val="0"/>
                <w:numId w:val="0"/>
              </w:numPr>
              <w:ind w:left="227"/>
            </w:pPr>
          </w:p>
        </w:tc>
      </w:tr>
      <w:tr w:rsidR="00744DF8" w14:paraId="173CD367" w14:textId="77777777" w:rsidTr="22C19DAE">
        <w:tc>
          <w:tcPr>
            <w:tcW w:w="13410" w:type="dxa"/>
            <w:gridSpan w:val="4"/>
            <w:tcBorders>
              <w:top w:val="single" w:sz="4" w:space="0" w:color="FFFFFF" w:themeColor="background1"/>
              <w:left w:val="single" w:sz="6" w:space="0" w:color="EDEDE8" w:themeColor="accent5"/>
              <w:bottom w:val="single" w:sz="4" w:space="0" w:color="FFFFFF" w:themeColor="background1"/>
              <w:right w:val="single" w:sz="6" w:space="0" w:color="EDEDE8" w:themeColor="accent5"/>
            </w:tcBorders>
          </w:tcPr>
          <w:p w14:paraId="02C9EAAE" w14:textId="008227BD" w:rsidR="00744DF8" w:rsidRPr="00744DF8" w:rsidRDefault="00744DF8" w:rsidP="00744DF8">
            <w:pPr>
              <w:spacing w:after="0"/>
              <w:rPr>
                <w:b/>
                <w:bCs/>
              </w:rPr>
            </w:pPr>
            <w:r w:rsidRPr="00744DF8">
              <w:rPr>
                <w:b/>
                <w:bCs/>
                <w:color w:val="FF3A40" w:themeColor="accent1"/>
              </w:rPr>
              <w:t>UNITED KINGDOM</w:t>
            </w:r>
          </w:p>
        </w:tc>
      </w:tr>
      <w:tr w:rsidR="00BE7A26" w14:paraId="6B6E3CE7" w14:textId="77777777" w:rsidTr="22C19DAE">
        <w:tc>
          <w:tcPr>
            <w:tcW w:w="1447" w:type="dxa"/>
            <w:tcBorders>
              <w:top w:val="single" w:sz="12" w:space="0" w:color="FF3A40" w:themeColor="accent1"/>
              <w:left w:val="single" w:sz="6" w:space="0" w:color="EDEDE8" w:themeColor="accent5"/>
              <w:bottom w:val="single" w:sz="4" w:space="0" w:color="FFFFFF" w:themeColor="background1"/>
            </w:tcBorders>
            <w:shd w:val="clear" w:color="auto" w:fill="EDEDE8" w:themeFill="accent5"/>
          </w:tcPr>
          <w:p w14:paraId="3C8E4F54" w14:textId="7D1050D7" w:rsidR="00970FC7" w:rsidRPr="00483021" w:rsidRDefault="00970FC7" w:rsidP="00FE19F4">
            <w:pPr>
              <w:pStyle w:val="TableNText"/>
            </w:pPr>
            <w:r w:rsidRPr="00483021">
              <w:lastRenderedPageBreak/>
              <w:t xml:space="preserve">Gold </w:t>
            </w:r>
            <w:r w:rsidRPr="00483021">
              <w:rPr>
                <w:rFonts w:cs="Wingdings"/>
              </w:rPr>
              <w:t>Standard</w:t>
            </w:r>
            <w:r w:rsidR="009560F8">
              <w:rPr>
                <w:rFonts w:cs="Wingdings"/>
              </w:rPr>
              <w:t>s</w:t>
            </w:r>
            <w:r w:rsidR="009560F8" w:rsidRPr="00483021">
              <w:t xml:space="preserve"> </w:t>
            </w:r>
            <w:r w:rsidRPr="00483021">
              <w:t>Framework (GSF)</w:t>
            </w:r>
            <w:r w:rsidRPr="00483021">
              <w:rPr>
                <w:rStyle w:val="FootnoteReference"/>
                <w:rFonts w:cs="Calibri"/>
                <w:sz w:val="16"/>
                <w:szCs w:val="16"/>
              </w:rPr>
              <w:footnoteReference w:id="101"/>
            </w:r>
          </w:p>
          <w:p w14:paraId="3C913BAF" w14:textId="281EB306" w:rsidR="002A0835" w:rsidRPr="002A0835" w:rsidRDefault="002A0835" w:rsidP="00FE19F4">
            <w:pPr>
              <w:pStyle w:val="TableNText"/>
              <w:rPr>
                <w:rFonts w:asciiTheme="minorHAnsi" w:hAnsiTheme="minorHAnsi" w:cstheme="minorHAnsi"/>
                <w:szCs w:val="17"/>
              </w:rPr>
            </w:pPr>
          </w:p>
        </w:tc>
        <w:tc>
          <w:tcPr>
            <w:tcW w:w="1329" w:type="dxa"/>
            <w:tcBorders>
              <w:top w:val="single" w:sz="12" w:space="0" w:color="FF3A40" w:themeColor="accent1"/>
            </w:tcBorders>
          </w:tcPr>
          <w:p w14:paraId="2AAB7886" w14:textId="5A178795" w:rsidR="002A0835" w:rsidRPr="002A0835" w:rsidRDefault="00970FC7" w:rsidP="00FE19F4">
            <w:pPr>
              <w:pStyle w:val="TableNText"/>
              <w:rPr>
                <w:rFonts w:asciiTheme="minorHAnsi" w:hAnsiTheme="minorHAnsi" w:cstheme="minorHAnsi"/>
                <w:szCs w:val="17"/>
              </w:rPr>
            </w:pPr>
            <w:r w:rsidRPr="00483021">
              <w:t>Case management</w:t>
            </w:r>
          </w:p>
        </w:tc>
        <w:tc>
          <w:tcPr>
            <w:tcW w:w="4634" w:type="dxa"/>
            <w:tcBorders>
              <w:top w:val="single" w:sz="12" w:space="0" w:color="FF3A40" w:themeColor="accent1"/>
            </w:tcBorders>
          </w:tcPr>
          <w:p w14:paraId="0F3B7F41" w14:textId="07A2678A" w:rsidR="002A0835" w:rsidRPr="002A0835" w:rsidRDefault="00970FC7" w:rsidP="00FE19F4">
            <w:pPr>
              <w:pStyle w:val="TableNText"/>
              <w:rPr>
                <w:rFonts w:asciiTheme="minorHAnsi" w:hAnsiTheme="minorHAnsi" w:cstheme="minorHAnsi"/>
                <w:szCs w:val="17"/>
              </w:rPr>
            </w:pPr>
            <w:r w:rsidRPr="00483021">
              <w:t xml:space="preserve">A model of end-of-life care, in nursing homes in England. The GSF helps practitioners to identify individuals in need of supportive end-of-life care, to assess their needs, symptoms, </w:t>
            </w:r>
            <w:proofErr w:type="gramStart"/>
            <w:r w:rsidRPr="00483021">
              <w:t>preferences</w:t>
            </w:r>
            <w:proofErr w:type="gramEnd"/>
            <w:r w:rsidRPr="00483021">
              <w:t xml:space="preserve"> and other concerns important to them.</w:t>
            </w:r>
          </w:p>
        </w:tc>
        <w:tc>
          <w:tcPr>
            <w:tcW w:w="6000" w:type="dxa"/>
            <w:tcBorders>
              <w:top w:val="single" w:sz="12" w:space="0" w:color="FF3A40" w:themeColor="accent1"/>
              <w:bottom w:val="single" w:sz="8" w:space="0" w:color="EDEDE8" w:themeColor="accent5"/>
              <w:right w:val="single" w:sz="6" w:space="0" w:color="EDEDE8" w:themeColor="accent5"/>
            </w:tcBorders>
          </w:tcPr>
          <w:p w14:paraId="29A83DCB" w14:textId="77777777" w:rsidR="00970FC7" w:rsidRPr="00483021" w:rsidRDefault="00970FC7" w:rsidP="00970FC7">
            <w:pPr>
              <w:pStyle w:val="TableNBullet"/>
            </w:pPr>
            <w:r>
              <w:t>Increased</w:t>
            </w:r>
            <w:r w:rsidRPr="00483021">
              <w:t xml:space="preserve"> discussion with residents and families about care towards the end-of-life</w:t>
            </w:r>
          </w:p>
          <w:p w14:paraId="4EDAC115" w14:textId="77777777" w:rsidR="002805D8" w:rsidRDefault="00970FC7" w:rsidP="002805D8">
            <w:pPr>
              <w:pStyle w:val="TableNBullet"/>
            </w:pPr>
            <w:r w:rsidRPr="00483021">
              <w:t>Improved communication with GP out-of-hours services</w:t>
            </w:r>
          </w:p>
          <w:p w14:paraId="788D9A88" w14:textId="5E263EBE" w:rsidR="002A0835" w:rsidRPr="002805D8" w:rsidRDefault="00447963" w:rsidP="002805D8">
            <w:pPr>
              <w:pStyle w:val="TableNBullet"/>
            </w:pPr>
            <w:r w:rsidRPr="002805D8">
              <w:t>Introduce</w:t>
            </w:r>
            <w:r>
              <w:t>d</w:t>
            </w:r>
            <w:r w:rsidR="00970FC7" w:rsidRPr="002805D8">
              <w:t xml:space="preserve"> procedures for anticipatory medication and greater staff confidence in caring for people at the end-of-life</w:t>
            </w:r>
          </w:p>
        </w:tc>
      </w:tr>
      <w:tr w:rsidR="00BE7A26" w14:paraId="3D837AF6" w14:textId="77777777" w:rsidTr="22C19DAE">
        <w:tc>
          <w:tcPr>
            <w:tcW w:w="1447" w:type="dxa"/>
            <w:tcBorders>
              <w:top w:val="single" w:sz="4" w:space="0" w:color="FFFFFF" w:themeColor="background1"/>
              <w:left w:val="single" w:sz="6" w:space="0" w:color="EDEDE8" w:themeColor="accent5"/>
              <w:bottom w:val="single" w:sz="4" w:space="0" w:color="FFFFFF" w:themeColor="background1"/>
            </w:tcBorders>
            <w:shd w:val="clear" w:color="auto" w:fill="EDEDE8" w:themeFill="accent5"/>
          </w:tcPr>
          <w:p w14:paraId="01545486" w14:textId="3CC6B2B7" w:rsidR="00970FC7" w:rsidRPr="002A0835" w:rsidRDefault="00970FC7" w:rsidP="00FE19F4">
            <w:pPr>
              <w:pStyle w:val="TableNText"/>
              <w:rPr>
                <w:rFonts w:asciiTheme="minorHAnsi" w:hAnsiTheme="minorHAnsi" w:cstheme="minorHAnsi"/>
                <w:szCs w:val="17"/>
              </w:rPr>
            </w:pPr>
            <w:r w:rsidRPr="00483021">
              <w:t>The Supportive and Palliative Care Indicators Tool (SPICT)</w:t>
            </w:r>
            <w:r w:rsidRPr="00483021">
              <w:rPr>
                <w:rStyle w:val="FootnoteReference"/>
                <w:rFonts w:cs="Calibri"/>
                <w:sz w:val="16"/>
                <w:szCs w:val="16"/>
              </w:rPr>
              <w:footnoteReference w:id="102"/>
            </w:r>
            <w:r w:rsidRPr="00483021">
              <w:br/>
            </w:r>
            <w:r w:rsidRPr="00483021">
              <w:br/>
            </w:r>
          </w:p>
        </w:tc>
        <w:tc>
          <w:tcPr>
            <w:tcW w:w="1329" w:type="dxa"/>
            <w:tcBorders>
              <w:bottom w:val="single" w:sz="4" w:space="0" w:color="FFFFFF" w:themeColor="background1"/>
            </w:tcBorders>
          </w:tcPr>
          <w:p w14:paraId="1B3B48A3" w14:textId="77777777" w:rsidR="00970FC7" w:rsidRPr="002A0835" w:rsidRDefault="00970FC7" w:rsidP="00FE19F4">
            <w:pPr>
              <w:pStyle w:val="TableNText"/>
              <w:rPr>
                <w:szCs w:val="17"/>
              </w:rPr>
            </w:pPr>
          </w:p>
        </w:tc>
        <w:tc>
          <w:tcPr>
            <w:tcW w:w="4634" w:type="dxa"/>
            <w:tcBorders>
              <w:bottom w:val="single" w:sz="4" w:space="0" w:color="FFFFFF" w:themeColor="background1"/>
            </w:tcBorders>
          </w:tcPr>
          <w:p w14:paraId="4C5E5248" w14:textId="73ABF511" w:rsidR="00970FC7" w:rsidRPr="002A0835" w:rsidRDefault="00970FC7" w:rsidP="00FE19F4">
            <w:pPr>
              <w:pStyle w:val="TableNText"/>
              <w:rPr>
                <w:rFonts w:asciiTheme="minorHAnsi" w:hAnsiTheme="minorHAnsi" w:cstheme="minorHAnsi"/>
                <w:szCs w:val="17"/>
              </w:rPr>
            </w:pPr>
            <w:r w:rsidRPr="00483021">
              <w:t>SPICT is designed to provide practical, evidence-informed</w:t>
            </w:r>
            <w:r>
              <w:t xml:space="preserve"> </w:t>
            </w:r>
            <w:r w:rsidRPr="00483021">
              <w:t>guidance</w:t>
            </w:r>
            <w:r>
              <w:t xml:space="preserve"> </w:t>
            </w:r>
            <w:r w:rsidRPr="00483021">
              <w:t>to</w:t>
            </w:r>
            <w:r>
              <w:t xml:space="preserve"> </w:t>
            </w:r>
            <w:r w:rsidRPr="00483021">
              <w:t>help</w:t>
            </w:r>
            <w:r>
              <w:t xml:space="preserve"> </w:t>
            </w:r>
            <w:r w:rsidRPr="00483021">
              <w:t>clinicians working in primary and secondary care recognise when their patients might be at risk of dying and likely to benefit from supportive and palliative care in parallel with appropriate ongoing management of their advanced conditions</w:t>
            </w:r>
            <w:r w:rsidR="001C2847">
              <w:t>.</w:t>
            </w:r>
          </w:p>
        </w:tc>
        <w:tc>
          <w:tcPr>
            <w:tcW w:w="6000" w:type="dxa"/>
            <w:tcBorders>
              <w:top w:val="single" w:sz="8" w:space="0" w:color="EDEDE8" w:themeColor="accent5"/>
              <w:bottom w:val="single" w:sz="4" w:space="0" w:color="FFFFFF" w:themeColor="background1"/>
              <w:right w:val="single" w:sz="6" w:space="0" w:color="EDEDE8" w:themeColor="accent5"/>
            </w:tcBorders>
          </w:tcPr>
          <w:p w14:paraId="43DF01FB" w14:textId="77777777" w:rsidR="000E5123" w:rsidRPr="00D82AB1" w:rsidRDefault="000E5123" w:rsidP="000E5123">
            <w:pPr>
              <w:pStyle w:val="TableNBullet"/>
              <w:spacing w:line="259" w:lineRule="auto"/>
            </w:pPr>
            <w:r w:rsidRPr="00D82AB1">
              <w:t xml:space="preserve">Provided holistic, person-centred care through the multidisciplinary team </w:t>
            </w:r>
          </w:p>
          <w:p w14:paraId="3581B575" w14:textId="42144683" w:rsidR="00970FC7" w:rsidRPr="00483021" w:rsidRDefault="00970FC7" w:rsidP="00970FC7">
            <w:pPr>
              <w:pStyle w:val="TableNBullet"/>
            </w:pPr>
            <w:r>
              <w:t>Identified</w:t>
            </w:r>
            <w:r w:rsidRPr="00483021">
              <w:t xml:space="preserve"> patients who would benefit from a review of care goals and anticipatory care planning</w:t>
            </w:r>
          </w:p>
          <w:p w14:paraId="7FB6B386" w14:textId="2BCFF2E5" w:rsidR="00051C0F" w:rsidRPr="00483021" w:rsidRDefault="00051C0F" w:rsidP="00051C0F">
            <w:pPr>
              <w:pStyle w:val="TableNBullet"/>
              <w:spacing w:line="259" w:lineRule="auto"/>
            </w:pPr>
            <w:r>
              <w:t>Established quality initiatives and indicators to initiate end-of-life discussions and care planning</w:t>
            </w:r>
          </w:p>
          <w:p w14:paraId="59877AEB" w14:textId="34ECF9A7" w:rsidR="00970FC7" w:rsidRPr="002805D8" w:rsidRDefault="00970FC7" w:rsidP="002805D8">
            <w:pPr>
              <w:pStyle w:val="TableNBullet"/>
            </w:pPr>
            <w:r w:rsidRPr="002805D8">
              <w:t>Promoted effective communication and coordination between primary and secondary care teams</w:t>
            </w:r>
          </w:p>
        </w:tc>
      </w:tr>
      <w:tr w:rsidR="00744DF8" w14:paraId="5D147D94" w14:textId="77777777" w:rsidTr="22C19DAE">
        <w:tc>
          <w:tcPr>
            <w:tcW w:w="13410" w:type="dxa"/>
            <w:gridSpan w:val="4"/>
            <w:tcBorders>
              <w:top w:val="single" w:sz="4" w:space="0" w:color="FFFFFF" w:themeColor="background1"/>
              <w:left w:val="single" w:sz="6" w:space="0" w:color="EDEDE8" w:themeColor="accent5"/>
              <w:bottom w:val="single" w:sz="12" w:space="0" w:color="0070C0"/>
              <w:right w:val="single" w:sz="6" w:space="0" w:color="EDEDE8" w:themeColor="accent5"/>
            </w:tcBorders>
          </w:tcPr>
          <w:p w14:paraId="605FFA5C" w14:textId="7C09C6B2" w:rsidR="00744DF8" w:rsidRPr="00744DF8" w:rsidRDefault="00744DF8" w:rsidP="00744DF8">
            <w:pPr>
              <w:spacing w:after="0"/>
              <w:rPr>
                <w:b/>
                <w:bCs/>
              </w:rPr>
            </w:pPr>
            <w:r w:rsidRPr="00BE0ACD">
              <w:rPr>
                <w:b/>
                <w:color w:val="0070C0"/>
              </w:rPr>
              <w:t>UNITED STATES</w:t>
            </w:r>
          </w:p>
        </w:tc>
      </w:tr>
      <w:tr w:rsidR="00BE7A26" w14:paraId="16B6A513" w14:textId="77777777" w:rsidTr="22C19DAE">
        <w:tc>
          <w:tcPr>
            <w:tcW w:w="1447" w:type="dxa"/>
            <w:tcBorders>
              <w:top w:val="single" w:sz="12" w:space="0" w:color="0070C0"/>
              <w:left w:val="single" w:sz="6" w:space="0" w:color="EDEDE8" w:themeColor="accent5"/>
            </w:tcBorders>
            <w:shd w:val="clear" w:color="auto" w:fill="EDEDE8" w:themeFill="accent5"/>
          </w:tcPr>
          <w:p w14:paraId="7001DBE5" w14:textId="77777777" w:rsidR="00970FC7" w:rsidRPr="00483021" w:rsidRDefault="00970FC7" w:rsidP="00FE19F4">
            <w:pPr>
              <w:pStyle w:val="TableNText"/>
            </w:pPr>
            <w:r w:rsidRPr="00483021">
              <w:t>Social workers to enhance advance care planning</w:t>
            </w:r>
            <w:r w:rsidRPr="00483021">
              <w:rPr>
                <w:rStyle w:val="FootnoteReference"/>
                <w:rFonts w:cs="Calibri"/>
                <w:sz w:val="16"/>
                <w:szCs w:val="16"/>
              </w:rPr>
              <w:footnoteReference w:id="103"/>
            </w:r>
          </w:p>
          <w:p w14:paraId="2CB631A5" w14:textId="2D6742C5" w:rsidR="00970FC7" w:rsidRPr="002A0835" w:rsidRDefault="00970FC7" w:rsidP="00FE19F4">
            <w:pPr>
              <w:pStyle w:val="TableNText"/>
              <w:rPr>
                <w:rFonts w:asciiTheme="minorHAnsi" w:hAnsiTheme="minorHAnsi" w:cstheme="minorHAnsi"/>
                <w:szCs w:val="17"/>
              </w:rPr>
            </w:pPr>
          </w:p>
        </w:tc>
        <w:tc>
          <w:tcPr>
            <w:tcW w:w="1329" w:type="dxa"/>
            <w:tcBorders>
              <w:top w:val="single" w:sz="12" w:space="0" w:color="0070C0"/>
            </w:tcBorders>
          </w:tcPr>
          <w:p w14:paraId="649B3F5C" w14:textId="070391EE" w:rsidR="00970FC7" w:rsidRPr="002A0835" w:rsidRDefault="00970FC7" w:rsidP="00FE19F4">
            <w:pPr>
              <w:pStyle w:val="TableNText"/>
              <w:rPr>
                <w:szCs w:val="17"/>
              </w:rPr>
            </w:pPr>
            <w:r w:rsidRPr="00483021">
              <w:t>Specialist in-reach services</w:t>
            </w:r>
          </w:p>
        </w:tc>
        <w:tc>
          <w:tcPr>
            <w:tcW w:w="4634" w:type="dxa"/>
            <w:tcBorders>
              <w:top w:val="single" w:sz="12" w:space="0" w:color="0070C0"/>
            </w:tcBorders>
          </w:tcPr>
          <w:p w14:paraId="32DAA402" w14:textId="4D7E048D" w:rsidR="00970FC7" w:rsidRPr="00470D5E" w:rsidRDefault="00970FC7" w:rsidP="00FE19F4">
            <w:pPr>
              <w:pStyle w:val="TableNText"/>
            </w:pPr>
            <w:r w:rsidRPr="00483021">
              <w:t>Nursing home social workers were given a baseline education in advance care planning that incorporated small-group workshops and role play/practice sessions for intervention social workers. Social workers th</w:t>
            </w:r>
            <w:r w:rsidR="0098030D">
              <w:t>e</w:t>
            </w:r>
            <w:r w:rsidRPr="00483021">
              <w:t>n continued care planning with residents of nursing homes, discussing goals of care at team meetings, and ‘‘flagged’’ advance directives on nursing home charts.</w:t>
            </w:r>
          </w:p>
        </w:tc>
        <w:tc>
          <w:tcPr>
            <w:tcW w:w="6000" w:type="dxa"/>
            <w:tcBorders>
              <w:top w:val="single" w:sz="12" w:space="0" w:color="0070C0"/>
              <w:right w:val="single" w:sz="6" w:space="0" w:color="EDEDE8" w:themeColor="accent5"/>
            </w:tcBorders>
          </w:tcPr>
          <w:p w14:paraId="300567B7" w14:textId="77777777" w:rsidR="002805D8" w:rsidRDefault="00970FC7" w:rsidP="002805D8">
            <w:pPr>
              <w:pStyle w:val="TableNBullet"/>
            </w:pPr>
            <w:r w:rsidRPr="00483021">
              <w:t xml:space="preserve">Improved documentation of and adherence to residents’ preferred resuscitation orders and other medical interventions </w:t>
            </w:r>
          </w:p>
          <w:p w14:paraId="08D2B6AC" w14:textId="16B9BC37" w:rsidR="00970FC7" w:rsidRPr="002805D8" w:rsidRDefault="00447963" w:rsidP="002805D8">
            <w:pPr>
              <w:pStyle w:val="TableNBullet"/>
            </w:pPr>
            <w:r w:rsidRPr="00D82AB1">
              <w:t>Developed capabilities of RACF staff</w:t>
            </w:r>
            <w:r>
              <w:t xml:space="preserve"> indirectly through team meetings</w:t>
            </w:r>
          </w:p>
        </w:tc>
      </w:tr>
    </w:tbl>
    <w:p w14:paraId="5D4FBA90" w14:textId="77777777" w:rsidR="001266B2" w:rsidRDefault="001266B2" w:rsidP="00253A93">
      <w:pPr>
        <w:pStyle w:val="Heading3"/>
        <w:numPr>
          <w:ilvl w:val="0"/>
          <w:numId w:val="0"/>
        </w:numPr>
        <w:ind w:left="720" w:hanging="720"/>
        <w:sectPr w:rsidR="001266B2" w:rsidSect="00AD22D0">
          <w:pgSz w:w="16840" w:h="11907" w:orient="landscape" w:code="9"/>
          <w:pgMar w:top="1247" w:right="1304" w:bottom="1077" w:left="1531" w:header="720" w:footer="720" w:gutter="0"/>
          <w:cols w:space="720"/>
          <w:docGrid w:linePitch="360"/>
        </w:sectPr>
      </w:pPr>
      <w:bookmarkStart w:id="63" w:name="_Ref51335614"/>
    </w:p>
    <w:p w14:paraId="57781984" w14:textId="32138AA7" w:rsidR="004C4C53" w:rsidRDefault="004C4C53" w:rsidP="004C4C53">
      <w:pPr>
        <w:pStyle w:val="Heading3"/>
      </w:pPr>
      <w:bookmarkStart w:id="64" w:name="_Ref51764244"/>
      <w:bookmarkStart w:id="65" w:name="_Toc82767267"/>
      <w:r>
        <w:lastRenderedPageBreak/>
        <w:t>What is required for success?</w:t>
      </w:r>
      <w:bookmarkEnd w:id="63"/>
      <w:bookmarkEnd w:id="64"/>
      <w:bookmarkEnd w:id="65"/>
    </w:p>
    <w:p w14:paraId="2ACB4B84" w14:textId="1133532F" w:rsidR="007D7318" w:rsidRDefault="003E3083" w:rsidP="00351182">
      <w:pPr>
        <w:pStyle w:val="Heading5"/>
      </w:pPr>
      <w:r>
        <w:t xml:space="preserve">The </w:t>
      </w:r>
      <w:r w:rsidR="00845A0F">
        <w:t>success factors</w:t>
      </w:r>
      <w:r w:rsidR="007268F9">
        <w:t xml:space="preserve"> for </w:t>
      </w:r>
      <w:r w:rsidR="00AF02EC">
        <w:t>delivery of</w:t>
      </w:r>
      <w:r w:rsidR="007268F9">
        <w:t xml:space="preserve"> palliative care models of care in RACFs </w:t>
      </w:r>
      <w:r w:rsidR="001B5F80">
        <w:t xml:space="preserve">are multi-dimensional but </w:t>
      </w:r>
      <w:r w:rsidR="007268F9">
        <w:t xml:space="preserve">share the theme of </w:t>
      </w:r>
      <w:r w:rsidR="00070329">
        <w:t>ensuring access to</w:t>
      </w:r>
      <w:r w:rsidR="00845A0F">
        <w:t xml:space="preserve"> palliative </w:t>
      </w:r>
      <w:r w:rsidR="00FE2B27">
        <w:t>knowledge and</w:t>
      </w:r>
      <w:r w:rsidR="007A4581">
        <w:t>/or</w:t>
      </w:r>
      <w:r w:rsidR="00FE2B27">
        <w:t xml:space="preserve"> care</w:t>
      </w:r>
      <w:r w:rsidR="000F2CE6">
        <w:t>.</w:t>
      </w:r>
    </w:p>
    <w:p w14:paraId="639A8E8D" w14:textId="02C16F8B" w:rsidR="00845A0F" w:rsidRPr="00845A0F" w:rsidRDefault="00845A0F" w:rsidP="00845A0F">
      <w:pPr>
        <w:rPr>
          <w:lang w:eastAsia="en-AU"/>
        </w:rPr>
      </w:pPr>
      <w:r>
        <w:rPr>
          <w:lang w:eastAsia="en-AU"/>
        </w:rPr>
        <w:t xml:space="preserve">The evidence </w:t>
      </w:r>
      <w:r w:rsidR="006A2C8C">
        <w:rPr>
          <w:lang w:eastAsia="en-AU"/>
        </w:rPr>
        <w:t>showed</w:t>
      </w:r>
      <w:r>
        <w:rPr>
          <w:lang w:eastAsia="en-AU"/>
        </w:rPr>
        <w:t xml:space="preserve"> that approach</w:t>
      </w:r>
      <w:r w:rsidR="001A1440">
        <w:rPr>
          <w:lang w:eastAsia="en-AU"/>
        </w:rPr>
        <w:t>es</w:t>
      </w:r>
      <w:r>
        <w:rPr>
          <w:lang w:eastAsia="en-AU"/>
        </w:rPr>
        <w:t xml:space="preserve"> to delivering palliative care in RACFs </w:t>
      </w:r>
      <w:r w:rsidR="001A1440">
        <w:rPr>
          <w:lang w:eastAsia="en-AU"/>
        </w:rPr>
        <w:t>vary</w:t>
      </w:r>
      <w:r>
        <w:rPr>
          <w:lang w:eastAsia="en-AU"/>
        </w:rPr>
        <w:t xml:space="preserve"> both domestically and internationally.</w:t>
      </w:r>
      <w:r w:rsidR="00FF0F6D">
        <w:rPr>
          <w:lang w:eastAsia="en-AU"/>
        </w:rPr>
        <w:t xml:space="preserve"> Of the models identified in the literature, c</w:t>
      </w:r>
      <w:r w:rsidR="008A10A0">
        <w:rPr>
          <w:lang w:eastAsia="en-AU"/>
        </w:rPr>
        <w:t>ommon success factors include</w:t>
      </w:r>
      <w:r w:rsidR="006A1EEB">
        <w:rPr>
          <w:lang w:eastAsia="en-AU"/>
        </w:rPr>
        <w:t>:</w:t>
      </w:r>
    </w:p>
    <w:p w14:paraId="751C79EB" w14:textId="5DCFBD08" w:rsidR="0079527E" w:rsidRDefault="00122165" w:rsidP="00983FFB">
      <w:pPr>
        <w:pStyle w:val="Bullet"/>
      </w:pPr>
      <w:r w:rsidRPr="00840321">
        <w:rPr>
          <w:rStyle w:val="Heading4Char"/>
          <w:rFonts w:ascii="Segoe UI Semilight" w:eastAsiaTheme="minorHAnsi" w:hAnsi="Segoe UI Semilight" w:cs="Segoe UI Semilight"/>
        </w:rPr>
        <w:t xml:space="preserve">Evidence-based </w:t>
      </w:r>
      <w:r w:rsidR="00D26C0E" w:rsidRPr="00840321">
        <w:rPr>
          <w:rStyle w:val="Heading4Char"/>
          <w:rFonts w:ascii="Segoe UI Semilight" w:eastAsiaTheme="minorHAnsi" w:hAnsi="Segoe UI Semilight" w:cs="Segoe UI Semilight"/>
        </w:rPr>
        <w:t>activities or outcomes.</w:t>
      </w:r>
      <w:r w:rsidR="00176DB8">
        <w:rPr>
          <w:vertAlign w:val="superscript"/>
        </w:rPr>
        <w:t xml:space="preserve"> </w:t>
      </w:r>
      <w:r w:rsidR="00176DB8">
        <w:t>While approaches to palliative care models of care in RACFs are variable, a</w:t>
      </w:r>
      <w:r w:rsidR="00EE611A">
        <w:t xml:space="preserve"> robust </w:t>
      </w:r>
      <w:r w:rsidR="00176DB8">
        <w:t xml:space="preserve">evidence base is growing. </w:t>
      </w:r>
      <w:r w:rsidR="009E00C3">
        <w:t>Palliative care a</w:t>
      </w:r>
      <w:r w:rsidR="007B4117">
        <w:t xml:space="preserve">ctivities conducted in RACFs </w:t>
      </w:r>
      <w:r w:rsidR="009E00C3">
        <w:t>should</w:t>
      </w:r>
      <w:r w:rsidR="007B4117">
        <w:t xml:space="preserve"> be</w:t>
      </w:r>
      <w:r w:rsidR="00D74352">
        <w:t xml:space="preserve"> guided by</w:t>
      </w:r>
      <w:r w:rsidR="006A1EEB">
        <w:t xml:space="preserve"> </w:t>
      </w:r>
      <w:r w:rsidR="009837B2">
        <w:t xml:space="preserve">up-to-date </w:t>
      </w:r>
      <w:r w:rsidR="004E411D">
        <w:t>evidence.</w:t>
      </w:r>
      <w:r w:rsidR="00D74352">
        <w:t xml:space="preserve"> </w:t>
      </w:r>
      <w:r w:rsidR="009E00C3">
        <w:t xml:space="preserve">Outcomes that the RACFs endeavour to achieve should be </w:t>
      </w:r>
      <w:r w:rsidR="005C1792">
        <w:t>guided by</w:t>
      </w:r>
      <w:r w:rsidR="009E00C3">
        <w:t xml:space="preserve"> </w:t>
      </w:r>
      <w:r w:rsidR="00D74352">
        <w:t>quality indicators</w:t>
      </w:r>
      <w:r w:rsidR="009E00C3">
        <w:t xml:space="preserve"> and informed by data</w:t>
      </w:r>
      <w:r w:rsidR="004D3120">
        <w:t xml:space="preserve"> collected at the facility</w:t>
      </w:r>
      <w:r w:rsidR="002513B9">
        <w:t>.</w:t>
      </w:r>
      <w:r w:rsidR="00366F57" w:rsidRPr="007B4117">
        <w:rPr>
          <w:vertAlign w:val="superscript"/>
        </w:rPr>
        <w:footnoteReference w:id="104"/>
      </w:r>
      <w:r w:rsidR="008B6C3C">
        <w:t xml:space="preserve"> This will enable high-quality provision of palliative care in RACFs</w:t>
      </w:r>
      <w:r w:rsidR="006D7A9C">
        <w:t xml:space="preserve"> and/or </w:t>
      </w:r>
      <w:r w:rsidR="00AD4340">
        <w:t>signal where improvements need to be made</w:t>
      </w:r>
      <w:r w:rsidR="008B6C3C">
        <w:t>.</w:t>
      </w:r>
    </w:p>
    <w:p w14:paraId="0C594EC3" w14:textId="42BA8425" w:rsidR="00610740" w:rsidRDefault="00610740" w:rsidP="00610740">
      <w:pPr>
        <w:pStyle w:val="Bullet"/>
      </w:pPr>
      <w:r w:rsidRPr="00840321">
        <w:rPr>
          <w:rStyle w:val="Heading4Char"/>
          <w:rFonts w:ascii="Segoe UI Semilight" w:hAnsi="Segoe UI Semilight" w:cs="Segoe UI Semilight"/>
        </w:rPr>
        <w:t>Address residents’ physical, spiritual, and psychological needs.</w:t>
      </w:r>
      <w:r w:rsidRPr="00C87A5E">
        <w:rPr>
          <w:rStyle w:val="Heading4Char"/>
          <w:rFonts w:ascii="Segoe UI" w:hAnsi="Segoe UI" w:cs="Segoe UI"/>
          <w:color w:val="auto"/>
        </w:rPr>
        <w:t xml:space="preserve"> Residents’ benefit from care that is respectful, culturally appropriate, and person-centred.</w:t>
      </w:r>
      <w:r>
        <w:rPr>
          <w:rStyle w:val="FootnoteReference"/>
        </w:rPr>
        <w:footnoteReference w:id="105"/>
      </w:r>
      <w:r>
        <w:t xml:space="preserve"> </w:t>
      </w:r>
      <w:r w:rsidRPr="00C87A5E">
        <w:rPr>
          <w:rStyle w:val="Heading4Char"/>
          <w:rFonts w:ascii="Segoe UI" w:hAnsi="Segoe UI" w:cs="Segoe UI"/>
          <w:color w:val="auto"/>
        </w:rPr>
        <w:t xml:space="preserve">The RACF will need to work with the resident, their family and carer to document their needs and deliver care that meets those needs as best as possible. </w:t>
      </w:r>
    </w:p>
    <w:p w14:paraId="7BFE2BEF" w14:textId="790ADD88" w:rsidR="0062318A" w:rsidRPr="00C87A5E" w:rsidRDefault="00AC3A8E" w:rsidP="00A91493">
      <w:pPr>
        <w:pStyle w:val="Bullet"/>
        <w:rPr>
          <w:rStyle w:val="Heading4Char"/>
          <w:rFonts w:ascii="Segoe UI" w:hAnsi="Segoe UI" w:cs="Segoe UI"/>
          <w:color w:val="auto"/>
        </w:rPr>
      </w:pPr>
      <w:r w:rsidRPr="00840321">
        <w:rPr>
          <w:rStyle w:val="Heading4Char"/>
          <w:rFonts w:ascii="Segoe UI Semilight" w:hAnsi="Segoe UI Semilight" w:cs="Segoe UI Semilight"/>
        </w:rPr>
        <w:t xml:space="preserve">Engage in </w:t>
      </w:r>
      <w:r w:rsidR="007F1D6E" w:rsidRPr="00840321">
        <w:rPr>
          <w:rStyle w:val="Heading4Char"/>
          <w:rFonts w:ascii="Segoe UI Semilight" w:hAnsi="Segoe UI Semilight" w:cs="Segoe UI Semilight"/>
        </w:rPr>
        <w:t>advance care planning</w:t>
      </w:r>
      <w:r w:rsidR="007F1D6E" w:rsidRPr="00C87A5E">
        <w:rPr>
          <w:rStyle w:val="Heading4Char"/>
          <w:rFonts w:cs="Segoe UI Semibold"/>
          <w:color w:val="auto"/>
        </w:rPr>
        <w:t>.</w:t>
      </w:r>
      <w:r w:rsidR="007F1D6E" w:rsidRPr="00C87A5E">
        <w:rPr>
          <w:rStyle w:val="Heading4Char"/>
          <w:rFonts w:ascii="Segoe UI" w:hAnsi="Segoe UI" w:cs="Segoe UI"/>
          <w:color w:val="auto"/>
        </w:rPr>
        <w:t xml:space="preserve"> </w:t>
      </w:r>
      <w:r w:rsidRPr="00C87A5E">
        <w:rPr>
          <w:rStyle w:val="Heading4Char"/>
          <w:rFonts w:ascii="Segoe UI" w:hAnsi="Segoe UI" w:cs="Segoe UI"/>
          <w:color w:val="auto"/>
        </w:rPr>
        <w:t xml:space="preserve">There </w:t>
      </w:r>
      <w:r w:rsidR="00735279">
        <w:rPr>
          <w:rStyle w:val="Heading4Char"/>
          <w:rFonts w:ascii="Segoe UI" w:hAnsi="Segoe UI" w:cs="Segoe UI"/>
          <w:color w:val="auto"/>
        </w:rPr>
        <w:t>may</w:t>
      </w:r>
      <w:r w:rsidRPr="00C87A5E">
        <w:rPr>
          <w:rStyle w:val="Heading4Char"/>
          <w:rFonts w:ascii="Segoe UI" w:hAnsi="Segoe UI" w:cs="Segoe UI"/>
          <w:color w:val="auto"/>
        </w:rPr>
        <w:t xml:space="preserve"> </w:t>
      </w:r>
      <w:r w:rsidR="00D50557" w:rsidRPr="00C87A5E">
        <w:rPr>
          <w:rStyle w:val="Heading4Char"/>
          <w:rFonts w:ascii="Segoe UI" w:hAnsi="Segoe UI" w:cs="Segoe UI"/>
          <w:color w:val="auto"/>
        </w:rPr>
        <w:t>come</w:t>
      </w:r>
      <w:r w:rsidRPr="00C87A5E">
        <w:rPr>
          <w:rStyle w:val="Heading4Char"/>
          <w:rFonts w:ascii="Segoe UI" w:hAnsi="Segoe UI" w:cs="Segoe UI"/>
          <w:color w:val="auto"/>
        </w:rPr>
        <w:t xml:space="preserve"> a time where a resident cannot make or communicate their decisions</w:t>
      </w:r>
      <w:r w:rsidR="0070615D" w:rsidRPr="00C87A5E">
        <w:rPr>
          <w:rStyle w:val="Heading4Char"/>
          <w:rFonts w:ascii="Segoe UI" w:hAnsi="Segoe UI" w:cs="Segoe UI"/>
          <w:color w:val="auto"/>
        </w:rPr>
        <w:t>.</w:t>
      </w:r>
      <w:r w:rsidR="005A0768">
        <w:rPr>
          <w:rStyle w:val="FootnoteReference"/>
        </w:rPr>
        <w:footnoteReference w:id="106"/>
      </w:r>
      <w:r w:rsidRPr="00C87A5E">
        <w:rPr>
          <w:rStyle w:val="Heading4Char"/>
          <w:rFonts w:ascii="Segoe UI" w:hAnsi="Segoe UI" w:cs="Segoe UI"/>
          <w:color w:val="auto"/>
        </w:rPr>
        <w:t xml:space="preserve"> </w:t>
      </w:r>
      <w:r w:rsidR="0070615D" w:rsidRPr="00C87A5E">
        <w:rPr>
          <w:rStyle w:val="Heading4Char"/>
          <w:rFonts w:ascii="Segoe UI" w:hAnsi="Segoe UI" w:cs="Segoe UI"/>
          <w:color w:val="auto"/>
        </w:rPr>
        <w:t>Documenting the resident</w:t>
      </w:r>
      <w:r w:rsidR="00532FF4" w:rsidRPr="00C87A5E">
        <w:rPr>
          <w:rStyle w:val="Heading4Char"/>
          <w:rFonts w:ascii="Segoe UI" w:hAnsi="Segoe UI" w:cs="Segoe UI"/>
          <w:color w:val="auto"/>
        </w:rPr>
        <w:t>’</w:t>
      </w:r>
      <w:r w:rsidR="0070615D" w:rsidRPr="00C87A5E">
        <w:rPr>
          <w:rStyle w:val="Heading4Char"/>
          <w:rFonts w:ascii="Segoe UI" w:hAnsi="Segoe UI" w:cs="Segoe UI"/>
          <w:color w:val="auto"/>
        </w:rPr>
        <w:t>s</w:t>
      </w:r>
      <w:r w:rsidRPr="00C87A5E">
        <w:rPr>
          <w:rStyle w:val="Heading4Char"/>
          <w:rFonts w:ascii="Segoe UI" w:hAnsi="Segoe UI" w:cs="Segoe UI"/>
          <w:color w:val="auto"/>
        </w:rPr>
        <w:t xml:space="preserve"> values, beliefs and preferences </w:t>
      </w:r>
      <w:r w:rsidR="0070615D" w:rsidRPr="00C87A5E">
        <w:rPr>
          <w:rStyle w:val="Heading4Char"/>
          <w:rFonts w:ascii="Segoe UI" w:hAnsi="Segoe UI" w:cs="Segoe UI"/>
          <w:color w:val="auto"/>
        </w:rPr>
        <w:t xml:space="preserve">through an advance care plan will </w:t>
      </w:r>
      <w:r w:rsidRPr="00C87A5E">
        <w:rPr>
          <w:rStyle w:val="Heading4Char"/>
          <w:rFonts w:ascii="Segoe UI" w:hAnsi="Segoe UI" w:cs="Segoe UI"/>
          <w:color w:val="auto"/>
        </w:rPr>
        <w:t xml:space="preserve">guide decision-making </w:t>
      </w:r>
      <w:r w:rsidR="0070615D" w:rsidRPr="00C87A5E">
        <w:rPr>
          <w:rStyle w:val="Heading4Char"/>
          <w:rFonts w:ascii="Segoe UI" w:hAnsi="Segoe UI" w:cs="Segoe UI"/>
          <w:color w:val="auto"/>
        </w:rPr>
        <w:t xml:space="preserve">in the </w:t>
      </w:r>
      <w:r w:rsidR="00D50557" w:rsidRPr="00C87A5E">
        <w:rPr>
          <w:rStyle w:val="Heading4Char"/>
          <w:rFonts w:ascii="Segoe UI" w:hAnsi="Segoe UI" w:cs="Segoe UI"/>
          <w:color w:val="auto"/>
        </w:rPr>
        <w:t>future</w:t>
      </w:r>
      <w:r w:rsidR="00A91493" w:rsidRPr="00C87A5E">
        <w:rPr>
          <w:rStyle w:val="Heading4Char"/>
          <w:rFonts w:ascii="Segoe UI" w:hAnsi="Segoe UI" w:cs="Segoe UI"/>
          <w:color w:val="auto"/>
        </w:rPr>
        <w:t xml:space="preserve">. </w:t>
      </w:r>
      <w:r w:rsidR="0062215D">
        <w:rPr>
          <w:rStyle w:val="Heading4Char"/>
          <w:rFonts w:ascii="Segoe UI" w:hAnsi="Segoe UI" w:cs="Segoe UI"/>
          <w:color w:val="auto"/>
        </w:rPr>
        <w:t>M</w:t>
      </w:r>
      <w:r w:rsidR="0023261E">
        <w:rPr>
          <w:rStyle w:val="Heading4Char"/>
          <w:rFonts w:ascii="Segoe UI" w:hAnsi="Segoe UI" w:cs="Segoe UI"/>
          <w:color w:val="auto"/>
        </w:rPr>
        <w:t>aking</w:t>
      </w:r>
      <w:r w:rsidR="00A91493" w:rsidRPr="00C87A5E">
        <w:rPr>
          <w:rStyle w:val="Heading4Char"/>
          <w:rFonts w:ascii="Segoe UI" w:hAnsi="Segoe UI" w:cs="Segoe UI"/>
          <w:color w:val="auto"/>
        </w:rPr>
        <w:t xml:space="preserve"> difficult decisions in advance has the</w:t>
      </w:r>
      <w:r w:rsidR="00D50557" w:rsidRPr="00C87A5E">
        <w:rPr>
          <w:rStyle w:val="Heading4Char"/>
          <w:rFonts w:ascii="Segoe UI" w:hAnsi="Segoe UI" w:cs="Segoe UI"/>
          <w:color w:val="auto"/>
        </w:rPr>
        <w:t xml:space="preserve"> potential</w:t>
      </w:r>
      <w:r w:rsidR="00A91493" w:rsidRPr="00C87A5E">
        <w:rPr>
          <w:rStyle w:val="Heading4Char"/>
          <w:rFonts w:ascii="Segoe UI" w:hAnsi="Segoe UI" w:cs="Segoe UI"/>
          <w:color w:val="auto"/>
        </w:rPr>
        <w:t xml:space="preserve"> to </w:t>
      </w:r>
      <w:r w:rsidR="00D50557" w:rsidRPr="00C87A5E">
        <w:rPr>
          <w:rStyle w:val="Heading4Char"/>
          <w:rFonts w:ascii="Segoe UI" w:hAnsi="Segoe UI" w:cs="Segoe UI"/>
          <w:color w:val="auto"/>
        </w:rPr>
        <w:t xml:space="preserve">reduce the emotional burden on </w:t>
      </w:r>
      <w:r w:rsidR="00A91493" w:rsidRPr="00C87A5E">
        <w:rPr>
          <w:rStyle w:val="Heading4Char"/>
          <w:rFonts w:ascii="Segoe UI" w:hAnsi="Segoe UI" w:cs="Segoe UI"/>
          <w:color w:val="auto"/>
        </w:rPr>
        <w:t xml:space="preserve">the </w:t>
      </w:r>
      <w:r w:rsidR="00D50557" w:rsidRPr="00C87A5E">
        <w:rPr>
          <w:rStyle w:val="Heading4Char"/>
          <w:rFonts w:ascii="Segoe UI" w:hAnsi="Segoe UI" w:cs="Segoe UI"/>
          <w:color w:val="auto"/>
        </w:rPr>
        <w:t>family</w:t>
      </w:r>
      <w:r w:rsidR="00A91493" w:rsidRPr="00C87A5E">
        <w:rPr>
          <w:rStyle w:val="Heading4Char"/>
          <w:rFonts w:ascii="Segoe UI" w:hAnsi="Segoe UI" w:cs="Segoe UI"/>
          <w:color w:val="auto"/>
        </w:rPr>
        <w:t xml:space="preserve">. </w:t>
      </w:r>
    </w:p>
    <w:p w14:paraId="5C87DDAF" w14:textId="76EAEE0C" w:rsidR="00414539" w:rsidRDefault="00C25063" w:rsidP="00983FFB">
      <w:pPr>
        <w:pStyle w:val="Bullet"/>
      </w:pPr>
      <w:r w:rsidRPr="00840321">
        <w:rPr>
          <w:rStyle w:val="Heading4Char"/>
          <w:rFonts w:ascii="Segoe UI Semilight" w:eastAsiaTheme="minorHAnsi" w:hAnsi="Segoe UI Semilight" w:cs="Segoe UI Semilight"/>
        </w:rPr>
        <w:t>Flexible</w:t>
      </w:r>
      <w:r w:rsidR="00414539" w:rsidRPr="00840321">
        <w:rPr>
          <w:rStyle w:val="Heading4Char"/>
          <w:rFonts w:ascii="Segoe UI Semilight" w:eastAsiaTheme="minorHAnsi" w:hAnsi="Segoe UI Semilight" w:cs="Segoe UI Semilight"/>
        </w:rPr>
        <w:t xml:space="preserve"> to changing needs of </w:t>
      </w:r>
      <w:r w:rsidR="00DA3EFE" w:rsidRPr="00840321">
        <w:rPr>
          <w:rStyle w:val="Heading4Char"/>
          <w:rFonts w:ascii="Segoe UI Semilight" w:eastAsiaTheme="minorHAnsi" w:hAnsi="Segoe UI Semilight" w:cs="Segoe UI Semilight"/>
        </w:rPr>
        <w:t>residents</w:t>
      </w:r>
      <w:r w:rsidR="008D7ADB" w:rsidRPr="00840321">
        <w:rPr>
          <w:rStyle w:val="Heading4Char"/>
          <w:rFonts w:ascii="Segoe UI Semilight" w:eastAsiaTheme="minorHAnsi" w:hAnsi="Segoe UI Semilight" w:cs="Segoe UI Semilight"/>
        </w:rPr>
        <w:t>.</w:t>
      </w:r>
      <w:r w:rsidR="00D26C0E">
        <w:t xml:space="preserve"> </w:t>
      </w:r>
      <w:r w:rsidR="007F1D6E">
        <w:t>R</w:t>
      </w:r>
      <w:r w:rsidR="00DA3EFE">
        <w:t>esidents’</w:t>
      </w:r>
      <w:r w:rsidR="002D25F6">
        <w:t xml:space="preserve"> needs will change as the </w:t>
      </w:r>
      <w:r w:rsidR="00DA3EFE">
        <w:t>population ages</w:t>
      </w:r>
      <w:r w:rsidR="001D1D2A">
        <w:t>.</w:t>
      </w:r>
      <w:r w:rsidR="00902707">
        <w:rPr>
          <w:rStyle w:val="FootnoteReference"/>
        </w:rPr>
        <w:footnoteReference w:id="107"/>
      </w:r>
      <w:r w:rsidR="00207755">
        <w:t xml:space="preserve"> This will require RACFs to </w:t>
      </w:r>
      <w:r w:rsidR="00A62014">
        <w:t xml:space="preserve">look out for </w:t>
      </w:r>
      <w:r w:rsidR="00F317F8">
        <w:t xml:space="preserve">and adapt to </w:t>
      </w:r>
      <w:r w:rsidR="00C13F11">
        <w:t xml:space="preserve">trends in medical needs (e.g. comorbidities) and other needs (e.g. LGBTIQ+). </w:t>
      </w:r>
    </w:p>
    <w:p w14:paraId="12D2E68C" w14:textId="425D71E7" w:rsidR="00C56695" w:rsidRDefault="00E06688" w:rsidP="00C56695">
      <w:pPr>
        <w:pStyle w:val="Bullet"/>
      </w:pPr>
      <w:r>
        <w:rPr>
          <w:rStyle w:val="Heading4Char"/>
          <w:rFonts w:ascii="Segoe UI Semilight" w:eastAsiaTheme="minorHAnsi" w:hAnsi="Segoe UI Semilight" w:cs="Segoe UI Semilight"/>
        </w:rPr>
        <w:t>Engage closely with</w:t>
      </w:r>
      <w:r w:rsidR="00C56695">
        <w:rPr>
          <w:rStyle w:val="Heading4Char"/>
          <w:rFonts w:ascii="Segoe UI Semilight" w:eastAsiaTheme="minorHAnsi" w:hAnsi="Segoe UI Semilight" w:cs="Segoe UI Semilight"/>
        </w:rPr>
        <w:t xml:space="preserve"> RACFs, staff, residents, </w:t>
      </w:r>
      <w:proofErr w:type="gramStart"/>
      <w:r w:rsidR="00C56695">
        <w:rPr>
          <w:rStyle w:val="Heading4Char"/>
          <w:rFonts w:ascii="Segoe UI Semilight" w:eastAsiaTheme="minorHAnsi" w:hAnsi="Segoe UI Semilight" w:cs="Segoe UI Semilight"/>
        </w:rPr>
        <w:t>families</w:t>
      </w:r>
      <w:proofErr w:type="gramEnd"/>
      <w:r w:rsidR="00C56695">
        <w:rPr>
          <w:rStyle w:val="Heading4Char"/>
          <w:rFonts w:ascii="Segoe UI Semilight" w:eastAsiaTheme="minorHAnsi" w:hAnsi="Segoe UI Semilight" w:cs="Segoe UI Semilight"/>
        </w:rPr>
        <w:t xml:space="preserve"> and carers.</w:t>
      </w:r>
      <w:r w:rsidR="00C56695">
        <w:t xml:space="preserve"> If staff know their residents, and residents, carers and family members are listened to and engaged in care, and good communication exists within and outside the facility, the chances of good palliative care is dramatically increased.</w:t>
      </w:r>
      <w:r w:rsidR="00C56695">
        <w:rPr>
          <w:rStyle w:val="FootnoteReference"/>
        </w:rPr>
        <w:footnoteReference w:id="108"/>
      </w:r>
      <w:r w:rsidR="0039564B">
        <w:t xml:space="preserve"> </w:t>
      </w:r>
      <w:r w:rsidR="00C56695">
        <w:t xml:space="preserve">RACFs should enable effective communication pathways among staff, residents, families and carers, and aim to deliver person-centred care. To support this, RACFs must ensure staff have the requisite skills and are engaged and empowered to support the delivery of quality palliative care. </w:t>
      </w:r>
    </w:p>
    <w:p w14:paraId="5BED263D" w14:textId="4D8C0D9D" w:rsidR="002965CC" w:rsidRPr="00414539" w:rsidRDefault="002965CC" w:rsidP="00983FFB">
      <w:pPr>
        <w:pStyle w:val="Bullet"/>
      </w:pPr>
      <w:r w:rsidRPr="00840321">
        <w:rPr>
          <w:rStyle w:val="Heading4Char"/>
          <w:rFonts w:ascii="Segoe UI Semilight" w:eastAsiaTheme="minorHAnsi" w:hAnsi="Segoe UI Semilight" w:cs="Segoe UI Semilight"/>
        </w:rPr>
        <w:t>Guided by principles of culturally safe palliative care delivery</w:t>
      </w:r>
      <w:r>
        <w:rPr>
          <w:rStyle w:val="Heading4Char"/>
          <w:rFonts w:eastAsiaTheme="minorHAnsi"/>
        </w:rPr>
        <w:t xml:space="preserve">. </w:t>
      </w:r>
      <w:r w:rsidR="00306596">
        <w:t xml:space="preserve">Some residents </w:t>
      </w:r>
      <w:r w:rsidR="00D05DC9">
        <w:t xml:space="preserve">may not have their personal needs and preferences </w:t>
      </w:r>
      <w:r w:rsidR="0011618F">
        <w:t xml:space="preserve">met </w:t>
      </w:r>
      <w:r w:rsidR="00D05DC9">
        <w:t xml:space="preserve">as a result of </w:t>
      </w:r>
      <w:r w:rsidR="00306596">
        <w:t xml:space="preserve">spiritual, </w:t>
      </w:r>
      <w:r w:rsidR="00D05DC9">
        <w:t>cultural or linguistic differences.</w:t>
      </w:r>
      <w:r>
        <w:rPr>
          <w:rStyle w:val="FootnoteReference"/>
        </w:rPr>
        <w:footnoteReference w:id="109"/>
      </w:r>
      <w:r w:rsidR="00306596">
        <w:t xml:space="preserve"> </w:t>
      </w:r>
      <w:r w:rsidR="00A40E3D">
        <w:t xml:space="preserve">Identifying residents’ needs and preferences at admission, or early on in their stay at the RACF, </w:t>
      </w:r>
      <w:r w:rsidR="00CA4105">
        <w:t xml:space="preserve">will enable the provision of </w:t>
      </w:r>
      <w:r w:rsidR="003917C6">
        <w:t xml:space="preserve">care </w:t>
      </w:r>
      <w:r w:rsidR="00B76187">
        <w:t xml:space="preserve">suited to their individual needs. </w:t>
      </w:r>
    </w:p>
    <w:p w14:paraId="6350719E" w14:textId="587DE1A8" w:rsidR="00414539" w:rsidRDefault="00CF00AF" w:rsidP="00983FFB">
      <w:pPr>
        <w:pStyle w:val="Bullet"/>
      </w:pPr>
      <w:r w:rsidRPr="00840321">
        <w:rPr>
          <w:rStyle w:val="Heading4Char"/>
          <w:rFonts w:ascii="Segoe UI Semilight" w:eastAsiaTheme="minorHAnsi" w:hAnsi="Segoe UI Semilight" w:cs="Segoe UI Semilight"/>
        </w:rPr>
        <w:lastRenderedPageBreak/>
        <w:t>Educate</w:t>
      </w:r>
      <w:r w:rsidR="00414539" w:rsidRPr="00840321">
        <w:rPr>
          <w:rStyle w:val="Heading4Char"/>
          <w:rFonts w:ascii="Segoe UI Semilight" w:eastAsiaTheme="minorHAnsi" w:hAnsi="Segoe UI Semilight" w:cs="Segoe UI Semilight"/>
        </w:rPr>
        <w:t xml:space="preserve"> </w:t>
      </w:r>
      <w:r w:rsidR="002C67B8">
        <w:rPr>
          <w:rStyle w:val="Heading4Char"/>
          <w:rFonts w:ascii="Segoe UI Semilight" w:eastAsiaTheme="minorHAnsi" w:hAnsi="Segoe UI Semilight" w:cs="Segoe UI Semilight"/>
        </w:rPr>
        <w:t xml:space="preserve">all </w:t>
      </w:r>
      <w:r w:rsidR="00414539" w:rsidRPr="00840321">
        <w:rPr>
          <w:rStyle w:val="Heading4Char"/>
          <w:rFonts w:ascii="Segoe UI Semilight" w:eastAsiaTheme="minorHAnsi" w:hAnsi="Segoe UI Semilight" w:cs="Segoe UI Semilight"/>
        </w:rPr>
        <w:t>staff</w:t>
      </w:r>
      <w:r w:rsidR="002C67B8">
        <w:rPr>
          <w:rStyle w:val="Heading4Char"/>
          <w:rFonts w:ascii="Segoe UI Semilight" w:eastAsiaTheme="minorHAnsi" w:hAnsi="Segoe UI Semilight" w:cs="Segoe UI Semilight"/>
        </w:rPr>
        <w:t xml:space="preserve"> (both clinical and non-clinical)</w:t>
      </w:r>
      <w:r w:rsidR="00414539" w:rsidRPr="00840321">
        <w:rPr>
          <w:rStyle w:val="Heading4Char"/>
          <w:rFonts w:ascii="Segoe UI Semilight" w:eastAsiaTheme="minorHAnsi" w:hAnsi="Segoe UI Semilight" w:cs="Segoe UI Semilight"/>
        </w:rPr>
        <w:t xml:space="preserve"> </w:t>
      </w:r>
      <w:r w:rsidR="000B284E">
        <w:rPr>
          <w:rStyle w:val="Heading4Char"/>
          <w:rFonts w:ascii="Segoe UI Semilight" w:eastAsiaTheme="minorHAnsi" w:hAnsi="Segoe UI Semilight" w:cs="Segoe UI Semilight"/>
        </w:rPr>
        <w:t>about</w:t>
      </w:r>
      <w:r w:rsidRPr="00840321">
        <w:rPr>
          <w:rStyle w:val="Heading4Char"/>
          <w:rFonts w:ascii="Segoe UI Semilight" w:eastAsiaTheme="minorHAnsi" w:hAnsi="Segoe UI Semilight" w:cs="Segoe UI Semilight"/>
        </w:rPr>
        <w:t xml:space="preserve"> palliative care</w:t>
      </w:r>
      <w:r w:rsidR="008D7ADB" w:rsidRPr="00840321">
        <w:rPr>
          <w:rStyle w:val="Heading4Char"/>
          <w:rFonts w:ascii="Segoe UI Semilight" w:eastAsiaTheme="minorHAnsi" w:hAnsi="Segoe UI Semilight" w:cs="Segoe UI Semilight"/>
        </w:rPr>
        <w:t>.</w:t>
      </w:r>
      <w:r w:rsidR="00D26C0E">
        <w:t xml:space="preserve"> </w:t>
      </w:r>
      <w:r w:rsidR="006D3D6A">
        <w:t>RACF s</w:t>
      </w:r>
      <w:r w:rsidR="00223480">
        <w:t>taff need to be trained on</w:t>
      </w:r>
      <w:r w:rsidR="006D3D6A">
        <w:t xml:space="preserve"> identifying residents</w:t>
      </w:r>
      <w:r w:rsidR="0085313A">
        <w:t>’</w:t>
      </w:r>
      <w:r w:rsidR="00223480">
        <w:t xml:space="preserve"> palliative car</w:t>
      </w:r>
      <w:r w:rsidR="006D3D6A">
        <w:t xml:space="preserve">e </w:t>
      </w:r>
      <w:r w:rsidR="006D3D6A" w:rsidRPr="006D3D6A">
        <w:t>needs</w:t>
      </w:r>
      <w:r w:rsidR="006D3D6A">
        <w:t xml:space="preserve"> </w:t>
      </w:r>
      <w:r w:rsidR="00254460">
        <w:t>and delivering</w:t>
      </w:r>
      <w:r w:rsidR="006D3D6A">
        <w:t xml:space="preserve"> appropriate care</w:t>
      </w:r>
      <w:r w:rsidR="00254460">
        <w:t xml:space="preserve"> within thei</w:t>
      </w:r>
      <w:r w:rsidR="00956341">
        <w:t>r</w:t>
      </w:r>
      <w:r w:rsidR="00254460">
        <w:t xml:space="preserve"> abilities</w:t>
      </w:r>
      <w:r w:rsidR="006D3D6A">
        <w:t>.</w:t>
      </w:r>
      <w:r w:rsidR="008C2086" w:rsidRPr="006D3D6A">
        <w:rPr>
          <w:vertAlign w:val="superscript"/>
        </w:rPr>
        <w:footnoteReference w:id="110"/>
      </w:r>
      <w:r w:rsidR="006D3D6A">
        <w:t xml:space="preserve"> </w:t>
      </w:r>
      <w:r w:rsidR="001E7D3A">
        <w:t>Staff should be upskilled within their scope of practice</w:t>
      </w:r>
      <w:r w:rsidR="00443F2E">
        <w:t xml:space="preserve">, as the specialist palliative care provider is there to provide support and deliver care when </w:t>
      </w:r>
      <w:r w:rsidR="00A92BEC">
        <w:t xml:space="preserve">residents’ palliative </w:t>
      </w:r>
      <w:r w:rsidR="00443F2E">
        <w:t xml:space="preserve">needs become too complex. </w:t>
      </w:r>
      <w:r w:rsidR="00947CB9">
        <w:t xml:space="preserve">Staff can be trained </w:t>
      </w:r>
      <w:r w:rsidR="006D3D6A">
        <w:t xml:space="preserve">either directly (e.g. palliative care training) or indirectly (e.g. </w:t>
      </w:r>
      <w:r w:rsidR="00582976">
        <w:t xml:space="preserve">staff </w:t>
      </w:r>
      <w:r w:rsidR="006D3D6A">
        <w:t>attending palliative care needs rounds</w:t>
      </w:r>
      <w:r w:rsidR="00582976">
        <w:t xml:space="preserve"> conducted by specialists</w:t>
      </w:r>
      <w:r w:rsidR="006D3D6A">
        <w:t>).</w:t>
      </w:r>
      <w:r w:rsidR="00873277">
        <w:t xml:space="preserve"> With high turnover in RACFs, educating staff needs to be continual. </w:t>
      </w:r>
    </w:p>
    <w:p w14:paraId="61932914" w14:textId="78D6B9C6" w:rsidR="008801FA" w:rsidRPr="00414539" w:rsidRDefault="008801FA" w:rsidP="00983FFB">
      <w:pPr>
        <w:pStyle w:val="Bullet"/>
      </w:pPr>
      <w:r w:rsidRPr="00840321">
        <w:rPr>
          <w:rStyle w:val="Heading4Char"/>
          <w:rFonts w:ascii="Segoe UI Semilight" w:eastAsiaTheme="minorHAnsi" w:hAnsi="Segoe UI Semilight" w:cs="Segoe UI Semilight"/>
        </w:rPr>
        <w:t xml:space="preserve">Focus on </w:t>
      </w:r>
      <w:r w:rsidR="00DD2406">
        <w:rPr>
          <w:rStyle w:val="Heading4Char"/>
          <w:rFonts w:ascii="Segoe UI Semilight" w:eastAsiaTheme="minorHAnsi" w:hAnsi="Segoe UI Semilight" w:cs="Segoe UI Semilight"/>
        </w:rPr>
        <w:t xml:space="preserve">facilitating smooth </w:t>
      </w:r>
      <w:r w:rsidRPr="00840321">
        <w:rPr>
          <w:rStyle w:val="Heading4Char"/>
          <w:rFonts w:ascii="Segoe UI Semilight" w:eastAsiaTheme="minorHAnsi" w:hAnsi="Segoe UI Semilight" w:cs="Segoe UI Semilight"/>
        </w:rPr>
        <w:t>transitions across care settings.</w:t>
      </w:r>
      <w:r>
        <w:t xml:space="preserve"> Transitions to and from RACFs can be difficult physically and emotionally for older Australians and their families.</w:t>
      </w:r>
      <w:r>
        <w:rPr>
          <w:rStyle w:val="FootnoteReference"/>
        </w:rPr>
        <w:footnoteReference w:id="111"/>
      </w:r>
      <w:r>
        <w:t xml:space="preserve"> RACFs should aim </w:t>
      </w:r>
      <w:r w:rsidR="00DD2406">
        <w:t>to minimise transitions where possible. Where transitions are required, RACFs should ai</w:t>
      </w:r>
      <w:r w:rsidR="008542F3">
        <w:t xml:space="preserve">m </w:t>
      </w:r>
      <w:r>
        <w:t>to communicate advance care directives when residents are transferred out and seek out relevant information when residents are transferred in. This will ensure residents’ needs and their families wishes are being met.</w:t>
      </w:r>
    </w:p>
    <w:p w14:paraId="20239B95" w14:textId="37F81F3E" w:rsidR="00414539" w:rsidRPr="00414539" w:rsidRDefault="00C25063" w:rsidP="00983FFB">
      <w:pPr>
        <w:pStyle w:val="Bullet"/>
      </w:pPr>
      <w:r w:rsidRPr="00840321">
        <w:rPr>
          <w:rStyle w:val="Heading4Char"/>
          <w:rFonts w:ascii="Segoe UI Semilight" w:eastAsiaTheme="minorHAnsi" w:hAnsi="Segoe UI Semilight" w:cs="Segoe UI Semilight"/>
        </w:rPr>
        <w:t xml:space="preserve">Provide timely access to </w:t>
      </w:r>
      <w:r w:rsidR="00980791" w:rsidRPr="00840321">
        <w:rPr>
          <w:rStyle w:val="Heading4Char"/>
          <w:rFonts w:ascii="Segoe UI Semilight" w:eastAsiaTheme="minorHAnsi" w:hAnsi="Segoe UI Semilight" w:cs="Segoe UI Semilight"/>
        </w:rPr>
        <w:t>health professionals</w:t>
      </w:r>
      <w:r w:rsidR="000D5E2E" w:rsidRPr="00840321">
        <w:rPr>
          <w:rStyle w:val="Heading4Char"/>
          <w:rFonts w:ascii="Segoe UI Semilight" w:eastAsiaTheme="minorHAnsi" w:hAnsi="Segoe UI Semilight" w:cs="Segoe UI Semilight"/>
        </w:rPr>
        <w:t>.</w:t>
      </w:r>
      <w:r w:rsidR="00D26C0E">
        <w:t xml:space="preserve"> </w:t>
      </w:r>
      <w:r w:rsidR="008C2086">
        <w:t xml:space="preserve">Residents’ </w:t>
      </w:r>
      <w:r w:rsidR="00F87780">
        <w:t>medical</w:t>
      </w:r>
      <w:r w:rsidR="00162F94">
        <w:t xml:space="preserve"> </w:t>
      </w:r>
      <w:r w:rsidR="00C54003">
        <w:t xml:space="preserve">and psychological </w:t>
      </w:r>
      <w:r w:rsidR="007D0CC7">
        <w:t xml:space="preserve">needs </w:t>
      </w:r>
      <w:r w:rsidR="00C83217">
        <w:t xml:space="preserve">should be </w:t>
      </w:r>
      <w:r w:rsidR="00C54003">
        <w:t>promptly met</w:t>
      </w:r>
      <w:r w:rsidR="00C83217">
        <w:t>.</w:t>
      </w:r>
      <w:r w:rsidR="00582976">
        <w:rPr>
          <w:rStyle w:val="FootnoteReference"/>
        </w:rPr>
        <w:footnoteReference w:id="112"/>
      </w:r>
      <w:r w:rsidR="00697F63">
        <w:t xml:space="preserve"> </w:t>
      </w:r>
      <w:r w:rsidR="006743E1">
        <w:t xml:space="preserve">RACFs should aim to </w:t>
      </w:r>
      <w:r w:rsidR="007E23BD">
        <w:t>e</w:t>
      </w:r>
      <w:r w:rsidR="00E04F4F">
        <w:t xml:space="preserve">stablish working relationships with relevant medical </w:t>
      </w:r>
      <w:r w:rsidR="00B17B1B">
        <w:t xml:space="preserve">and other health </w:t>
      </w:r>
      <w:r w:rsidR="00E04F4F">
        <w:t>professionals and/or facilities (e.g. GP, emergency department)</w:t>
      </w:r>
      <w:r w:rsidR="00674B46">
        <w:t xml:space="preserve"> so </w:t>
      </w:r>
      <w:r w:rsidR="00B04B22">
        <w:t xml:space="preserve">that </w:t>
      </w:r>
      <w:r w:rsidR="002F4F43">
        <w:t xml:space="preserve">their residents’ </w:t>
      </w:r>
      <w:r w:rsidR="00162F94">
        <w:t xml:space="preserve">medical and </w:t>
      </w:r>
      <w:r w:rsidR="00C54003">
        <w:t>psychological</w:t>
      </w:r>
      <w:r w:rsidR="002F4F43">
        <w:t xml:space="preserve"> needs are prioritised.</w:t>
      </w:r>
    </w:p>
    <w:p w14:paraId="75B47E2E" w14:textId="16B757C9" w:rsidR="00414966" w:rsidRDefault="00414966" w:rsidP="00983FFB">
      <w:pPr>
        <w:pStyle w:val="Bullet"/>
      </w:pPr>
      <w:r w:rsidRPr="00840321">
        <w:rPr>
          <w:rStyle w:val="Heading4Char"/>
          <w:rFonts w:ascii="Segoe UI Semilight" w:eastAsiaTheme="minorHAnsi" w:hAnsi="Segoe UI Semilight" w:cs="Segoe UI Semilight"/>
        </w:rPr>
        <w:t>Provide access to a network of palliative care specialists</w:t>
      </w:r>
      <w:r w:rsidR="00122165" w:rsidRPr="00840321">
        <w:rPr>
          <w:rStyle w:val="Heading4Char"/>
          <w:rFonts w:ascii="Segoe UI Semilight" w:eastAsiaTheme="minorHAnsi" w:hAnsi="Segoe UI Semilight" w:cs="Segoe UI Semilight"/>
        </w:rPr>
        <w:t>.</w:t>
      </w:r>
      <w:r w:rsidR="00122165">
        <w:t xml:space="preserve"> </w:t>
      </w:r>
      <w:r w:rsidR="00D26C0E">
        <w:t xml:space="preserve">This can be achieved </w:t>
      </w:r>
      <w:r>
        <w:t>either informally</w:t>
      </w:r>
      <w:r w:rsidR="00D26C0E">
        <w:t xml:space="preserve">, </w:t>
      </w:r>
      <w:r>
        <w:t>through a specialist palliative care provider doing in</w:t>
      </w:r>
      <w:r w:rsidR="00E665B3">
        <w:t>-</w:t>
      </w:r>
      <w:r>
        <w:t>reach</w:t>
      </w:r>
      <w:r w:rsidR="00D26C0E">
        <w:t xml:space="preserve"> or </w:t>
      </w:r>
      <w:r>
        <w:t>outreach</w:t>
      </w:r>
      <w:r w:rsidR="00D26C0E">
        <w:t xml:space="preserve">, </w:t>
      </w:r>
      <w:r>
        <w:t>or formally</w:t>
      </w:r>
      <w:r w:rsidR="00D26C0E">
        <w:t xml:space="preserve">, </w:t>
      </w:r>
      <w:r>
        <w:t xml:space="preserve">through shared care or </w:t>
      </w:r>
      <w:r w:rsidR="00D26C0E">
        <w:t xml:space="preserve">an </w:t>
      </w:r>
      <w:r>
        <w:t>integrated care network</w:t>
      </w:r>
      <w:r w:rsidR="00D26C0E">
        <w:t>.</w:t>
      </w:r>
      <w:r w:rsidR="00DF4540">
        <w:rPr>
          <w:rStyle w:val="FootnoteReference"/>
        </w:rPr>
        <w:footnoteReference w:id="113"/>
      </w:r>
      <w:r w:rsidR="00DF4540">
        <w:t xml:space="preserve"> Access to specialist palliative care knowledge will ensure residents’ </w:t>
      </w:r>
      <w:r w:rsidR="00CC7448">
        <w:t xml:space="preserve">palliative care </w:t>
      </w:r>
      <w:r w:rsidR="00DF4540">
        <w:t>needs are being met in a timely and appropriate manner.</w:t>
      </w:r>
    </w:p>
    <w:p w14:paraId="1B514925" w14:textId="77777777" w:rsidR="00DC39CA" w:rsidRDefault="00DC39CA" w:rsidP="00DC39CA">
      <w:pPr>
        <w:pStyle w:val="Bullet"/>
      </w:pPr>
      <w:bookmarkStart w:id="66" w:name="_Toc51571047"/>
      <w:bookmarkStart w:id="67" w:name="_Ref51761166"/>
      <w:r>
        <w:rPr>
          <w:rStyle w:val="Heading4Char"/>
          <w:rFonts w:ascii="Segoe UI Semilight" w:eastAsiaTheme="minorHAnsi" w:hAnsi="Segoe UI Semilight" w:cs="Segoe UI Semilight"/>
        </w:rPr>
        <w:t>Work collaboratively with stakeholders</w:t>
      </w:r>
      <w:r w:rsidRPr="00840321">
        <w:rPr>
          <w:rStyle w:val="Heading4Char"/>
          <w:rFonts w:ascii="Segoe UI Semilight" w:eastAsiaTheme="minorHAnsi" w:hAnsi="Segoe UI Semilight" w:cs="Segoe UI Semilight"/>
        </w:rPr>
        <w:t>.</w:t>
      </w:r>
      <w:r>
        <w:t xml:space="preserve"> Effective working arrangements between service providers, state/territory and Commonwealth governments is a key enabler for delivery of care in health and aged care.</w:t>
      </w:r>
      <w:r>
        <w:rPr>
          <w:rStyle w:val="FootnoteReference"/>
        </w:rPr>
        <w:footnoteReference w:id="114"/>
      </w:r>
      <w:r>
        <w:t xml:space="preserve"> Sharing knowledge, performance indicators and data and successful models of care as well as prioritising the needs of residents above all can drive collaborative working arrangements between RACFs and funding and regulatory stakeholders.</w:t>
      </w:r>
    </w:p>
    <w:p w14:paraId="5159213C" w14:textId="5B1E2726" w:rsidR="00981FF4" w:rsidRDefault="00981FF4" w:rsidP="00DC39CA">
      <w:pPr>
        <w:pStyle w:val="Bullet"/>
      </w:pPr>
      <w:r>
        <w:br w:type="page"/>
      </w:r>
    </w:p>
    <w:p w14:paraId="68124D51" w14:textId="329A4A1C" w:rsidR="007D2E1F" w:rsidRDefault="00903F4C" w:rsidP="00981FF4">
      <w:pPr>
        <w:rPr>
          <w:rFonts w:ascii="Segoe UI Semibold" w:eastAsia="Times New Roman" w:hAnsi="Segoe UI Semibold" w:cs="Times New Roman"/>
          <w:color w:val="00264D"/>
          <w:sz w:val="30"/>
          <w:szCs w:val="19"/>
          <w:lang w:eastAsia="en-AU"/>
        </w:rPr>
      </w:pPr>
      <w:r>
        <w:rPr>
          <w:noProof/>
          <w:lang w:eastAsia="en-AU"/>
        </w:rPr>
        <w:lastRenderedPageBreak/>
        <w:drawing>
          <wp:anchor distT="0" distB="0" distL="114300" distR="114300" simplePos="0" relativeHeight="251658240" behindDoc="1" locked="0" layoutInCell="1" allowOverlap="1" wp14:anchorId="7656587F" wp14:editId="2A41DC51">
            <wp:simplePos x="0" y="0"/>
            <wp:positionH relativeFrom="column">
              <wp:posOffset>-980440</wp:posOffset>
            </wp:positionH>
            <wp:positionV relativeFrom="paragraph">
              <wp:posOffset>389568</wp:posOffset>
            </wp:positionV>
            <wp:extent cx="6645275" cy="847725"/>
            <wp:effectExtent l="0" t="0" r="3175" b="9525"/>
            <wp:wrapNone/>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5275" cy="847725"/>
                    </a:xfrm>
                    <a:prstGeom prst="rect">
                      <a:avLst/>
                    </a:prstGeom>
                    <a:noFill/>
                  </pic:spPr>
                </pic:pic>
              </a:graphicData>
            </a:graphic>
          </wp:anchor>
        </w:drawing>
      </w:r>
    </w:p>
    <w:p w14:paraId="73A493B6" w14:textId="6B6A3457" w:rsidR="008260B3" w:rsidRDefault="008E62D5" w:rsidP="001266B2">
      <w:pPr>
        <w:pStyle w:val="Heading2"/>
      </w:pPr>
      <w:bookmarkStart w:id="68" w:name="_Ref51926612"/>
      <w:bookmarkStart w:id="69" w:name="_Toc82767268"/>
      <w:r>
        <w:t xml:space="preserve">What </w:t>
      </w:r>
      <w:r w:rsidR="00C6365D">
        <w:t>evidence exists on best practice approaches to</w:t>
      </w:r>
      <w:r w:rsidR="0039564B">
        <w:t xml:space="preserve"> </w:t>
      </w:r>
      <w:r w:rsidR="00C6365D">
        <w:t>funding and delivery arrangements?</w:t>
      </w:r>
      <w:bookmarkEnd w:id="66"/>
      <w:bookmarkEnd w:id="67"/>
      <w:bookmarkEnd w:id="68"/>
      <w:bookmarkEnd w:id="69"/>
      <w:r w:rsidR="008260B3">
        <w:t xml:space="preserve"> </w:t>
      </w:r>
    </w:p>
    <w:p w14:paraId="5990FEBA" w14:textId="77777777" w:rsidR="007C2CE3" w:rsidRDefault="007C2CE3" w:rsidP="007D6652"/>
    <w:p w14:paraId="507CC922" w14:textId="32229913" w:rsidR="00417A6A" w:rsidRDefault="007D6652" w:rsidP="007D6652">
      <w:r>
        <w:t xml:space="preserve">This sub-section summarises evidence from the literature on </w:t>
      </w:r>
      <w:r w:rsidR="004957E2">
        <w:t xml:space="preserve">Commonwealth and </w:t>
      </w:r>
      <w:r w:rsidR="00956B8E">
        <w:t>s</w:t>
      </w:r>
      <w:r w:rsidR="004957E2">
        <w:t>tate</w:t>
      </w:r>
      <w:r w:rsidR="00956B8E">
        <w:t>/t</w:t>
      </w:r>
      <w:r w:rsidR="004957E2">
        <w:t xml:space="preserve">erritory joint </w:t>
      </w:r>
      <w:r>
        <w:t xml:space="preserve">funding and delivery </w:t>
      </w:r>
      <w:r w:rsidR="004957E2">
        <w:t>arrangements.</w:t>
      </w:r>
    </w:p>
    <w:tbl>
      <w:tblPr>
        <w:tblStyle w:val="TableGrid"/>
        <w:tblW w:w="9016" w:type="dxa"/>
        <w:tblBorders>
          <w:bottom w:val="none" w:sz="0" w:space="0" w:color="auto"/>
          <w:insideH w:val="none" w:sz="0" w:space="0" w:color="auto"/>
        </w:tblBorders>
        <w:shd w:val="clear" w:color="auto" w:fill="F2F2F2" w:themeFill="background1" w:themeFillShade="F2"/>
        <w:tblCellMar>
          <w:top w:w="85" w:type="dxa"/>
        </w:tblCellMar>
        <w:tblLook w:val="0400" w:firstRow="0" w:lastRow="0" w:firstColumn="0" w:lastColumn="0" w:noHBand="0" w:noVBand="1"/>
        <w:tblCaption w:val="Key findings for the third key literature review question - What evidence exists on best practice approached to funding and delivery arrangements?"/>
        <w:tblDescription w:val="There are multiple arrangements that can be used to support joint funding and delivery of activities between Commonwealth and State/territory governments.  &#10;&#10;The type of funding arrangement is a key consideration in joint Commonwealth and state/territory projects; this literature review focused on National Partnership Payments (NPPs) in health or other sectors given they are most relevant to the Measure arrangements. &#10;&#10;Of the four types of NPPs, the less onerous reporting requirements that characterise National Partnership Agreements (NPAs) and Project Agreements (PAs) have led to their increasing use in facilitating joint Commonwealth and state/territory projects. Project Agreements are a simpler form of NPAs, used largely for low value and/or low risk projects. &#10;&#10;The literature indicates that there is very limited evidence on joint funding and delivery arrangements specific to palliative care in RACFs, so this report focuses on what the evaluation can learn about joint funding and delivery in health and other sectors more broadly. &#10;&#10;Evidence showed that NPAs and PAs are commonly used for joint delivery of activities in the health sector. They allow states and territories to exercise their judgement as to where funding is allocated, yielding outcomes that address jurisdictional specific issues. &#10;&#10;Pooled funding across state and territory jurisdictions has the potential to minimise service gaps and progress equitable health coverage. Co-commissioning between states/territories and Primary Health Networks (PHNs) has the potential to further integrate health system services. &#10;&#10;However, pooled funding and giving regions greater control and responsibility is supported in theory but not in practice. While many countries are exploring forms of funds pooling, there is little evidence of efficacy at scale. An international review of integrated funding for health and social care explored 38 schemes from eight countries and was unable to isolate elements such as funds pooling from care delivery. &#10;&#10;Evidence on best practice approaches to joint funding and delivery is limited to large-scale agreements, but certain principles can apply to all agreements. &#10;&#10;Evidence suggests that funding models for palliative care should move toward activity-based, uncapped funding, and informed by performance metrics and reporting."/>
      </w:tblPr>
      <w:tblGrid>
        <w:gridCol w:w="1219"/>
        <w:gridCol w:w="7797"/>
      </w:tblGrid>
      <w:tr w:rsidR="00417A6A" w14:paraId="7710928A" w14:textId="77777777" w:rsidTr="22C19DAE">
        <w:trPr>
          <w:trHeight w:val="624"/>
        </w:trPr>
        <w:tc>
          <w:tcPr>
            <w:tcW w:w="1219" w:type="dxa"/>
            <w:shd w:val="clear" w:color="auto" w:fill="0070C0"/>
            <w:vAlign w:val="center"/>
          </w:tcPr>
          <w:bookmarkStart w:id="70" w:name="_Hlk51835413"/>
          <w:p w14:paraId="28E84BE1" w14:textId="77777777" w:rsidR="00417A6A" w:rsidRPr="006B5F38" w:rsidRDefault="00417A6A" w:rsidP="008532CB">
            <w:pPr>
              <w:spacing w:after="0" w:line="257" w:lineRule="auto"/>
              <w:jc w:val="center"/>
              <w:rPr>
                <w:rFonts w:ascii="Segoe UI Semibold" w:hAnsi="Segoe UI Semibold" w:cs="Segoe UI Semibold"/>
                <w:color w:val="FFFFFF" w:themeColor="background1"/>
              </w:rPr>
            </w:pPr>
            <w:r w:rsidRPr="00753F4A">
              <w:rPr>
                <w:rFonts w:ascii="Segoe UI Semibold" w:hAnsi="Segoe UI Semibold" w:cs="Segoe UI Semibold"/>
                <w:noProof/>
                <w:color w:val="FFFFFF" w:themeColor="background1"/>
                <w:lang w:eastAsia="en-AU"/>
              </w:rPr>
              <mc:AlternateContent>
                <mc:Choice Requires="wpg">
                  <w:drawing>
                    <wp:inline distT="0" distB="0" distL="0" distR="0" wp14:anchorId="6A0706FA" wp14:editId="3BADEA3D">
                      <wp:extent cx="360000" cy="360000"/>
                      <wp:effectExtent l="0" t="0" r="2540" b="2540"/>
                      <wp:docPr id="60" name="Group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60000" cy="360000"/>
                                <a:chOff x="0" y="0"/>
                                <a:chExt cx="539750" cy="539750"/>
                              </a:xfrm>
                              <a:solidFill>
                                <a:sysClr val="window" lastClr="FFFFFF"/>
                              </a:solidFill>
                            </wpg:grpSpPr>
                            <wps:wsp>
                              <wps:cNvPr id="61" name="Freeform 103"/>
                              <wps:cNvSpPr>
                                <a:spLocks noChangeAspect="1" noEditPoints="1"/>
                              </wps:cNvSpPr>
                              <wps:spPr bwMode="auto">
                                <a:xfrm>
                                  <a:off x="0" y="0"/>
                                  <a:ext cx="539750" cy="539750"/>
                                </a:xfrm>
                                <a:custGeom>
                                  <a:avLst/>
                                  <a:gdLst>
                                    <a:gd name="T0" fmla="*/ 168 w 169"/>
                                    <a:gd name="T1" fmla="*/ 164 h 169"/>
                                    <a:gd name="T2" fmla="*/ 127 w 169"/>
                                    <a:gd name="T3" fmla="*/ 122 h 169"/>
                                    <a:gd name="T4" fmla="*/ 127 w 169"/>
                                    <a:gd name="T5" fmla="*/ 122 h 169"/>
                                    <a:gd name="T6" fmla="*/ 146 w 169"/>
                                    <a:gd name="T7" fmla="*/ 73 h 169"/>
                                    <a:gd name="T8" fmla="*/ 73 w 169"/>
                                    <a:gd name="T9" fmla="*/ 0 h 169"/>
                                    <a:gd name="T10" fmla="*/ 0 w 169"/>
                                    <a:gd name="T11" fmla="*/ 73 h 169"/>
                                    <a:gd name="T12" fmla="*/ 73 w 169"/>
                                    <a:gd name="T13" fmla="*/ 146 h 169"/>
                                    <a:gd name="T14" fmla="*/ 122 w 169"/>
                                    <a:gd name="T15" fmla="*/ 128 h 169"/>
                                    <a:gd name="T16" fmla="*/ 122 w 169"/>
                                    <a:gd name="T17" fmla="*/ 127 h 169"/>
                                    <a:gd name="T18" fmla="*/ 122 w 169"/>
                                    <a:gd name="T19" fmla="*/ 128 h 169"/>
                                    <a:gd name="T20" fmla="*/ 163 w 169"/>
                                    <a:gd name="T21" fmla="*/ 168 h 169"/>
                                    <a:gd name="T22" fmla="*/ 166 w 169"/>
                                    <a:gd name="T23" fmla="*/ 169 h 169"/>
                                    <a:gd name="T24" fmla="*/ 169 w 169"/>
                                    <a:gd name="T25" fmla="*/ 166 h 169"/>
                                    <a:gd name="T26" fmla="*/ 168 w 169"/>
                                    <a:gd name="T27" fmla="*/ 164 h 169"/>
                                    <a:gd name="T28" fmla="*/ 73 w 169"/>
                                    <a:gd name="T29" fmla="*/ 140 h 169"/>
                                    <a:gd name="T30" fmla="*/ 7 w 169"/>
                                    <a:gd name="T31" fmla="*/ 73 h 169"/>
                                    <a:gd name="T32" fmla="*/ 73 w 169"/>
                                    <a:gd name="T33" fmla="*/ 7 h 169"/>
                                    <a:gd name="T34" fmla="*/ 139 w 169"/>
                                    <a:gd name="T35" fmla="*/ 73 h 169"/>
                                    <a:gd name="T36" fmla="*/ 73 w 169"/>
                                    <a:gd name="T37" fmla="*/ 140 h 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69" h="169">
                                      <a:moveTo>
                                        <a:pt x="168" y="164"/>
                                      </a:moveTo>
                                      <a:cubicBezTo>
                                        <a:pt x="127" y="122"/>
                                        <a:pt x="127" y="122"/>
                                        <a:pt x="127" y="122"/>
                                      </a:cubicBezTo>
                                      <a:cubicBezTo>
                                        <a:pt x="127" y="122"/>
                                        <a:pt x="127" y="122"/>
                                        <a:pt x="127" y="122"/>
                                      </a:cubicBezTo>
                                      <a:cubicBezTo>
                                        <a:pt x="139" y="109"/>
                                        <a:pt x="146" y="91"/>
                                        <a:pt x="146" y="73"/>
                                      </a:cubicBezTo>
                                      <a:cubicBezTo>
                                        <a:pt x="146" y="33"/>
                                        <a:pt x="113" y="0"/>
                                        <a:pt x="73" y="0"/>
                                      </a:cubicBezTo>
                                      <a:cubicBezTo>
                                        <a:pt x="33" y="0"/>
                                        <a:pt x="0" y="33"/>
                                        <a:pt x="0" y="73"/>
                                      </a:cubicBezTo>
                                      <a:cubicBezTo>
                                        <a:pt x="0" y="114"/>
                                        <a:pt x="33" y="146"/>
                                        <a:pt x="73" y="146"/>
                                      </a:cubicBezTo>
                                      <a:cubicBezTo>
                                        <a:pt x="91" y="146"/>
                                        <a:pt x="108" y="140"/>
                                        <a:pt x="122" y="128"/>
                                      </a:cubicBezTo>
                                      <a:cubicBezTo>
                                        <a:pt x="122" y="127"/>
                                        <a:pt x="122" y="127"/>
                                        <a:pt x="122" y="127"/>
                                      </a:cubicBezTo>
                                      <a:cubicBezTo>
                                        <a:pt x="122" y="128"/>
                                        <a:pt x="122" y="128"/>
                                        <a:pt x="122" y="128"/>
                                      </a:cubicBezTo>
                                      <a:cubicBezTo>
                                        <a:pt x="163" y="168"/>
                                        <a:pt x="163" y="168"/>
                                        <a:pt x="163" y="168"/>
                                      </a:cubicBezTo>
                                      <a:cubicBezTo>
                                        <a:pt x="164" y="169"/>
                                        <a:pt x="165" y="169"/>
                                        <a:pt x="166" y="169"/>
                                      </a:cubicBezTo>
                                      <a:cubicBezTo>
                                        <a:pt x="168" y="169"/>
                                        <a:pt x="169" y="168"/>
                                        <a:pt x="169" y="166"/>
                                      </a:cubicBezTo>
                                      <a:cubicBezTo>
                                        <a:pt x="169" y="165"/>
                                        <a:pt x="169" y="164"/>
                                        <a:pt x="168" y="164"/>
                                      </a:cubicBezTo>
                                      <a:close/>
                                      <a:moveTo>
                                        <a:pt x="73" y="140"/>
                                      </a:moveTo>
                                      <a:cubicBezTo>
                                        <a:pt x="37" y="140"/>
                                        <a:pt x="7" y="110"/>
                                        <a:pt x="7" y="73"/>
                                      </a:cubicBezTo>
                                      <a:cubicBezTo>
                                        <a:pt x="7" y="37"/>
                                        <a:pt x="37" y="7"/>
                                        <a:pt x="73" y="7"/>
                                      </a:cubicBezTo>
                                      <a:cubicBezTo>
                                        <a:pt x="110" y="7"/>
                                        <a:pt x="139" y="37"/>
                                        <a:pt x="139" y="73"/>
                                      </a:cubicBezTo>
                                      <a:cubicBezTo>
                                        <a:pt x="139" y="110"/>
                                        <a:pt x="110" y="140"/>
                                        <a:pt x="73" y="140"/>
                                      </a:cubicBezTo>
                                      <a:close/>
                                    </a:path>
                                  </a:pathLst>
                                </a:custGeom>
                                <a:grpFill/>
                                <a:ln>
                                  <a:noFill/>
                                </a:ln>
                              </wps:spPr>
                              <wps:bodyPr vert="horz" wrap="square" lIns="91440" tIns="45720" rIns="91440" bIns="45720" numCol="1" anchor="t" anchorCtr="0" compatLnSpc="1">
                                <a:prstTxWarp prst="textNoShape">
                                  <a:avLst/>
                                </a:prstTxWarp>
                              </wps:bodyPr>
                            </wps:wsp>
                            <wpg:grpSp>
                              <wpg:cNvPr id="62" name="Group 62"/>
                              <wpg:cNvGrpSpPr/>
                              <wpg:grpSpPr>
                                <a:xfrm>
                                  <a:off x="185109" y="112004"/>
                                  <a:ext cx="92075" cy="244475"/>
                                  <a:chOff x="185109" y="112004"/>
                                  <a:chExt cx="92075" cy="244475"/>
                                </a:xfrm>
                                <a:grpFill/>
                              </wpg:grpSpPr>
                              <wps:wsp>
                                <wps:cNvPr id="63" name="Freeform 7"/>
                                <wps:cNvSpPr>
                                  <a:spLocks/>
                                </wps:cNvSpPr>
                                <wps:spPr bwMode="auto">
                                  <a:xfrm>
                                    <a:off x="204159" y="112004"/>
                                    <a:ext cx="53975" cy="57150"/>
                                  </a:xfrm>
                                  <a:custGeom>
                                    <a:avLst/>
                                    <a:gdLst>
                                      <a:gd name="T0" fmla="*/ 8 w 17"/>
                                      <a:gd name="T1" fmla="*/ 0 h 18"/>
                                      <a:gd name="T2" fmla="*/ 2 w 17"/>
                                      <a:gd name="T3" fmla="*/ 3 h 18"/>
                                      <a:gd name="T4" fmla="*/ 0 w 17"/>
                                      <a:gd name="T5" fmla="*/ 9 h 18"/>
                                      <a:gd name="T6" fmla="*/ 2 w 17"/>
                                      <a:gd name="T7" fmla="*/ 16 h 18"/>
                                      <a:gd name="T8" fmla="*/ 8 w 17"/>
                                      <a:gd name="T9" fmla="*/ 18 h 18"/>
                                      <a:gd name="T10" fmla="*/ 15 w 17"/>
                                      <a:gd name="T11" fmla="*/ 16 h 18"/>
                                      <a:gd name="T12" fmla="*/ 17 w 17"/>
                                      <a:gd name="T13" fmla="*/ 9 h 18"/>
                                      <a:gd name="T14" fmla="*/ 15 w 17"/>
                                      <a:gd name="T15" fmla="*/ 3 h 18"/>
                                      <a:gd name="T16" fmla="*/ 8 w 17"/>
                                      <a:gd name="T17"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8">
                                        <a:moveTo>
                                          <a:pt x="8" y="0"/>
                                        </a:moveTo>
                                        <a:cubicBezTo>
                                          <a:pt x="6" y="0"/>
                                          <a:pt x="4" y="1"/>
                                          <a:pt x="2" y="3"/>
                                        </a:cubicBezTo>
                                        <a:cubicBezTo>
                                          <a:pt x="1" y="5"/>
                                          <a:pt x="0" y="7"/>
                                          <a:pt x="0" y="9"/>
                                        </a:cubicBezTo>
                                        <a:cubicBezTo>
                                          <a:pt x="0" y="12"/>
                                          <a:pt x="1" y="14"/>
                                          <a:pt x="2" y="16"/>
                                        </a:cubicBezTo>
                                        <a:cubicBezTo>
                                          <a:pt x="4" y="17"/>
                                          <a:pt x="6" y="18"/>
                                          <a:pt x="8" y="18"/>
                                        </a:cubicBezTo>
                                        <a:cubicBezTo>
                                          <a:pt x="11" y="18"/>
                                          <a:pt x="13" y="17"/>
                                          <a:pt x="15" y="16"/>
                                        </a:cubicBezTo>
                                        <a:cubicBezTo>
                                          <a:pt x="16" y="14"/>
                                          <a:pt x="17" y="12"/>
                                          <a:pt x="17" y="9"/>
                                        </a:cubicBezTo>
                                        <a:cubicBezTo>
                                          <a:pt x="17" y="7"/>
                                          <a:pt x="16" y="5"/>
                                          <a:pt x="15" y="3"/>
                                        </a:cubicBezTo>
                                        <a:cubicBezTo>
                                          <a:pt x="13" y="1"/>
                                          <a:pt x="11" y="0"/>
                                          <a:pt x="8"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68" name="Freeform 8"/>
                                <wps:cNvSpPr>
                                  <a:spLocks/>
                                </wps:cNvSpPr>
                                <wps:spPr bwMode="auto">
                                  <a:xfrm>
                                    <a:off x="185109" y="194554"/>
                                    <a:ext cx="92075" cy="161925"/>
                                  </a:xfrm>
                                  <a:custGeom>
                                    <a:avLst/>
                                    <a:gdLst>
                                      <a:gd name="T0" fmla="*/ 24 w 29"/>
                                      <a:gd name="T1" fmla="*/ 44 h 51"/>
                                      <a:gd name="T2" fmla="*/ 20 w 29"/>
                                      <a:gd name="T3" fmla="*/ 43 h 51"/>
                                      <a:gd name="T4" fmla="*/ 19 w 29"/>
                                      <a:gd name="T5" fmla="*/ 40 h 51"/>
                                      <a:gd name="T6" fmla="*/ 19 w 29"/>
                                      <a:gd name="T7" fmla="*/ 36 h 51"/>
                                      <a:gd name="T8" fmla="*/ 20 w 29"/>
                                      <a:gd name="T9" fmla="*/ 32 h 51"/>
                                      <a:gd name="T10" fmla="*/ 24 w 29"/>
                                      <a:gd name="T11" fmla="*/ 18 h 51"/>
                                      <a:gd name="T12" fmla="*/ 24 w 29"/>
                                      <a:gd name="T13" fmla="*/ 14 h 51"/>
                                      <a:gd name="T14" fmla="*/ 25 w 29"/>
                                      <a:gd name="T15" fmla="*/ 11 h 51"/>
                                      <a:gd name="T16" fmla="*/ 22 w 29"/>
                                      <a:gd name="T17" fmla="*/ 3 h 51"/>
                                      <a:gd name="T18" fmla="*/ 14 w 29"/>
                                      <a:gd name="T19" fmla="*/ 0 h 51"/>
                                      <a:gd name="T20" fmla="*/ 7 w 29"/>
                                      <a:gd name="T21" fmla="*/ 2 h 51"/>
                                      <a:gd name="T22" fmla="*/ 1 w 29"/>
                                      <a:gd name="T23" fmla="*/ 4 h 51"/>
                                      <a:gd name="T24" fmla="*/ 0 w 29"/>
                                      <a:gd name="T25" fmla="*/ 9 h 51"/>
                                      <a:gd name="T26" fmla="*/ 2 w 29"/>
                                      <a:gd name="T27" fmla="*/ 8 h 51"/>
                                      <a:gd name="T28" fmla="*/ 5 w 29"/>
                                      <a:gd name="T29" fmla="*/ 7 h 51"/>
                                      <a:gd name="T30" fmla="*/ 9 w 29"/>
                                      <a:gd name="T31" fmla="*/ 8 h 51"/>
                                      <a:gd name="T32" fmla="*/ 10 w 29"/>
                                      <a:gd name="T33" fmla="*/ 12 h 51"/>
                                      <a:gd name="T34" fmla="*/ 10 w 29"/>
                                      <a:gd name="T35" fmla="*/ 16 h 51"/>
                                      <a:gd name="T36" fmla="*/ 9 w 29"/>
                                      <a:gd name="T37" fmla="*/ 19 h 51"/>
                                      <a:gd name="T38" fmla="*/ 5 w 29"/>
                                      <a:gd name="T39" fmla="*/ 34 h 51"/>
                                      <a:gd name="T40" fmla="*/ 4 w 29"/>
                                      <a:gd name="T41" fmla="*/ 38 h 51"/>
                                      <a:gd name="T42" fmla="*/ 4 w 29"/>
                                      <a:gd name="T43" fmla="*/ 41 h 51"/>
                                      <a:gd name="T44" fmla="*/ 7 w 29"/>
                                      <a:gd name="T45" fmla="*/ 48 h 51"/>
                                      <a:gd name="T46" fmla="*/ 15 w 29"/>
                                      <a:gd name="T47" fmla="*/ 51 h 51"/>
                                      <a:gd name="T48" fmla="*/ 21 w 29"/>
                                      <a:gd name="T49" fmla="*/ 50 h 51"/>
                                      <a:gd name="T50" fmla="*/ 28 w 29"/>
                                      <a:gd name="T51" fmla="*/ 47 h 51"/>
                                      <a:gd name="T52" fmla="*/ 29 w 29"/>
                                      <a:gd name="T53" fmla="*/ 43 h 51"/>
                                      <a:gd name="T54" fmla="*/ 27 w 29"/>
                                      <a:gd name="T55" fmla="*/ 44 h 51"/>
                                      <a:gd name="T56" fmla="*/ 24 w 29"/>
                                      <a:gd name="T57" fmla="*/ 44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9" h="51">
                                        <a:moveTo>
                                          <a:pt x="24" y="44"/>
                                        </a:moveTo>
                                        <a:cubicBezTo>
                                          <a:pt x="22" y="44"/>
                                          <a:pt x="21" y="44"/>
                                          <a:pt x="20" y="43"/>
                                        </a:cubicBezTo>
                                        <a:cubicBezTo>
                                          <a:pt x="19" y="43"/>
                                          <a:pt x="19" y="41"/>
                                          <a:pt x="19" y="40"/>
                                        </a:cubicBezTo>
                                        <a:cubicBezTo>
                                          <a:pt x="19" y="39"/>
                                          <a:pt x="19" y="38"/>
                                          <a:pt x="19" y="36"/>
                                        </a:cubicBezTo>
                                        <a:cubicBezTo>
                                          <a:pt x="19" y="35"/>
                                          <a:pt x="20" y="33"/>
                                          <a:pt x="20" y="32"/>
                                        </a:cubicBezTo>
                                        <a:cubicBezTo>
                                          <a:pt x="24" y="18"/>
                                          <a:pt x="24" y="18"/>
                                          <a:pt x="24" y="18"/>
                                        </a:cubicBezTo>
                                        <a:cubicBezTo>
                                          <a:pt x="24" y="17"/>
                                          <a:pt x="24" y="15"/>
                                          <a:pt x="24" y="14"/>
                                        </a:cubicBezTo>
                                        <a:cubicBezTo>
                                          <a:pt x="24" y="12"/>
                                          <a:pt x="25" y="11"/>
                                          <a:pt x="25" y="11"/>
                                        </a:cubicBezTo>
                                        <a:cubicBezTo>
                                          <a:pt x="25" y="8"/>
                                          <a:pt x="24" y="5"/>
                                          <a:pt x="22" y="3"/>
                                        </a:cubicBezTo>
                                        <a:cubicBezTo>
                                          <a:pt x="20" y="1"/>
                                          <a:pt x="17" y="0"/>
                                          <a:pt x="14" y="0"/>
                                        </a:cubicBezTo>
                                        <a:cubicBezTo>
                                          <a:pt x="12" y="0"/>
                                          <a:pt x="10" y="1"/>
                                          <a:pt x="7" y="2"/>
                                        </a:cubicBezTo>
                                        <a:cubicBezTo>
                                          <a:pt x="5" y="2"/>
                                          <a:pt x="3" y="3"/>
                                          <a:pt x="1" y="4"/>
                                        </a:cubicBezTo>
                                        <a:cubicBezTo>
                                          <a:pt x="0" y="9"/>
                                          <a:pt x="0" y="9"/>
                                          <a:pt x="0" y="9"/>
                                        </a:cubicBezTo>
                                        <a:cubicBezTo>
                                          <a:pt x="0" y="8"/>
                                          <a:pt x="1" y="8"/>
                                          <a:pt x="2" y="8"/>
                                        </a:cubicBezTo>
                                        <a:cubicBezTo>
                                          <a:pt x="3" y="8"/>
                                          <a:pt x="4" y="7"/>
                                          <a:pt x="5" y="7"/>
                                        </a:cubicBezTo>
                                        <a:cubicBezTo>
                                          <a:pt x="7" y="7"/>
                                          <a:pt x="8" y="8"/>
                                          <a:pt x="9" y="8"/>
                                        </a:cubicBezTo>
                                        <a:cubicBezTo>
                                          <a:pt x="10" y="9"/>
                                          <a:pt x="10" y="10"/>
                                          <a:pt x="10" y="12"/>
                                        </a:cubicBezTo>
                                        <a:cubicBezTo>
                                          <a:pt x="10" y="13"/>
                                          <a:pt x="10" y="14"/>
                                          <a:pt x="10" y="16"/>
                                        </a:cubicBezTo>
                                        <a:cubicBezTo>
                                          <a:pt x="9" y="17"/>
                                          <a:pt x="9" y="18"/>
                                          <a:pt x="9" y="19"/>
                                        </a:cubicBezTo>
                                        <a:cubicBezTo>
                                          <a:pt x="5" y="34"/>
                                          <a:pt x="5" y="34"/>
                                          <a:pt x="5" y="34"/>
                                        </a:cubicBezTo>
                                        <a:cubicBezTo>
                                          <a:pt x="5" y="35"/>
                                          <a:pt x="5" y="37"/>
                                          <a:pt x="4" y="38"/>
                                        </a:cubicBezTo>
                                        <a:cubicBezTo>
                                          <a:pt x="4" y="39"/>
                                          <a:pt x="4" y="40"/>
                                          <a:pt x="4" y="41"/>
                                        </a:cubicBezTo>
                                        <a:cubicBezTo>
                                          <a:pt x="4" y="44"/>
                                          <a:pt x="5" y="47"/>
                                          <a:pt x="7" y="48"/>
                                        </a:cubicBezTo>
                                        <a:cubicBezTo>
                                          <a:pt x="9" y="50"/>
                                          <a:pt x="12" y="51"/>
                                          <a:pt x="15" y="51"/>
                                        </a:cubicBezTo>
                                        <a:cubicBezTo>
                                          <a:pt x="18" y="51"/>
                                          <a:pt x="20" y="51"/>
                                          <a:pt x="21" y="50"/>
                                        </a:cubicBezTo>
                                        <a:cubicBezTo>
                                          <a:pt x="23" y="50"/>
                                          <a:pt x="25" y="49"/>
                                          <a:pt x="28" y="47"/>
                                        </a:cubicBezTo>
                                        <a:cubicBezTo>
                                          <a:pt x="29" y="43"/>
                                          <a:pt x="29" y="43"/>
                                          <a:pt x="29" y="43"/>
                                        </a:cubicBezTo>
                                        <a:cubicBezTo>
                                          <a:pt x="29" y="43"/>
                                          <a:pt x="28" y="44"/>
                                          <a:pt x="27" y="44"/>
                                        </a:cubicBezTo>
                                        <a:cubicBezTo>
                                          <a:pt x="26" y="44"/>
                                          <a:pt x="25" y="44"/>
                                          <a:pt x="24" y="44"/>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wgp>
                        </a:graphicData>
                      </a:graphic>
                    </wp:inline>
                  </w:drawing>
                </mc:Choice>
                <mc:Fallback xmlns:w16sdtdh="http://schemas.microsoft.com/office/word/2020/wordml/sdtdatahash">
                  <w:pict>
                    <v:group w14:anchorId="35637064" id="Group 54" o:spid="_x0000_s1026" alt="&quot;&quot;" style="width:28.35pt;height:28.35pt;mso-position-horizontal-relative:char;mso-position-vertical-relative:line" coordsize="5397,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">
                      <o:lock v:ext="edit" aspectratio="t"/>
                      <v:shape id="Freeform 103" o:spid="_x0000_s1027" style="position:absolute;width:5397;height:5397;visibility:visible;mso-wrap-style:square;v-text-anchor:top" coordsize="16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" path="m168,164c127,122,127,122,127,122v,,,,,c139,109,146,91,146,73,146,33,113,,73,,33,,,33,,73v,41,33,73,73,73c91,146,108,140,122,128v,-1,,-1,,-1c122,128,122,128,122,128v41,40,41,40,41,40c164,169,165,169,166,169v2,,3,-1,3,-3c169,165,169,164,168,164xm73,140c37,140,7,110,7,73,7,37,37,7,73,7v37,,66,30,66,66c139,110,110,140,73,140xe" filled="f" stroked="f">
                        <v:path arrowok="t" o:connecttype="custom" o:connectlocs="536556,523781;405611,389642;405611,389642;466293,233146;233146,0;0,233146;233146,466293;389642,408805;389642,405611;389642,408805;520587,536556;530169,539750;539750,530169;536556,523781;233146,447130;22357,233146;233146,22357;443936,233146;233146,447130" o:connectangles="0,0,0,0,0,0,0,0,0,0,0,0,0,0,0,0,0,0,0"/>
                        <o:lock v:ext="edit" aspectratio="t" verticies="t"/>
                      </v:shape>
                      <v:group id="Group 62" o:spid="_x0000_s1028" style="position:absolute;left:1851;top:1120;width:920;height:2444" coordorigin="185109,112004" coordsize="92075,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7" o:spid="_x0000_s1029" style="position:absolute;left:204159;top:112004;width:53975;height:57150;visibility:visible;mso-wrap-style:square;v-text-anchor:top" coordsize="1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" path="m8,c6,,4,1,2,3,1,5,,7,,9v,3,1,5,2,7c4,17,6,18,8,18v3,,5,-1,7,-2c16,14,17,12,17,9,17,7,16,5,15,3,13,1,11,,8,e" filled="f" stroked="f">
                          <v:path arrowok="t" o:connecttype="custom" o:connectlocs="25400,0;6350,9525;0,28575;6350,50800;25400,57150;47625,50800;53975,28575;47625,9525;25400,0" o:connectangles="0,0,0,0,0,0,0,0,0"/>
                        </v:shape>
                        <v:shape id="Freeform 8" o:spid="_x0000_s1030" style="position:absolute;left:185109;top:194554;width:92075;height:161925;visibility:visible;mso-wrap-style:square;v-text-anchor:top" coordsize="2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" path="m24,44v-2,,-3,,-4,-1c19,43,19,41,19,40v,-1,,-2,,-4c19,35,20,33,20,32,24,18,24,18,24,18v,-1,,-3,,-4c24,12,25,11,25,11,25,8,24,5,22,3,20,1,17,,14,,12,,10,1,7,2,5,2,3,3,1,4,,9,,9,,9,,8,1,8,2,8,3,8,4,7,5,7v2,,3,1,4,1c10,9,10,10,10,12v,1,,2,,4c9,17,9,18,9,19,5,34,5,34,5,34v,1,,3,-1,4c4,39,4,40,4,41v,3,1,6,3,7c9,50,12,51,15,51v3,,5,,6,-1c23,50,25,49,28,47v1,-4,1,-4,1,-4c29,43,28,44,27,44v-1,,-2,,-3,e" filled="f" stroked="f">
                          <v:path arrowok="t" o:connecttype="custom" o:connectlocs="76200,139700;63500,136525;60325,127000;60325,114300;63500,101600;76200,57150;76200,44450;79375,34925;69850,9525;44450,0;22225,6350;3175,12700;0,28575;6350,25400;15875,22225;28575,25400;31750,38100;31750,50800;28575,60325;15875,107950;12700,120650;12700,130175;22225,152400;47625,161925;66675,158750;88900,149225;92075,136525;85725,139700;76200,139700" o:connectangles="0,0,0,0,0,0,0,0,0,0,0,0,0,0,0,0,0,0,0,0,0,0,0,0,0,0,0,0,0"/>
                        </v:shape>
                      </v:group>
                      <w10:anchorlock/>
                    </v:group>
                  </w:pict>
                </mc:Fallback>
              </mc:AlternateContent>
            </w:r>
          </w:p>
        </w:tc>
        <w:tc>
          <w:tcPr>
            <w:tcW w:w="7797" w:type="dxa"/>
            <w:shd w:val="clear" w:color="auto" w:fill="0070C0"/>
            <w:vAlign w:val="center"/>
          </w:tcPr>
          <w:p w14:paraId="72B3CEC7" w14:textId="7E6B2A51" w:rsidR="00417A6A" w:rsidRPr="006B5F38" w:rsidRDefault="00417A6A" w:rsidP="008532CB">
            <w:pPr>
              <w:spacing w:after="0" w:line="257" w:lineRule="auto"/>
              <w:rPr>
                <w:rFonts w:ascii="Segoe UI Semibold" w:hAnsi="Segoe UI Semibold" w:cs="Segoe UI Semibold"/>
                <w:color w:val="FFFFFF" w:themeColor="background1"/>
              </w:rPr>
            </w:pPr>
            <w:r w:rsidRPr="006B5F38">
              <w:rPr>
                <w:rFonts w:ascii="Segoe UI Semibold" w:hAnsi="Segoe UI Semibold" w:cs="Segoe UI Semibold"/>
                <w:color w:val="FFFFFF" w:themeColor="background1"/>
              </w:rPr>
              <w:t>KEY FINDINGS</w:t>
            </w:r>
          </w:p>
        </w:tc>
      </w:tr>
      <w:tr w:rsidR="00417A6A" w14:paraId="17210D46" w14:textId="77777777" w:rsidTr="22C19DAE">
        <w:tc>
          <w:tcPr>
            <w:tcW w:w="9016" w:type="dxa"/>
            <w:gridSpan w:val="2"/>
            <w:shd w:val="clear" w:color="auto" w:fill="F2F2F2" w:themeFill="background1" w:themeFillShade="F2"/>
          </w:tcPr>
          <w:p w14:paraId="74DF7740" w14:textId="77777777" w:rsidR="00417A6A" w:rsidRPr="009470A9" w:rsidRDefault="00417A6A" w:rsidP="00417A6A">
            <w:pPr>
              <w:pStyle w:val="TableNBullet"/>
              <w:rPr>
                <w:color w:val="00264D" w:themeColor="background2"/>
                <w:sz w:val="19"/>
              </w:rPr>
            </w:pPr>
            <w:r w:rsidRPr="009470A9">
              <w:rPr>
                <w:color w:val="00264D" w:themeColor="background2"/>
                <w:sz w:val="19"/>
              </w:rPr>
              <w:t xml:space="preserve">There are multiple arrangements that can be used to support joint funding and delivery of activities between Commonwealth and State/territory governments. </w:t>
            </w:r>
          </w:p>
          <w:p w14:paraId="7699157B" w14:textId="2832B9CF" w:rsidR="0031136C" w:rsidRPr="0031136C" w:rsidRDefault="0031136C" w:rsidP="0031136C">
            <w:pPr>
              <w:pStyle w:val="TableNBullet"/>
              <w:rPr>
                <w:color w:val="00264D" w:themeColor="background2"/>
                <w:sz w:val="19"/>
              </w:rPr>
            </w:pPr>
            <w:r w:rsidRPr="0031136C">
              <w:rPr>
                <w:color w:val="00264D" w:themeColor="background2"/>
                <w:sz w:val="19"/>
              </w:rPr>
              <w:t>The type of funding arrangement is a key consideration in joint Commonwealth and state/territory projects</w:t>
            </w:r>
            <w:r w:rsidR="00534C5C">
              <w:rPr>
                <w:color w:val="00264D" w:themeColor="background2"/>
                <w:sz w:val="19"/>
              </w:rPr>
              <w:t xml:space="preserve">; this literature review </w:t>
            </w:r>
            <w:r w:rsidRPr="0031136C">
              <w:rPr>
                <w:color w:val="00264D" w:themeColor="background2"/>
                <w:sz w:val="19"/>
              </w:rPr>
              <w:t xml:space="preserve">focused on </w:t>
            </w:r>
            <w:r w:rsidR="00461902">
              <w:rPr>
                <w:color w:val="00264D" w:themeColor="background2"/>
                <w:sz w:val="19"/>
              </w:rPr>
              <w:t>National Partnership Payments (NPPs)</w:t>
            </w:r>
            <w:r w:rsidRPr="0031136C">
              <w:rPr>
                <w:color w:val="00264D" w:themeColor="background2"/>
                <w:sz w:val="19"/>
              </w:rPr>
              <w:t xml:space="preserve"> in health or other sectors</w:t>
            </w:r>
            <w:r w:rsidR="00461902">
              <w:rPr>
                <w:color w:val="00264D" w:themeColor="background2"/>
                <w:sz w:val="19"/>
              </w:rPr>
              <w:t xml:space="preserve"> given they are most relevant to the Measure arrangements</w:t>
            </w:r>
            <w:r w:rsidRPr="0031136C">
              <w:rPr>
                <w:color w:val="00264D" w:themeColor="background2"/>
                <w:sz w:val="19"/>
              </w:rPr>
              <w:t>.</w:t>
            </w:r>
          </w:p>
          <w:p w14:paraId="541DBD1C" w14:textId="7EB8709D" w:rsidR="00417A6A" w:rsidRDefault="00417A6A" w:rsidP="00417A6A">
            <w:pPr>
              <w:pStyle w:val="TableNBullet"/>
              <w:rPr>
                <w:color w:val="00264D" w:themeColor="background2"/>
                <w:sz w:val="19"/>
              </w:rPr>
            </w:pPr>
            <w:r>
              <w:rPr>
                <w:color w:val="00264D" w:themeColor="background2"/>
                <w:sz w:val="19"/>
              </w:rPr>
              <w:t>Of the four types of NPPs, th</w:t>
            </w:r>
            <w:r w:rsidRPr="006D37B6">
              <w:rPr>
                <w:color w:val="00264D" w:themeColor="background2"/>
                <w:sz w:val="19"/>
              </w:rPr>
              <w:t xml:space="preserve">e less onerous reporting requirements that characterise </w:t>
            </w:r>
            <w:r w:rsidRPr="009470A9">
              <w:rPr>
                <w:color w:val="00264D" w:themeColor="background2"/>
                <w:sz w:val="19"/>
              </w:rPr>
              <w:t xml:space="preserve">National Partnership Agreements </w:t>
            </w:r>
            <w:r>
              <w:rPr>
                <w:color w:val="00264D" w:themeColor="background2"/>
                <w:sz w:val="19"/>
              </w:rPr>
              <w:t xml:space="preserve">(NPAs) </w:t>
            </w:r>
            <w:r w:rsidRPr="006D37B6">
              <w:rPr>
                <w:color w:val="00264D" w:themeColor="background2"/>
                <w:sz w:val="19"/>
              </w:rPr>
              <w:t xml:space="preserve">and </w:t>
            </w:r>
            <w:r w:rsidRPr="009470A9">
              <w:rPr>
                <w:color w:val="00264D" w:themeColor="background2"/>
                <w:sz w:val="19"/>
              </w:rPr>
              <w:t xml:space="preserve">Project Agreements </w:t>
            </w:r>
            <w:r>
              <w:rPr>
                <w:color w:val="00264D" w:themeColor="background2"/>
                <w:sz w:val="19"/>
              </w:rPr>
              <w:t xml:space="preserve">(PAs) </w:t>
            </w:r>
            <w:r w:rsidRPr="006D37B6">
              <w:rPr>
                <w:color w:val="00264D" w:themeColor="background2"/>
                <w:sz w:val="19"/>
              </w:rPr>
              <w:t>have led to their increasing use in facilitating joint Commonwealth and state/territory projects</w:t>
            </w:r>
            <w:r>
              <w:rPr>
                <w:color w:val="00264D" w:themeColor="background2"/>
                <w:sz w:val="19"/>
              </w:rPr>
              <w:t xml:space="preserve">. </w:t>
            </w:r>
            <w:r w:rsidR="0063507A">
              <w:rPr>
                <w:color w:val="00264D" w:themeColor="background2"/>
                <w:sz w:val="19"/>
              </w:rPr>
              <w:t>Project Agreements are a simpler form of NPA</w:t>
            </w:r>
            <w:r w:rsidR="00773FB6">
              <w:rPr>
                <w:color w:val="00264D" w:themeColor="background2"/>
                <w:sz w:val="19"/>
              </w:rPr>
              <w:t>s, used largely for low value and/or low risk projects.</w:t>
            </w:r>
          </w:p>
          <w:p w14:paraId="589D4141" w14:textId="1A4A688C" w:rsidR="0031136C" w:rsidRPr="0031136C" w:rsidRDefault="0031136C" w:rsidP="0031136C">
            <w:pPr>
              <w:pStyle w:val="TableNBullet"/>
              <w:rPr>
                <w:color w:val="00264D" w:themeColor="background2"/>
                <w:sz w:val="19"/>
              </w:rPr>
            </w:pPr>
            <w:r w:rsidRPr="00016D9E">
              <w:rPr>
                <w:color w:val="00264D" w:themeColor="background2"/>
                <w:sz w:val="19"/>
              </w:rPr>
              <w:t>The literature indicates that there is very limited evidence on joint funding and delivery arrangements specific to palliative care in RACFs</w:t>
            </w:r>
            <w:r>
              <w:rPr>
                <w:color w:val="00264D" w:themeColor="background2"/>
                <w:sz w:val="19"/>
              </w:rPr>
              <w:t>, so this</w:t>
            </w:r>
            <w:r w:rsidRPr="00016D9E">
              <w:rPr>
                <w:color w:val="00264D" w:themeColor="background2"/>
                <w:sz w:val="19"/>
              </w:rPr>
              <w:t xml:space="preserve"> report focuses on what the evaluation can learn about joint funding and delivery in health and other sectors more broadly.</w:t>
            </w:r>
          </w:p>
          <w:p w14:paraId="13ECC92B" w14:textId="77777777" w:rsidR="00417A6A" w:rsidRPr="009470A9" w:rsidRDefault="00417A6A" w:rsidP="00417A6A">
            <w:pPr>
              <w:pStyle w:val="TableNBullet"/>
              <w:rPr>
                <w:color w:val="00264D" w:themeColor="background2"/>
                <w:sz w:val="19"/>
              </w:rPr>
            </w:pPr>
            <w:r w:rsidRPr="009470A9">
              <w:rPr>
                <w:color w:val="00264D" w:themeColor="background2"/>
                <w:sz w:val="19"/>
              </w:rPr>
              <w:t xml:space="preserve">Evidence showed that </w:t>
            </w:r>
            <w:r>
              <w:rPr>
                <w:color w:val="00264D" w:themeColor="background2"/>
                <w:sz w:val="19"/>
              </w:rPr>
              <w:t>NPAs</w:t>
            </w:r>
            <w:r w:rsidRPr="009470A9">
              <w:rPr>
                <w:color w:val="00264D" w:themeColor="background2"/>
                <w:sz w:val="19"/>
              </w:rPr>
              <w:t xml:space="preserve"> and </w:t>
            </w:r>
            <w:r>
              <w:rPr>
                <w:color w:val="00264D" w:themeColor="background2"/>
                <w:sz w:val="19"/>
              </w:rPr>
              <w:t>PAs</w:t>
            </w:r>
            <w:r w:rsidRPr="009470A9">
              <w:rPr>
                <w:color w:val="00264D" w:themeColor="background2"/>
                <w:sz w:val="19"/>
              </w:rPr>
              <w:t xml:space="preserve"> are commonly used for joint delivery of activities in the health sector. </w:t>
            </w:r>
            <w:r>
              <w:rPr>
                <w:color w:val="00264D" w:themeColor="background2"/>
                <w:sz w:val="19"/>
              </w:rPr>
              <w:t>They</w:t>
            </w:r>
            <w:r w:rsidRPr="009470A9">
              <w:rPr>
                <w:color w:val="00264D" w:themeColor="background2"/>
                <w:sz w:val="19"/>
              </w:rPr>
              <w:t xml:space="preserve"> allow states and territories to exercise their judgement as to where funding is allocated</w:t>
            </w:r>
            <w:r>
              <w:rPr>
                <w:color w:val="00264D" w:themeColor="background2"/>
                <w:sz w:val="19"/>
              </w:rPr>
              <w:t>,</w:t>
            </w:r>
            <w:r w:rsidRPr="009470A9">
              <w:rPr>
                <w:color w:val="00264D" w:themeColor="background2"/>
                <w:sz w:val="19"/>
              </w:rPr>
              <w:t xml:space="preserve"> yield</w:t>
            </w:r>
            <w:r>
              <w:rPr>
                <w:color w:val="00264D" w:themeColor="background2"/>
                <w:sz w:val="19"/>
              </w:rPr>
              <w:t>ing</w:t>
            </w:r>
            <w:r w:rsidRPr="009470A9">
              <w:rPr>
                <w:color w:val="00264D" w:themeColor="background2"/>
                <w:sz w:val="19"/>
              </w:rPr>
              <w:t xml:space="preserve"> outcomes that address jurisdictional specific issues.</w:t>
            </w:r>
          </w:p>
          <w:p w14:paraId="7DEE42F8" w14:textId="2DA97A6C" w:rsidR="00417A6A" w:rsidRDefault="00417A6A" w:rsidP="00417A6A">
            <w:pPr>
              <w:pStyle w:val="TableNBullet"/>
              <w:rPr>
                <w:color w:val="00264D" w:themeColor="background2"/>
                <w:sz w:val="19"/>
              </w:rPr>
            </w:pPr>
            <w:r w:rsidRPr="009F0C9E">
              <w:rPr>
                <w:color w:val="00264D" w:themeColor="background2"/>
                <w:sz w:val="19"/>
              </w:rPr>
              <w:t>Pooled funding across state and territory jurisdictions has the potential to minimise service gaps and progress equitable health coverage</w:t>
            </w:r>
            <w:r>
              <w:rPr>
                <w:color w:val="00264D" w:themeColor="background2"/>
                <w:sz w:val="19"/>
              </w:rPr>
              <w:t xml:space="preserve">. </w:t>
            </w:r>
            <w:r w:rsidR="009974C0" w:rsidRPr="009974C0">
              <w:rPr>
                <w:color w:val="00264D" w:themeColor="background2"/>
                <w:sz w:val="19"/>
              </w:rPr>
              <w:t>Co-commissioning b</w:t>
            </w:r>
            <w:r w:rsidR="009974C0">
              <w:rPr>
                <w:color w:val="00264D" w:themeColor="background2"/>
                <w:sz w:val="19"/>
              </w:rPr>
              <w:t>etween</w:t>
            </w:r>
            <w:r w:rsidR="009974C0" w:rsidRPr="009974C0">
              <w:rPr>
                <w:color w:val="00264D" w:themeColor="background2"/>
                <w:sz w:val="19"/>
              </w:rPr>
              <w:t xml:space="preserve"> states/territories and Primary Health Networks (PHNs) ha</w:t>
            </w:r>
            <w:r w:rsidR="009974C0">
              <w:rPr>
                <w:color w:val="00264D" w:themeColor="background2"/>
                <w:sz w:val="19"/>
              </w:rPr>
              <w:t>s</w:t>
            </w:r>
            <w:r w:rsidR="009974C0" w:rsidRPr="009974C0">
              <w:rPr>
                <w:color w:val="00264D" w:themeColor="background2"/>
                <w:sz w:val="19"/>
              </w:rPr>
              <w:t xml:space="preserve"> the potential to</w:t>
            </w:r>
            <w:r w:rsidR="009974C0">
              <w:rPr>
                <w:color w:val="00264D" w:themeColor="background2"/>
                <w:sz w:val="19"/>
              </w:rPr>
              <w:t xml:space="preserve"> further</w:t>
            </w:r>
            <w:r w:rsidR="009974C0" w:rsidRPr="009974C0">
              <w:rPr>
                <w:color w:val="00264D" w:themeColor="background2"/>
                <w:sz w:val="19"/>
              </w:rPr>
              <w:t xml:space="preserve"> integrate health system services</w:t>
            </w:r>
            <w:r w:rsidR="009974C0">
              <w:rPr>
                <w:color w:val="00264D" w:themeColor="background2"/>
                <w:sz w:val="19"/>
              </w:rPr>
              <w:t>.</w:t>
            </w:r>
          </w:p>
          <w:p w14:paraId="388C27D2" w14:textId="53B6B6CF" w:rsidR="009974C0" w:rsidRPr="009974C0" w:rsidRDefault="00417A6A" w:rsidP="009974C0">
            <w:pPr>
              <w:pStyle w:val="TableNBullet"/>
              <w:rPr>
                <w:color w:val="00264D" w:themeColor="background2"/>
                <w:sz w:val="19"/>
              </w:rPr>
            </w:pPr>
            <w:r>
              <w:rPr>
                <w:color w:val="00264D" w:themeColor="background2"/>
                <w:sz w:val="19"/>
              </w:rPr>
              <w:t>However, p</w:t>
            </w:r>
            <w:r w:rsidRPr="009470A9">
              <w:rPr>
                <w:color w:val="00264D" w:themeColor="background2"/>
                <w:sz w:val="19"/>
              </w:rPr>
              <w:t xml:space="preserve">ooled funding and giving regions greater control and responsibility is supported in theory but not in practice. While many countries are exploring forms of funds pooling, there is little evidence of efficacy at scale. An international review of integrated funding for health and social care explored 38 schemes from </w:t>
            </w:r>
            <w:r w:rsidRPr="009974C0">
              <w:rPr>
                <w:color w:val="00264D" w:themeColor="background2"/>
                <w:sz w:val="19"/>
              </w:rPr>
              <w:t xml:space="preserve">eight countries and </w:t>
            </w:r>
            <w:r w:rsidR="00D466A9">
              <w:rPr>
                <w:color w:val="00264D" w:themeColor="background2"/>
                <w:sz w:val="19"/>
              </w:rPr>
              <w:t>was</w:t>
            </w:r>
            <w:r w:rsidRPr="009974C0">
              <w:rPr>
                <w:color w:val="00264D" w:themeColor="background2"/>
                <w:sz w:val="19"/>
              </w:rPr>
              <w:t xml:space="preserve"> unable to isolate elements such as funds pooling from care delivery.</w:t>
            </w:r>
          </w:p>
          <w:p w14:paraId="74052ABE" w14:textId="77777777" w:rsidR="00417A6A" w:rsidRPr="006B4FB0" w:rsidRDefault="00417A6A" w:rsidP="009974C0">
            <w:pPr>
              <w:pStyle w:val="TableNBullet"/>
              <w:rPr>
                <w:color w:val="00264D" w:themeColor="background2"/>
                <w:sz w:val="19"/>
              </w:rPr>
            </w:pPr>
            <w:r w:rsidRPr="009974C0">
              <w:rPr>
                <w:color w:val="00264D" w:themeColor="background2"/>
                <w:sz w:val="19"/>
              </w:rPr>
              <w:t>Evidence on best practice approaches to joint funding and delivery is limited to large-scale agreements, but certain principles can apply to all agreements.</w:t>
            </w:r>
          </w:p>
          <w:p w14:paraId="51D5EE3A" w14:textId="2ECCCBDD" w:rsidR="00417A6A" w:rsidRPr="006B4FB0" w:rsidRDefault="00903577" w:rsidP="009974C0">
            <w:pPr>
              <w:pStyle w:val="TableNBullet"/>
              <w:rPr>
                <w:color w:val="00264D" w:themeColor="background2"/>
                <w:sz w:val="19"/>
              </w:rPr>
            </w:pPr>
            <w:r>
              <w:rPr>
                <w:color w:val="00264D" w:themeColor="background2"/>
                <w:sz w:val="19"/>
              </w:rPr>
              <w:t>E</w:t>
            </w:r>
            <w:r w:rsidR="006B4FB0" w:rsidRPr="006B4FB0">
              <w:rPr>
                <w:color w:val="00264D" w:themeColor="background2"/>
                <w:sz w:val="19"/>
              </w:rPr>
              <w:t>vidence suggests that funding models for palliative care should move toward activity-based, uncapped funding, and informed by performance metrics and reporting.</w:t>
            </w:r>
          </w:p>
        </w:tc>
      </w:tr>
      <w:bookmarkEnd w:id="70"/>
    </w:tbl>
    <w:p w14:paraId="50061C20" w14:textId="72967057" w:rsidR="00385625" w:rsidRDefault="00385625" w:rsidP="00385625"/>
    <w:p w14:paraId="7CD8C93E" w14:textId="77777777" w:rsidR="00981FF4" w:rsidRDefault="00981FF4">
      <w:pPr>
        <w:spacing w:after="160" w:line="259" w:lineRule="auto"/>
        <w:rPr>
          <w:rFonts w:eastAsia="Times New Roman" w:cs="Times New Roman"/>
          <w:b/>
          <w:color w:val="000000" w:themeColor="text1"/>
          <w:sz w:val="20"/>
          <w:szCs w:val="24"/>
          <w:lang w:eastAsia="en-AU"/>
        </w:rPr>
      </w:pPr>
      <w:r>
        <w:br w:type="page"/>
      </w:r>
    </w:p>
    <w:p w14:paraId="7FC46F65" w14:textId="6E3831BB" w:rsidR="002002F1" w:rsidRDefault="0023257C" w:rsidP="00351182">
      <w:pPr>
        <w:pStyle w:val="Heading5"/>
        <w:rPr>
          <w:lang w:val="en-US"/>
        </w:rPr>
      </w:pPr>
      <w:r>
        <w:lastRenderedPageBreak/>
        <w:t>The</w:t>
      </w:r>
      <w:r w:rsidR="00507C24">
        <w:t>re are multiple arrangements that can be used to support joint funding and deliver</w:t>
      </w:r>
      <w:r w:rsidR="00956B8E">
        <w:t>y</w:t>
      </w:r>
      <w:r w:rsidR="00507C24">
        <w:t xml:space="preserve"> of activities between Commonwealth and </w:t>
      </w:r>
      <w:r w:rsidR="00956B8E">
        <w:t>s</w:t>
      </w:r>
      <w:r w:rsidR="00507C24">
        <w:t>tate/territory governments</w:t>
      </w:r>
    </w:p>
    <w:p w14:paraId="4A098A7D" w14:textId="32628CA2" w:rsidR="007B5F9E" w:rsidRDefault="005D2A17" w:rsidP="00325AB1">
      <w:r>
        <w:t>Joint</w:t>
      </w:r>
      <w:r w:rsidR="002002F1">
        <w:t xml:space="preserve"> Commonwealth and </w:t>
      </w:r>
      <w:r w:rsidR="00CB0CF4">
        <w:t>s</w:t>
      </w:r>
      <w:r w:rsidR="002002F1">
        <w:t>tates</w:t>
      </w:r>
      <w:r w:rsidR="00070174">
        <w:t>/</w:t>
      </w:r>
      <w:r w:rsidR="00CB0CF4">
        <w:t>t</w:t>
      </w:r>
      <w:r w:rsidR="002002F1">
        <w:t>erritories</w:t>
      </w:r>
      <w:r w:rsidR="008C2330">
        <w:t xml:space="preserve"> </w:t>
      </w:r>
      <w:r>
        <w:t>arrangements</w:t>
      </w:r>
      <w:r w:rsidR="00AC296A">
        <w:t xml:space="preserve"> spa</w:t>
      </w:r>
      <w:r w:rsidR="00ED1E5F">
        <w:t>n</w:t>
      </w:r>
      <w:r w:rsidR="00AC296A">
        <w:t xml:space="preserve"> funding, delivery, and regulatory obligations</w:t>
      </w:r>
      <w:r w:rsidR="002002F1">
        <w:t xml:space="preserve"> in sectors</w:t>
      </w:r>
      <w:r w:rsidR="00C04629">
        <w:t xml:space="preserve"> such as health, education, and infrastructure</w:t>
      </w:r>
      <w:r w:rsidR="00210441">
        <w:t>.</w:t>
      </w:r>
      <w:r w:rsidR="002002F1">
        <w:t xml:space="preserve"> </w:t>
      </w:r>
      <w:r w:rsidR="002025F8">
        <w:t xml:space="preserve">All funding </w:t>
      </w:r>
      <w:r w:rsidR="00326A7F">
        <w:t>arrangements</w:t>
      </w:r>
      <w:r w:rsidR="002025F8">
        <w:t xml:space="preserve">, excluding Commonwealth own-purpose expenses, are governed </w:t>
      </w:r>
      <w:r w:rsidR="00326A7F">
        <w:t>by</w:t>
      </w:r>
      <w:r w:rsidR="002025F8">
        <w:t xml:space="preserve"> the </w:t>
      </w:r>
      <w:r w:rsidR="00326A7F">
        <w:t>Intergovernmental Agreement on Federal Financial Relations</w:t>
      </w:r>
      <w:r w:rsidR="002025F8">
        <w:t xml:space="preserve"> </w:t>
      </w:r>
      <w:r w:rsidR="00326A7F">
        <w:t>(IGA)</w:t>
      </w:r>
      <w:r w:rsidR="00D82AC5">
        <w:t xml:space="preserve"> (</w:t>
      </w:r>
      <w:r w:rsidR="00F6386A">
        <w:t>s</w:t>
      </w:r>
      <w:r w:rsidR="00D82AC5">
        <w:t xml:space="preserve">ee </w:t>
      </w:r>
      <w:r w:rsidR="00D82AC5">
        <w:fldChar w:fldCharType="begin"/>
      </w:r>
      <w:r w:rsidR="00D82AC5">
        <w:instrText xml:space="preserve"> REF _Ref51253141 \r \h </w:instrText>
      </w:r>
      <w:r w:rsidR="00D82AC5">
        <w:fldChar w:fldCharType="separate"/>
      </w:r>
      <w:r w:rsidR="000E59E1">
        <w:t>Appendix B</w:t>
      </w:r>
      <w:r w:rsidR="00D82AC5">
        <w:fldChar w:fldCharType="end"/>
      </w:r>
      <w:r w:rsidR="00326A7F">
        <w:t>).</w:t>
      </w:r>
      <w:r w:rsidR="00326A7F">
        <w:rPr>
          <w:rStyle w:val="FootnoteReference"/>
        </w:rPr>
        <w:footnoteReference w:id="115"/>
      </w:r>
      <w:r w:rsidR="001D2F7F">
        <w:t xml:space="preserve"> </w:t>
      </w:r>
    </w:p>
    <w:p w14:paraId="46C14179" w14:textId="647B91DD" w:rsidR="001258D8" w:rsidRDefault="001D2F7F" w:rsidP="00BF3A6C">
      <w:r>
        <w:t xml:space="preserve">The IGA aims to ensure fair and sustainable financial </w:t>
      </w:r>
      <w:r w:rsidR="0088076A">
        <w:t>arrangements</w:t>
      </w:r>
      <w:r>
        <w:t xml:space="preserve"> that recognise </w:t>
      </w:r>
      <w:r w:rsidR="001374F4">
        <w:t xml:space="preserve">the </w:t>
      </w:r>
      <w:r w:rsidR="00C65308">
        <w:t xml:space="preserve">primary role of the </w:t>
      </w:r>
      <w:r w:rsidR="00CB0CF4">
        <w:t>s</w:t>
      </w:r>
      <w:r w:rsidR="00C65308">
        <w:t xml:space="preserve">tates and </w:t>
      </w:r>
      <w:r w:rsidR="00CB0CF4">
        <w:t>t</w:t>
      </w:r>
      <w:r w:rsidR="00C65308">
        <w:t xml:space="preserve">erritories in delivering services in key sectors. </w:t>
      </w:r>
      <w:r w:rsidR="00AC590E">
        <w:t>T</w:t>
      </w:r>
      <w:r w:rsidR="002002F1">
        <w:t xml:space="preserve">he </w:t>
      </w:r>
      <w:r w:rsidR="00325AB1">
        <w:t>IGA has</w:t>
      </w:r>
      <w:r w:rsidR="001258D8" w:rsidRPr="001258D8">
        <w:t xml:space="preserve"> sought to foster collaborative working arrangements, with more clearly defined roles and responsibilities.</w:t>
      </w:r>
      <w:r w:rsidR="00572F8F">
        <w:rPr>
          <w:rStyle w:val="FootnoteReference"/>
        </w:rPr>
        <w:footnoteReference w:id="116"/>
      </w:r>
    </w:p>
    <w:p w14:paraId="302F1827" w14:textId="5640A10D" w:rsidR="00A30434" w:rsidRPr="00165CA1" w:rsidRDefault="00A30434" w:rsidP="00165CA1">
      <w:pPr>
        <w:pStyle w:val="Heading5"/>
      </w:pPr>
      <w:r w:rsidRPr="00165CA1">
        <w:t xml:space="preserve">The </w:t>
      </w:r>
      <w:r w:rsidR="006B4FB0">
        <w:rPr>
          <w:lang w:val="en-US"/>
        </w:rPr>
        <w:t>type</w:t>
      </w:r>
      <w:r w:rsidRPr="00165CA1">
        <w:t xml:space="preserve"> of funding arrangement </w:t>
      </w:r>
      <w:r w:rsidR="00737073" w:rsidRPr="00165CA1">
        <w:t>is a</w:t>
      </w:r>
      <w:r w:rsidRPr="00165CA1">
        <w:t xml:space="preserve"> key consideration in joint Commonwealth and state/territory projects</w:t>
      </w:r>
      <w:r w:rsidR="00525C02">
        <w:t xml:space="preserve">; this literature review </w:t>
      </w:r>
      <w:r w:rsidR="003250ED" w:rsidRPr="00165CA1">
        <w:t>focused on</w:t>
      </w:r>
      <w:r w:rsidR="00A03B43" w:rsidRPr="00165CA1">
        <w:t xml:space="preserve"> </w:t>
      </w:r>
      <w:r w:rsidR="00137084">
        <w:t>national partnership payments</w:t>
      </w:r>
      <w:r w:rsidR="00D327B3">
        <w:t xml:space="preserve"> (</w:t>
      </w:r>
      <w:r w:rsidR="004460A8">
        <w:t>NPPs</w:t>
      </w:r>
      <w:r w:rsidR="00D327B3">
        <w:t>)</w:t>
      </w:r>
      <w:r w:rsidR="00A03B43" w:rsidRPr="00165CA1">
        <w:t xml:space="preserve"> in health or other sectors</w:t>
      </w:r>
      <w:r w:rsidR="00525C02">
        <w:t xml:space="preserve"> as they are most relevant to Measure arrangements</w:t>
      </w:r>
      <w:r w:rsidR="00A03B43" w:rsidRPr="00165CA1">
        <w:t>.</w:t>
      </w:r>
    </w:p>
    <w:p w14:paraId="19BE6E81" w14:textId="3FE91AEC" w:rsidR="00A30434" w:rsidRDefault="00E11C89" w:rsidP="00A30434">
      <w:r>
        <w:t xml:space="preserve">Two forms of funding arrangements </w:t>
      </w:r>
      <w:r w:rsidR="005754D4">
        <w:t>governed by the IGA</w:t>
      </w:r>
      <w:r>
        <w:t xml:space="preserve"> are Commonwealth and state/territory level funding agreements such as </w:t>
      </w:r>
      <w:r w:rsidR="00AB3D18">
        <w:t>NPPs</w:t>
      </w:r>
      <w:r>
        <w:t xml:space="preserve"> (which are about the circumstances in which the Commonwealth makes money available to the states/territories), and specific p</w:t>
      </w:r>
      <w:r w:rsidRPr="00F6386A">
        <w:t>urpose payments (SPPs</w:t>
      </w:r>
      <w:r>
        <w:t>)</w:t>
      </w:r>
      <w:r w:rsidRPr="00F6386A">
        <w:t xml:space="preserve"> </w:t>
      </w:r>
      <w:r>
        <w:t xml:space="preserve">(which direct payments to particular services, typically with tied conditions) (see </w:t>
      </w:r>
      <w:r w:rsidR="00A30434">
        <w:fldChar w:fldCharType="begin"/>
      </w:r>
      <w:r w:rsidR="00A30434">
        <w:instrText xml:space="preserve"> REF _Ref51253141 \r \h </w:instrText>
      </w:r>
      <w:r w:rsidR="00A30434">
        <w:fldChar w:fldCharType="separate"/>
      </w:r>
      <w:r w:rsidR="000E59E1">
        <w:t>Appendix B</w:t>
      </w:r>
      <w:r w:rsidR="00A30434">
        <w:fldChar w:fldCharType="end"/>
      </w:r>
      <w:r w:rsidR="00A30434">
        <w:t xml:space="preserve"> for </w:t>
      </w:r>
      <w:r w:rsidR="00981FF4">
        <w:t>detail</w:t>
      </w:r>
      <w:r w:rsidR="00A30434">
        <w:t xml:space="preserve">). </w:t>
      </w:r>
    </w:p>
    <w:p w14:paraId="49C470BB" w14:textId="77777777" w:rsidR="00981FF4" w:rsidRDefault="00F53808" w:rsidP="004B455C">
      <w:r>
        <w:t>The health sector is increasingly consolidating SPPs under NPPs or National Agreements.</w:t>
      </w:r>
      <w:r>
        <w:rPr>
          <w:rStyle w:val="FootnoteReference"/>
        </w:rPr>
        <w:footnoteReference w:id="117"/>
      </w:r>
      <w:r>
        <w:t xml:space="preserve"> NPPs</w:t>
      </w:r>
      <w:r w:rsidR="00DC2BD6" w:rsidRPr="00BF3A6C">
        <w:t xml:space="preserve"> support the delivery of projects, facilitate reforms or reward </w:t>
      </w:r>
      <w:r w:rsidR="00CB0CF4">
        <w:t>s</w:t>
      </w:r>
      <w:r w:rsidR="006F121D">
        <w:t xml:space="preserve">tates and </w:t>
      </w:r>
      <w:r w:rsidR="00CB0CF4">
        <w:t>t</w:t>
      </w:r>
      <w:r w:rsidR="006F121D">
        <w:t>erritories</w:t>
      </w:r>
      <w:r w:rsidR="00DC2BD6" w:rsidRPr="00BF3A6C">
        <w:t xml:space="preserve"> that deliver on nationally significant reforms.</w:t>
      </w:r>
      <w:r w:rsidR="004F281B">
        <w:rPr>
          <w:rStyle w:val="FootnoteReference"/>
        </w:rPr>
        <w:footnoteReference w:id="118"/>
      </w:r>
      <w:r w:rsidR="0032470E">
        <w:t xml:space="preserve"> </w:t>
      </w:r>
    </w:p>
    <w:p w14:paraId="5EECAC98" w14:textId="26601974" w:rsidR="0002141D" w:rsidRPr="00BF3A6C" w:rsidRDefault="008E0EFE" w:rsidP="004B455C">
      <w:r>
        <w:t>The</w:t>
      </w:r>
      <w:r w:rsidR="0002141D">
        <w:t xml:space="preserve"> four </w:t>
      </w:r>
      <w:r w:rsidR="0002141D" w:rsidRPr="00BF3A6C">
        <w:t>types of NPPs are</w:t>
      </w:r>
      <w:r w:rsidR="00FD0028">
        <w:t xml:space="preserve"> shown in </w:t>
      </w:r>
      <w:r w:rsidR="00B23D85">
        <w:fldChar w:fldCharType="begin"/>
      </w:r>
      <w:r w:rsidR="00B23D85">
        <w:instrText xml:space="preserve"> REF _Ref51333044 \h </w:instrText>
      </w:r>
      <w:r w:rsidR="00B23D85">
        <w:fldChar w:fldCharType="separate"/>
      </w:r>
      <w:r w:rsidR="000E59E1">
        <w:t xml:space="preserve">Figure </w:t>
      </w:r>
      <w:r w:rsidR="000E59E1">
        <w:rPr>
          <w:noProof/>
        </w:rPr>
        <w:t>9</w:t>
      </w:r>
      <w:r w:rsidR="00B23D85">
        <w:fldChar w:fldCharType="end"/>
      </w:r>
      <w:r w:rsidR="00C87A5E">
        <w:t>.</w:t>
      </w:r>
      <w:r w:rsidR="0002141D" w:rsidRPr="00BF3A6C">
        <w:t xml:space="preserve"> </w:t>
      </w:r>
    </w:p>
    <w:p w14:paraId="70E695FE" w14:textId="7166EC0F" w:rsidR="00EE4730" w:rsidRDefault="00761740" w:rsidP="00761740">
      <w:pPr>
        <w:pStyle w:val="Caption"/>
      </w:pPr>
      <w:bookmarkStart w:id="71" w:name="_Ref51333044"/>
      <w:r>
        <w:lastRenderedPageBreak/>
        <w:t xml:space="preserve">Figure </w:t>
      </w:r>
      <w:r>
        <w:fldChar w:fldCharType="begin"/>
      </w:r>
      <w:r>
        <w:instrText xml:space="preserve"> SEQ Figure \* ARABIC </w:instrText>
      </w:r>
      <w:r>
        <w:fldChar w:fldCharType="separate"/>
      </w:r>
      <w:r w:rsidR="000E59E1">
        <w:rPr>
          <w:noProof/>
        </w:rPr>
        <w:t>9</w:t>
      </w:r>
      <w:r>
        <w:fldChar w:fldCharType="end"/>
      </w:r>
      <w:bookmarkEnd w:id="71"/>
      <w:r>
        <w:t xml:space="preserve"> | </w:t>
      </w:r>
      <w:r w:rsidR="00DA4A63">
        <w:t>Joint funding and delivery pathways</w:t>
      </w:r>
    </w:p>
    <w:p w14:paraId="6F4467C2" w14:textId="4A155FE4" w:rsidR="00EE4730" w:rsidRPr="00BF3A6C" w:rsidRDefault="694C26B1" w:rsidP="004B455C">
      <w:r>
        <w:rPr>
          <w:noProof/>
        </w:rPr>
        <w:drawing>
          <wp:inline distT="0" distB="0" distL="0" distR="0" wp14:anchorId="7AA9A4B7" wp14:editId="59E0BC2C">
            <wp:extent cx="5670002" cy="3313231"/>
            <wp:effectExtent l="0" t="0" r="6985" b="1905"/>
            <wp:docPr id="25" name="Picture 25" descr="Figure 9 sets out the joint funding and delivery pathways - the four types of National Partnership Payments&#10;&#10;The National Partnership Payment includes the National Agreement; National Partnership Agreement; Implementation plans or NPA Schedules; and Project Agre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igure 9 sets out the joint funding and delivery pathways - the four types of National Partnership Payments&#10;&#10;The National Partnership Payment includes the National Agreement; National Partnership Agreement; Implementation plans or NPA Schedules; and Project Agreements."/>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670002" cy="3313231"/>
                    </a:xfrm>
                    <a:prstGeom prst="rect">
                      <a:avLst/>
                    </a:prstGeom>
                  </pic:spPr>
                </pic:pic>
              </a:graphicData>
            </a:graphic>
          </wp:inline>
        </w:drawing>
      </w:r>
    </w:p>
    <w:p w14:paraId="107A0B68" w14:textId="6C53766F" w:rsidR="00A857B0" w:rsidRDefault="00FD43E9" w:rsidP="00351182">
      <w:pPr>
        <w:pStyle w:val="Heading5"/>
      </w:pPr>
      <w:r>
        <w:t xml:space="preserve">Evidence showed that </w:t>
      </w:r>
      <w:r w:rsidR="006D2C7C">
        <w:t>National Partnership Agreements and</w:t>
      </w:r>
      <w:r>
        <w:t xml:space="preserve"> </w:t>
      </w:r>
      <w:r w:rsidR="00AE1ABF">
        <w:t>Project Agreements are</w:t>
      </w:r>
      <w:r>
        <w:t xml:space="preserve"> commonly used for joint </w:t>
      </w:r>
      <w:r w:rsidR="004E7161">
        <w:t>C</w:t>
      </w:r>
      <w:r>
        <w:t>ommonwealth</w:t>
      </w:r>
      <w:r w:rsidR="004E7161">
        <w:t xml:space="preserve"> and </w:t>
      </w:r>
      <w:r>
        <w:t>state</w:t>
      </w:r>
      <w:r w:rsidR="004D1FC0">
        <w:t>/</w:t>
      </w:r>
      <w:r>
        <w:t>territory delivery of activities in the health sector</w:t>
      </w:r>
    </w:p>
    <w:p w14:paraId="10417511" w14:textId="64E7A786" w:rsidR="00016D9E" w:rsidRDefault="00016D9E" w:rsidP="003F1CF3">
      <w:r>
        <w:t>The literature indicates that there is very limited evidence on joint funding and delivery arrangements specific to palliative care in RACFs.</w:t>
      </w:r>
      <w:r>
        <w:rPr>
          <w:rStyle w:val="FootnoteReference"/>
        </w:rPr>
        <w:footnoteReference w:id="119"/>
      </w:r>
      <w:r>
        <w:t xml:space="preserve"> Therefore, this report focuses on what the evaluation can learn about joint funding and delivery in health and other sectors more broadly. </w:t>
      </w:r>
    </w:p>
    <w:p w14:paraId="10648F8C" w14:textId="316018E0" w:rsidR="00E51772" w:rsidRDefault="006C04FE" w:rsidP="003F1CF3">
      <w:r>
        <w:t>The less onerous reporting requirements that characterise</w:t>
      </w:r>
      <w:r w:rsidR="00B16F27">
        <w:t xml:space="preserve"> National Partnership Agreements (</w:t>
      </w:r>
      <w:r>
        <w:t>NPAs</w:t>
      </w:r>
      <w:r w:rsidR="00B16F27">
        <w:t xml:space="preserve">) </w:t>
      </w:r>
      <w:r>
        <w:t xml:space="preserve">and </w:t>
      </w:r>
      <w:r w:rsidR="00B16F27">
        <w:t>Project Agreements (</w:t>
      </w:r>
      <w:r>
        <w:t>PAs</w:t>
      </w:r>
      <w:r w:rsidR="00B16F27">
        <w:t>)</w:t>
      </w:r>
      <w:r>
        <w:t xml:space="preserve"> </w:t>
      </w:r>
      <w:r w:rsidR="002D0009">
        <w:t xml:space="preserve">have led to their </w:t>
      </w:r>
      <w:r w:rsidR="007F5152">
        <w:t xml:space="preserve">increasing </w:t>
      </w:r>
      <w:r w:rsidR="00EC19B3">
        <w:t xml:space="preserve">use in facilitating </w:t>
      </w:r>
      <w:r w:rsidR="00953223">
        <w:t>joint Commonwealth and state</w:t>
      </w:r>
      <w:r w:rsidR="004D1FC0">
        <w:t>/</w:t>
      </w:r>
      <w:r w:rsidR="00953223">
        <w:t xml:space="preserve">territory </w:t>
      </w:r>
      <w:r w:rsidR="00EC19B3">
        <w:t>projects</w:t>
      </w:r>
      <w:r>
        <w:t>.</w:t>
      </w:r>
      <w:r w:rsidR="0031221E">
        <w:rPr>
          <w:rStyle w:val="FootnoteReference"/>
        </w:rPr>
        <w:footnoteReference w:id="120"/>
      </w:r>
      <w:r>
        <w:t xml:space="preserve"> </w:t>
      </w:r>
      <w:r w:rsidR="00FE38DA">
        <w:t>PAs</w:t>
      </w:r>
      <w:r w:rsidR="00FE38DA" w:rsidRPr="00FE38DA">
        <w:t xml:space="preserve"> are a simpler form of NPAs, used largely for low value and/or low risk projects.</w:t>
      </w:r>
      <w:r w:rsidR="00FE38DA">
        <w:t xml:space="preserve"> </w:t>
      </w:r>
      <w:r w:rsidR="00A857B0" w:rsidRPr="00FE38DA">
        <w:t>A review</w:t>
      </w:r>
      <w:r w:rsidR="00A857B0">
        <w:t xml:space="preserve"> of structural barriers to Australian health policy reform </w:t>
      </w:r>
      <w:r w:rsidR="00EE6428">
        <w:t>reflected this finding</w:t>
      </w:r>
      <w:r w:rsidR="000464EF">
        <w:t xml:space="preserve"> in the health </w:t>
      </w:r>
      <w:r w:rsidR="002310F4">
        <w:t>sector</w:t>
      </w:r>
      <w:r w:rsidR="000E345B">
        <w:t xml:space="preserve"> specifically</w:t>
      </w:r>
      <w:r w:rsidR="00482051">
        <w:t>.</w:t>
      </w:r>
      <w:r w:rsidR="00B07DE8">
        <w:rPr>
          <w:rStyle w:val="FootnoteReference"/>
        </w:rPr>
        <w:footnoteReference w:id="121"/>
      </w:r>
      <w:r w:rsidR="00482051">
        <w:t xml:space="preserve"> This is </w:t>
      </w:r>
      <w:r w:rsidR="00EE6428">
        <w:t xml:space="preserve">further </w:t>
      </w:r>
      <w:r w:rsidR="00305E59">
        <w:t>evidenced by the fact that</w:t>
      </w:r>
      <w:r w:rsidR="007F65BB">
        <w:t xml:space="preserve"> </w:t>
      </w:r>
      <w:r w:rsidR="00135D0C">
        <w:t>NPAs and PAs in the health sector consist of 4</w:t>
      </w:r>
      <w:r w:rsidR="00144060">
        <w:t>3</w:t>
      </w:r>
      <w:r w:rsidR="00135D0C">
        <w:t xml:space="preserve"> per cent </w:t>
      </w:r>
      <w:r w:rsidR="00144060">
        <w:t xml:space="preserve">(44 </w:t>
      </w:r>
      <w:r w:rsidR="00135D0C">
        <w:t xml:space="preserve">of </w:t>
      </w:r>
      <w:r w:rsidR="00511BB2">
        <w:t>149)</w:t>
      </w:r>
      <w:r w:rsidR="00135D0C">
        <w:t xml:space="preserve"> </w:t>
      </w:r>
      <w:r w:rsidR="00511BB2">
        <w:t xml:space="preserve">of </w:t>
      </w:r>
      <w:r w:rsidR="00135D0C">
        <w:t xml:space="preserve">all ongoing </w:t>
      </w:r>
      <w:r w:rsidR="0067562B">
        <w:t>agreements</w:t>
      </w:r>
      <w:r w:rsidR="00135D0C">
        <w:t xml:space="preserve"> (</w:t>
      </w:r>
      <w:r w:rsidR="00511BB2">
        <w:t>s</w:t>
      </w:r>
      <w:r w:rsidR="00135D0C">
        <w:t xml:space="preserve">ee </w:t>
      </w:r>
      <w:r w:rsidR="00135D0C">
        <w:fldChar w:fldCharType="begin"/>
      </w:r>
      <w:r w:rsidR="00135D0C">
        <w:instrText xml:space="preserve"> REF _Ref51338100 \r \h </w:instrText>
      </w:r>
      <w:r w:rsidR="00135D0C">
        <w:fldChar w:fldCharType="separate"/>
      </w:r>
      <w:r w:rsidR="000E59E1">
        <w:t>Appendix C</w:t>
      </w:r>
      <w:r w:rsidR="00135D0C">
        <w:fldChar w:fldCharType="end"/>
      </w:r>
      <w:r w:rsidR="00135D0C">
        <w:t xml:space="preserve"> for details). </w:t>
      </w:r>
    </w:p>
    <w:p w14:paraId="7066968B" w14:textId="44D47097" w:rsidR="00FD132A" w:rsidRDefault="0024025E" w:rsidP="00BE199D">
      <w:r>
        <w:t>Evidence indicated that a</w:t>
      </w:r>
      <w:r w:rsidR="00186140">
        <w:t>llowing states and territories to exercise their judgement as to where funding is allocated</w:t>
      </w:r>
      <w:r w:rsidR="00EF263F">
        <w:t xml:space="preserve"> yields outcomes that address </w:t>
      </w:r>
      <w:r w:rsidR="006F5F0F">
        <w:t>jurisdictional specific issues.</w:t>
      </w:r>
      <w:r w:rsidR="006F5F0F">
        <w:rPr>
          <w:rStyle w:val="FootnoteReference"/>
        </w:rPr>
        <w:footnoteReference w:id="122"/>
      </w:r>
      <w:r w:rsidR="006F5F0F">
        <w:t xml:space="preserve"> Agreements under the IGA recognise the primary role states and territories play in delivering services in their jurisdictions. Unlike</w:t>
      </w:r>
      <w:r w:rsidR="008D5E9C">
        <w:t xml:space="preserve"> </w:t>
      </w:r>
      <w:r w:rsidR="0071618C">
        <w:t>tied</w:t>
      </w:r>
      <w:r w:rsidR="008D5E9C">
        <w:t xml:space="preserve"> or conditional payments</w:t>
      </w:r>
      <w:r w:rsidR="00BC479E">
        <w:t xml:space="preserve">, NPAs and PAs </w:t>
      </w:r>
      <w:r w:rsidR="0071618C">
        <w:t>typically</w:t>
      </w:r>
      <w:r w:rsidR="00BC479E">
        <w:t xml:space="preserve"> do not</w:t>
      </w:r>
      <w:r w:rsidR="008D5E9C">
        <w:t xml:space="preserve"> require </w:t>
      </w:r>
      <w:r w:rsidR="006F5F0F">
        <w:t xml:space="preserve">pre-set </w:t>
      </w:r>
      <w:r w:rsidR="008D5E9C">
        <w:t xml:space="preserve">outcomes </w:t>
      </w:r>
      <w:r w:rsidR="00BC479E">
        <w:t>or requirements be reached</w:t>
      </w:r>
      <w:r w:rsidR="0071618C">
        <w:t xml:space="preserve"> before funding is released.</w:t>
      </w:r>
      <w:r w:rsidR="00EE6428">
        <w:rPr>
          <w:rStyle w:val="FootnoteReference"/>
        </w:rPr>
        <w:footnoteReference w:id="123"/>
      </w:r>
      <w:r w:rsidR="00E24B88">
        <w:t xml:space="preserve"> </w:t>
      </w:r>
    </w:p>
    <w:p w14:paraId="16911715" w14:textId="58F37955" w:rsidR="006E1BB0" w:rsidRPr="00971604" w:rsidRDefault="00840321" w:rsidP="00351182">
      <w:pPr>
        <w:pStyle w:val="Heading5"/>
        <w:rPr>
          <w:b w:val="0"/>
        </w:rPr>
      </w:pPr>
      <w:r w:rsidRPr="00840321">
        <w:lastRenderedPageBreak/>
        <w:t xml:space="preserve">Other mechanisms include </w:t>
      </w:r>
      <w:r>
        <w:t>p</w:t>
      </w:r>
      <w:r w:rsidR="00F63D52" w:rsidRPr="00971604">
        <w:t>ool</w:t>
      </w:r>
      <w:r w:rsidR="00ED7AF0" w:rsidRPr="00971604">
        <w:t>ed</w:t>
      </w:r>
      <w:r w:rsidRPr="00840321">
        <w:t xml:space="preserve"> funding</w:t>
      </w:r>
      <w:r w:rsidR="00E206DC">
        <w:t xml:space="preserve"> and co-commissioning</w:t>
      </w:r>
      <w:r w:rsidRPr="00840321">
        <w:t xml:space="preserve">, for which there </w:t>
      </w:r>
      <w:r w:rsidR="009F0F09">
        <w:t>are</w:t>
      </w:r>
      <w:r w:rsidRPr="00840321">
        <w:t xml:space="preserve"> variable levels of evidenc</w:t>
      </w:r>
      <w:r>
        <w:t>e</w:t>
      </w:r>
    </w:p>
    <w:p w14:paraId="0EA7DA85" w14:textId="77777777" w:rsidR="00726707" w:rsidRDefault="00726707" w:rsidP="005F337E">
      <w:pPr>
        <w:rPr>
          <w:b/>
          <w:bCs/>
          <w:i/>
          <w:iCs/>
        </w:rPr>
      </w:pPr>
      <w:r>
        <w:rPr>
          <w:i/>
          <w:iCs/>
        </w:rPr>
        <w:t>Pooled funding</w:t>
      </w:r>
    </w:p>
    <w:p w14:paraId="64081AB1" w14:textId="03B2CCF3" w:rsidR="004C648B" w:rsidRDefault="00704D7D" w:rsidP="005F337E">
      <w:pPr>
        <w:rPr>
          <w:b/>
          <w:bCs/>
        </w:rPr>
      </w:pPr>
      <w:r w:rsidRPr="00704D7D">
        <w:t>Pool</w:t>
      </w:r>
      <w:r w:rsidR="00ED7AF0">
        <w:t>ed</w:t>
      </w:r>
      <w:r w:rsidRPr="00704D7D">
        <w:t xml:space="preserve"> funding </w:t>
      </w:r>
      <w:r w:rsidR="00235F7C">
        <w:t>between Commonwealth</w:t>
      </w:r>
      <w:r w:rsidR="00522053">
        <w:t xml:space="preserve"> P</w:t>
      </w:r>
      <w:r w:rsidR="00E95641">
        <w:t>rimary Health Networks (PHNs)</w:t>
      </w:r>
      <w:r w:rsidR="00235F7C">
        <w:t xml:space="preserve"> and </w:t>
      </w:r>
      <w:r w:rsidRPr="00704D7D">
        <w:t xml:space="preserve">state and territory </w:t>
      </w:r>
      <w:r w:rsidR="00E95641">
        <w:t>Local Hospital Networks (LHNs)</w:t>
      </w:r>
      <w:r w:rsidR="00E95641" w:rsidRPr="00704D7D">
        <w:t xml:space="preserve"> </w:t>
      </w:r>
      <w:r w:rsidRPr="00704D7D">
        <w:t>has the potential</w:t>
      </w:r>
      <w:r>
        <w:t xml:space="preserve"> </w:t>
      </w:r>
      <w:r w:rsidRPr="00704D7D">
        <w:t xml:space="preserve">to minimise </w:t>
      </w:r>
      <w:r w:rsidR="00393C41">
        <w:t>service gaps and progress equitable health coverage</w:t>
      </w:r>
      <w:r w:rsidRPr="00704D7D">
        <w:t>.</w:t>
      </w:r>
      <w:r>
        <w:rPr>
          <w:rStyle w:val="FootnoteReference"/>
        </w:rPr>
        <w:footnoteReference w:id="124"/>
      </w:r>
      <w:r w:rsidRPr="00704D7D">
        <w:t xml:space="preserve"> </w:t>
      </w:r>
      <w:r w:rsidR="00D1443A">
        <w:t>Pool</w:t>
      </w:r>
      <w:r w:rsidR="00ED7AF0">
        <w:t xml:space="preserve">ing </w:t>
      </w:r>
      <w:r w:rsidR="00D1443A">
        <w:t>funding from different</w:t>
      </w:r>
      <w:r w:rsidR="002516E1">
        <w:t xml:space="preserve"> health-related</w:t>
      </w:r>
      <w:r w:rsidR="00D1443A">
        <w:t xml:space="preserve"> agreements and establishing </w:t>
      </w:r>
      <w:r w:rsidR="00045D0D">
        <w:t xml:space="preserve">regional commissioning authorities could support major reforms to the health system. </w:t>
      </w:r>
      <w:r w:rsidR="004C648B" w:rsidRPr="004C648B">
        <w:t>E</w:t>
      </w:r>
      <w:r w:rsidR="004C648B">
        <w:t>vidence from the Productivity Commission</w:t>
      </w:r>
      <w:r w:rsidR="008D2EF0">
        <w:t>’</w:t>
      </w:r>
      <w:r w:rsidR="004C648B">
        <w:t xml:space="preserve">s report on mental health suggests that pooled funding could serve to </w:t>
      </w:r>
      <w:r w:rsidR="00F63D52">
        <w:t>improve care continuity and create incentives for more efficient and effective use of taxpayer money.</w:t>
      </w:r>
      <w:r w:rsidR="008D2EF0" w:rsidRPr="008D2EF0">
        <w:rPr>
          <w:rStyle w:val="FootnoteReference"/>
        </w:rPr>
        <w:t xml:space="preserve"> </w:t>
      </w:r>
      <w:r w:rsidR="008D2EF0">
        <w:rPr>
          <w:rStyle w:val="FootnoteReference"/>
        </w:rPr>
        <w:footnoteReference w:id="125"/>
      </w:r>
    </w:p>
    <w:p w14:paraId="508A3669" w14:textId="2584DB85" w:rsidR="00F63D52" w:rsidRDefault="00F63D52" w:rsidP="005F337E">
      <w:r>
        <w:t xml:space="preserve">However, </w:t>
      </w:r>
      <w:r w:rsidR="00EC7A64">
        <w:t xml:space="preserve">whilst evidenced </w:t>
      </w:r>
      <w:r w:rsidR="006775C3">
        <w:t>in theory</w:t>
      </w:r>
      <w:r w:rsidR="00EC7A64">
        <w:t xml:space="preserve">, it </w:t>
      </w:r>
      <w:r w:rsidR="008F00AD">
        <w:t>lacks a robust evidence-base</w:t>
      </w:r>
      <w:r w:rsidR="00EC7A64">
        <w:t xml:space="preserve"> in practice</w:t>
      </w:r>
      <w:r w:rsidR="006775C3">
        <w:t>.</w:t>
      </w:r>
      <w:r w:rsidR="002835A4">
        <w:t xml:space="preserve"> </w:t>
      </w:r>
      <w:r w:rsidR="00EC7A64">
        <w:t>M</w:t>
      </w:r>
      <w:r w:rsidR="002835A4" w:rsidRPr="002835A4">
        <w:t xml:space="preserve">any countries are exploring </w:t>
      </w:r>
      <w:r w:rsidR="00EC7A64">
        <w:t xml:space="preserve">pooled funding yet </w:t>
      </w:r>
      <w:r w:rsidR="002835A4" w:rsidRPr="002835A4">
        <w:t xml:space="preserve">there is little </w:t>
      </w:r>
      <w:r w:rsidR="00EF7DD3">
        <w:t>e</w:t>
      </w:r>
      <w:r w:rsidR="002835A4" w:rsidRPr="002835A4">
        <w:t xml:space="preserve">vidence of </w:t>
      </w:r>
      <w:r w:rsidR="00EF7DD3">
        <w:t>efficacy</w:t>
      </w:r>
      <w:r w:rsidR="002835A4" w:rsidRPr="002835A4">
        <w:t xml:space="preserve"> at scale.</w:t>
      </w:r>
      <w:r w:rsidR="002835A4">
        <w:rPr>
          <w:rStyle w:val="FootnoteReference"/>
        </w:rPr>
        <w:footnoteReference w:id="126"/>
      </w:r>
      <w:r w:rsidR="00A320B4">
        <w:t xml:space="preserve"> A</w:t>
      </w:r>
      <w:r w:rsidR="002835A4" w:rsidRPr="002835A4">
        <w:t>n international review of integrated funding for health and social care</w:t>
      </w:r>
      <w:r w:rsidR="002516E1">
        <w:t xml:space="preserve"> </w:t>
      </w:r>
      <w:r w:rsidR="002835A4" w:rsidRPr="002835A4">
        <w:t xml:space="preserve">explored </w:t>
      </w:r>
      <w:r w:rsidR="002516E1">
        <w:t>38</w:t>
      </w:r>
      <w:r w:rsidR="002835A4" w:rsidRPr="002835A4">
        <w:t xml:space="preserve"> schemes from eight countries </w:t>
      </w:r>
      <w:r w:rsidR="002516E1">
        <w:t xml:space="preserve">and </w:t>
      </w:r>
      <w:r w:rsidR="008F00AD">
        <w:t>w</w:t>
      </w:r>
      <w:r w:rsidR="00951494">
        <w:t>as</w:t>
      </w:r>
      <w:r w:rsidR="008F00AD">
        <w:t xml:space="preserve"> unable</w:t>
      </w:r>
      <w:r w:rsidR="002835A4" w:rsidRPr="002835A4">
        <w:t xml:space="preserve"> to isolate elements such as funds pooling from care delivery</w:t>
      </w:r>
      <w:r w:rsidR="002835A4">
        <w:t>.</w:t>
      </w:r>
      <w:r w:rsidR="002835A4">
        <w:rPr>
          <w:rStyle w:val="FootnoteReference"/>
        </w:rPr>
        <w:footnoteReference w:id="127"/>
      </w:r>
      <w:r w:rsidR="002835A4" w:rsidRPr="002835A4">
        <w:t xml:space="preserve"> </w:t>
      </w:r>
      <w:r w:rsidR="000B284E">
        <w:t>It is therefore yet to be established whether the implied additional level of bureaucracy may outweigh the benefits.</w:t>
      </w:r>
    </w:p>
    <w:p w14:paraId="3966E9A7" w14:textId="3F26DDF0" w:rsidR="00726707" w:rsidRPr="00726707" w:rsidRDefault="00726707" w:rsidP="00E72B33">
      <w:pPr>
        <w:rPr>
          <w:i/>
          <w:iCs/>
        </w:rPr>
      </w:pPr>
      <w:r w:rsidRPr="00726707">
        <w:rPr>
          <w:i/>
          <w:iCs/>
        </w:rPr>
        <w:t xml:space="preserve">Co-commissioning </w:t>
      </w:r>
    </w:p>
    <w:p w14:paraId="2BEEF7D3" w14:textId="36B28B86" w:rsidR="0072457E" w:rsidRDefault="00840321" w:rsidP="00E72B33">
      <w:r w:rsidRPr="00E206DC">
        <w:t>Co-commissioning</w:t>
      </w:r>
      <w:r w:rsidR="00910A37">
        <w:t xml:space="preserve"> </w:t>
      </w:r>
      <w:r w:rsidR="00AE74F4">
        <w:t>by LHNs</w:t>
      </w:r>
      <w:r w:rsidR="00910A37">
        <w:t xml:space="preserve"> and </w:t>
      </w:r>
      <w:r w:rsidR="00AE74F4">
        <w:t xml:space="preserve">PHNs </w:t>
      </w:r>
      <w:r w:rsidR="00910A37">
        <w:t xml:space="preserve"> has the potential to integrate health system services and reduce fragmentation or siloing of programs.</w:t>
      </w:r>
      <w:r w:rsidR="00910A37">
        <w:rPr>
          <w:rStyle w:val="FootnoteReference"/>
        </w:rPr>
        <w:footnoteReference w:id="128"/>
      </w:r>
      <w:r w:rsidR="00006BDC">
        <w:t xml:space="preserve"> </w:t>
      </w:r>
      <w:r w:rsidR="00C84170">
        <w:t>In response to the National Mental Health Commission, t</w:t>
      </w:r>
      <w:r w:rsidR="00006BDC">
        <w:t xml:space="preserve">he Commonwealth </w:t>
      </w:r>
      <w:r w:rsidR="00C84170">
        <w:t xml:space="preserve">committed to </w:t>
      </w:r>
      <w:r w:rsidR="00BB0B3B">
        <w:t>strengthening</w:t>
      </w:r>
      <w:r w:rsidR="00006BDC">
        <w:t xml:space="preserve"> the roles of PHNs to provide a regional approach to delivering services, </w:t>
      </w:r>
      <w:r w:rsidR="00C84170">
        <w:t>acknowledging</w:t>
      </w:r>
      <w:r w:rsidR="00006BDC">
        <w:t xml:space="preserve"> the</w:t>
      </w:r>
      <w:r w:rsidR="00E72B33">
        <w:t xml:space="preserve"> PHNs</w:t>
      </w:r>
      <w:r w:rsidR="00DB4A22">
        <w:t>’</w:t>
      </w:r>
      <w:r w:rsidR="00006BDC">
        <w:t xml:space="preserve"> community knowledge and improved commissioning abilities.</w:t>
      </w:r>
      <w:r w:rsidR="00E72B33">
        <w:t xml:space="preserve"> </w:t>
      </w:r>
      <w:r w:rsidR="007702B0">
        <w:t>As a result of increased regional commissioning, e</w:t>
      </w:r>
      <w:r w:rsidR="00E72B33">
        <w:t>vidence from th</w:t>
      </w:r>
      <w:r w:rsidR="007702B0">
        <w:t>e PHN advisory panel on mental health</w:t>
      </w:r>
      <w:r w:rsidR="00E72B33">
        <w:t xml:space="preserve"> suggests that</w:t>
      </w:r>
      <w:r w:rsidR="00AB2234">
        <w:t xml:space="preserve"> states/territories need to balance regional autonomy and national consistency.</w:t>
      </w:r>
      <w:r w:rsidR="00766020">
        <w:rPr>
          <w:rStyle w:val="FootnoteReference"/>
        </w:rPr>
        <w:footnoteReference w:id="129"/>
      </w:r>
      <w:r w:rsidR="00AB2234">
        <w:t xml:space="preserve"> </w:t>
      </w:r>
      <w:r w:rsidR="007702B0">
        <w:t>Where the evidence base is strong, PHNs are expected to adhere to established models of care</w:t>
      </w:r>
      <w:r w:rsidR="0072457E">
        <w:t>.</w:t>
      </w:r>
    </w:p>
    <w:p w14:paraId="74469462" w14:textId="77777777" w:rsidR="00592AE2" w:rsidRDefault="00592AE2" w:rsidP="00592AE2">
      <w:r>
        <w:t>The Productivity Commission identified two priorities in funding arrangements to support efficient and equitable service provision in their Mental Health Inquiry Report.</w:t>
      </w:r>
      <w:r>
        <w:rPr>
          <w:rStyle w:val="FootnoteReference"/>
        </w:rPr>
        <w:footnoteReference w:id="130"/>
      </w:r>
      <w:r>
        <w:t xml:space="preserve"> Firstly, they recommended strengthening cooperation between PHNs and </w:t>
      </w:r>
      <w:proofErr w:type="gramStart"/>
      <w:r>
        <w:t>LHNs</w:t>
      </w:r>
      <w:proofErr w:type="gramEnd"/>
      <w:r>
        <w:t xml:space="preserve"> so they are able to effectively meet consumer needs. Joint regional planning will clarify roles and responsibilities between PHNs and LHNs and enable governments to hold the LHN-PHN accountable for commissioning and service delivery. Minimum standards and annual reports are necessary to guide monitoring and accountability of PHN-LHN cooperation.</w:t>
      </w:r>
    </w:p>
    <w:p w14:paraId="52B76318" w14:textId="77777777" w:rsidR="00592AE2" w:rsidRDefault="00592AE2" w:rsidP="00592AE2">
      <w:r>
        <w:t xml:space="preserve">Secondly, the report noted that recommendations above will serve to increase cooperation between PHNs and LHNs and provide a foundation on which to transition to regional commissioning authorities (RCAs).  The Productivity Commission recommended state/territory governments to transition to RCAs to administer mental health funding, as an alternative to PHN-LHN pooling. The Productivity Commission noted that RCAs should be separate from LHNs to prevent conflicts of interest. The governing state or territory government can hold the RCA accountable but provide enough independence </w:t>
      </w:r>
      <w:proofErr w:type="gramStart"/>
      <w:r>
        <w:t>so as to</w:t>
      </w:r>
      <w:proofErr w:type="gramEnd"/>
      <w:r>
        <w:t xml:space="preserve"> reduce influence over decision-making—noting the additional burden of monitoring, reporting, and compliance that this arrangement may bring. </w:t>
      </w:r>
    </w:p>
    <w:p w14:paraId="753163EF" w14:textId="7CADE98B" w:rsidR="00840321" w:rsidRPr="002835A4" w:rsidRDefault="007702B0" w:rsidP="00E72B33">
      <w:r>
        <w:lastRenderedPageBreak/>
        <w:t xml:space="preserve">Where the evidence base is growing, PHNs </w:t>
      </w:r>
      <w:proofErr w:type="gramStart"/>
      <w:r>
        <w:t>have the opportunity to</w:t>
      </w:r>
      <w:proofErr w:type="gramEnd"/>
      <w:r>
        <w:t xml:space="preserve"> add to the evidence base through innovative approaches.</w:t>
      </w:r>
      <w:r w:rsidR="0039564B">
        <w:t xml:space="preserve"> </w:t>
      </w:r>
      <w:r w:rsidR="00AB2234">
        <w:t>I</w:t>
      </w:r>
      <w:r w:rsidR="00E72B33">
        <w:t xml:space="preserve">rrespective of commissioning methodology, </w:t>
      </w:r>
      <w:r w:rsidR="006C5621">
        <w:t xml:space="preserve">PHNs must ensure </w:t>
      </w:r>
      <w:r w:rsidR="00E72B33">
        <w:t xml:space="preserve">transparent, </w:t>
      </w:r>
      <w:proofErr w:type="gramStart"/>
      <w:r w:rsidR="00E72B33">
        <w:t>accountable</w:t>
      </w:r>
      <w:proofErr w:type="gramEnd"/>
      <w:r w:rsidR="00E72B33">
        <w:t xml:space="preserve"> and robust commissioning processes.</w:t>
      </w:r>
      <w:r w:rsidR="00E72B33">
        <w:rPr>
          <w:rStyle w:val="FootnoteReference"/>
        </w:rPr>
        <w:footnoteReference w:id="131"/>
      </w:r>
      <w:r w:rsidR="00E72B33">
        <w:t xml:space="preserve"> Monitoring and evaluation of commissioned services, co-designed with </w:t>
      </w:r>
      <w:r w:rsidR="00F51A88">
        <w:t>resident</w:t>
      </w:r>
      <w:r w:rsidR="00E72B33">
        <w:t>s, families, and carers, are supported in the evidence.</w:t>
      </w:r>
      <w:r w:rsidR="00195FAD">
        <w:rPr>
          <w:rStyle w:val="FootnoteReference"/>
        </w:rPr>
        <w:footnoteReference w:id="132"/>
      </w:r>
    </w:p>
    <w:p w14:paraId="727FEF52" w14:textId="37BE8293" w:rsidR="00390EFD" w:rsidRDefault="00BD2BA4" w:rsidP="00351182">
      <w:pPr>
        <w:pStyle w:val="Heading5"/>
      </w:pPr>
      <w:r>
        <w:t>E</w:t>
      </w:r>
      <w:r w:rsidR="00D76AA8">
        <w:t xml:space="preserve">vidence </w:t>
      </w:r>
      <w:r w:rsidR="000478CB">
        <w:t xml:space="preserve">on best practice approaches </w:t>
      </w:r>
      <w:r w:rsidR="00942EE1">
        <w:t xml:space="preserve">to joint funding and delivery </w:t>
      </w:r>
      <w:r w:rsidR="00AF0C37">
        <w:t>is limited to large-scale agreements</w:t>
      </w:r>
      <w:r w:rsidR="00A32786">
        <w:t xml:space="preserve">, but </w:t>
      </w:r>
      <w:r w:rsidR="00942EE1">
        <w:t>certain</w:t>
      </w:r>
      <w:r w:rsidR="00A32786">
        <w:t xml:space="preserve"> principles can apply to all agreements</w:t>
      </w:r>
    </w:p>
    <w:p w14:paraId="08CE6D35" w14:textId="4D4A1B55" w:rsidR="00E1616C" w:rsidRDefault="00FC5AF0" w:rsidP="008566F0">
      <w:r w:rsidRPr="00AB5080">
        <w:rPr>
          <w:rStyle w:val="Heading4Char"/>
          <w:rFonts w:ascii="Segoe UI" w:eastAsiaTheme="minorHAnsi" w:hAnsi="Segoe UI" w:cs="Segoe UI"/>
          <w:color w:val="auto"/>
        </w:rPr>
        <w:t xml:space="preserve">There is limited </w:t>
      </w:r>
      <w:r>
        <w:t xml:space="preserve">evidence to suggest which approach is best for specific circumstances. </w:t>
      </w:r>
      <w:r w:rsidR="00825F83">
        <w:t xml:space="preserve">Recent Productivity Commission reports on the National Disability Agreement </w:t>
      </w:r>
      <w:r w:rsidR="00213E19">
        <w:t>(NDA</w:t>
      </w:r>
      <w:r w:rsidR="00205462">
        <w:t>) and the</w:t>
      </w:r>
      <w:r w:rsidR="00825F83">
        <w:t xml:space="preserve"> Skills and Wor</w:t>
      </w:r>
      <w:r w:rsidR="00AA069B">
        <w:t>k</w:t>
      </w:r>
      <w:r w:rsidR="00825F83">
        <w:t xml:space="preserve">force Development Agreements </w:t>
      </w:r>
      <w:r w:rsidR="00213E19">
        <w:t xml:space="preserve">(NASWD) </w:t>
      </w:r>
      <w:r w:rsidR="00825F83">
        <w:t xml:space="preserve">provide insights on </w:t>
      </w:r>
      <w:r w:rsidR="001D1123">
        <w:t>what has worked well and what has not.</w:t>
      </w:r>
      <w:r w:rsidR="00AA069B">
        <w:rPr>
          <w:rStyle w:val="FootnoteReference"/>
        </w:rPr>
        <w:footnoteReference w:id="133"/>
      </w:r>
      <w:r w:rsidR="001D1123">
        <w:t xml:space="preserve"> </w:t>
      </w:r>
      <w:r w:rsidR="001F6B2E">
        <w:t>While the</w:t>
      </w:r>
      <w:r w:rsidR="00574FDC">
        <w:t xml:space="preserve"> evidence base is limited to reporting on fairly large-scale agreements and/or reforms, </w:t>
      </w:r>
      <w:r w:rsidR="001F6B2E">
        <w:t>certain</w:t>
      </w:r>
      <w:r w:rsidR="00574FDC">
        <w:t xml:space="preserve"> principles of funding and delivery</w:t>
      </w:r>
      <w:r w:rsidR="001F6B2E">
        <w:t xml:space="preserve"> can</w:t>
      </w:r>
      <w:r w:rsidR="00574FDC">
        <w:t xml:space="preserve"> still apply.</w:t>
      </w:r>
    </w:p>
    <w:p w14:paraId="236DB90D" w14:textId="40C063E5" w:rsidR="00E1616C" w:rsidRDefault="00E1616C" w:rsidP="008566F0">
      <w:r>
        <w:t xml:space="preserve">These agreements are both </w:t>
      </w:r>
      <w:r w:rsidR="00C95B18">
        <w:t>National Agreement</w:t>
      </w:r>
      <w:r w:rsidR="00213E19">
        <w:t xml:space="preserve">s. </w:t>
      </w:r>
      <w:r w:rsidR="00377CD9">
        <w:t>Both agreements provide baseline</w:t>
      </w:r>
      <w:r w:rsidR="00C90F69">
        <w:t xml:space="preserve"> roles and responsibility and data collection principles. </w:t>
      </w:r>
      <w:r w:rsidR="00686718">
        <w:t>Lessons from the</w:t>
      </w:r>
      <w:r w:rsidR="00213E19">
        <w:t xml:space="preserve"> NDA </w:t>
      </w:r>
      <w:r w:rsidR="00377CD9">
        <w:t>are</w:t>
      </w:r>
      <w:r w:rsidR="00213E19">
        <w:t xml:space="preserve"> </w:t>
      </w:r>
      <w:r w:rsidR="00686718">
        <w:t>particularly applicable</w:t>
      </w:r>
      <w:r w:rsidR="0079651C">
        <w:t>,</w:t>
      </w:r>
      <w:r w:rsidR="00686718">
        <w:t xml:space="preserve"> given that this agreement is </w:t>
      </w:r>
      <w:r w:rsidR="00213E19">
        <w:t>occurring in a sector with significant reform</w:t>
      </w:r>
      <w:r w:rsidR="0091561D">
        <w:t xml:space="preserve"> and complex interface issues.</w:t>
      </w:r>
      <w:r w:rsidR="005D2D43">
        <w:t xml:space="preserve"> </w:t>
      </w:r>
    </w:p>
    <w:p w14:paraId="12E660C1" w14:textId="1FAC3F94" w:rsidR="00FC5AF0" w:rsidRPr="00FC5AF0" w:rsidRDefault="0039226B" w:rsidP="008566F0">
      <w:pPr>
        <w:rPr>
          <w:rStyle w:val="Heading4Char"/>
          <w:rFonts w:ascii="Arial" w:eastAsiaTheme="minorHAnsi" w:hAnsi="Arial" w:cstheme="minorBidi"/>
          <w:color w:val="auto"/>
          <w:szCs w:val="20"/>
          <w:lang w:eastAsia="en-US"/>
        </w:rPr>
      </w:pPr>
      <w:r>
        <w:t>Available evidence demonstrated that there are some commonalities in good practice funding and deliver</w:t>
      </w:r>
      <w:r w:rsidR="00504DEC">
        <w:t>y</w:t>
      </w:r>
      <w:r>
        <w:t xml:space="preserve"> arrangements, which include</w:t>
      </w:r>
      <w:r w:rsidR="00287ACB">
        <w:t>d</w:t>
      </w:r>
      <w:r w:rsidR="00C86F3A">
        <w:t xml:space="preserve">: </w:t>
      </w:r>
    </w:p>
    <w:p w14:paraId="16A42180" w14:textId="24A0DE27" w:rsidR="009753C9" w:rsidRPr="00B425D3" w:rsidRDefault="00856E35" w:rsidP="00C86F3A">
      <w:pPr>
        <w:pStyle w:val="Bullet"/>
      </w:pPr>
      <w:r w:rsidRPr="00840321">
        <w:rPr>
          <w:rStyle w:val="Heading4Char"/>
          <w:rFonts w:ascii="Segoe UI Semilight" w:eastAsiaTheme="minorHAnsi" w:hAnsi="Segoe UI Semilight" w:cs="Segoe UI Semilight"/>
        </w:rPr>
        <w:t>Agreeme</w:t>
      </w:r>
      <w:r w:rsidR="00B4110B" w:rsidRPr="00840321">
        <w:rPr>
          <w:rStyle w:val="Heading4Char"/>
          <w:rFonts w:ascii="Segoe UI Semilight" w:eastAsiaTheme="minorHAnsi" w:hAnsi="Segoe UI Semilight" w:cs="Segoe UI Semilight"/>
        </w:rPr>
        <w:t xml:space="preserve">nts should set out aspirational objectives for the project. </w:t>
      </w:r>
      <w:r w:rsidR="00272700" w:rsidRPr="00B4110B">
        <w:t>Evidence suggests that a</w:t>
      </w:r>
      <w:r w:rsidR="00AD20D5" w:rsidRPr="00B4110B">
        <w:t xml:space="preserve">greements should </w:t>
      </w:r>
      <w:r w:rsidR="00DE469D">
        <w:t>articulate</w:t>
      </w:r>
      <w:r w:rsidR="00AD20D5" w:rsidRPr="00B4110B">
        <w:t xml:space="preserve"> </w:t>
      </w:r>
      <w:r w:rsidR="00A531D2" w:rsidRPr="00755487">
        <w:t>aspirational</w:t>
      </w:r>
      <w:r w:rsidR="00251963">
        <w:t xml:space="preserve"> </w:t>
      </w:r>
      <w:r w:rsidR="00AD71A1" w:rsidRPr="00755487">
        <w:t xml:space="preserve">objectives for the </w:t>
      </w:r>
      <w:r w:rsidR="0009624E" w:rsidRPr="00755487">
        <w:t xml:space="preserve">project, particularly if </w:t>
      </w:r>
      <w:r w:rsidR="00FD60E9" w:rsidRPr="00FC5AF0">
        <w:t>the agreement is made</w:t>
      </w:r>
      <w:r w:rsidR="0009624E" w:rsidRPr="00FC5AF0">
        <w:t xml:space="preserve"> in the context of significant reforms to the sector</w:t>
      </w:r>
      <w:r w:rsidR="0009624E" w:rsidRPr="00B4110B">
        <w:t>.</w:t>
      </w:r>
      <w:r w:rsidR="00B4110B">
        <w:t xml:space="preserve"> </w:t>
      </w:r>
      <w:r w:rsidR="00B02F94">
        <w:t>Outlining long-term objectives will guide project activities to address service and systemic gaps</w:t>
      </w:r>
      <w:r w:rsidR="00E44436">
        <w:t xml:space="preserve">, in turn affecting </w:t>
      </w:r>
      <w:r w:rsidR="00AB5F11">
        <w:t>policymaking</w:t>
      </w:r>
      <w:r w:rsidR="00B02F94">
        <w:t xml:space="preserve">. </w:t>
      </w:r>
    </w:p>
    <w:p w14:paraId="2715BBCA" w14:textId="1DCAEA98" w:rsidR="004F13B1" w:rsidRDefault="00856E35" w:rsidP="00C86F3A">
      <w:pPr>
        <w:pStyle w:val="Bullet"/>
      </w:pPr>
      <w:r w:rsidRPr="00840321">
        <w:rPr>
          <w:rStyle w:val="Heading4Char"/>
          <w:rFonts w:ascii="Segoe UI Semilight" w:eastAsiaTheme="minorHAnsi" w:hAnsi="Segoe UI Semilight" w:cs="Segoe UI Semilight"/>
        </w:rPr>
        <w:t xml:space="preserve">Agreements should clarify roles and responsibilities. </w:t>
      </w:r>
      <w:r w:rsidRPr="00856E35">
        <w:t>For</w:t>
      </w:r>
      <w:r w:rsidR="004F13B1" w:rsidRPr="00856E35">
        <w:t xml:space="preserve"> cooperation to be effective</w:t>
      </w:r>
      <w:r w:rsidR="00796D5F">
        <w:t>,</w:t>
      </w:r>
      <w:r w:rsidR="004F13B1" w:rsidRPr="00856E35">
        <w:t xml:space="preserve"> there needs to be a recognition of ‘who is responsible for what’ to ensure the necessary structural and regulatory changes can occur.</w:t>
      </w:r>
      <w:r w:rsidR="004F13B1" w:rsidRPr="00FF04DD">
        <w:rPr>
          <w:vertAlign w:val="superscript"/>
        </w:rPr>
        <w:footnoteReference w:id="134"/>
      </w:r>
      <w:r w:rsidR="004F13B1" w:rsidRPr="00FF04DD">
        <w:rPr>
          <w:vertAlign w:val="superscript"/>
        </w:rPr>
        <w:t xml:space="preserve"> </w:t>
      </w:r>
      <w:r w:rsidR="005C7FF3">
        <w:t>Clear roles and responsibilities</w:t>
      </w:r>
      <w:r w:rsidR="00F26AB8">
        <w:t xml:space="preserve"> in progressing project objectives will enable </w:t>
      </w:r>
      <w:r w:rsidR="004D1FC0">
        <w:t>the C</w:t>
      </w:r>
      <w:r w:rsidR="004F13B1">
        <w:t>ommonwealth and states</w:t>
      </w:r>
      <w:r w:rsidR="00F26AB8">
        <w:t>/</w:t>
      </w:r>
      <w:r w:rsidR="004F13B1">
        <w:t>territories to address that which is within their control.</w:t>
      </w:r>
    </w:p>
    <w:p w14:paraId="07D1FD11" w14:textId="0A1A3FB4" w:rsidR="004F13B1" w:rsidRDefault="00856E35" w:rsidP="00C86F3A">
      <w:pPr>
        <w:pStyle w:val="Bullet"/>
      </w:pPr>
      <w:r w:rsidRPr="00840321">
        <w:rPr>
          <w:rStyle w:val="Heading4Char"/>
          <w:rFonts w:ascii="Segoe UI Semilight" w:eastAsiaTheme="minorHAnsi" w:hAnsi="Segoe UI Semilight" w:cs="Segoe UI Semilight"/>
        </w:rPr>
        <w:t>Agreements should</w:t>
      </w:r>
      <w:r w:rsidR="004F13B1" w:rsidRPr="00840321">
        <w:rPr>
          <w:rStyle w:val="Heading4Char"/>
          <w:rFonts w:ascii="Segoe UI Semilight" w:eastAsiaTheme="minorHAnsi" w:hAnsi="Segoe UI Semilight" w:cs="Segoe UI Semilight"/>
        </w:rPr>
        <w:t xml:space="preserve"> acknowledge and address interface issues.</w:t>
      </w:r>
      <w:r w:rsidR="004F13B1" w:rsidRPr="00840321">
        <w:rPr>
          <w:rFonts w:ascii="Segoe UI Semilight" w:hAnsi="Segoe UI Semilight" w:cs="Segoe UI Semilight"/>
        </w:rPr>
        <w:t xml:space="preserve"> </w:t>
      </w:r>
      <w:r w:rsidR="004F13B1">
        <w:t>If the agreement is operating in a sector with interface issues, such as mental health and acute care,</w:t>
      </w:r>
      <w:r w:rsidR="00012C0E">
        <w:rPr>
          <w:rStyle w:val="FootnoteReference"/>
        </w:rPr>
        <w:footnoteReference w:id="135"/>
      </w:r>
      <w:r w:rsidR="004F13B1">
        <w:t xml:space="preserve"> the agreement should seek</w:t>
      </w:r>
      <w:r w:rsidR="004D1FC0">
        <w:t xml:space="preserve"> to</w:t>
      </w:r>
      <w:r w:rsidR="004F13B1">
        <w:t xml:space="preserve"> improve and integrate services to ensure a better response to meet the needs of people. </w:t>
      </w:r>
      <w:r w:rsidR="006228D9">
        <w:t xml:space="preserve">This includes amending interface issues for </w:t>
      </w:r>
      <w:r w:rsidR="008F3275">
        <w:t>residents</w:t>
      </w:r>
      <w:r w:rsidR="006228D9">
        <w:t xml:space="preserve"> and the workforce. </w:t>
      </w:r>
      <w:r w:rsidR="00E90A1B">
        <w:t>A clearer division of responsibilities between the Commonwealth and states/territories will reduce interface problems.</w:t>
      </w:r>
      <w:r w:rsidR="006228D9">
        <w:t xml:space="preserve"> </w:t>
      </w:r>
    </w:p>
    <w:p w14:paraId="0AA6088A" w14:textId="64AC4BE6" w:rsidR="004B5218" w:rsidRPr="00DD52F8" w:rsidRDefault="004B5218" w:rsidP="00C86F3A">
      <w:pPr>
        <w:pStyle w:val="Bullet"/>
      </w:pPr>
      <w:r w:rsidRPr="00840321">
        <w:rPr>
          <w:rStyle w:val="Heading4Char"/>
          <w:rFonts w:ascii="Segoe UI Semilight" w:eastAsiaTheme="minorHAnsi" w:hAnsi="Segoe UI Semilight" w:cs="Segoe UI Semilight"/>
        </w:rPr>
        <w:t xml:space="preserve">Agreements </w:t>
      </w:r>
      <w:r w:rsidR="00AA4BEC" w:rsidRPr="00840321">
        <w:rPr>
          <w:rStyle w:val="Heading4Char"/>
          <w:rFonts w:ascii="Segoe UI Semilight" w:eastAsiaTheme="minorHAnsi" w:hAnsi="Segoe UI Semilight" w:cs="Segoe UI Semilight"/>
        </w:rPr>
        <w:t xml:space="preserve">should </w:t>
      </w:r>
      <w:r w:rsidR="00CE717C" w:rsidRPr="00840321">
        <w:rPr>
          <w:rStyle w:val="Heading4Char"/>
          <w:rFonts w:ascii="Segoe UI Semilight" w:eastAsiaTheme="minorHAnsi" w:hAnsi="Segoe UI Semilight" w:cs="Segoe UI Semilight"/>
        </w:rPr>
        <w:t>articulate the importance of</w:t>
      </w:r>
      <w:r w:rsidR="00AA4BEC" w:rsidRPr="00840321">
        <w:rPr>
          <w:rStyle w:val="Heading4Char"/>
          <w:rFonts w:ascii="Segoe UI Semilight" w:eastAsiaTheme="minorHAnsi" w:hAnsi="Segoe UI Semilight" w:cs="Segoe UI Semilight"/>
        </w:rPr>
        <w:t xml:space="preserve"> </w:t>
      </w:r>
      <w:r w:rsidR="00BC39D1" w:rsidRPr="00840321">
        <w:rPr>
          <w:rStyle w:val="Heading4Char"/>
          <w:rFonts w:ascii="Segoe UI Semilight" w:eastAsiaTheme="minorHAnsi" w:hAnsi="Segoe UI Semilight" w:cs="Segoe UI Semilight"/>
        </w:rPr>
        <w:t xml:space="preserve">data to inform </w:t>
      </w:r>
      <w:r w:rsidR="00CE717C" w:rsidRPr="00840321">
        <w:rPr>
          <w:rStyle w:val="Heading4Char"/>
          <w:rFonts w:ascii="Segoe UI Semilight" w:eastAsiaTheme="minorHAnsi" w:hAnsi="Segoe UI Semilight" w:cs="Segoe UI Semilight"/>
        </w:rPr>
        <w:t>performance and accountability.</w:t>
      </w:r>
      <w:r w:rsidR="00CE717C" w:rsidRPr="00840321">
        <w:rPr>
          <w:rFonts w:ascii="Segoe UI Semilight" w:hAnsi="Segoe UI Semilight" w:cs="Segoe UI Semilight"/>
        </w:rPr>
        <w:t xml:space="preserve"> </w:t>
      </w:r>
      <w:r w:rsidR="005B4C73">
        <w:t xml:space="preserve">An absence of adequate data </w:t>
      </w:r>
      <w:r w:rsidR="00BE221B">
        <w:t>weakens</w:t>
      </w:r>
      <w:r w:rsidR="005B4C73">
        <w:t xml:space="preserve"> the basis for performance reporting and can adversely affect policy making.</w:t>
      </w:r>
      <w:r w:rsidR="002B3AA8">
        <w:t xml:space="preserve"> While agreements should aim to specify what data need to be captured, </w:t>
      </w:r>
      <w:r w:rsidR="00467D58">
        <w:t>there is significant variability in the ability to capture high-quality data across</w:t>
      </w:r>
      <w:r w:rsidR="002B3AA8">
        <w:t xml:space="preserve"> sectors, organisations, and facilities</w:t>
      </w:r>
      <w:r w:rsidR="00467D58">
        <w:t>.</w:t>
      </w:r>
    </w:p>
    <w:p w14:paraId="2085C3EF" w14:textId="77777777" w:rsidR="00385625" w:rsidRPr="00BD4B22" w:rsidRDefault="00856E35" w:rsidP="00F91B2E">
      <w:pPr>
        <w:pStyle w:val="Bullet"/>
        <w:spacing w:after="160"/>
      </w:pPr>
      <w:r w:rsidRPr="00840321">
        <w:rPr>
          <w:rStyle w:val="Heading4Char"/>
          <w:rFonts w:ascii="Segoe UI Semilight" w:eastAsiaTheme="minorHAnsi" w:hAnsi="Segoe UI Semilight" w:cs="Segoe UI Semilight"/>
        </w:rPr>
        <w:t>A</w:t>
      </w:r>
      <w:r w:rsidR="004F13B1" w:rsidRPr="00840321">
        <w:rPr>
          <w:rStyle w:val="Heading4Char"/>
          <w:rFonts w:ascii="Segoe UI Semilight" w:eastAsiaTheme="minorHAnsi" w:hAnsi="Segoe UI Semilight" w:cs="Segoe UI Semilight"/>
        </w:rPr>
        <w:t>greements should be viewed as living documents.</w:t>
      </w:r>
      <w:r w:rsidR="004F13B1" w:rsidRPr="00840321">
        <w:rPr>
          <w:rFonts w:ascii="Segoe UI Semilight" w:hAnsi="Segoe UI Semilight" w:cs="Segoe UI Semilight"/>
        </w:rPr>
        <w:t xml:space="preserve"> </w:t>
      </w:r>
      <w:r w:rsidR="004F13B1">
        <w:t xml:space="preserve">Ensuring that agreements are independently reviewed at appropriate intervals (e.g. 5 years), updating clarified roles and responsibilities and performance targets, will allow states and territories to reach their overarching policy goals. </w:t>
      </w:r>
    </w:p>
    <w:p w14:paraId="27A6F5B0" w14:textId="7F11F90F" w:rsidR="00821551" w:rsidRPr="00AB5080" w:rsidRDefault="00821551" w:rsidP="00821551">
      <w:pPr>
        <w:pStyle w:val="Bullet"/>
      </w:pPr>
      <w:bookmarkStart w:id="72" w:name="_Toc51571048"/>
      <w:bookmarkStart w:id="73" w:name="_Ref51761168"/>
      <w:r>
        <w:rPr>
          <w:rFonts w:ascii="Segoe UI Semilight" w:hAnsi="Segoe UI Semilight" w:cs="Segoe UI Semilight"/>
          <w:color w:val="00264D" w:themeColor="background2"/>
        </w:rPr>
        <w:lastRenderedPageBreak/>
        <w:t xml:space="preserve">Agreements should align intent of the agreement with </w:t>
      </w:r>
      <w:r w:rsidRPr="00821551">
        <w:rPr>
          <w:rFonts w:ascii="Segoe UI Semilight" w:hAnsi="Segoe UI Semilight" w:cs="Segoe UI Semilight"/>
          <w:color w:val="00264D" w:themeColor="background2"/>
        </w:rPr>
        <w:t>funding and delivery arrangements</w:t>
      </w:r>
      <w:r w:rsidRPr="00A3679D">
        <w:rPr>
          <w:rFonts w:cs="Segoe UI"/>
          <w:color w:val="000000" w:themeColor="text1"/>
        </w:rPr>
        <w:t xml:space="preserve">. </w:t>
      </w:r>
      <w:r w:rsidR="00A3679D" w:rsidRPr="00A3679D">
        <w:rPr>
          <w:rFonts w:cs="Segoe UI"/>
          <w:color w:val="000000" w:themeColor="text1"/>
        </w:rPr>
        <w:t>If agreements are seeking large-scale reform in certain sectors</w:t>
      </w:r>
      <w:r w:rsidR="00F26969">
        <w:rPr>
          <w:rFonts w:cs="Segoe UI"/>
          <w:color w:val="000000" w:themeColor="text1"/>
        </w:rPr>
        <w:t xml:space="preserve"> with difficult to achieve outcomes, then </w:t>
      </w:r>
      <w:r w:rsidR="00A3679D" w:rsidRPr="00A3679D">
        <w:rPr>
          <w:rFonts w:cs="Segoe UI"/>
          <w:color w:val="000000" w:themeColor="text1"/>
        </w:rPr>
        <w:t>t</w:t>
      </w:r>
      <w:r w:rsidRPr="00A3679D">
        <w:rPr>
          <w:rFonts w:cs="Segoe UI"/>
          <w:color w:val="000000" w:themeColor="text1"/>
        </w:rPr>
        <w:t>ime-limitations</w:t>
      </w:r>
      <w:r w:rsidR="00A3679D">
        <w:rPr>
          <w:rFonts w:cs="Segoe UI"/>
          <w:color w:val="000000" w:themeColor="text1"/>
        </w:rPr>
        <w:t xml:space="preserve"> </w:t>
      </w:r>
      <w:r w:rsidR="00B5296F">
        <w:rPr>
          <w:rFonts w:cs="Segoe UI"/>
          <w:color w:val="000000" w:themeColor="text1"/>
        </w:rPr>
        <w:t xml:space="preserve">or </w:t>
      </w:r>
      <w:r w:rsidR="00F26969">
        <w:rPr>
          <w:rFonts w:cs="Segoe UI"/>
          <w:color w:val="000000" w:themeColor="text1"/>
        </w:rPr>
        <w:t xml:space="preserve">other </w:t>
      </w:r>
      <w:r w:rsidR="00B5296F" w:rsidRPr="00B5296F">
        <w:rPr>
          <w:rFonts w:cs="Segoe UI"/>
          <w:color w:val="000000" w:themeColor="text1"/>
        </w:rPr>
        <w:t xml:space="preserve">conditions </w:t>
      </w:r>
      <w:r w:rsidR="009B6AAA">
        <w:rPr>
          <w:rFonts w:cs="Segoe UI"/>
          <w:color w:val="000000" w:themeColor="text1"/>
        </w:rPr>
        <w:t>have the potential to</w:t>
      </w:r>
      <w:r w:rsidR="00A3679D" w:rsidRPr="00B5296F">
        <w:rPr>
          <w:rFonts w:cs="Segoe UI"/>
          <w:color w:val="000000" w:themeColor="text1"/>
        </w:rPr>
        <w:t xml:space="preserve"> </w:t>
      </w:r>
      <w:r w:rsidR="009B6AAA">
        <w:rPr>
          <w:rFonts w:cs="Segoe UI"/>
          <w:color w:val="000000" w:themeColor="text1"/>
        </w:rPr>
        <w:t>de-</w:t>
      </w:r>
      <w:r w:rsidR="00A3679D" w:rsidRPr="00B5296F">
        <w:rPr>
          <w:rFonts w:cs="Segoe UI"/>
          <w:color w:val="000000" w:themeColor="text1"/>
        </w:rPr>
        <w:t>incentiv</w:t>
      </w:r>
      <w:r w:rsidR="009B6AAA">
        <w:rPr>
          <w:rFonts w:cs="Segoe UI"/>
          <w:color w:val="000000" w:themeColor="text1"/>
        </w:rPr>
        <w:t>ise</w:t>
      </w:r>
      <w:r w:rsidR="00A3679D" w:rsidRPr="00B5296F">
        <w:rPr>
          <w:rFonts w:cs="Segoe UI"/>
          <w:color w:val="000000" w:themeColor="text1"/>
        </w:rPr>
        <w:t xml:space="preserve"> </w:t>
      </w:r>
      <w:r w:rsidR="00A3679D">
        <w:rPr>
          <w:rFonts w:cs="Segoe UI"/>
          <w:color w:val="000000" w:themeColor="text1"/>
        </w:rPr>
        <w:t>systemic</w:t>
      </w:r>
      <w:r w:rsidRPr="00A3679D">
        <w:rPr>
          <w:color w:val="000000" w:themeColor="text1"/>
        </w:rPr>
        <w:t xml:space="preserve"> </w:t>
      </w:r>
      <w:r>
        <w:t xml:space="preserve">service </w:t>
      </w:r>
      <w:r w:rsidR="009B6AAA">
        <w:t>improvements</w:t>
      </w:r>
      <w:r w:rsidR="00A3679D">
        <w:t>.</w:t>
      </w:r>
      <w:r w:rsidR="009B6AAA">
        <w:rPr>
          <w:rStyle w:val="FootnoteReference"/>
        </w:rPr>
        <w:footnoteReference w:id="136"/>
      </w:r>
    </w:p>
    <w:p w14:paraId="1A81FC61" w14:textId="22A424D6" w:rsidR="00AB5080" w:rsidRDefault="002D39F1" w:rsidP="00AB5080">
      <w:pPr>
        <w:pStyle w:val="Heading5"/>
      </w:pPr>
      <w:r>
        <w:t>E</w:t>
      </w:r>
      <w:r w:rsidR="006B4FB0">
        <w:t>vidence suggests that f</w:t>
      </w:r>
      <w:r w:rsidR="005F588C">
        <w:t>unding</w:t>
      </w:r>
      <w:r w:rsidR="00487F78" w:rsidRPr="00487F78">
        <w:t xml:space="preserve"> models for palliative care should move toward activity-based, uncapped</w:t>
      </w:r>
      <w:r w:rsidR="00192432">
        <w:t xml:space="preserve"> funding</w:t>
      </w:r>
      <w:r w:rsidR="005F588C">
        <w:t xml:space="preserve">, and informed by </w:t>
      </w:r>
      <w:r w:rsidR="00487F78" w:rsidRPr="00487F78">
        <w:t>performance metrics and reporting</w:t>
      </w:r>
    </w:p>
    <w:p w14:paraId="139197AC" w14:textId="2C70D980" w:rsidR="005754D4" w:rsidRDefault="005F6CB0" w:rsidP="00AB5080">
      <w:pPr>
        <w:rPr>
          <w:rFonts w:cs="Segoe UI"/>
        </w:rPr>
      </w:pPr>
      <w:r>
        <w:rPr>
          <w:rStyle w:val="Heading4Char"/>
          <w:rFonts w:ascii="Segoe UI" w:eastAsiaTheme="minorHAnsi" w:hAnsi="Segoe UI" w:cs="Segoe UI"/>
          <w:color w:val="auto"/>
        </w:rPr>
        <w:t>As noted above, t</w:t>
      </w:r>
      <w:r w:rsidR="00821551">
        <w:rPr>
          <w:rStyle w:val="Heading4Char"/>
          <w:rFonts w:ascii="Segoe UI" w:eastAsiaTheme="minorHAnsi" w:hAnsi="Segoe UI" w:cs="Segoe UI"/>
          <w:color w:val="auto"/>
        </w:rPr>
        <w:t xml:space="preserve">he literature </w:t>
      </w:r>
      <w:r w:rsidR="0088077A">
        <w:rPr>
          <w:rStyle w:val="Heading4Char"/>
          <w:rFonts w:ascii="Segoe UI" w:eastAsiaTheme="minorHAnsi" w:hAnsi="Segoe UI" w:cs="Segoe UI"/>
          <w:color w:val="auto"/>
        </w:rPr>
        <w:t>specifically related to</w:t>
      </w:r>
      <w:r w:rsidR="00821551">
        <w:rPr>
          <w:rStyle w:val="Heading4Char"/>
          <w:rFonts w:ascii="Segoe UI" w:eastAsiaTheme="minorHAnsi" w:hAnsi="Segoe UI" w:cs="Segoe UI"/>
          <w:color w:val="auto"/>
        </w:rPr>
        <w:t xml:space="preserve"> palliative care funding </w:t>
      </w:r>
      <w:r w:rsidR="0088077A">
        <w:rPr>
          <w:rStyle w:val="Heading4Char"/>
          <w:rFonts w:ascii="Segoe UI" w:eastAsiaTheme="minorHAnsi" w:hAnsi="Segoe UI" w:cs="Segoe UI"/>
          <w:color w:val="auto"/>
        </w:rPr>
        <w:t xml:space="preserve">arrangements </w:t>
      </w:r>
      <w:r w:rsidR="00AB5080" w:rsidRPr="00AB5080">
        <w:rPr>
          <w:rStyle w:val="Heading4Char"/>
          <w:rFonts w:ascii="Segoe UI" w:eastAsiaTheme="minorHAnsi" w:hAnsi="Segoe UI" w:cs="Segoe UI"/>
          <w:color w:val="auto"/>
        </w:rPr>
        <w:t>is</w:t>
      </w:r>
      <w:r w:rsidR="0088077A">
        <w:rPr>
          <w:rStyle w:val="Heading4Char"/>
          <w:rFonts w:ascii="Segoe UI" w:eastAsiaTheme="minorHAnsi" w:hAnsi="Segoe UI" w:cs="Segoe UI"/>
          <w:color w:val="auto"/>
        </w:rPr>
        <w:t xml:space="preserve"> relatively</w:t>
      </w:r>
      <w:r w:rsidR="00AB5080" w:rsidRPr="00AB5080">
        <w:rPr>
          <w:rStyle w:val="Heading4Char"/>
          <w:rFonts w:ascii="Segoe UI" w:eastAsiaTheme="minorHAnsi" w:hAnsi="Segoe UI" w:cs="Segoe UI"/>
          <w:color w:val="auto"/>
        </w:rPr>
        <w:t xml:space="preserve"> </w:t>
      </w:r>
      <w:r w:rsidR="00821551">
        <w:rPr>
          <w:rStyle w:val="Heading4Char"/>
          <w:rFonts w:ascii="Segoe UI" w:eastAsiaTheme="minorHAnsi" w:hAnsi="Segoe UI" w:cs="Segoe UI"/>
          <w:color w:val="auto"/>
        </w:rPr>
        <w:t>sparse.</w:t>
      </w:r>
      <w:r w:rsidR="00821551">
        <w:rPr>
          <w:rStyle w:val="FootnoteReference"/>
          <w:rFonts w:cs="Segoe UI"/>
          <w:szCs w:val="19"/>
          <w:lang w:eastAsia="en-AU"/>
        </w:rPr>
        <w:footnoteReference w:id="137"/>
      </w:r>
      <w:r w:rsidR="00821551">
        <w:rPr>
          <w:rStyle w:val="Heading4Char"/>
          <w:rFonts w:ascii="Segoe UI" w:eastAsiaTheme="minorHAnsi" w:hAnsi="Segoe UI" w:cs="Segoe UI"/>
          <w:color w:val="auto"/>
        </w:rPr>
        <w:t xml:space="preserve"> </w:t>
      </w:r>
      <w:r w:rsidR="00AB5080" w:rsidRPr="00AB5080">
        <w:rPr>
          <w:rStyle w:val="Heading4Char"/>
          <w:rFonts w:ascii="Segoe UI" w:eastAsiaTheme="minorHAnsi" w:hAnsi="Segoe UI" w:cs="Segoe UI"/>
          <w:color w:val="auto"/>
        </w:rPr>
        <w:t>The</w:t>
      </w:r>
      <w:r w:rsidR="00821551">
        <w:rPr>
          <w:rStyle w:val="Heading4Char"/>
          <w:rFonts w:ascii="Segoe UI" w:eastAsiaTheme="minorHAnsi" w:hAnsi="Segoe UI" w:cs="Segoe UI"/>
          <w:color w:val="auto"/>
        </w:rPr>
        <w:t xml:space="preserve"> literature is even more </w:t>
      </w:r>
      <w:r w:rsidR="00AB5080" w:rsidRPr="00AB5080">
        <w:rPr>
          <w:rStyle w:val="Heading4Char"/>
          <w:rFonts w:ascii="Segoe UI" w:eastAsiaTheme="minorHAnsi" w:hAnsi="Segoe UI" w:cs="Segoe UI"/>
          <w:color w:val="auto"/>
        </w:rPr>
        <w:t xml:space="preserve">limited </w:t>
      </w:r>
      <w:r w:rsidR="00821551">
        <w:rPr>
          <w:rFonts w:cs="Segoe UI"/>
        </w:rPr>
        <w:t>on funding arrangements</w:t>
      </w:r>
      <w:r w:rsidR="00AB5080" w:rsidRPr="00AB5080">
        <w:rPr>
          <w:rFonts w:cs="Segoe UI"/>
        </w:rPr>
        <w:t xml:space="preserve"> specific </w:t>
      </w:r>
      <w:r w:rsidR="00821551">
        <w:rPr>
          <w:rFonts w:cs="Segoe UI"/>
        </w:rPr>
        <w:t>to palliative care in RACFs</w:t>
      </w:r>
      <w:r w:rsidR="00AB5080" w:rsidRPr="00AB5080">
        <w:rPr>
          <w:rFonts w:cs="Segoe UI"/>
        </w:rPr>
        <w:t xml:space="preserve">. </w:t>
      </w:r>
      <w:r w:rsidR="005D4420">
        <w:rPr>
          <w:rFonts w:cs="Segoe UI"/>
        </w:rPr>
        <w:t xml:space="preserve">The following desirable features of funding models </w:t>
      </w:r>
      <w:r w:rsidR="00197D87">
        <w:rPr>
          <w:rFonts w:cs="Segoe UI"/>
        </w:rPr>
        <w:t xml:space="preserve">for palliative care services </w:t>
      </w:r>
      <w:r w:rsidR="00063B7D">
        <w:rPr>
          <w:rFonts w:cs="Segoe UI"/>
        </w:rPr>
        <w:t xml:space="preserve">are based on international models of palliative care funding. </w:t>
      </w:r>
      <w:r w:rsidR="00295810">
        <w:rPr>
          <w:rFonts w:cs="Segoe UI"/>
        </w:rPr>
        <w:t xml:space="preserve">These features are more applicable to the funding of </w:t>
      </w:r>
      <w:r w:rsidR="00A75190">
        <w:rPr>
          <w:rFonts w:cs="Segoe UI"/>
        </w:rPr>
        <w:t xml:space="preserve">the state-based </w:t>
      </w:r>
      <w:r w:rsidR="00295810">
        <w:rPr>
          <w:rFonts w:cs="Segoe UI"/>
        </w:rPr>
        <w:t xml:space="preserve">palliative care services </w:t>
      </w:r>
      <w:r w:rsidR="00F84ACD">
        <w:rPr>
          <w:rFonts w:cs="Segoe UI"/>
        </w:rPr>
        <w:t xml:space="preserve">themselves </w:t>
      </w:r>
      <w:r w:rsidR="00295810">
        <w:rPr>
          <w:rFonts w:cs="Segoe UI"/>
        </w:rPr>
        <w:t xml:space="preserve">than </w:t>
      </w:r>
      <w:r w:rsidR="00F10C9D">
        <w:rPr>
          <w:rFonts w:cs="Segoe UI"/>
        </w:rPr>
        <w:t>to a</w:t>
      </w:r>
      <w:r w:rsidR="00F84ACD">
        <w:rPr>
          <w:rFonts w:cs="Segoe UI"/>
        </w:rPr>
        <w:t>n extension of those services into RACFs through the</w:t>
      </w:r>
      <w:r w:rsidR="00F10C9D">
        <w:rPr>
          <w:rFonts w:cs="Segoe UI"/>
        </w:rPr>
        <w:t xml:space="preserve"> Commonwealth/state joint funding arrangement, but nonetheless </w:t>
      </w:r>
      <w:r w:rsidR="007354BA">
        <w:rPr>
          <w:rFonts w:cs="Segoe UI"/>
        </w:rPr>
        <w:t>may</w:t>
      </w:r>
      <w:r w:rsidR="00935432">
        <w:rPr>
          <w:rFonts w:cs="Segoe UI"/>
        </w:rPr>
        <w:t xml:space="preserve"> </w:t>
      </w:r>
      <w:r w:rsidR="007354BA">
        <w:rPr>
          <w:rFonts w:cs="Segoe UI"/>
        </w:rPr>
        <w:t xml:space="preserve">inform the evaluation. </w:t>
      </w:r>
    </w:p>
    <w:p w14:paraId="5EDC086E" w14:textId="1190582D" w:rsidR="00682DB2" w:rsidRDefault="00BF5300" w:rsidP="00AB5080">
      <w:pPr>
        <w:rPr>
          <w:rFonts w:cs="Segoe UI"/>
        </w:rPr>
      </w:pPr>
      <w:r>
        <w:rPr>
          <w:rFonts w:cs="Segoe UI"/>
        </w:rPr>
        <w:t xml:space="preserve">Duckett (2018) argues for new approaches to palliative care funding altogether, </w:t>
      </w:r>
      <w:r w:rsidRPr="0084132B">
        <w:rPr>
          <w:rFonts w:cs="Segoe UI"/>
        </w:rPr>
        <w:t xml:space="preserve">ensuring </w:t>
      </w:r>
      <w:r>
        <w:rPr>
          <w:rFonts w:cs="Segoe UI"/>
        </w:rPr>
        <w:t xml:space="preserve">the </w:t>
      </w:r>
      <w:r w:rsidRPr="0084132B">
        <w:rPr>
          <w:rFonts w:cs="Segoe UI"/>
        </w:rPr>
        <w:t>appropriate</w:t>
      </w:r>
      <w:r w:rsidR="00493C92" w:rsidRPr="00493C92">
        <w:rPr>
          <w:rFonts w:cs="Segoe UI"/>
        </w:rPr>
        <w:t xml:space="preserve"> design </w:t>
      </w:r>
      <w:r>
        <w:rPr>
          <w:rFonts w:cs="Segoe UI"/>
        </w:rPr>
        <w:t>fosters the</w:t>
      </w:r>
      <w:r w:rsidRPr="0084132B">
        <w:rPr>
          <w:rFonts w:cs="Segoe UI"/>
        </w:rPr>
        <w:t xml:space="preserve"> expan</w:t>
      </w:r>
      <w:r>
        <w:rPr>
          <w:rFonts w:cs="Segoe UI"/>
        </w:rPr>
        <w:t xml:space="preserve">sion of quality, appropriate </w:t>
      </w:r>
      <w:r w:rsidRPr="0084132B">
        <w:rPr>
          <w:rFonts w:cs="Segoe UI"/>
        </w:rPr>
        <w:t>palliative care</w:t>
      </w:r>
      <w:r>
        <w:rPr>
          <w:rFonts w:cs="Segoe UI"/>
        </w:rPr>
        <w:t>.</w:t>
      </w:r>
      <w:r w:rsidR="00493C92">
        <w:rPr>
          <w:rFonts w:cs="Segoe UI"/>
        </w:rPr>
        <w:t xml:space="preserve"> </w:t>
      </w:r>
      <w:r w:rsidR="005754D4" w:rsidRPr="005754D4">
        <w:rPr>
          <w:rFonts w:cs="Segoe UI"/>
        </w:rPr>
        <w:t xml:space="preserve">A critical aspect of funding system design is ensuring that funding of the different components of the palliative care system is consistent with palliative care policy. </w:t>
      </w:r>
    </w:p>
    <w:p w14:paraId="64DFE018" w14:textId="3D704074" w:rsidR="00682DB2" w:rsidRDefault="00682DB2" w:rsidP="00AB5080">
      <w:pPr>
        <w:rPr>
          <w:rFonts w:cs="Segoe UI"/>
        </w:rPr>
      </w:pPr>
      <w:r>
        <w:rPr>
          <w:rFonts w:cs="Segoe UI"/>
        </w:rPr>
        <w:t xml:space="preserve">Features of desirable </w:t>
      </w:r>
      <w:r w:rsidR="00376F68">
        <w:rPr>
          <w:rFonts w:cs="Segoe UI"/>
        </w:rPr>
        <w:t>palliative care</w:t>
      </w:r>
      <w:r>
        <w:rPr>
          <w:rFonts w:cs="Segoe UI"/>
        </w:rPr>
        <w:t xml:space="preserve"> funding models:</w:t>
      </w:r>
    </w:p>
    <w:p w14:paraId="0B7EEDB4" w14:textId="3243D93F" w:rsidR="00682DB2" w:rsidRDefault="00682DB2" w:rsidP="00682DB2">
      <w:pPr>
        <w:pStyle w:val="Bullet"/>
      </w:pPr>
      <w:r>
        <w:rPr>
          <w:rFonts w:ascii="Segoe UI Semilight" w:hAnsi="Segoe UI Semilight" w:cs="Segoe UI Semilight"/>
          <w:color w:val="00264D" w:themeColor="background2"/>
        </w:rPr>
        <w:t>Reduc</w:t>
      </w:r>
      <w:r w:rsidR="00BA3C4E">
        <w:rPr>
          <w:rFonts w:ascii="Segoe UI Semilight" w:hAnsi="Segoe UI Semilight" w:cs="Segoe UI Semilight"/>
          <w:color w:val="00264D" w:themeColor="background2"/>
        </w:rPr>
        <w:t>e</w:t>
      </w:r>
      <w:r>
        <w:rPr>
          <w:rFonts w:ascii="Segoe UI Semilight" w:hAnsi="Segoe UI Semilight" w:cs="Segoe UI Semilight"/>
          <w:color w:val="00264D" w:themeColor="background2"/>
        </w:rPr>
        <w:t xml:space="preserve"> fee-for-service payments in favour of activity-based funding</w:t>
      </w:r>
      <w:r w:rsidRPr="00821551">
        <w:rPr>
          <w:rFonts w:ascii="Segoe UI Semilight" w:hAnsi="Segoe UI Semilight" w:cs="Segoe UI Semilight"/>
          <w:color w:val="00264D" w:themeColor="background2"/>
        </w:rPr>
        <w:t>.</w:t>
      </w:r>
      <w:r w:rsidRPr="00821551">
        <w:rPr>
          <w:color w:val="00264D" w:themeColor="background2"/>
        </w:rPr>
        <w:t xml:space="preserve"> </w:t>
      </w:r>
      <w:r w:rsidR="00137C54">
        <w:t>Evidence from the literature review suggested that f</w:t>
      </w:r>
      <w:r w:rsidR="004F5BD4">
        <w:t>unding models should reduce fee-for-service payments, where providers are reimbursed for each additional service, and increase</w:t>
      </w:r>
      <w:r>
        <w:t xml:space="preserve"> activity-based funding</w:t>
      </w:r>
      <w:r w:rsidR="00496486">
        <w:t>, where payments are made according to</w:t>
      </w:r>
      <w:r>
        <w:t xml:space="preserve"> an agreed classification</w:t>
      </w:r>
      <w:r w:rsidR="004F5BD4">
        <w:t>,</w:t>
      </w:r>
      <w:r>
        <w:t xml:space="preserve"> such as </w:t>
      </w:r>
      <w:r w:rsidRPr="00682DB2">
        <w:t xml:space="preserve">the Australian National Sub-acute and Non-acute Patient </w:t>
      </w:r>
      <w:r w:rsidR="009E7DB0">
        <w:t>(AN-SNAP)</w:t>
      </w:r>
      <w:r>
        <w:t>.</w:t>
      </w:r>
      <w:r w:rsidR="0003582B">
        <w:rPr>
          <w:rStyle w:val="FootnoteReference"/>
        </w:rPr>
        <w:footnoteReference w:id="138"/>
      </w:r>
      <w:r>
        <w:t xml:space="preserve"> </w:t>
      </w:r>
      <w:r w:rsidR="009B6AAA">
        <w:t>This would incentivise palliative care providers to reduce unnecessary service activities.</w:t>
      </w:r>
      <w:r>
        <w:t xml:space="preserve"> </w:t>
      </w:r>
      <w:r w:rsidR="005D4420">
        <w:t xml:space="preserve">However, </w:t>
      </w:r>
      <w:r w:rsidRPr="00682DB2">
        <w:t xml:space="preserve">classification </w:t>
      </w:r>
      <w:r w:rsidR="009B6AAA">
        <w:t>systems often</w:t>
      </w:r>
      <w:r w:rsidR="004F5BD4">
        <w:t xml:space="preserve"> assume homogenous quality</w:t>
      </w:r>
      <w:r w:rsidR="002C4C67">
        <w:t xml:space="preserve"> of care</w:t>
      </w:r>
      <w:r w:rsidR="004F5BD4">
        <w:t xml:space="preserve">, </w:t>
      </w:r>
      <w:r w:rsidRPr="00682DB2">
        <w:t xml:space="preserve">which </w:t>
      </w:r>
      <w:r w:rsidR="004F5BD4">
        <w:t>is not the case in practice.</w:t>
      </w:r>
    </w:p>
    <w:p w14:paraId="6BC9D683" w14:textId="7D8529B6" w:rsidR="00682DB2" w:rsidRDefault="00682DB2" w:rsidP="00682DB2">
      <w:pPr>
        <w:pStyle w:val="Bullet"/>
      </w:pPr>
      <w:r>
        <w:rPr>
          <w:rFonts w:ascii="Segoe UI Semilight" w:hAnsi="Segoe UI Semilight" w:cs="Segoe UI Semilight"/>
          <w:color w:val="00264D" w:themeColor="background2"/>
        </w:rPr>
        <w:t>Reduc</w:t>
      </w:r>
      <w:r w:rsidR="00BA3C4E">
        <w:rPr>
          <w:rFonts w:ascii="Segoe UI Semilight" w:hAnsi="Segoe UI Semilight" w:cs="Segoe UI Semilight"/>
          <w:color w:val="00264D" w:themeColor="background2"/>
        </w:rPr>
        <w:t>e</w:t>
      </w:r>
      <w:r>
        <w:rPr>
          <w:rFonts w:ascii="Segoe UI Semilight" w:hAnsi="Segoe UI Semilight" w:cs="Segoe UI Semilight"/>
          <w:color w:val="00264D" w:themeColor="background2"/>
        </w:rPr>
        <w:t xml:space="preserve"> capped funding in favour of uncapped funding with performance monitoring.</w:t>
      </w:r>
      <w:r>
        <w:t xml:space="preserve"> </w:t>
      </w:r>
      <w:r w:rsidR="00137C54">
        <w:t>There is evidence for p</w:t>
      </w:r>
      <w:r w:rsidR="00192432">
        <w:t>alliative care providers</w:t>
      </w:r>
      <w:r w:rsidR="0039564B">
        <w:t xml:space="preserve"> </w:t>
      </w:r>
      <w:r w:rsidR="009B6AAA">
        <w:t>sh</w:t>
      </w:r>
      <w:r w:rsidR="00496486">
        <w:t xml:space="preserve">ould be paid on the basis of </w:t>
      </w:r>
      <w:r w:rsidR="000A46A6">
        <w:t>capitation payments, calculated by</w:t>
      </w:r>
      <w:r w:rsidR="00496486">
        <w:t xml:space="preserve"> population served and the expected number of deaths in that population.</w:t>
      </w:r>
      <w:r w:rsidR="000A46A6">
        <w:rPr>
          <w:rStyle w:val="FootnoteReference"/>
        </w:rPr>
        <w:footnoteReference w:id="139"/>
      </w:r>
      <w:r w:rsidR="009B6AAA">
        <w:t xml:space="preserve"> While uncapped funding could risk inappropriate </w:t>
      </w:r>
      <w:r w:rsidR="000A46A6">
        <w:t>over-subscription</w:t>
      </w:r>
      <w:r w:rsidR="009B6AAA">
        <w:t xml:space="preserve"> of palliative care providers, this could be mitigated with </w:t>
      </w:r>
      <w:r w:rsidR="000A46A6">
        <w:t>performance monitoring.</w:t>
      </w:r>
      <w:r w:rsidR="00496486">
        <w:t xml:space="preserve"> However, </w:t>
      </w:r>
      <w:r w:rsidR="00D00459">
        <w:t xml:space="preserve">the </w:t>
      </w:r>
      <w:r w:rsidR="00496486" w:rsidRPr="00496486">
        <w:t xml:space="preserve">capitation-based model involves a risk of underservicing, as there is no incentive to </w:t>
      </w:r>
      <w:r w:rsidR="00DB7DC1">
        <w:t>improve</w:t>
      </w:r>
      <w:r w:rsidR="00496486" w:rsidRPr="00496486">
        <w:t xml:space="preserve"> take-up of palliative care</w:t>
      </w:r>
      <w:r w:rsidR="000A46A6">
        <w:t xml:space="preserve"> across underserved populations</w:t>
      </w:r>
      <w:r w:rsidR="00496486">
        <w:t>.</w:t>
      </w:r>
    </w:p>
    <w:p w14:paraId="0137DA3E" w14:textId="52439B90" w:rsidR="00682DB2" w:rsidRDefault="00682DB2" w:rsidP="00AB5080">
      <w:pPr>
        <w:pStyle w:val="Bullet"/>
      </w:pPr>
      <w:r>
        <w:rPr>
          <w:rFonts w:ascii="Segoe UI Semilight" w:hAnsi="Segoe UI Semilight" w:cs="Segoe UI Semilight"/>
          <w:color w:val="00264D" w:themeColor="background2"/>
        </w:rPr>
        <w:t xml:space="preserve">Align funding arrangements with policy objectives to </w:t>
      </w:r>
      <w:r w:rsidR="009B6AAA">
        <w:rPr>
          <w:rFonts w:ascii="Segoe UI Semilight" w:hAnsi="Segoe UI Semilight" w:cs="Segoe UI Semilight"/>
          <w:color w:val="00264D" w:themeColor="background2"/>
        </w:rPr>
        <w:t>achieve</w:t>
      </w:r>
      <w:r w:rsidR="00630358">
        <w:rPr>
          <w:rFonts w:ascii="Segoe UI Semilight" w:hAnsi="Segoe UI Semilight" w:cs="Segoe UI Semilight"/>
          <w:color w:val="00264D" w:themeColor="background2"/>
        </w:rPr>
        <w:t xml:space="preserve"> a preferred</w:t>
      </w:r>
      <w:r>
        <w:rPr>
          <w:rFonts w:ascii="Segoe UI Semilight" w:hAnsi="Segoe UI Semilight" w:cs="Segoe UI Semilight"/>
          <w:color w:val="00264D" w:themeColor="background2"/>
        </w:rPr>
        <w:t xml:space="preserve"> place of </w:t>
      </w:r>
      <w:r w:rsidR="00630358">
        <w:rPr>
          <w:rFonts w:ascii="Segoe UI Semilight" w:hAnsi="Segoe UI Semilight" w:cs="Segoe UI Semilight"/>
          <w:color w:val="00264D" w:themeColor="background2"/>
        </w:rPr>
        <w:t>death</w:t>
      </w:r>
      <w:r>
        <w:rPr>
          <w:rFonts w:ascii="Segoe UI Semilight" w:hAnsi="Segoe UI Semilight" w:cs="Segoe UI Semilight"/>
          <w:color w:val="00264D" w:themeColor="background2"/>
        </w:rPr>
        <w:t>.</w:t>
      </w:r>
      <w:r>
        <w:t xml:space="preserve"> </w:t>
      </w:r>
      <w:r w:rsidR="009B6AAA">
        <w:t>Many health systems use bonus payments to reward improved performance on policy-relevant metrics.</w:t>
      </w:r>
      <w:r w:rsidR="00E66634">
        <w:rPr>
          <w:rStyle w:val="FootnoteReference"/>
        </w:rPr>
        <w:footnoteReference w:id="140"/>
      </w:r>
      <w:r w:rsidR="009B6AAA">
        <w:t xml:space="preserve"> Payment models could reward the achievement of preferred place of death, which would </w:t>
      </w:r>
      <w:r w:rsidR="00D00459">
        <w:t>improv</w:t>
      </w:r>
      <w:r w:rsidR="009B6AAA">
        <w:t xml:space="preserve">e providers </w:t>
      </w:r>
      <w:r w:rsidR="00D00459">
        <w:t>choosing the appropriate</w:t>
      </w:r>
      <w:r w:rsidR="009B6AAA">
        <w:t xml:space="preserve"> site of care</w:t>
      </w:r>
      <w:r w:rsidR="00D00459">
        <w:t>. This may have limited generalisability to RACFs</w:t>
      </w:r>
      <w:r w:rsidR="009B6AAA">
        <w:t xml:space="preserve">. </w:t>
      </w:r>
    </w:p>
    <w:p w14:paraId="107B3C05" w14:textId="6AECA091" w:rsidR="003B2EFD" w:rsidRDefault="00682DB2" w:rsidP="00AB5080">
      <w:pPr>
        <w:pStyle w:val="Bullet"/>
      </w:pPr>
      <w:r>
        <w:rPr>
          <w:rFonts w:ascii="Segoe UI Semilight" w:hAnsi="Segoe UI Semilight" w:cs="Segoe UI Semilight"/>
          <w:color w:val="00264D" w:themeColor="background2"/>
        </w:rPr>
        <w:t>Reduc</w:t>
      </w:r>
      <w:r w:rsidR="00BA3C4E">
        <w:rPr>
          <w:rFonts w:ascii="Segoe UI Semilight" w:hAnsi="Segoe UI Semilight" w:cs="Segoe UI Semilight"/>
          <w:color w:val="00264D" w:themeColor="background2"/>
        </w:rPr>
        <w:t>e</w:t>
      </w:r>
      <w:r w:rsidR="00630358">
        <w:rPr>
          <w:rFonts w:ascii="Segoe UI Semilight" w:hAnsi="Segoe UI Semilight" w:cs="Segoe UI Semilight"/>
          <w:color w:val="00264D" w:themeColor="background2"/>
        </w:rPr>
        <w:t xml:space="preserve"> </w:t>
      </w:r>
      <w:r w:rsidRPr="004F5BD4">
        <w:rPr>
          <w:rFonts w:ascii="Segoe UI Semilight" w:hAnsi="Segoe UI Semilight" w:cs="Segoe UI Semilight"/>
          <w:color w:val="00264D" w:themeColor="background2"/>
        </w:rPr>
        <w:t>out-of-pocket payments.</w:t>
      </w:r>
      <w:r w:rsidRPr="004F5BD4">
        <w:rPr>
          <w:color w:val="00264D" w:themeColor="background2"/>
        </w:rPr>
        <w:t xml:space="preserve"> </w:t>
      </w:r>
      <w:r w:rsidR="00F86400">
        <w:t xml:space="preserve">The literature </w:t>
      </w:r>
      <w:r w:rsidR="007107CC">
        <w:t>showed</w:t>
      </w:r>
      <w:r w:rsidR="00F86400">
        <w:t xml:space="preserve"> that out-of-pocket </w:t>
      </w:r>
      <w:r w:rsidR="00F86400" w:rsidRPr="00F86400">
        <w:t xml:space="preserve">payments </w:t>
      </w:r>
      <w:r w:rsidR="00CD73D4">
        <w:t>can perversely</w:t>
      </w:r>
      <w:r w:rsidR="00F86400" w:rsidRPr="00F86400">
        <w:t xml:space="preserve"> encourage hospital rather than community-based palliative care </w:t>
      </w:r>
      <w:r w:rsidR="00F86400">
        <w:t>options.</w:t>
      </w:r>
      <w:r w:rsidR="00F86400">
        <w:rPr>
          <w:rStyle w:val="FootnoteReference"/>
        </w:rPr>
        <w:footnoteReference w:id="141"/>
      </w:r>
      <w:r w:rsidR="00F86400" w:rsidRPr="00F86400">
        <w:t xml:space="preserve"> </w:t>
      </w:r>
      <w:r w:rsidR="0071078B">
        <w:t>Ensuring</w:t>
      </w:r>
      <w:r w:rsidR="00CD73D4" w:rsidRPr="00CD73D4">
        <w:t xml:space="preserve"> public financing of health care </w:t>
      </w:r>
      <w:r w:rsidR="0071078B">
        <w:t>and palliative</w:t>
      </w:r>
      <w:r w:rsidR="00CD73D4" w:rsidRPr="00CD73D4">
        <w:t xml:space="preserve"> care </w:t>
      </w:r>
      <w:r w:rsidR="0071078B">
        <w:t>specifically could mitigate out-of-pocket expenses for residents of RACFs and their families</w:t>
      </w:r>
      <w:r w:rsidR="00CD73D4" w:rsidRPr="00CD73D4">
        <w:t>.</w:t>
      </w:r>
      <w:r w:rsidR="00CD73D4">
        <w:rPr>
          <w:rStyle w:val="FootnoteReference"/>
        </w:rPr>
        <w:footnoteReference w:id="142"/>
      </w:r>
    </w:p>
    <w:p w14:paraId="224B2507" w14:textId="77777777" w:rsidR="00960C65" w:rsidRPr="000A46A6" w:rsidRDefault="00960C65" w:rsidP="00960C65"/>
    <w:p w14:paraId="08A5BD0F" w14:textId="4A2A743A" w:rsidR="008260B3" w:rsidRDefault="00251B24" w:rsidP="00960C65">
      <w:pPr>
        <w:pStyle w:val="Heading2"/>
        <w:spacing w:before="0"/>
      </w:pPr>
      <w:bookmarkStart w:id="74" w:name="_Ref52270660"/>
      <w:bookmarkStart w:id="75" w:name="_Ref52270672"/>
      <w:bookmarkStart w:id="76" w:name="_Toc82767269"/>
      <w:r>
        <w:rPr>
          <w:noProof/>
        </w:rPr>
        <w:drawing>
          <wp:anchor distT="0" distB="0" distL="114300" distR="114300" simplePos="0" relativeHeight="251658243" behindDoc="1" locked="0" layoutInCell="1" allowOverlap="1" wp14:anchorId="49F8B6BB" wp14:editId="1D9FBCC7">
            <wp:simplePos x="0" y="0"/>
            <wp:positionH relativeFrom="column">
              <wp:posOffset>-984250</wp:posOffset>
            </wp:positionH>
            <wp:positionV relativeFrom="paragraph">
              <wp:posOffset>-167005</wp:posOffset>
            </wp:positionV>
            <wp:extent cx="6645275" cy="847725"/>
            <wp:effectExtent l="0" t="0" r="3175" b="9525"/>
            <wp:wrapNone/>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45275" cy="847725"/>
                    </a:xfrm>
                    <a:prstGeom prst="rect">
                      <a:avLst/>
                    </a:prstGeom>
                    <a:noFill/>
                  </pic:spPr>
                </pic:pic>
              </a:graphicData>
            </a:graphic>
          </wp:anchor>
        </w:drawing>
      </w:r>
      <w:r w:rsidR="00423463">
        <w:t>How have palliative care in RACF initiatives sought to address health interface issues?</w:t>
      </w:r>
      <w:bookmarkEnd w:id="72"/>
      <w:bookmarkEnd w:id="73"/>
      <w:bookmarkEnd w:id="74"/>
      <w:bookmarkEnd w:id="75"/>
      <w:bookmarkEnd w:id="76"/>
    </w:p>
    <w:p w14:paraId="09422E18" w14:textId="3D0028CF" w:rsidR="00886821" w:rsidRDefault="00886821" w:rsidP="00886821">
      <w:pPr>
        <w:rPr>
          <w:lang w:eastAsia="en-AU"/>
        </w:rPr>
      </w:pPr>
    </w:p>
    <w:p w14:paraId="5FBCD6BD" w14:textId="77777777" w:rsidR="00767939" w:rsidRDefault="00767939" w:rsidP="00767939"/>
    <w:tbl>
      <w:tblPr>
        <w:tblStyle w:val="TableGrid"/>
        <w:tblW w:w="9016" w:type="dxa"/>
        <w:tblBorders>
          <w:bottom w:val="none" w:sz="0" w:space="0" w:color="auto"/>
          <w:insideH w:val="none" w:sz="0" w:space="0" w:color="auto"/>
        </w:tblBorders>
        <w:shd w:val="clear" w:color="auto" w:fill="F2F2F2" w:themeFill="background1" w:themeFillShade="F2"/>
        <w:tblCellMar>
          <w:top w:w="85" w:type="dxa"/>
        </w:tblCellMar>
        <w:tblLook w:val="0400" w:firstRow="0" w:lastRow="0" w:firstColumn="0" w:lastColumn="0" w:noHBand="0" w:noVBand="1"/>
        <w:tblCaption w:val="Key findings for the last key literature review question - How have palliative care in RACF initiatives sought to address health interface issues?"/>
        <w:tblDescription w:val="Health interface issues are made more complex by an increasing number of people in residential aged care, increasingly complex care needs, complex service delivery and funding arrangements and systems under pressure.  &#10;&#10;People living in RACFs experience health interface issues related to access and coordination of services.  &#10;&#10;Initiatives have sought to address health system interface issues through the use of levers and models of care that influence policy, capability, networks and availability of expertise. &#10;&#10;Evidence-based models of care for the provision of palliative care in RACFs provide examples for what works well.  &#10;&#10;In addition, the evidence points to a number of principles for successfully addressing health interface issues in RACFs. "/>
      </w:tblPr>
      <w:tblGrid>
        <w:gridCol w:w="1219"/>
        <w:gridCol w:w="7797"/>
      </w:tblGrid>
      <w:tr w:rsidR="00417A6A" w14:paraId="061E6091" w14:textId="77777777" w:rsidTr="22C19DAE">
        <w:trPr>
          <w:trHeight w:val="624"/>
        </w:trPr>
        <w:tc>
          <w:tcPr>
            <w:tcW w:w="1219" w:type="dxa"/>
            <w:shd w:val="clear" w:color="auto" w:fill="25B3E0" w:themeFill="accent6"/>
            <w:vAlign w:val="center"/>
          </w:tcPr>
          <w:p w14:paraId="46BFAF72" w14:textId="77777777" w:rsidR="00417A6A" w:rsidRPr="006B5F38" w:rsidRDefault="00417A6A" w:rsidP="008532CB">
            <w:pPr>
              <w:spacing w:after="0" w:line="257" w:lineRule="auto"/>
              <w:jc w:val="center"/>
              <w:rPr>
                <w:rFonts w:ascii="Segoe UI Semibold" w:hAnsi="Segoe UI Semibold" w:cs="Segoe UI Semibold"/>
                <w:color w:val="FFFFFF" w:themeColor="background1"/>
              </w:rPr>
            </w:pPr>
            <w:r w:rsidRPr="00753F4A">
              <w:rPr>
                <w:rFonts w:ascii="Segoe UI Semibold" w:hAnsi="Segoe UI Semibold" w:cs="Segoe UI Semibold"/>
                <w:noProof/>
                <w:color w:val="FFFFFF" w:themeColor="background1"/>
                <w:lang w:eastAsia="en-AU"/>
              </w:rPr>
              <mc:AlternateContent>
                <mc:Choice Requires="wpg">
                  <w:drawing>
                    <wp:inline distT="0" distB="0" distL="0" distR="0" wp14:anchorId="514AEFAA" wp14:editId="1419DB23">
                      <wp:extent cx="360000" cy="360000"/>
                      <wp:effectExtent l="0" t="0" r="2540" b="2540"/>
                      <wp:docPr id="769" name="Group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60000" cy="360000"/>
                                <a:chOff x="0" y="0"/>
                                <a:chExt cx="539750" cy="539750"/>
                              </a:xfrm>
                              <a:solidFill>
                                <a:sysClr val="window" lastClr="FFFFFF"/>
                              </a:solidFill>
                            </wpg:grpSpPr>
                            <wps:wsp>
                              <wps:cNvPr id="770" name="Freeform 103"/>
                              <wps:cNvSpPr>
                                <a:spLocks noChangeAspect="1" noEditPoints="1"/>
                              </wps:cNvSpPr>
                              <wps:spPr bwMode="auto">
                                <a:xfrm>
                                  <a:off x="0" y="0"/>
                                  <a:ext cx="539750" cy="539750"/>
                                </a:xfrm>
                                <a:custGeom>
                                  <a:avLst/>
                                  <a:gdLst>
                                    <a:gd name="T0" fmla="*/ 168 w 169"/>
                                    <a:gd name="T1" fmla="*/ 164 h 169"/>
                                    <a:gd name="T2" fmla="*/ 127 w 169"/>
                                    <a:gd name="T3" fmla="*/ 122 h 169"/>
                                    <a:gd name="T4" fmla="*/ 127 w 169"/>
                                    <a:gd name="T5" fmla="*/ 122 h 169"/>
                                    <a:gd name="T6" fmla="*/ 146 w 169"/>
                                    <a:gd name="T7" fmla="*/ 73 h 169"/>
                                    <a:gd name="T8" fmla="*/ 73 w 169"/>
                                    <a:gd name="T9" fmla="*/ 0 h 169"/>
                                    <a:gd name="T10" fmla="*/ 0 w 169"/>
                                    <a:gd name="T11" fmla="*/ 73 h 169"/>
                                    <a:gd name="T12" fmla="*/ 73 w 169"/>
                                    <a:gd name="T13" fmla="*/ 146 h 169"/>
                                    <a:gd name="T14" fmla="*/ 122 w 169"/>
                                    <a:gd name="T15" fmla="*/ 128 h 169"/>
                                    <a:gd name="T16" fmla="*/ 122 w 169"/>
                                    <a:gd name="T17" fmla="*/ 127 h 169"/>
                                    <a:gd name="T18" fmla="*/ 122 w 169"/>
                                    <a:gd name="T19" fmla="*/ 128 h 169"/>
                                    <a:gd name="T20" fmla="*/ 163 w 169"/>
                                    <a:gd name="T21" fmla="*/ 168 h 169"/>
                                    <a:gd name="T22" fmla="*/ 166 w 169"/>
                                    <a:gd name="T23" fmla="*/ 169 h 169"/>
                                    <a:gd name="T24" fmla="*/ 169 w 169"/>
                                    <a:gd name="T25" fmla="*/ 166 h 169"/>
                                    <a:gd name="T26" fmla="*/ 168 w 169"/>
                                    <a:gd name="T27" fmla="*/ 164 h 169"/>
                                    <a:gd name="T28" fmla="*/ 73 w 169"/>
                                    <a:gd name="T29" fmla="*/ 140 h 169"/>
                                    <a:gd name="T30" fmla="*/ 7 w 169"/>
                                    <a:gd name="T31" fmla="*/ 73 h 169"/>
                                    <a:gd name="T32" fmla="*/ 73 w 169"/>
                                    <a:gd name="T33" fmla="*/ 7 h 169"/>
                                    <a:gd name="T34" fmla="*/ 139 w 169"/>
                                    <a:gd name="T35" fmla="*/ 73 h 169"/>
                                    <a:gd name="T36" fmla="*/ 73 w 169"/>
                                    <a:gd name="T37" fmla="*/ 140 h 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69" h="169">
                                      <a:moveTo>
                                        <a:pt x="168" y="164"/>
                                      </a:moveTo>
                                      <a:cubicBezTo>
                                        <a:pt x="127" y="122"/>
                                        <a:pt x="127" y="122"/>
                                        <a:pt x="127" y="122"/>
                                      </a:cubicBezTo>
                                      <a:cubicBezTo>
                                        <a:pt x="127" y="122"/>
                                        <a:pt x="127" y="122"/>
                                        <a:pt x="127" y="122"/>
                                      </a:cubicBezTo>
                                      <a:cubicBezTo>
                                        <a:pt x="139" y="109"/>
                                        <a:pt x="146" y="91"/>
                                        <a:pt x="146" y="73"/>
                                      </a:cubicBezTo>
                                      <a:cubicBezTo>
                                        <a:pt x="146" y="33"/>
                                        <a:pt x="113" y="0"/>
                                        <a:pt x="73" y="0"/>
                                      </a:cubicBezTo>
                                      <a:cubicBezTo>
                                        <a:pt x="33" y="0"/>
                                        <a:pt x="0" y="33"/>
                                        <a:pt x="0" y="73"/>
                                      </a:cubicBezTo>
                                      <a:cubicBezTo>
                                        <a:pt x="0" y="114"/>
                                        <a:pt x="33" y="146"/>
                                        <a:pt x="73" y="146"/>
                                      </a:cubicBezTo>
                                      <a:cubicBezTo>
                                        <a:pt x="91" y="146"/>
                                        <a:pt x="108" y="140"/>
                                        <a:pt x="122" y="128"/>
                                      </a:cubicBezTo>
                                      <a:cubicBezTo>
                                        <a:pt x="122" y="127"/>
                                        <a:pt x="122" y="127"/>
                                        <a:pt x="122" y="127"/>
                                      </a:cubicBezTo>
                                      <a:cubicBezTo>
                                        <a:pt x="122" y="128"/>
                                        <a:pt x="122" y="128"/>
                                        <a:pt x="122" y="128"/>
                                      </a:cubicBezTo>
                                      <a:cubicBezTo>
                                        <a:pt x="163" y="168"/>
                                        <a:pt x="163" y="168"/>
                                        <a:pt x="163" y="168"/>
                                      </a:cubicBezTo>
                                      <a:cubicBezTo>
                                        <a:pt x="164" y="169"/>
                                        <a:pt x="165" y="169"/>
                                        <a:pt x="166" y="169"/>
                                      </a:cubicBezTo>
                                      <a:cubicBezTo>
                                        <a:pt x="168" y="169"/>
                                        <a:pt x="169" y="168"/>
                                        <a:pt x="169" y="166"/>
                                      </a:cubicBezTo>
                                      <a:cubicBezTo>
                                        <a:pt x="169" y="165"/>
                                        <a:pt x="169" y="164"/>
                                        <a:pt x="168" y="164"/>
                                      </a:cubicBezTo>
                                      <a:close/>
                                      <a:moveTo>
                                        <a:pt x="73" y="140"/>
                                      </a:moveTo>
                                      <a:cubicBezTo>
                                        <a:pt x="37" y="140"/>
                                        <a:pt x="7" y="110"/>
                                        <a:pt x="7" y="73"/>
                                      </a:cubicBezTo>
                                      <a:cubicBezTo>
                                        <a:pt x="7" y="37"/>
                                        <a:pt x="37" y="7"/>
                                        <a:pt x="73" y="7"/>
                                      </a:cubicBezTo>
                                      <a:cubicBezTo>
                                        <a:pt x="110" y="7"/>
                                        <a:pt x="139" y="37"/>
                                        <a:pt x="139" y="73"/>
                                      </a:cubicBezTo>
                                      <a:cubicBezTo>
                                        <a:pt x="139" y="110"/>
                                        <a:pt x="110" y="140"/>
                                        <a:pt x="73" y="140"/>
                                      </a:cubicBezTo>
                                      <a:close/>
                                    </a:path>
                                  </a:pathLst>
                                </a:custGeom>
                                <a:grpFill/>
                                <a:ln>
                                  <a:noFill/>
                                </a:ln>
                              </wps:spPr>
                              <wps:bodyPr vert="horz" wrap="square" lIns="91440" tIns="45720" rIns="91440" bIns="45720" numCol="1" anchor="t" anchorCtr="0" compatLnSpc="1">
                                <a:prstTxWarp prst="textNoShape">
                                  <a:avLst/>
                                </a:prstTxWarp>
                              </wps:bodyPr>
                            </wps:wsp>
                            <wpg:grpSp>
                              <wpg:cNvPr id="771" name="Group 771"/>
                              <wpg:cNvGrpSpPr/>
                              <wpg:grpSpPr>
                                <a:xfrm>
                                  <a:off x="185109" y="112004"/>
                                  <a:ext cx="92075" cy="244475"/>
                                  <a:chOff x="185109" y="112004"/>
                                  <a:chExt cx="92075" cy="244475"/>
                                </a:xfrm>
                                <a:grpFill/>
                              </wpg:grpSpPr>
                              <wps:wsp>
                                <wps:cNvPr id="772" name="Freeform 7"/>
                                <wps:cNvSpPr>
                                  <a:spLocks/>
                                </wps:cNvSpPr>
                                <wps:spPr bwMode="auto">
                                  <a:xfrm>
                                    <a:off x="204159" y="112004"/>
                                    <a:ext cx="53975" cy="57150"/>
                                  </a:xfrm>
                                  <a:custGeom>
                                    <a:avLst/>
                                    <a:gdLst>
                                      <a:gd name="T0" fmla="*/ 8 w 17"/>
                                      <a:gd name="T1" fmla="*/ 0 h 18"/>
                                      <a:gd name="T2" fmla="*/ 2 w 17"/>
                                      <a:gd name="T3" fmla="*/ 3 h 18"/>
                                      <a:gd name="T4" fmla="*/ 0 w 17"/>
                                      <a:gd name="T5" fmla="*/ 9 h 18"/>
                                      <a:gd name="T6" fmla="*/ 2 w 17"/>
                                      <a:gd name="T7" fmla="*/ 16 h 18"/>
                                      <a:gd name="T8" fmla="*/ 8 w 17"/>
                                      <a:gd name="T9" fmla="*/ 18 h 18"/>
                                      <a:gd name="T10" fmla="*/ 15 w 17"/>
                                      <a:gd name="T11" fmla="*/ 16 h 18"/>
                                      <a:gd name="T12" fmla="*/ 17 w 17"/>
                                      <a:gd name="T13" fmla="*/ 9 h 18"/>
                                      <a:gd name="T14" fmla="*/ 15 w 17"/>
                                      <a:gd name="T15" fmla="*/ 3 h 18"/>
                                      <a:gd name="T16" fmla="*/ 8 w 17"/>
                                      <a:gd name="T17"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8">
                                        <a:moveTo>
                                          <a:pt x="8" y="0"/>
                                        </a:moveTo>
                                        <a:cubicBezTo>
                                          <a:pt x="6" y="0"/>
                                          <a:pt x="4" y="1"/>
                                          <a:pt x="2" y="3"/>
                                        </a:cubicBezTo>
                                        <a:cubicBezTo>
                                          <a:pt x="1" y="5"/>
                                          <a:pt x="0" y="7"/>
                                          <a:pt x="0" y="9"/>
                                        </a:cubicBezTo>
                                        <a:cubicBezTo>
                                          <a:pt x="0" y="12"/>
                                          <a:pt x="1" y="14"/>
                                          <a:pt x="2" y="16"/>
                                        </a:cubicBezTo>
                                        <a:cubicBezTo>
                                          <a:pt x="4" y="17"/>
                                          <a:pt x="6" y="18"/>
                                          <a:pt x="8" y="18"/>
                                        </a:cubicBezTo>
                                        <a:cubicBezTo>
                                          <a:pt x="11" y="18"/>
                                          <a:pt x="13" y="17"/>
                                          <a:pt x="15" y="16"/>
                                        </a:cubicBezTo>
                                        <a:cubicBezTo>
                                          <a:pt x="16" y="14"/>
                                          <a:pt x="17" y="12"/>
                                          <a:pt x="17" y="9"/>
                                        </a:cubicBezTo>
                                        <a:cubicBezTo>
                                          <a:pt x="17" y="7"/>
                                          <a:pt x="16" y="5"/>
                                          <a:pt x="15" y="3"/>
                                        </a:cubicBezTo>
                                        <a:cubicBezTo>
                                          <a:pt x="13" y="1"/>
                                          <a:pt x="11" y="0"/>
                                          <a:pt x="8"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73" name="Freeform 8"/>
                                <wps:cNvSpPr>
                                  <a:spLocks/>
                                </wps:cNvSpPr>
                                <wps:spPr bwMode="auto">
                                  <a:xfrm>
                                    <a:off x="185109" y="194554"/>
                                    <a:ext cx="92075" cy="161925"/>
                                  </a:xfrm>
                                  <a:custGeom>
                                    <a:avLst/>
                                    <a:gdLst>
                                      <a:gd name="T0" fmla="*/ 24 w 29"/>
                                      <a:gd name="T1" fmla="*/ 44 h 51"/>
                                      <a:gd name="T2" fmla="*/ 20 w 29"/>
                                      <a:gd name="T3" fmla="*/ 43 h 51"/>
                                      <a:gd name="T4" fmla="*/ 19 w 29"/>
                                      <a:gd name="T5" fmla="*/ 40 h 51"/>
                                      <a:gd name="T6" fmla="*/ 19 w 29"/>
                                      <a:gd name="T7" fmla="*/ 36 h 51"/>
                                      <a:gd name="T8" fmla="*/ 20 w 29"/>
                                      <a:gd name="T9" fmla="*/ 32 h 51"/>
                                      <a:gd name="T10" fmla="*/ 24 w 29"/>
                                      <a:gd name="T11" fmla="*/ 18 h 51"/>
                                      <a:gd name="T12" fmla="*/ 24 w 29"/>
                                      <a:gd name="T13" fmla="*/ 14 h 51"/>
                                      <a:gd name="T14" fmla="*/ 25 w 29"/>
                                      <a:gd name="T15" fmla="*/ 11 h 51"/>
                                      <a:gd name="T16" fmla="*/ 22 w 29"/>
                                      <a:gd name="T17" fmla="*/ 3 h 51"/>
                                      <a:gd name="T18" fmla="*/ 14 w 29"/>
                                      <a:gd name="T19" fmla="*/ 0 h 51"/>
                                      <a:gd name="T20" fmla="*/ 7 w 29"/>
                                      <a:gd name="T21" fmla="*/ 2 h 51"/>
                                      <a:gd name="T22" fmla="*/ 1 w 29"/>
                                      <a:gd name="T23" fmla="*/ 4 h 51"/>
                                      <a:gd name="T24" fmla="*/ 0 w 29"/>
                                      <a:gd name="T25" fmla="*/ 9 h 51"/>
                                      <a:gd name="T26" fmla="*/ 2 w 29"/>
                                      <a:gd name="T27" fmla="*/ 8 h 51"/>
                                      <a:gd name="T28" fmla="*/ 5 w 29"/>
                                      <a:gd name="T29" fmla="*/ 7 h 51"/>
                                      <a:gd name="T30" fmla="*/ 9 w 29"/>
                                      <a:gd name="T31" fmla="*/ 8 h 51"/>
                                      <a:gd name="T32" fmla="*/ 10 w 29"/>
                                      <a:gd name="T33" fmla="*/ 12 h 51"/>
                                      <a:gd name="T34" fmla="*/ 10 w 29"/>
                                      <a:gd name="T35" fmla="*/ 16 h 51"/>
                                      <a:gd name="T36" fmla="*/ 9 w 29"/>
                                      <a:gd name="T37" fmla="*/ 19 h 51"/>
                                      <a:gd name="T38" fmla="*/ 5 w 29"/>
                                      <a:gd name="T39" fmla="*/ 34 h 51"/>
                                      <a:gd name="T40" fmla="*/ 4 w 29"/>
                                      <a:gd name="T41" fmla="*/ 38 h 51"/>
                                      <a:gd name="T42" fmla="*/ 4 w 29"/>
                                      <a:gd name="T43" fmla="*/ 41 h 51"/>
                                      <a:gd name="T44" fmla="*/ 7 w 29"/>
                                      <a:gd name="T45" fmla="*/ 48 h 51"/>
                                      <a:gd name="T46" fmla="*/ 15 w 29"/>
                                      <a:gd name="T47" fmla="*/ 51 h 51"/>
                                      <a:gd name="T48" fmla="*/ 21 w 29"/>
                                      <a:gd name="T49" fmla="*/ 50 h 51"/>
                                      <a:gd name="T50" fmla="*/ 28 w 29"/>
                                      <a:gd name="T51" fmla="*/ 47 h 51"/>
                                      <a:gd name="T52" fmla="*/ 29 w 29"/>
                                      <a:gd name="T53" fmla="*/ 43 h 51"/>
                                      <a:gd name="T54" fmla="*/ 27 w 29"/>
                                      <a:gd name="T55" fmla="*/ 44 h 51"/>
                                      <a:gd name="T56" fmla="*/ 24 w 29"/>
                                      <a:gd name="T57" fmla="*/ 44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9" h="51">
                                        <a:moveTo>
                                          <a:pt x="24" y="44"/>
                                        </a:moveTo>
                                        <a:cubicBezTo>
                                          <a:pt x="22" y="44"/>
                                          <a:pt x="21" y="44"/>
                                          <a:pt x="20" y="43"/>
                                        </a:cubicBezTo>
                                        <a:cubicBezTo>
                                          <a:pt x="19" y="43"/>
                                          <a:pt x="19" y="41"/>
                                          <a:pt x="19" y="40"/>
                                        </a:cubicBezTo>
                                        <a:cubicBezTo>
                                          <a:pt x="19" y="39"/>
                                          <a:pt x="19" y="38"/>
                                          <a:pt x="19" y="36"/>
                                        </a:cubicBezTo>
                                        <a:cubicBezTo>
                                          <a:pt x="19" y="35"/>
                                          <a:pt x="20" y="33"/>
                                          <a:pt x="20" y="32"/>
                                        </a:cubicBezTo>
                                        <a:cubicBezTo>
                                          <a:pt x="24" y="18"/>
                                          <a:pt x="24" y="18"/>
                                          <a:pt x="24" y="18"/>
                                        </a:cubicBezTo>
                                        <a:cubicBezTo>
                                          <a:pt x="24" y="17"/>
                                          <a:pt x="24" y="15"/>
                                          <a:pt x="24" y="14"/>
                                        </a:cubicBezTo>
                                        <a:cubicBezTo>
                                          <a:pt x="24" y="12"/>
                                          <a:pt x="25" y="11"/>
                                          <a:pt x="25" y="11"/>
                                        </a:cubicBezTo>
                                        <a:cubicBezTo>
                                          <a:pt x="25" y="8"/>
                                          <a:pt x="24" y="5"/>
                                          <a:pt x="22" y="3"/>
                                        </a:cubicBezTo>
                                        <a:cubicBezTo>
                                          <a:pt x="20" y="1"/>
                                          <a:pt x="17" y="0"/>
                                          <a:pt x="14" y="0"/>
                                        </a:cubicBezTo>
                                        <a:cubicBezTo>
                                          <a:pt x="12" y="0"/>
                                          <a:pt x="10" y="1"/>
                                          <a:pt x="7" y="2"/>
                                        </a:cubicBezTo>
                                        <a:cubicBezTo>
                                          <a:pt x="5" y="2"/>
                                          <a:pt x="3" y="3"/>
                                          <a:pt x="1" y="4"/>
                                        </a:cubicBezTo>
                                        <a:cubicBezTo>
                                          <a:pt x="0" y="9"/>
                                          <a:pt x="0" y="9"/>
                                          <a:pt x="0" y="9"/>
                                        </a:cubicBezTo>
                                        <a:cubicBezTo>
                                          <a:pt x="0" y="8"/>
                                          <a:pt x="1" y="8"/>
                                          <a:pt x="2" y="8"/>
                                        </a:cubicBezTo>
                                        <a:cubicBezTo>
                                          <a:pt x="3" y="8"/>
                                          <a:pt x="4" y="7"/>
                                          <a:pt x="5" y="7"/>
                                        </a:cubicBezTo>
                                        <a:cubicBezTo>
                                          <a:pt x="7" y="7"/>
                                          <a:pt x="8" y="8"/>
                                          <a:pt x="9" y="8"/>
                                        </a:cubicBezTo>
                                        <a:cubicBezTo>
                                          <a:pt x="10" y="9"/>
                                          <a:pt x="10" y="10"/>
                                          <a:pt x="10" y="12"/>
                                        </a:cubicBezTo>
                                        <a:cubicBezTo>
                                          <a:pt x="10" y="13"/>
                                          <a:pt x="10" y="14"/>
                                          <a:pt x="10" y="16"/>
                                        </a:cubicBezTo>
                                        <a:cubicBezTo>
                                          <a:pt x="9" y="17"/>
                                          <a:pt x="9" y="18"/>
                                          <a:pt x="9" y="19"/>
                                        </a:cubicBezTo>
                                        <a:cubicBezTo>
                                          <a:pt x="5" y="34"/>
                                          <a:pt x="5" y="34"/>
                                          <a:pt x="5" y="34"/>
                                        </a:cubicBezTo>
                                        <a:cubicBezTo>
                                          <a:pt x="5" y="35"/>
                                          <a:pt x="5" y="37"/>
                                          <a:pt x="4" y="38"/>
                                        </a:cubicBezTo>
                                        <a:cubicBezTo>
                                          <a:pt x="4" y="39"/>
                                          <a:pt x="4" y="40"/>
                                          <a:pt x="4" y="41"/>
                                        </a:cubicBezTo>
                                        <a:cubicBezTo>
                                          <a:pt x="4" y="44"/>
                                          <a:pt x="5" y="47"/>
                                          <a:pt x="7" y="48"/>
                                        </a:cubicBezTo>
                                        <a:cubicBezTo>
                                          <a:pt x="9" y="50"/>
                                          <a:pt x="12" y="51"/>
                                          <a:pt x="15" y="51"/>
                                        </a:cubicBezTo>
                                        <a:cubicBezTo>
                                          <a:pt x="18" y="51"/>
                                          <a:pt x="20" y="51"/>
                                          <a:pt x="21" y="50"/>
                                        </a:cubicBezTo>
                                        <a:cubicBezTo>
                                          <a:pt x="23" y="50"/>
                                          <a:pt x="25" y="49"/>
                                          <a:pt x="28" y="47"/>
                                        </a:cubicBezTo>
                                        <a:cubicBezTo>
                                          <a:pt x="29" y="43"/>
                                          <a:pt x="29" y="43"/>
                                          <a:pt x="29" y="43"/>
                                        </a:cubicBezTo>
                                        <a:cubicBezTo>
                                          <a:pt x="29" y="43"/>
                                          <a:pt x="28" y="44"/>
                                          <a:pt x="27" y="44"/>
                                        </a:cubicBezTo>
                                        <a:cubicBezTo>
                                          <a:pt x="26" y="44"/>
                                          <a:pt x="25" y="44"/>
                                          <a:pt x="24" y="44"/>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wgp>
                        </a:graphicData>
                      </a:graphic>
                    </wp:inline>
                  </w:drawing>
                </mc:Choice>
                <mc:Fallback xmlns:w16sdtdh="http://schemas.microsoft.com/office/word/2020/wordml/sdtdatahash">
                  <w:pict>
                    <v:group w14:anchorId="3AF4B183" id="Group 54" o:spid="_x0000_s1026" alt="&quot;&quot;" style="width:28.35pt;height:28.35pt;mso-position-horizontal-relative:char;mso-position-vertical-relative:line" coordsize="5397,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">
                      <o:lock v:ext="edit" aspectratio="t"/>
                      <v:shape id="Freeform 103" o:spid="_x0000_s1027" style="position:absolute;width:5397;height:5397;visibility:visible;mso-wrap-style:square;v-text-anchor:top" coordsize="16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" path="m168,164c127,122,127,122,127,122v,,,,,c139,109,146,91,146,73,146,33,113,,73,,33,,,33,,73v,41,33,73,73,73c91,146,108,140,122,128v,-1,,-1,,-1c122,128,122,128,122,128v41,40,41,40,41,40c164,169,165,169,166,169v2,,3,-1,3,-3c169,165,169,164,168,164xm73,140c37,140,7,110,7,73,7,37,37,7,73,7v37,,66,30,66,66c139,110,110,140,73,140xe" filled="f" stroked="f">
                        <v:path arrowok="t" o:connecttype="custom" o:connectlocs="536556,523781;405611,389642;405611,389642;466293,233146;233146,0;0,233146;233146,466293;389642,408805;389642,405611;389642,408805;520587,536556;530169,539750;539750,530169;536556,523781;233146,447130;22357,233146;233146,22357;443936,233146;233146,447130" o:connectangles="0,0,0,0,0,0,0,0,0,0,0,0,0,0,0,0,0,0,0"/>
                        <o:lock v:ext="edit" aspectratio="t" verticies="t"/>
                      </v:shape>
                      <v:group id="Group 771" o:spid="_x0000_s1028" style="position:absolute;left:1851;top:1120;width:920;height:2444" coordorigin="185109,112004" coordsize="92075,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">
                        <v:shape id="Freeform 7" o:spid="_x0000_s1029" style="position:absolute;left:204159;top:112004;width:53975;height:57150;visibility:visible;mso-wrap-style:square;v-text-anchor:top" coordsize="1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" path="m8,c6,,4,1,2,3,1,5,,7,,9v,3,1,5,2,7c4,17,6,18,8,18v3,,5,-1,7,-2c16,14,17,12,17,9,17,7,16,5,15,3,13,1,11,,8,e" filled="f" stroked="f">
                          <v:path arrowok="t" o:connecttype="custom" o:connectlocs="25400,0;6350,9525;0,28575;6350,50800;25400,57150;47625,50800;53975,28575;47625,9525;25400,0" o:connectangles="0,0,0,0,0,0,0,0,0"/>
                        </v:shape>
                        <v:shape id="Freeform 8" o:spid="_x0000_s1030" style="position:absolute;left:185109;top:194554;width:92075;height:161925;visibility:visible;mso-wrap-style:square;v-text-anchor:top" coordsize="2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" path="m24,44v-2,,-3,,-4,-1c19,43,19,41,19,40v,-1,,-2,,-4c19,35,20,33,20,32,24,18,24,18,24,18v,-1,,-3,,-4c24,12,25,11,25,11,25,8,24,5,22,3,20,1,17,,14,,12,,10,1,7,2,5,2,3,3,1,4,,9,,9,,9,,8,1,8,2,8,3,8,4,7,5,7v2,,3,1,4,1c10,9,10,10,10,12v,1,,2,,4c9,17,9,18,9,19,5,34,5,34,5,34v,1,,3,-1,4c4,39,4,40,4,41v,3,1,6,3,7c9,50,12,51,15,51v3,,5,,6,-1c23,50,25,49,28,47v1,-4,1,-4,1,-4c29,43,28,44,27,44v-1,,-2,,-3,e" filled="f" stroked="f">
                          <v:path arrowok="t" o:connecttype="custom" o:connectlocs="76200,139700;63500,136525;60325,127000;60325,114300;63500,101600;76200,57150;76200,44450;79375,34925;69850,9525;44450,0;22225,6350;3175,12700;0,28575;6350,25400;15875,22225;28575,25400;31750,38100;31750,50800;28575,60325;15875,107950;12700,120650;12700,130175;22225,152400;47625,161925;66675,158750;88900,149225;92075,136525;85725,139700;76200,139700" o:connectangles="0,0,0,0,0,0,0,0,0,0,0,0,0,0,0,0,0,0,0,0,0,0,0,0,0,0,0,0,0"/>
                        </v:shape>
                      </v:group>
                      <w10:anchorlock/>
                    </v:group>
                  </w:pict>
                </mc:Fallback>
              </mc:AlternateContent>
            </w:r>
          </w:p>
        </w:tc>
        <w:tc>
          <w:tcPr>
            <w:tcW w:w="7797" w:type="dxa"/>
            <w:shd w:val="clear" w:color="auto" w:fill="25B3E0" w:themeFill="accent6"/>
            <w:vAlign w:val="center"/>
          </w:tcPr>
          <w:p w14:paraId="42BA74C4" w14:textId="323F3FCB" w:rsidR="00417A6A" w:rsidRPr="006B5F38" w:rsidRDefault="00417A6A" w:rsidP="008532CB">
            <w:pPr>
              <w:spacing w:after="0" w:line="257" w:lineRule="auto"/>
              <w:rPr>
                <w:rFonts w:ascii="Segoe UI Semibold" w:hAnsi="Segoe UI Semibold" w:cs="Segoe UI Semibold"/>
                <w:color w:val="FFFFFF" w:themeColor="background1"/>
              </w:rPr>
            </w:pPr>
            <w:r w:rsidRPr="006B5F38">
              <w:rPr>
                <w:rFonts w:ascii="Segoe UI Semibold" w:hAnsi="Segoe UI Semibold" w:cs="Segoe UI Semibold"/>
                <w:color w:val="FFFFFF" w:themeColor="background1"/>
              </w:rPr>
              <w:t>KEY FINDINGS</w:t>
            </w:r>
          </w:p>
        </w:tc>
      </w:tr>
      <w:tr w:rsidR="00417A6A" w14:paraId="1672E86A" w14:textId="77777777" w:rsidTr="22C19DAE">
        <w:tc>
          <w:tcPr>
            <w:tcW w:w="9016" w:type="dxa"/>
            <w:gridSpan w:val="2"/>
            <w:shd w:val="clear" w:color="auto" w:fill="F2F2F2" w:themeFill="background1" w:themeFillShade="F2"/>
          </w:tcPr>
          <w:p w14:paraId="37DFEC1B" w14:textId="77777777" w:rsidR="00907782" w:rsidRDefault="00907782" w:rsidP="00907782">
            <w:pPr>
              <w:pStyle w:val="longformcalloutbullet"/>
              <w:ind w:left="426" w:hanging="284"/>
              <w:rPr>
                <w:lang w:val="en-US"/>
              </w:rPr>
            </w:pPr>
            <w:r w:rsidRPr="002A3B81">
              <w:rPr>
                <w:lang w:val="en-US"/>
              </w:rPr>
              <w:t xml:space="preserve">Health interface issues are made more complex by an increasing number of people in residential aged care, increasingly complex care needs, </w:t>
            </w:r>
            <w:r>
              <w:rPr>
                <w:lang w:val="en-US"/>
              </w:rPr>
              <w:t>complex service delivery and funding arrangements</w:t>
            </w:r>
            <w:r w:rsidRPr="002A3B81">
              <w:rPr>
                <w:lang w:val="en-US"/>
              </w:rPr>
              <w:t xml:space="preserve"> and systems under pressure. </w:t>
            </w:r>
          </w:p>
          <w:p w14:paraId="24718EEB" w14:textId="77777777" w:rsidR="00907782" w:rsidRDefault="00907782" w:rsidP="00907782">
            <w:pPr>
              <w:pStyle w:val="longformcalloutbullet"/>
              <w:ind w:left="426" w:hanging="284"/>
              <w:rPr>
                <w:lang w:val="en-US"/>
              </w:rPr>
            </w:pPr>
            <w:r>
              <w:rPr>
                <w:lang w:val="en-US"/>
              </w:rPr>
              <w:t xml:space="preserve">People living in RACFs experience health interface issues related to access and coordination of services. </w:t>
            </w:r>
          </w:p>
          <w:p w14:paraId="33848F4F" w14:textId="77777777" w:rsidR="00907782" w:rsidRPr="00D94337" w:rsidRDefault="00907782" w:rsidP="00907782">
            <w:pPr>
              <w:pStyle w:val="longformcalloutbullet"/>
              <w:ind w:left="426" w:hanging="284"/>
            </w:pPr>
            <w:r>
              <w:t xml:space="preserve">Initiatives have sought to address health system interface issues </w:t>
            </w:r>
            <w:proofErr w:type="gramStart"/>
            <w:r>
              <w:t>through the use of</w:t>
            </w:r>
            <w:proofErr w:type="gramEnd"/>
            <w:r>
              <w:t xml:space="preserve"> levers and models of care that influence policy, capability, networks and availability of expertise.</w:t>
            </w:r>
          </w:p>
          <w:p w14:paraId="7F7A9D8A" w14:textId="77777777" w:rsidR="00907782" w:rsidRDefault="00907782" w:rsidP="00907782">
            <w:pPr>
              <w:pStyle w:val="longformcalloutbullet"/>
              <w:ind w:left="426" w:hanging="284"/>
            </w:pPr>
            <w:r w:rsidRPr="002C4A56">
              <w:t>Evidence-based models of care for the provision of palliative care in RACFs provide examples for what works well</w:t>
            </w:r>
            <w:r>
              <w:t xml:space="preserve">. </w:t>
            </w:r>
          </w:p>
          <w:p w14:paraId="3B17ADCA" w14:textId="1DFAC127" w:rsidR="00417A6A" w:rsidRPr="003D04DC" w:rsidRDefault="00907782" w:rsidP="00907782">
            <w:pPr>
              <w:pStyle w:val="longformcalloutbullet"/>
              <w:ind w:left="426" w:hanging="284"/>
            </w:pPr>
            <w:r>
              <w:t xml:space="preserve">In </w:t>
            </w:r>
            <w:r w:rsidRPr="00907782">
              <w:t>addition</w:t>
            </w:r>
            <w:r>
              <w:t>, t</w:t>
            </w:r>
            <w:r w:rsidRPr="002C4A56">
              <w:t xml:space="preserve">he evidence points to </w:t>
            </w:r>
            <w:proofErr w:type="gramStart"/>
            <w:r w:rsidRPr="002C4A56">
              <w:t>a number of</w:t>
            </w:r>
            <w:proofErr w:type="gramEnd"/>
            <w:r w:rsidRPr="002C4A56">
              <w:t xml:space="preserve"> principles for successfully addressing health interface issues in RACFs</w:t>
            </w:r>
            <w:r>
              <w:t>.</w:t>
            </w:r>
          </w:p>
        </w:tc>
      </w:tr>
    </w:tbl>
    <w:p w14:paraId="778567BB" w14:textId="77777777" w:rsidR="00417A6A" w:rsidRDefault="00417A6A" w:rsidP="00767939"/>
    <w:p w14:paraId="6A86F18A" w14:textId="1D174017" w:rsidR="00767939" w:rsidRDefault="00767939" w:rsidP="00767939">
      <w:pPr>
        <w:rPr>
          <w:lang w:val="en-US"/>
        </w:rPr>
      </w:pPr>
      <w:r>
        <w:rPr>
          <w:lang w:val="en-US"/>
        </w:rPr>
        <w:t xml:space="preserve">The term ‘health interface’ is used in this context to refer to the intersection between the health and aged care systems. It describes how people </w:t>
      </w:r>
      <w:r w:rsidR="008B677F">
        <w:rPr>
          <w:lang w:val="en-US"/>
        </w:rPr>
        <w:t xml:space="preserve">with palliative care needs living in RACFs </w:t>
      </w:r>
      <w:r>
        <w:rPr>
          <w:lang w:val="en-US"/>
        </w:rPr>
        <w:t>access the health system</w:t>
      </w:r>
      <w:r w:rsidR="008B677F">
        <w:rPr>
          <w:lang w:val="en-US"/>
        </w:rPr>
        <w:t xml:space="preserve"> while in the RACF</w:t>
      </w:r>
      <w:r>
        <w:rPr>
          <w:lang w:val="en-US"/>
        </w:rPr>
        <w:t xml:space="preserve">, or as they transition between systems (see </w:t>
      </w:r>
      <w:r>
        <w:rPr>
          <w:lang w:val="en-US"/>
        </w:rPr>
        <w:fldChar w:fldCharType="begin"/>
      </w:r>
      <w:r>
        <w:rPr>
          <w:lang w:val="en-US"/>
        </w:rPr>
        <w:instrText xml:space="preserve"> REF _Ref51078056 \h </w:instrText>
      </w:r>
      <w:r>
        <w:rPr>
          <w:lang w:val="en-US"/>
        </w:rPr>
      </w:r>
      <w:r>
        <w:rPr>
          <w:lang w:val="en-US"/>
        </w:rPr>
        <w:fldChar w:fldCharType="separate"/>
      </w:r>
      <w:r w:rsidR="000E59E1">
        <w:t xml:space="preserve">Figure </w:t>
      </w:r>
      <w:r w:rsidR="000E59E1">
        <w:rPr>
          <w:noProof/>
        </w:rPr>
        <w:t>10</w:t>
      </w:r>
      <w:r>
        <w:rPr>
          <w:lang w:val="en-US"/>
        </w:rPr>
        <w:fldChar w:fldCharType="end"/>
      </w:r>
      <w:r>
        <w:rPr>
          <w:lang w:val="en-US"/>
        </w:rPr>
        <w:t>).</w:t>
      </w:r>
    </w:p>
    <w:p w14:paraId="55ED3604" w14:textId="6BAD89BD" w:rsidR="00767939" w:rsidRDefault="00767939" w:rsidP="00767939">
      <w:pPr>
        <w:pStyle w:val="Caption"/>
      </w:pPr>
      <w:bookmarkStart w:id="77" w:name="_Ref51078056"/>
      <w:r>
        <w:t xml:space="preserve">Figure </w:t>
      </w:r>
      <w:r w:rsidR="00A75C82">
        <w:fldChar w:fldCharType="begin"/>
      </w:r>
      <w:r w:rsidR="00A75C82">
        <w:instrText xml:space="preserve"> SEQ Figure \* ARABIC </w:instrText>
      </w:r>
      <w:r w:rsidR="00A75C82">
        <w:fldChar w:fldCharType="separate"/>
      </w:r>
      <w:r w:rsidR="000E59E1">
        <w:rPr>
          <w:noProof/>
        </w:rPr>
        <w:t>10</w:t>
      </w:r>
      <w:r w:rsidR="00A75C82">
        <w:fldChar w:fldCharType="end"/>
      </w:r>
      <w:bookmarkEnd w:id="77"/>
      <w:r>
        <w:t xml:space="preserve"> | The interface between health and residential aged care</w:t>
      </w:r>
    </w:p>
    <w:p w14:paraId="083E0D1A" w14:textId="1BDF9617" w:rsidR="00767939" w:rsidRPr="00914540" w:rsidRDefault="631C41E0" w:rsidP="00767939">
      <w:r>
        <w:rPr>
          <w:noProof/>
        </w:rPr>
        <w:drawing>
          <wp:inline distT="0" distB="0" distL="0" distR="0" wp14:anchorId="74CFE15E" wp14:editId="515A8CC7">
            <wp:extent cx="5670002" cy="1974980"/>
            <wp:effectExtent l="0" t="0" r="6985" b="6350"/>
            <wp:docPr id="774" name="Picture 774" descr="Figure 1- describes the interface between health and residential aged care&#10;&#10;The interface exists when people living in RACFs need to access appropriate primary, secondary and tertiary health care. This includes through health care in-reach and out-reach; engagement with GPs, specialists and allied health professionals; and transfer to hospi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 name="Picture 774" descr="Figure 1- describes the interface between health and residential aged care&#10;&#10;The interface exists when people living in RACFs need to access appropriate primary, secondary and tertiary health care. This includes through health care in-reach and out-reach; engagement with GPs, specialists and allied health professionals; and transfer to hospitals."/>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670002" cy="1974980"/>
                    </a:xfrm>
                    <a:prstGeom prst="rect">
                      <a:avLst/>
                    </a:prstGeom>
                  </pic:spPr>
                </pic:pic>
              </a:graphicData>
            </a:graphic>
          </wp:inline>
        </w:drawing>
      </w:r>
    </w:p>
    <w:p w14:paraId="03E577E5" w14:textId="0E25DAA5" w:rsidR="00E00B46" w:rsidRDefault="00E00B46" w:rsidP="00351182">
      <w:pPr>
        <w:pStyle w:val="Heading5"/>
        <w:rPr>
          <w:lang w:val="en-US"/>
        </w:rPr>
      </w:pPr>
      <w:r>
        <w:rPr>
          <w:lang w:val="en-US"/>
        </w:rPr>
        <w:t xml:space="preserve">Health interface issues are </w:t>
      </w:r>
      <w:r w:rsidR="00EE271D">
        <w:rPr>
          <w:lang w:val="en-US"/>
        </w:rPr>
        <w:t>made more complex</w:t>
      </w:r>
      <w:r w:rsidR="00C9190F">
        <w:rPr>
          <w:lang w:val="en-US"/>
        </w:rPr>
        <w:t xml:space="preserve"> by </w:t>
      </w:r>
      <w:r w:rsidR="00E43495">
        <w:rPr>
          <w:lang w:val="en-US"/>
        </w:rPr>
        <w:t>an increasing number of people in residential aged care, increasingly complex care needs</w:t>
      </w:r>
      <w:r w:rsidR="00EE271D">
        <w:rPr>
          <w:lang w:val="en-US"/>
        </w:rPr>
        <w:t>,</w:t>
      </w:r>
      <w:r w:rsidR="00597AF2">
        <w:rPr>
          <w:lang w:val="en-US"/>
        </w:rPr>
        <w:t xml:space="preserve"> and</w:t>
      </w:r>
      <w:r w:rsidR="00C9190F">
        <w:rPr>
          <w:lang w:val="en-US"/>
        </w:rPr>
        <w:t xml:space="preserve"> </w:t>
      </w:r>
      <w:r w:rsidR="00EE271D">
        <w:rPr>
          <w:lang w:val="en-US"/>
        </w:rPr>
        <w:t>systems under pressure</w:t>
      </w:r>
    </w:p>
    <w:p w14:paraId="15353987" w14:textId="77777777" w:rsidR="00E00B46" w:rsidRPr="000B62F4" w:rsidRDefault="00E00B46" w:rsidP="00E00B46">
      <w:pPr>
        <w:rPr>
          <w:lang w:val="en-US" w:eastAsia="en-AU"/>
        </w:rPr>
      </w:pPr>
      <w:r>
        <w:rPr>
          <w:lang w:val="en-US" w:eastAsia="en-AU"/>
        </w:rPr>
        <w:t>Health interface issues for people living in residential aged care with palliative care needs are made more complex by the following:</w:t>
      </w:r>
    </w:p>
    <w:p w14:paraId="35EC9F66" w14:textId="524EE85E" w:rsidR="00E00B46" w:rsidRDefault="00E00B46" w:rsidP="00F13F15">
      <w:pPr>
        <w:pStyle w:val="Bullet"/>
        <w:rPr>
          <w:lang w:val="en-US"/>
        </w:rPr>
      </w:pPr>
      <w:r w:rsidRPr="00840321">
        <w:rPr>
          <w:rFonts w:ascii="Segoe UI Semilight" w:hAnsi="Segoe UI Semilight" w:cs="Segoe UI Semilight"/>
          <w:color w:val="00264D" w:themeColor="background2"/>
          <w:lang w:val="en-US"/>
        </w:rPr>
        <w:t>The population requiring residential aged care is increasing</w:t>
      </w:r>
      <w:r w:rsidRPr="00840321">
        <w:rPr>
          <w:rFonts w:ascii="Segoe UI Semilight" w:hAnsi="Segoe UI Semilight" w:cs="Segoe UI Semilight"/>
          <w:lang w:val="en-US"/>
        </w:rPr>
        <w:t>.</w:t>
      </w:r>
      <w:r>
        <w:rPr>
          <w:lang w:val="en-US"/>
        </w:rPr>
        <w:t xml:space="preserve"> </w:t>
      </w:r>
      <w:r w:rsidRPr="009E348F">
        <w:rPr>
          <w:lang w:val="en-US"/>
        </w:rPr>
        <w:t xml:space="preserve">The proportion of people aged 65 and older in Australia is expected to increase from 15 per cent in 2016 to 22 per cent by 2056, placing </w:t>
      </w:r>
      <w:r w:rsidRPr="009E348F">
        <w:rPr>
          <w:lang w:val="en-US"/>
        </w:rPr>
        <w:lastRenderedPageBreak/>
        <w:t>increasing pressure on the health</w:t>
      </w:r>
      <w:r>
        <w:rPr>
          <w:lang w:val="en-US"/>
        </w:rPr>
        <w:t xml:space="preserve"> and aged</w:t>
      </w:r>
      <w:r w:rsidRPr="009E348F">
        <w:rPr>
          <w:lang w:val="en-US"/>
        </w:rPr>
        <w:t xml:space="preserve"> care system</w:t>
      </w:r>
      <w:r>
        <w:rPr>
          <w:lang w:val="en-US"/>
        </w:rPr>
        <w:t>s</w:t>
      </w:r>
      <w:r w:rsidRPr="009E348F">
        <w:rPr>
          <w:lang w:val="en-US"/>
        </w:rPr>
        <w:t>.</w:t>
      </w:r>
      <w:r>
        <w:rPr>
          <w:rStyle w:val="FootnoteReference"/>
          <w:lang w:val="en-US"/>
        </w:rPr>
        <w:footnoteReference w:id="143"/>
      </w:r>
      <w:r w:rsidRPr="009E348F">
        <w:rPr>
          <w:lang w:val="en-US"/>
        </w:rPr>
        <w:t xml:space="preserve"> </w:t>
      </w:r>
      <w:r>
        <w:rPr>
          <w:lang w:val="en-US"/>
        </w:rPr>
        <w:t>In 2018-19, there were 242,774 people who were permanent residents of a residential aged care facility, of which 4,341 had an Aged Care Funding Instrument (ACFI) appraisal indicating the need for palliative care.</w:t>
      </w:r>
      <w:r>
        <w:rPr>
          <w:rStyle w:val="FootnoteReference"/>
          <w:lang w:val="en-US"/>
        </w:rPr>
        <w:footnoteReference w:id="144"/>
      </w:r>
    </w:p>
    <w:p w14:paraId="51ABDE1A" w14:textId="559DBC81" w:rsidR="00E00B46" w:rsidRPr="00DD4E86" w:rsidRDefault="008C25FD" w:rsidP="00F13F15">
      <w:pPr>
        <w:pStyle w:val="Bullet"/>
        <w:rPr>
          <w:lang w:val="en-US"/>
        </w:rPr>
      </w:pPr>
      <w:r>
        <w:rPr>
          <w:rFonts w:ascii="Segoe UI Semilight" w:hAnsi="Segoe UI Semilight" w:cs="Segoe UI Semilight"/>
          <w:color w:val="00264D" w:themeColor="background2"/>
          <w:lang w:val="en-US"/>
        </w:rPr>
        <w:t>There is an increasing prevalence of complex health needs among p</w:t>
      </w:r>
      <w:r w:rsidR="00E00B46" w:rsidRPr="00C22C62">
        <w:rPr>
          <w:rFonts w:ascii="Segoe UI Semilight" w:hAnsi="Segoe UI Semilight" w:cs="Segoe UI Semilight"/>
          <w:color w:val="00264D" w:themeColor="background2"/>
          <w:lang w:val="en-US"/>
        </w:rPr>
        <w:t>eople living in residential aged care</w:t>
      </w:r>
      <w:r w:rsidR="00F421C0">
        <w:rPr>
          <w:rFonts w:ascii="Segoe UI Semilight" w:hAnsi="Segoe UI Semilight" w:cs="Segoe UI Semilight"/>
          <w:color w:val="00264D" w:themeColor="background2"/>
          <w:lang w:val="en-US"/>
        </w:rPr>
        <w:t>.</w:t>
      </w:r>
      <w:r w:rsidR="00E00B46" w:rsidRPr="00C22C62">
        <w:rPr>
          <w:rFonts w:ascii="Segoe UI Semilight" w:hAnsi="Segoe UI Semilight" w:cs="Segoe UI Semilight"/>
          <w:color w:val="00264D" w:themeColor="background2"/>
          <w:lang w:val="en-US"/>
        </w:rPr>
        <w:t xml:space="preserve"> </w:t>
      </w:r>
      <w:r w:rsidR="008D4432" w:rsidRPr="008D4432">
        <w:t xml:space="preserve">Over time the morbidity of the cohort of people living in RACFs has become increasingly complex. </w:t>
      </w:r>
      <w:r w:rsidR="00E00B46" w:rsidRPr="008D4432">
        <w:t xml:space="preserve">Permanent residents of RACFs </w:t>
      </w:r>
      <w:r w:rsidR="008D4432">
        <w:t>increasingly</w:t>
      </w:r>
      <w:r w:rsidR="00E00B46" w:rsidRPr="008D4432">
        <w:t xml:space="preserve"> have dementia and/or communication difficulties and complex care</w:t>
      </w:r>
      <w:r w:rsidR="00E00B46">
        <w:t xml:space="preserve"> needs, and there is a greater prevalence of chronic disease and comorbidity.</w:t>
      </w:r>
      <w:r w:rsidR="00E00B46">
        <w:rPr>
          <w:rStyle w:val="FootnoteReference"/>
        </w:rPr>
        <w:footnoteReference w:id="145"/>
      </w:r>
      <w:r w:rsidR="00E00B46">
        <w:t xml:space="preserve"> In addition, </w:t>
      </w:r>
      <w:r w:rsidR="00E00B46" w:rsidRPr="00DD4E86">
        <w:rPr>
          <w:lang w:val="en-US"/>
        </w:rPr>
        <w:t xml:space="preserve">disadvantaged groups of older people (for example those affected by remoteness, cognitive impairment, mental health conditions, cultural isolation, low financial capacity, homelessness, limited technology access/literacy, or fear of discrimination or abuse), face additional hurdles in engaging with </w:t>
      </w:r>
      <w:r w:rsidR="00E00B46">
        <w:rPr>
          <w:lang w:val="en-US"/>
        </w:rPr>
        <w:t>complex health and aged care systems.</w:t>
      </w:r>
    </w:p>
    <w:p w14:paraId="44E2E065" w14:textId="60982B67" w:rsidR="00F104C7" w:rsidRPr="00F104C7" w:rsidRDefault="00F104C7" w:rsidP="00F104C7">
      <w:pPr>
        <w:pStyle w:val="Bullet"/>
        <w:rPr>
          <w:lang w:val="en-US"/>
        </w:rPr>
      </w:pPr>
      <w:r w:rsidRPr="00C22C62">
        <w:rPr>
          <w:rFonts w:ascii="Segoe UI Semilight" w:hAnsi="Segoe UI Semilight" w:cs="Segoe UI Semilight"/>
          <w:color w:val="00264D" w:themeColor="background2"/>
          <w:lang w:val="en-US"/>
        </w:rPr>
        <w:t xml:space="preserve">The </w:t>
      </w:r>
      <w:r>
        <w:rPr>
          <w:rFonts w:ascii="Segoe UI Semilight" w:hAnsi="Segoe UI Semilight" w:cs="Segoe UI Semilight"/>
          <w:color w:val="00264D" w:themeColor="background2"/>
          <w:lang w:val="en-US"/>
        </w:rPr>
        <w:t>Commonwealth and state/territory f</w:t>
      </w:r>
      <w:r w:rsidR="00EA10CB">
        <w:rPr>
          <w:rFonts w:ascii="Segoe UI Semilight" w:hAnsi="Segoe UI Semilight" w:cs="Segoe UI Semilight"/>
          <w:color w:val="00264D" w:themeColor="background2"/>
          <w:lang w:val="en-US"/>
        </w:rPr>
        <w:t>unding and delivery arrangements are complex</w:t>
      </w:r>
      <w:r w:rsidRPr="00C22C62">
        <w:rPr>
          <w:rFonts w:ascii="Segoe UI Semilight" w:hAnsi="Segoe UI Semilight" w:cs="Segoe UI Semilight"/>
          <w:color w:val="00264D" w:themeColor="background2"/>
          <w:lang w:val="en-US"/>
        </w:rPr>
        <w:t>.</w:t>
      </w:r>
      <w:r>
        <w:rPr>
          <w:lang w:val="en-US"/>
        </w:rPr>
        <w:t xml:space="preserve"> </w:t>
      </w:r>
      <w:r w:rsidR="00627561">
        <w:rPr>
          <w:lang w:val="en-US"/>
        </w:rPr>
        <w:t>The evidence indicates that the overlapping responsibilit</w:t>
      </w:r>
      <w:r w:rsidR="00DA4C81">
        <w:rPr>
          <w:lang w:val="en-US"/>
        </w:rPr>
        <w:t xml:space="preserve">ies of Commonwealth and state/territory governments </w:t>
      </w:r>
      <w:r w:rsidR="006F1F5E">
        <w:rPr>
          <w:lang w:val="en-US"/>
        </w:rPr>
        <w:t>lead to conflict over responsibilities and uncertainty regarding coordination of service provision</w:t>
      </w:r>
      <w:r w:rsidR="00F26822">
        <w:rPr>
          <w:lang w:val="en-US"/>
        </w:rPr>
        <w:t>.</w:t>
      </w:r>
      <w:r w:rsidR="00F26822">
        <w:rPr>
          <w:rStyle w:val="FootnoteReference"/>
          <w:lang w:val="en-US"/>
        </w:rPr>
        <w:footnoteReference w:id="146"/>
      </w:r>
      <w:r w:rsidR="00330793">
        <w:rPr>
          <w:lang w:val="en-US"/>
        </w:rPr>
        <w:t xml:space="preserve"> </w:t>
      </w:r>
      <w:r w:rsidR="0083093E">
        <w:rPr>
          <w:lang w:val="en-US"/>
        </w:rPr>
        <w:t>Funding arrangements vary across states and territories, le</w:t>
      </w:r>
      <w:r w:rsidR="00431CD2">
        <w:rPr>
          <w:lang w:val="en-US"/>
        </w:rPr>
        <w:t>a</w:t>
      </w:r>
      <w:r w:rsidR="0083093E">
        <w:rPr>
          <w:lang w:val="en-US"/>
        </w:rPr>
        <w:t xml:space="preserve">ding to </w:t>
      </w:r>
      <w:r w:rsidR="00167361">
        <w:rPr>
          <w:lang w:val="en-US"/>
        </w:rPr>
        <w:t>regional variation and a lack of national consistency in services delivered</w:t>
      </w:r>
      <w:r w:rsidR="00AA3F95">
        <w:rPr>
          <w:lang w:val="en-US"/>
        </w:rPr>
        <w:t xml:space="preserve">, </w:t>
      </w:r>
      <w:r w:rsidR="00C74364">
        <w:rPr>
          <w:lang w:val="en-US"/>
        </w:rPr>
        <w:t xml:space="preserve">which is </w:t>
      </w:r>
      <w:r w:rsidR="00AA3F95">
        <w:rPr>
          <w:lang w:val="en-US"/>
        </w:rPr>
        <w:t xml:space="preserve">further complicated at the interface of aged care and </w:t>
      </w:r>
      <w:r w:rsidR="000B3F18">
        <w:rPr>
          <w:lang w:val="en-US"/>
        </w:rPr>
        <w:t xml:space="preserve">health systems. </w:t>
      </w:r>
    </w:p>
    <w:p w14:paraId="49746150" w14:textId="3BDD2579" w:rsidR="00E00B46" w:rsidRDefault="00E00B46" w:rsidP="00F13F15">
      <w:pPr>
        <w:pStyle w:val="Bullet"/>
        <w:rPr>
          <w:lang w:val="en-US"/>
        </w:rPr>
      </w:pPr>
      <w:r w:rsidRPr="00C22C62">
        <w:rPr>
          <w:rFonts w:ascii="Segoe UI Semilight" w:hAnsi="Segoe UI Semilight" w:cs="Segoe UI Semilight"/>
          <w:color w:val="00264D" w:themeColor="background2"/>
          <w:lang w:val="en-US"/>
        </w:rPr>
        <w:t>The aged care and health systems are interconnected, complex and facing multiple pressures.</w:t>
      </w:r>
      <w:r>
        <w:rPr>
          <w:lang w:val="en-US"/>
        </w:rPr>
        <w:t xml:space="preserve"> </w:t>
      </w:r>
      <w:r w:rsidRPr="007837E6">
        <w:rPr>
          <w:lang w:val="en-US"/>
        </w:rPr>
        <w:t>The aged care</w:t>
      </w:r>
      <w:r>
        <w:rPr>
          <w:lang w:val="en-US"/>
        </w:rPr>
        <w:t xml:space="preserve"> and health care</w:t>
      </w:r>
      <w:r w:rsidR="007D5EFE">
        <w:rPr>
          <w:lang w:val="en-US"/>
        </w:rPr>
        <w:t xml:space="preserve"> systems are</w:t>
      </w:r>
      <w:r w:rsidRPr="007837E6">
        <w:rPr>
          <w:lang w:val="en-US"/>
        </w:rPr>
        <w:t xml:space="preserve"> fragmented. </w:t>
      </w:r>
      <w:r>
        <w:rPr>
          <w:lang w:val="en-US"/>
        </w:rPr>
        <w:t>Both health and aged care have their</w:t>
      </w:r>
      <w:r w:rsidRPr="007837E6">
        <w:rPr>
          <w:lang w:val="en-US"/>
        </w:rPr>
        <w:t xml:space="preserve"> own distinct governance arrangements, funding mechanisms, eligibility criteria and entry processes. As a result, the ecosystem is difficult for older people, families and </w:t>
      </w:r>
      <w:proofErr w:type="spellStart"/>
      <w:r w:rsidRPr="007837E6">
        <w:rPr>
          <w:lang w:val="en-US"/>
        </w:rPr>
        <w:t>carers</w:t>
      </w:r>
      <w:proofErr w:type="spellEnd"/>
      <w:r w:rsidRPr="007837E6">
        <w:rPr>
          <w:lang w:val="en-US"/>
        </w:rPr>
        <w:t xml:space="preserve"> to navigate.</w:t>
      </w:r>
    </w:p>
    <w:p w14:paraId="5FE255E2" w14:textId="5D41A88F" w:rsidR="00767939" w:rsidRDefault="00767939" w:rsidP="00351182">
      <w:pPr>
        <w:pStyle w:val="Heading5"/>
        <w:rPr>
          <w:lang w:val="en-US"/>
        </w:rPr>
      </w:pPr>
      <w:r>
        <w:rPr>
          <w:lang w:val="en-US"/>
        </w:rPr>
        <w:t>Older people living in RACFs experience health interface issues related to access and coordination of services</w:t>
      </w:r>
    </w:p>
    <w:p w14:paraId="23AF3A23" w14:textId="6EAD1F43" w:rsidR="00CF0C83" w:rsidRDefault="00872D67" w:rsidP="00767939">
      <w:pPr>
        <w:rPr>
          <w:lang w:val="en-US" w:eastAsia="en-AU"/>
        </w:rPr>
      </w:pPr>
      <w:r>
        <w:rPr>
          <w:lang w:val="en-US" w:eastAsia="en-AU"/>
        </w:rPr>
        <w:t>Evidence indicated that a</w:t>
      </w:r>
      <w:r w:rsidR="00767939">
        <w:rPr>
          <w:lang w:val="en-US" w:eastAsia="en-AU"/>
        </w:rPr>
        <w:t>ccess to and coordination of health services is challenging for many people living in RACFs.</w:t>
      </w:r>
      <w:r>
        <w:rPr>
          <w:rStyle w:val="FootnoteReference"/>
          <w:lang w:val="en-US" w:eastAsia="en-AU"/>
        </w:rPr>
        <w:footnoteReference w:id="147"/>
      </w:r>
      <w:r w:rsidR="00767939">
        <w:rPr>
          <w:lang w:val="en-US" w:eastAsia="en-AU"/>
        </w:rPr>
        <w:t xml:space="preserve"> These issues apply to all older people living in RACFs, but are of particular relevance for people with palliative care needs who often have more complex </w:t>
      </w:r>
      <w:r w:rsidR="008242B4">
        <w:rPr>
          <w:lang w:val="en-US" w:eastAsia="en-AU"/>
        </w:rPr>
        <w:t xml:space="preserve">health and aged </w:t>
      </w:r>
      <w:r w:rsidR="00767939">
        <w:rPr>
          <w:lang w:val="en-US" w:eastAsia="en-AU"/>
        </w:rPr>
        <w:t xml:space="preserve">care needs and a greater need to interact with </w:t>
      </w:r>
      <w:r w:rsidR="008242B4">
        <w:rPr>
          <w:lang w:val="en-US" w:eastAsia="en-AU"/>
        </w:rPr>
        <w:t>both</w:t>
      </w:r>
      <w:r w:rsidR="00767939">
        <w:rPr>
          <w:lang w:val="en-US" w:eastAsia="en-AU"/>
        </w:rPr>
        <w:t xml:space="preserve"> system</w:t>
      </w:r>
      <w:r w:rsidR="00653316">
        <w:rPr>
          <w:lang w:val="en-US" w:eastAsia="en-AU"/>
        </w:rPr>
        <w:t>s</w:t>
      </w:r>
      <w:r w:rsidR="00767939">
        <w:rPr>
          <w:lang w:val="en-US" w:eastAsia="en-AU"/>
        </w:rPr>
        <w:t xml:space="preserve">. </w:t>
      </w:r>
    </w:p>
    <w:p w14:paraId="09059EB7" w14:textId="4E1C0316" w:rsidR="00767939" w:rsidRPr="00FE7CA4" w:rsidRDefault="004B1B2F" w:rsidP="00767939">
      <w:pPr>
        <w:rPr>
          <w:lang w:val="en-US" w:eastAsia="en-AU"/>
        </w:rPr>
      </w:pPr>
      <w:r>
        <w:rPr>
          <w:lang w:val="en-US" w:eastAsia="en-AU"/>
        </w:rPr>
        <w:t>Evidence suggested that the following are key health interface issues</w:t>
      </w:r>
      <w:r w:rsidR="00C7196F">
        <w:rPr>
          <w:lang w:val="en-US" w:eastAsia="en-AU"/>
        </w:rPr>
        <w:t xml:space="preserve"> that RACFs, primary care and acute care sectors are seeking to address</w:t>
      </w:r>
      <w:r w:rsidR="00767939">
        <w:rPr>
          <w:lang w:val="en-US" w:eastAsia="en-AU"/>
        </w:rPr>
        <w:t>:</w:t>
      </w:r>
    </w:p>
    <w:p w14:paraId="37A67D44" w14:textId="27C4011E" w:rsidR="00767939" w:rsidRDefault="00767939" w:rsidP="00767939">
      <w:pPr>
        <w:pStyle w:val="Bullet"/>
        <w:rPr>
          <w:lang w:val="en-US"/>
        </w:rPr>
      </w:pPr>
      <w:r>
        <w:rPr>
          <w:lang w:val="en-US"/>
        </w:rPr>
        <w:t>access to primary health care services</w:t>
      </w:r>
      <w:r w:rsidR="008A3326">
        <w:rPr>
          <w:lang w:val="en-US"/>
        </w:rPr>
        <w:t>;</w:t>
      </w:r>
      <w:r>
        <w:rPr>
          <w:rStyle w:val="FootnoteReference"/>
          <w:lang w:val="en-US"/>
        </w:rPr>
        <w:footnoteReference w:id="148"/>
      </w:r>
    </w:p>
    <w:p w14:paraId="092068AE" w14:textId="30250576" w:rsidR="00767939" w:rsidRPr="00904B27" w:rsidRDefault="00767939" w:rsidP="00767939">
      <w:pPr>
        <w:pStyle w:val="Bullet"/>
        <w:rPr>
          <w:lang w:val="en-US"/>
        </w:rPr>
      </w:pPr>
      <w:r>
        <w:rPr>
          <w:lang w:val="en-US"/>
        </w:rPr>
        <w:t>access to secondary and tertiary health care services, such as specialists or allied health professionals</w:t>
      </w:r>
      <w:r w:rsidR="008A3326">
        <w:rPr>
          <w:lang w:val="en-US"/>
        </w:rPr>
        <w:t>;</w:t>
      </w:r>
      <w:r>
        <w:rPr>
          <w:rStyle w:val="FootnoteReference"/>
          <w:lang w:val="en-US"/>
        </w:rPr>
        <w:footnoteReference w:id="149"/>
      </w:r>
    </w:p>
    <w:p w14:paraId="3B5C9FEC" w14:textId="174F5D61" w:rsidR="00767939" w:rsidRDefault="00767939" w:rsidP="00767939">
      <w:pPr>
        <w:pStyle w:val="Bullet"/>
        <w:rPr>
          <w:lang w:val="en-US"/>
        </w:rPr>
      </w:pPr>
      <w:r>
        <w:rPr>
          <w:lang w:val="en-US"/>
        </w:rPr>
        <w:t>avoiding unnecessary transfers to hospital emergency departments, which are often due to challenges accessing appropriate health services from within the RACF</w:t>
      </w:r>
      <w:r w:rsidR="008A3326">
        <w:rPr>
          <w:lang w:val="en-US"/>
        </w:rPr>
        <w:t>;</w:t>
      </w:r>
      <w:r>
        <w:rPr>
          <w:rStyle w:val="FootnoteReference"/>
          <w:lang w:val="en-US"/>
        </w:rPr>
        <w:footnoteReference w:id="150"/>
      </w:r>
    </w:p>
    <w:p w14:paraId="0ACBE045" w14:textId="5D46256C" w:rsidR="008A3326" w:rsidRDefault="008A3326" w:rsidP="00767939">
      <w:pPr>
        <w:pStyle w:val="Bullet"/>
        <w:rPr>
          <w:lang w:val="en-US"/>
        </w:rPr>
      </w:pPr>
      <w:r>
        <w:rPr>
          <w:lang w:val="en-US"/>
        </w:rPr>
        <w:lastRenderedPageBreak/>
        <w:t>poor clinical handover</w:t>
      </w:r>
      <w:r w:rsidR="00D92A72">
        <w:rPr>
          <w:lang w:val="en-US"/>
        </w:rPr>
        <w:t>s</w:t>
      </w:r>
      <w:r>
        <w:rPr>
          <w:lang w:val="en-US"/>
        </w:rPr>
        <w:t xml:space="preserve"> that occur </w:t>
      </w:r>
      <w:r w:rsidR="00D92A72">
        <w:rPr>
          <w:lang w:val="en-US"/>
        </w:rPr>
        <w:t xml:space="preserve">when </w:t>
      </w:r>
      <w:r>
        <w:rPr>
          <w:lang w:val="en-US"/>
        </w:rPr>
        <w:t>residents are required to transition between RACFs and the health system;</w:t>
      </w:r>
      <w:r>
        <w:rPr>
          <w:rStyle w:val="FootnoteReference"/>
          <w:lang w:val="en-US"/>
        </w:rPr>
        <w:footnoteReference w:id="151"/>
      </w:r>
    </w:p>
    <w:p w14:paraId="6B6FE9DD" w14:textId="5177A27D" w:rsidR="001F1070" w:rsidRPr="001F1070" w:rsidRDefault="00767939" w:rsidP="001F1070">
      <w:pPr>
        <w:pStyle w:val="Bullet"/>
        <w:rPr>
          <w:lang w:val="en-US"/>
        </w:rPr>
      </w:pPr>
      <w:r>
        <w:rPr>
          <w:lang w:val="en-US"/>
        </w:rPr>
        <w:t>coordination of the various health and aged care services that a person is accessing</w:t>
      </w:r>
      <w:r w:rsidR="008A3326">
        <w:rPr>
          <w:lang w:val="en-US"/>
        </w:rPr>
        <w:t>;</w:t>
      </w:r>
      <w:r>
        <w:rPr>
          <w:rStyle w:val="FootnoteReference"/>
          <w:lang w:val="en-US"/>
        </w:rPr>
        <w:footnoteReference w:id="152"/>
      </w:r>
    </w:p>
    <w:p w14:paraId="6C71B7C3" w14:textId="7A9F5949" w:rsidR="002A06A5" w:rsidRPr="00100F24" w:rsidRDefault="00573D90" w:rsidP="00396563">
      <w:pPr>
        <w:pStyle w:val="Bullet"/>
        <w:rPr>
          <w:lang w:val="en-US"/>
        </w:rPr>
      </w:pPr>
      <w:r w:rsidRPr="00100F24">
        <w:rPr>
          <w:lang w:val="en-US"/>
        </w:rPr>
        <w:t>continuity of care when transitioning into a RACF</w:t>
      </w:r>
      <w:r w:rsidR="00100F24">
        <w:t xml:space="preserve"> </w:t>
      </w:r>
      <w:r w:rsidR="005A25D6">
        <w:t xml:space="preserve">and </w:t>
      </w:r>
      <w:r w:rsidR="00CA4C8C" w:rsidRPr="00100F24">
        <w:rPr>
          <w:lang w:val="en-US"/>
        </w:rPr>
        <w:t xml:space="preserve">communication between </w:t>
      </w:r>
      <w:r w:rsidR="004659CE" w:rsidRPr="00100F24">
        <w:rPr>
          <w:lang w:val="en-US"/>
        </w:rPr>
        <w:t>hospitals and RACF when transitioning</w:t>
      </w:r>
      <w:r w:rsidR="006A4EF6">
        <w:rPr>
          <w:lang w:val="en-US"/>
        </w:rPr>
        <w:t xml:space="preserve"> between health and aged care services</w:t>
      </w:r>
      <w:r w:rsidR="00635D12">
        <w:rPr>
          <w:rStyle w:val="FootnoteReference"/>
          <w:lang w:val="en-US"/>
        </w:rPr>
        <w:footnoteReference w:id="153"/>
      </w:r>
      <w:r w:rsidR="008A3326">
        <w:rPr>
          <w:lang w:val="en-US"/>
        </w:rPr>
        <w:t xml:space="preserve"> </w:t>
      </w:r>
      <w:r w:rsidR="00EF7ED7">
        <w:rPr>
          <w:lang w:val="en-US"/>
        </w:rPr>
        <w:t>which includes poor clinical handovers that occur when residents are required to transition between RACFs and the health system;</w:t>
      </w:r>
      <w:r w:rsidR="00EF7ED7">
        <w:rPr>
          <w:rStyle w:val="FootnoteReference"/>
          <w:lang w:val="en-US"/>
        </w:rPr>
        <w:footnoteReference w:id="154"/>
      </w:r>
      <w:r w:rsidR="00EF7ED7">
        <w:rPr>
          <w:lang w:val="en-US"/>
        </w:rPr>
        <w:t xml:space="preserve"> </w:t>
      </w:r>
      <w:r w:rsidR="008A3326" w:rsidRPr="00EF7ED7">
        <w:rPr>
          <w:lang w:val="en-US"/>
        </w:rPr>
        <w:t>and</w:t>
      </w:r>
    </w:p>
    <w:p w14:paraId="322455F3" w14:textId="58E80C5F" w:rsidR="00767939" w:rsidRDefault="00767939" w:rsidP="00767939">
      <w:pPr>
        <w:pStyle w:val="Bullet"/>
        <w:rPr>
          <w:lang w:val="en-US"/>
        </w:rPr>
      </w:pPr>
      <w:r>
        <w:rPr>
          <w:lang w:val="en-US"/>
        </w:rPr>
        <w:t>a lack of support to navigate the complex health and aged care systems.</w:t>
      </w:r>
      <w:r>
        <w:rPr>
          <w:rStyle w:val="FootnoteReference"/>
          <w:lang w:val="en-US"/>
        </w:rPr>
        <w:footnoteReference w:id="155"/>
      </w:r>
    </w:p>
    <w:p w14:paraId="561956F8" w14:textId="23E185F0" w:rsidR="00D8521F" w:rsidRDefault="00D8521F" w:rsidP="00D8521F">
      <w:pPr>
        <w:rPr>
          <w:lang w:val="en-US"/>
        </w:rPr>
      </w:pPr>
      <w:r>
        <w:rPr>
          <w:lang w:val="en-US"/>
        </w:rPr>
        <w:t>Access to</w:t>
      </w:r>
      <w:r w:rsidR="00EE2BD8">
        <w:rPr>
          <w:lang w:val="en-US"/>
        </w:rPr>
        <w:t xml:space="preserve"> </w:t>
      </w:r>
      <w:r>
        <w:rPr>
          <w:lang w:val="en-US"/>
        </w:rPr>
        <w:t>health services</w:t>
      </w:r>
      <w:r w:rsidR="00EE2BD8">
        <w:rPr>
          <w:lang w:val="en-US"/>
        </w:rPr>
        <w:t xml:space="preserve"> is a particular challenge for people living in RACFs. This is particularly true for allied health</w:t>
      </w:r>
      <w:r w:rsidR="00D9215B">
        <w:rPr>
          <w:lang w:val="en-US"/>
        </w:rPr>
        <w:t xml:space="preserve"> services</w:t>
      </w:r>
      <w:r w:rsidR="00EE2BD8">
        <w:rPr>
          <w:lang w:val="en-US"/>
        </w:rPr>
        <w:t xml:space="preserve">, which form an important part of multidisciplinary palliative care teams. </w:t>
      </w:r>
    </w:p>
    <w:tbl>
      <w:tblPr>
        <w:tblStyle w:val="TableGrid"/>
        <w:tblW w:w="0" w:type="auto"/>
        <w:tblBorders>
          <w:top w:val="single" w:sz="8" w:space="0" w:color="00264D" w:themeColor="background2"/>
          <w:left w:val="single" w:sz="8" w:space="0" w:color="00264D" w:themeColor="background2"/>
          <w:bottom w:val="single" w:sz="8" w:space="0" w:color="00264D" w:themeColor="background2"/>
          <w:right w:val="single" w:sz="8" w:space="0" w:color="00264D" w:themeColor="background2"/>
          <w:insideH w:val="single" w:sz="8" w:space="0" w:color="00264D" w:themeColor="background2"/>
          <w:insideV w:val="single" w:sz="8" w:space="0" w:color="00264D" w:themeColor="background2"/>
        </w:tblBorders>
        <w:tblLook w:val="0400" w:firstRow="0" w:lastRow="0" w:firstColumn="0" w:lastColumn="0" w:noHBand="0" w:noVBand="1"/>
        <w:tblCaption w:val="The Royal Commission into Aged Care Quality and Safety"/>
        <w:tblDescription w:val="Hearings for the Royal Commission into Aged Care Quality and Safety have highlighted health system interface issues in the provision of palliative care in RACFs, noting that the aged care system should be integrated with the disability care system, the general healthcare system and the public oral healthcare system. Some also demonstrated the need to delineate what is within the scope of RACFs to manage, and what is not. The Royal Commission heard that:  &#10;&#10;“Residential care and the services for older people tend to be planned as if it’s a completely separate part of your life and that there’s an expectation if you’re in aged care that every single need that you have will be met by aged care and, in fact, that’s not the case.”"/>
      </w:tblPr>
      <w:tblGrid>
        <w:gridCol w:w="8930"/>
      </w:tblGrid>
      <w:tr w:rsidR="003A6FB4" w14:paraId="091BF286" w14:textId="77777777" w:rsidTr="22C19DAE">
        <w:tc>
          <w:tcPr>
            <w:tcW w:w="9214" w:type="dxa"/>
            <w:tcBorders>
              <w:top w:val="single" w:sz="18" w:space="0" w:color="00264D" w:themeColor="background2"/>
              <w:left w:val="nil"/>
              <w:bottom w:val="nil"/>
              <w:right w:val="nil"/>
            </w:tcBorders>
            <w:shd w:val="clear" w:color="auto" w:fill="EDEDE8" w:themeFill="accent5"/>
          </w:tcPr>
          <w:p w14:paraId="46DEE52D" w14:textId="73120B74" w:rsidR="003A6FB4" w:rsidRPr="007F6FD1" w:rsidRDefault="007F6FD1" w:rsidP="00020F39">
            <w:pPr>
              <w:pStyle w:val="Longformcallout"/>
              <w:spacing w:after="120"/>
              <w:rPr>
                <w:rFonts w:ascii="Segoe UI Semibold" w:hAnsi="Segoe UI Semibold" w:cs="Segoe UI Semibold"/>
              </w:rPr>
            </w:pPr>
            <w:r w:rsidRPr="007F6FD1">
              <w:rPr>
                <w:rFonts w:ascii="Segoe UI Semibold" w:hAnsi="Segoe UI Semibold" w:cs="Segoe UI Semibold"/>
              </w:rPr>
              <w:t>THE ROYAL COMMISSION INTO AGED CARE QUALITY AND SAFETY</w:t>
            </w:r>
          </w:p>
          <w:p w14:paraId="7906F3B8" w14:textId="3940EA6C" w:rsidR="00F27E2B" w:rsidRDefault="007F6FD1" w:rsidP="00F27E2B">
            <w:pPr>
              <w:pStyle w:val="Longformcallout"/>
              <w:spacing w:after="120"/>
            </w:pPr>
            <w:r>
              <w:t xml:space="preserve">Hearings for the Royal Commission into Aged Care Quality and Safety have highlighted </w:t>
            </w:r>
            <w:r w:rsidR="00E97402">
              <w:t>health system interface issues in the provision of palliative care in RACFs</w:t>
            </w:r>
            <w:r w:rsidR="00EE126C">
              <w:t xml:space="preserve">, noting that the </w:t>
            </w:r>
            <w:r w:rsidR="00EE126C" w:rsidRPr="00EE126C">
              <w:t>aged care system should be integrated with the disability care system, the general healthcare system and the public oral healthcare system</w:t>
            </w:r>
            <w:r w:rsidR="00F1634B">
              <w:t xml:space="preserve">. </w:t>
            </w:r>
            <w:r w:rsidR="00C167A4">
              <w:t>Some also demonstrated</w:t>
            </w:r>
            <w:r w:rsidR="00C167A4">
              <w:rPr>
                <w:lang w:val="en-US"/>
              </w:rPr>
              <w:t xml:space="preserve"> the need to delineate what is within the scope of RACFs to manage, and what is not</w:t>
            </w:r>
            <w:r w:rsidR="00C167A4">
              <w:t xml:space="preserve">. </w:t>
            </w:r>
            <w:r w:rsidR="00F1634B">
              <w:t>The Royal Commission heard that:</w:t>
            </w:r>
            <w:r w:rsidR="00EE126C">
              <w:rPr>
                <w:rStyle w:val="FootnoteReference"/>
              </w:rPr>
              <w:t xml:space="preserve"> </w:t>
            </w:r>
          </w:p>
          <w:p w14:paraId="66B000CF" w14:textId="4EF71C56" w:rsidR="003A6FB4" w:rsidRPr="00C713E2" w:rsidRDefault="005045B8" w:rsidP="00F27E2B">
            <w:pPr>
              <w:pStyle w:val="Longformcallout"/>
              <w:spacing w:before="240" w:after="120"/>
              <w:ind w:left="567"/>
            </w:pPr>
            <w:r>
              <w:t>“</w:t>
            </w:r>
            <w:r w:rsidRPr="005045B8">
              <w:rPr>
                <w:rFonts w:ascii="Segoe UI Semilight" w:hAnsi="Segoe UI Semilight" w:cs="Segoe UI Semilight"/>
              </w:rPr>
              <w:t>R</w:t>
            </w:r>
            <w:r w:rsidR="00777FE0" w:rsidRPr="005045B8">
              <w:rPr>
                <w:rFonts w:ascii="Segoe UI Semilight" w:hAnsi="Segoe UI Semilight" w:cs="Segoe UI Semilight"/>
              </w:rPr>
              <w:t>esidential care and the services for older people tend to be planned as if it’s a completely separate part of your life and that there’s an expectation if you’re in aged care that every single need that you have will be met by aged care and, in fact, that’s not the case</w:t>
            </w:r>
            <w:r w:rsidRPr="005045B8">
              <w:rPr>
                <w:rFonts w:ascii="Segoe UI Semilight" w:hAnsi="Segoe UI Semilight" w:cs="Segoe UI Semilight"/>
              </w:rPr>
              <w:t>.”</w:t>
            </w:r>
            <w:r>
              <w:rPr>
                <w:rStyle w:val="FootnoteReference"/>
              </w:rPr>
              <w:t xml:space="preserve"> </w:t>
            </w:r>
            <w:r>
              <w:rPr>
                <w:rStyle w:val="FootnoteReference"/>
              </w:rPr>
              <w:footnoteReference w:id="156"/>
            </w:r>
          </w:p>
        </w:tc>
      </w:tr>
    </w:tbl>
    <w:p w14:paraId="0210DBB5" w14:textId="167112A7" w:rsidR="000E5949" w:rsidRDefault="000E5949" w:rsidP="000E5949">
      <w:pPr>
        <w:pStyle w:val="Heading3"/>
      </w:pPr>
      <w:bookmarkStart w:id="78" w:name="_Toc82767270"/>
      <w:r>
        <w:t xml:space="preserve">How have RACF initiatives </w:t>
      </w:r>
      <w:r w:rsidR="00014B4E">
        <w:t>addressed</w:t>
      </w:r>
      <w:r>
        <w:t xml:space="preserve"> health system interface issues?</w:t>
      </w:r>
      <w:bookmarkEnd w:id="78"/>
    </w:p>
    <w:p w14:paraId="6A13F184" w14:textId="1A87B303" w:rsidR="00D94337" w:rsidRPr="00D94337" w:rsidRDefault="00D94337" w:rsidP="00351182">
      <w:pPr>
        <w:pStyle w:val="Heading5"/>
      </w:pPr>
      <w:r>
        <w:t xml:space="preserve">Initiatives have sought to address health system interface issues through </w:t>
      </w:r>
      <w:r w:rsidR="009B3998">
        <w:t>approache</w:t>
      </w:r>
      <w:r w:rsidR="00495066">
        <w:t>s</w:t>
      </w:r>
      <w:r w:rsidR="009B3998">
        <w:t xml:space="preserve"> </w:t>
      </w:r>
      <w:r w:rsidR="0048638C">
        <w:t xml:space="preserve">that influence policy, capability, </w:t>
      </w:r>
      <w:proofErr w:type="gramStart"/>
      <w:r w:rsidR="0048638C">
        <w:t>networks</w:t>
      </w:r>
      <w:proofErr w:type="gramEnd"/>
      <w:r w:rsidR="0048638C">
        <w:t xml:space="preserve"> and </w:t>
      </w:r>
      <w:r w:rsidR="00C34D14">
        <w:t>availability of expertise</w:t>
      </w:r>
    </w:p>
    <w:p w14:paraId="77B47A41" w14:textId="3F778693" w:rsidR="00D423E8" w:rsidRDefault="003A54B4" w:rsidP="00D423E8">
      <w:pPr>
        <w:rPr>
          <w:lang w:eastAsia="en-AU"/>
        </w:rPr>
      </w:pPr>
      <w:r>
        <w:rPr>
          <w:lang w:eastAsia="en-AU"/>
        </w:rPr>
        <w:t>Initiatives</w:t>
      </w:r>
      <w:r w:rsidR="00FD36E3">
        <w:rPr>
          <w:lang w:eastAsia="en-AU"/>
        </w:rPr>
        <w:t xml:space="preserve"> have access to a number of ‘levers’ through which to </w:t>
      </w:r>
      <w:r w:rsidR="005F36BE">
        <w:rPr>
          <w:lang w:eastAsia="en-AU"/>
        </w:rPr>
        <w:t xml:space="preserve">improve health interface issues in RACFs. These levers can </w:t>
      </w:r>
      <w:r w:rsidR="00EF2F39">
        <w:rPr>
          <w:lang w:eastAsia="en-AU"/>
        </w:rPr>
        <w:t>focus on</w:t>
      </w:r>
      <w:r w:rsidR="005F36BE">
        <w:rPr>
          <w:lang w:eastAsia="en-AU"/>
        </w:rPr>
        <w:t xml:space="preserve"> policy and governance; funding; capa</w:t>
      </w:r>
      <w:r w:rsidR="00D23D6C">
        <w:rPr>
          <w:lang w:eastAsia="en-AU"/>
        </w:rPr>
        <w:t>bility; networks and relationships; availability of expertise</w:t>
      </w:r>
      <w:r w:rsidR="00C71FC6">
        <w:rPr>
          <w:lang w:eastAsia="en-AU"/>
        </w:rPr>
        <w:t xml:space="preserve"> and others. </w:t>
      </w:r>
      <w:r w:rsidR="00EF2F39">
        <w:rPr>
          <w:lang w:eastAsia="en-AU"/>
        </w:rPr>
        <w:t>Key</w:t>
      </w:r>
      <w:r w:rsidR="00C71FC6">
        <w:rPr>
          <w:lang w:eastAsia="en-AU"/>
        </w:rPr>
        <w:t xml:space="preserve"> </w:t>
      </w:r>
      <w:r w:rsidR="0034226C">
        <w:rPr>
          <w:lang w:eastAsia="en-AU"/>
        </w:rPr>
        <w:t>approache</w:t>
      </w:r>
      <w:r w:rsidR="00EF2F39">
        <w:rPr>
          <w:lang w:eastAsia="en-AU"/>
        </w:rPr>
        <w:t>s</w:t>
      </w:r>
      <w:r w:rsidR="0034226C">
        <w:rPr>
          <w:lang w:eastAsia="en-AU"/>
        </w:rPr>
        <w:t xml:space="preserve"> to overcome health interface issues in the RACF setting</w:t>
      </w:r>
      <w:r w:rsidR="00C71FC6">
        <w:rPr>
          <w:lang w:eastAsia="en-AU"/>
        </w:rPr>
        <w:t xml:space="preserve"> identified in this literature review and accompanying examples are described in </w:t>
      </w:r>
      <w:r w:rsidR="00C71FC6">
        <w:rPr>
          <w:lang w:eastAsia="en-AU"/>
        </w:rPr>
        <w:fldChar w:fldCharType="begin"/>
      </w:r>
      <w:r w:rsidR="00C71FC6">
        <w:rPr>
          <w:lang w:eastAsia="en-AU"/>
        </w:rPr>
        <w:instrText xml:space="preserve"> REF _Ref51248495 \h </w:instrText>
      </w:r>
      <w:r w:rsidR="00C71FC6">
        <w:rPr>
          <w:lang w:eastAsia="en-AU"/>
        </w:rPr>
      </w:r>
      <w:r w:rsidR="00C71FC6">
        <w:rPr>
          <w:lang w:eastAsia="en-AU"/>
        </w:rPr>
        <w:fldChar w:fldCharType="separate"/>
      </w:r>
      <w:r w:rsidR="000E59E1">
        <w:t xml:space="preserve">Table </w:t>
      </w:r>
      <w:r w:rsidR="000E59E1">
        <w:rPr>
          <w:noProof/>
        </w:rPr>
        <w:t>5</w:t>
      </w:r>
      <w:r w:rsidR="00C71FC6">
        <w:rPr>
          <w:lang w:eastAsia="en-AU"/>
        </w:rPr>
        <w:fldChar w:fldCharType="end"/>
      </w:r>
      <w:r w:rsidR="00C71FC6">
        <w:rPr>
          <w:lang w:eastAsia="en-AU"/>
        </w:rPr>
        <w:t>.</w:t>
      </w:r>
      <w:r w:rsidR="0039137F">
        <w:rPr>
          <w:lang w:eastAsia="en-AU"/>
        </w:rPr>
        <w:t xml:space="preserve"> </w:t>
      </w:r>
      <w:r w:rsidR="0001625C">
        <w:rPr>
          <w:lang w:eastAsia="en-AU"/>
        </w:rPr>
        <w:t>Many</w:t>
      </w:r>
      <w:r w:rsidR="0039137F">
        <w:rPr>
          <w:lang w:eastAsia="en-AU"/>
        </w:rPr>
        <w:t xml:space="preserve"> models of care act to address the health system interface</w:t>
      </w:r>
      <w:r w:rsidR="0001625C">
        <w:rPr>
          <w:lang w:eastAsia="en-AU"/>
        </w:rPr>
        <w:t xml:space="preserve">; </w:t>
      </w:r>
      <w:r w:rsidR="004240CC">
        <w:rPr>
          <w:lang w:eastAsia="en-AU"/>
        </w:rPr>
        <w:t>where</w:t>
      </w:r>
      <w:r w:rsidR="0001625C">
        <w:rPr>
          <w:lang w:eastAsia="en-AU"/>
        </w:rPr>
        <w:t xml:space="preserve"> examples are noted below</w:t>
      </w:r>
      <w:r w:rsidR="004240CC">
        <w:rPr>
          <w:lang w:eastAsia="en-AU"/>
        </w:rPr>
        <w:t>,</w:t>
      </w:r>
      <w:r w:rsidR="0001625C">
        <w:rPr>
          <w:lang w:eastAsia="en-AU"/>
        </w:rPr>
        <w:t xml:space="preserve"> greater detail </w:t>
      </w:r>
      <w:r w:rsidR="004240CC">
        <w:rPr>
          <w:lang w:eastAsia="en-AU"/>
        </w:rPr>
        <w:t xml:space="preserve">is </w:t>
      </w:r>
      <w:r w:rsidR="0001625C">
        <w:rPr>
          <w:lang w:eastAsia="en-AU"/>
        </w:rPr>
        <w:t xml:space="preserve">provided in </w:t>
      </w:r>
      <w:r w:rsidR="0001625C">
        <w:rPr>
          <w:lang w:eastAsia="en-AU"/>
        </w:rPr>
        <w:fldChar w:fldCharType="begin"/>
      </w:r>
      <w:r w:rsidR="0001625C">
        <w:rPr>
          <w:lang w:eastAsia="en-AU"/>
        </w:rPr>
        <w:instrText xml:space="preserve"> REF _Ref51163437 \r \h </w:instrText>
      </w:r>
      <w:r w:rsidR="0001625C">
        <w:rPr>
          <w:lang w:eastAsia="en-AU"/>
        </w:rPr>
      </w:r>
      <w:r w:rsidR="0001625C">
        <w:rPr>
          <w:lang w:eastAsia="en-AU"/>
        </w:rPr>
        <w:fldChar w:fldCharType="separate"/>
      </w:r>
      <w:r w:rsidR="000E59E1">
        <w:rPr>
          <w:lang w:eastAsia="en-AU"/>
        </w:rPr>
        <w:t>Appendix A</w:t>
      </w:r>
      <w:r w:rsidR="0001625C">
        <w:rPr>
          <w:lang w:eastAsia="en-AU"/>
        </w:rPr>
        <w:fldChar w:fldCharType="end"/>
      </w:r>
      <w:r w:rsidR="0001625C">
        <w:rPr>
          <w:lang w:eastAsia="en-AU"/>
        </w:rPr>
        <w:t>.</w:t>
      </w:r>
    </w:p>
    <w:p w14:paraId="2C38F229" w14:textId="454EDC51" w:rsidR="00FF6422" w:rsidRDefault="00C71FC6" w:rsidP="00C71FC6">
      <w:pPr>
        <w:pStyle w:val="Caption"/>
      </w:pPr>
      <w:bookmarkStart w:id="79" w:name="_Ref51248495"/>
      <w:r>
        <w:t xml:space="preserve">Table </w:t>
      </w:r>
      <w:r>
        <w:fldChar w:fldCharType="begin"/>
      </w:r>
      <w:r>
        <w:instrText xml:space="preserve"> SEQ Table \* ARABIC </w:instrText>
      </w:r>
      <w:r>
        <w:fldChar w:fldCharType="separate"/>
      </w:r>
      <w:r w:rsidR="000E59E1">
        <w:rPr>
          <w:noProof/>
        </w:rPr>
        <w:t>5</w:t>
      </w:r>
      <w:r>
        <w:fldChar w:fldCharType="end"/>
      </w:r>
      <w:bookmarkEnd w:id="79"/>
      <w:r>
        <w:t xml:space="preserve"> | </w:t>
      </w:r>
      <w:r w:rsidR="00FF6422">
        <w:t xml:space="preserve">RACF initiatives address health system interface issues using </w:t>
      </w:r>
      <w:proofErr w:type="gramStart"/>
      <w:r w:rsidR="00FF6422">
        <w:t>a number of</w:t>
      </w:r>
      <w:proofErr w:type="gramEnd"/>
      <w:r w:rsidR="00FF6422">
        <w:t xml:space="preserve"> levers</w:t>
      </w:r>
    </w:p>
    <w:tbl>
      <w:tblPr>
        <w:tblStyle w:val="TableGrid"/>
        <w:tblW w:w="0" w:type="auto"/>
        <w:tblLook w:val="04A0" w:firstRow="1" w:lastRow="0" w:firstColumn="1" w:lastColumn="0" w:noHBand="0" w:noVBand="1"/>
        <w:tblCaption w:val="RACF initiatives to overcome health interface issues"/>
        <w:tblDescription w:val="In addressing health interface issues through Policy, although no national strategy for palliative care in residential aged care exists, the National Palliative Care Strategy (2018) broadly encompasses provision of palliative care in RACFs. This includes goals and priorities to increase understanding, capability, and collaboration among others. &#10;The Principles for Palliative and End-of-Life Care in Residential Aged Care were developed collaboratively by seven peak bodies and organisations. It describes the key principles for the provision of palliative and end of life care in RACFs.&#10;&#10;For funding models, the literature indicates that suboptimal funding structures contribute to health interface issues. A proposition to improve the health interface in residential aged care is the introduction of funding models that incentivise proactive coordination and delivery of care.&#10;&#10;To overcome health interface issues by building capability through education, information and resource, The Residential Aged Care Palliative Approach Toolkit (the PA Toolkit) was a set of clinical, educational and management resources designed to guide and support residential aged care facilities to implement a comprehensive, evidence-based and person-centred approach to palliative care. The PA Toolkit was developed in 2009 but was retired in 2020 and replaced by other general and specific palliative care and aged care resources and information.&#10;&#10;The Indigenous Palliative Care Service Delivery Conceptual Model is a conceptual model that outlines key principles for Indigenous palliative care service delivery.&#10;&#10;End of Life Directions for Aged Care (ELDAC) is not specific to RACFs, but provides a national advisory service for specialist palliative care and advance care planning. It provides resources to equip care providers with skills and information to help older Australians receive high-quality end of life care.&#10;&#10;Some approaches aim to overcome health interface issues by building relationships and integrating care. As noted in Section 3.2, integrating specialist care into RACFs is a consistent theme in models of care. This approach addresses health interface issues by ensuring that medical services are available in the RAC. Hammond Care’s Lavender Palliative Care Suite provides residents with access to acute care, clinical training service, and in-house pharmacy within the RACF.&#10;&#10;Other approaches aim to overcome health interface issues by improving transfer of information. The Envelope model of care employed a simple tool to transfer a resident’s clinical information during ED transfers. Evidence indicated that it improves the transfer of clinical information between the RACF and the hospital."/>
      </w:tblPr>
      <w:tblGrid>
        <w:gridCol w:w="1629"/>
        <w:gridCol w:w="2640"/>
        <w:gridCol w:w="4639"/>
        <w:gridCol w:w="22"/>
      </w:tblGrid>
      <w:tr w:rsidR="003C209B" w14:paraId="512F799F" w14:textId="77777777" w:rsidTr="22C19DAE">
        <w:trPr>
          <w:gridAfter w:val="1"/>
          <w:cnfStyle w:val="100000000000" w:firstRow="1" w:lastRow="0" w:firstColumn="0" w:lastColumn="0" w:oddVBand="0" w:evenVBand="0" w:oddHBand="0" w:evenHBand="0" w:firstRowFirstColumn="0" w:firstRowLastColumn="0" w:lastRowFirstColumn="0" w:lastRowLastColumn="0"/>
          <w:wAfter w:w="23" w:type="dxa"/>
        </w:trPr>
        <w:tc>
          <w:tcPr>
            <w:tcW w:w="1643" w:type="dxa"/>
            <w:tcBorders>
              <w:top w:val="nil"/>
              <w:bottom w:val="single" w:sz="8" w:space="0" w:color="EDEDE8" w:themeColor="accent5"/>
            </w:tcBorders>
            <w:shd w:val="clear" w:color="auto" w:fill="00264D" w:themeFill="background2"/>
          </w:tcPr>
          <w:p w14:paraId="140B1A73" w14:textId="4251FCA7" w:rsidR="00E029EA" w:rsidRPr="00A65EB6" w:rsidRDefault="00E029EA" w:rsidP="00E029EA">
            <w:pPr>
              <w:pStyle w:val="TableNheader"/>
              <w:rPr>
                <w:b w:val="0"/>
                <w:bCs/>
                <w:color w:val="FFFFFF" w:themeColor="background1"/>
              </w:rPr>
            </w:pPr>
            <w:r w:rsidRPr="00A65EB6">
              <w:rPr>
                <w:b w:val="0"/>
                <w:bCs/>
                <w:color w:val="FFFFFF" w:themeColor="background1"/>
              </w:rPr>
              <w:t>Lever</w:t>
            </w:r>
          </w:p>
        </w:tc>
        <w:tc>
          <w:tcPr>
            <w:tcW w:w="2687" w:type="dxa"/>
            <w:tcBorders>
              <w:top w:val="nil"/>
              <w:bottom w:val="single" w:sz="8" w:space="0" w:color="EDEDE8" w:themeColor="accent5"/>
            </w:tcBorders>
            <w:shd w:val="clear" w:color="auto" w:fill="00264D" w:themeFill="background2"/>
          </w:tcPr>
          <w:p w14:paraId="09027603" w14:textId="423B1B2B" w:rsidR="00E029EA" w:rsidRPr="00A65EB6" w:rsidRDefault="00E029EA" w:rsidP="00E029EA">
            <w:pPr>
              <w:pStyle w:val="TableNheader"/>
              <w:rPr>
                <w:b w:val="0"/>
                <w:bCs/>
                <w:color w:val="FFFFFF" w:themeColor="background1"/>
              </w:rPr>
            </w:pPr>
            <w:r w:rsidRPr="00A65EB6">
              <w:rPr>
                <w:b w:val="0"/>
                <w:bCs/>
                <w:color w:val="FFFFFF" w:themeColor="background1"/>
              </w:rPr>
              <w:t>Description</w:t>
            </w:r>
          </w:p>
        </w:tc>
        <w:tc>
          <w:tcPr>
            <w:tcW w:w="4747" w:type="dxa"/>
            <w:tcBorders>
              <w:top w:val="nil"/>
              <w:bottom w:val="single" w:sz="8" w:space="0" w:color="EDEDE8" w:themeColor="accent5"/>
            </w:tcBorders>
            <w:shd w:val="clear" w:color="auto" w:fill="00264D" w:themeFill="background2"/>
          </w:tcPr>
          <w:p w14:paraId="3E760876" w14:textId="19334F4C" w:rsidR="00E029EA" w:rsidRPr="00A65EB6" w:rsidRDefault="00E029EA" w:rsidP="00E029EA">
            <w:pPr>
              <w:pStyle w:val="TableNheader"/>
              <w:rPr>
                <w:b w:val="0"/>
                <w:bCs/>
                <w:color w:val="FFFFFF" w:themeColor="background1"/>
              </w:rPr>
            </w:pPr>
            <w:r w:rsidRPr="00A65EB6">
              <w:rPr>
                <w:b w:val="0"/>
                <w:bCs/>
                <w:color w:val="FFFFFF" w:themeColor="background1"/>
              </w:rPr>
              <w:t>Examples</w:t>
            </w:r>
          </w:p>
        </w:tc>
      </w:tr>
      <w:tr w:rsidR="00E029EA" w14:paraId="7C4C4273" w14:textId="77777777" w:rsidTr="22C19DAE">
        <w:trPr>
          <w:gridAfter w:val="1"/>
          <w:wAfter w:w="23" w:type="dxa"/>
        </w:trPr>
        <w:tc>
          <w:tcPr>
            <w:tcW w:w="1643" w:type="dxa"/>
            <w:tcBorders>
              <w:top w:val="single" w:sz="8" w:space="0" w:color="EDEDE8" w:themeColor="accent5"/>
            </w:tcBorders>
            <w:shd w:val="clear" w:color="auto" w:fill="EDEDE8" w:themeFill="accent5"/>
          </w:tcPr>
          <w:p w14:paraId="2559B20A" w14:textId="3243E84F" w:rsidR="00E029EA" w:rsidRPr="002B16C5" w:rsidRDefault="00A65EB6" w:rsidP="00F10169">
            <w:pPr>
              <w:pStyle w:val="TableNheader"/>
            </w:pPr>
            <w:r w:rsidRPr="002B16C5">
              <w:t>Policy</w:t>
            </w:r>
          </w:p>
        </w:tc>
        <w:tc>
          <w:tcPr>
            <w:tcW w:w="2687" w:type="dxa"/>
            <w:tcBorders>
              <w:top w:val="single" w:sz="8" w:space="0" w:color="EDEDE8" w:themeColor="accent5"/>
            </w:tcBorders>
          </w:tcPr>
          <w:p w14:paraId="7D0FE4F9" w14:textId="581D9EB4" w:rsidR="00E029EA" w:rsidRDefault="00E905DE" w:rsidP="00B62B27">
            <w:pPr>
              <w:pStyle w:val="TableNText"/>
            </w:pPr>
            <w:r>
              <w:t>Strategy or other policy documents issued</w:t>
            </w:r>
            <w:r w:rsidR="00FE6999">
              <w:t xml:space="preserve"> by </w:t>
            </w:r>
            <w:r w:rsidR="00962EDC">
              <w:lastRenderedPageBreak/>
              <w:t>governments, peak bodies and other influencers</w:t>
            </w:r>
            <w:r w:rsidR="00FE6999">
              <w:t xml:space="preserve"> that set out the key elements and priorities of a</w:t>
            </w:r>
            <w:r>
              <w:t>n approach</w:t>
            </w:r>
            <w:r w:rsidR="00FE6999">
              <w:t xml:space="preserve"> to address health interface issues</w:t>
            </w:r>
            <w:r w:rsidR="00636DEC">
              <w:t>.</w:t>
            </w:r>
          </w:p>
        </w:tc>
        <w:tc>
          <w:tcPr>
            <w:tcW w:w="4747" w:type="dxa"/>
            <w:tcBorders>
              <w:top w:val="single" w:sz="8" w:space="0" w:color="EDEDE8" w:themeColor="accent5"/>
            </w:tcBorders>
          </w:tcPr>
          <w:p w14:paraId="3F7C5227" w14:textId="4F442854" w:rsidR="00E905DE" w:rsidRDefault="0025348C" w:rsidP="00A03CC0">
            <w:pPr>
              <w:pStyle w:val="TableNText"/>
            </w:pPr>
            <w:r>
              <w:lastRenderedPageBreak/>
              <w:t xml:space="preserve">Although no national strategy for palliative care in </w:t>
            </w:r>
            <w:r w:rsidR="00E905DE">
              <w:t xml:space="preserve">residential </w:t>
            </w:r>
            <w:r>
              <w:t xml:space="preserve">aged care exists, the </w:t>
            </w:r>
            <w:r w:rsidR="007145A3">
              <w:t xml:space="preserve">National Palliative Care </w:t>
            </w:r>
            <w:r w:rsidR="007145A3">
              <w:lastRenderedPageBreak/>
              <w:t xml:space="preserve">Strategy (2018) </w:t>
            </w:r>
            <w:r w:rsidR="004240CC">
              <w:t xml:space="preserve">broadly </w:t>
            </w:r>
            <w:r w:rsidR="007145A3">
              <w:t xml:space="preserve">encompasses </w:t>
            </w:r>
            <w:r w:rsidR="00E905DE">
              <w:t>provision of palliative care in RACFs.</w:t>
            </w:r>
            <w:r w:rsidR="0037762A">
              <w:t xml:space="preserve"> This includes </w:t>
            </w:r>
            <w:r w:rsidR="00FF7C6B">
              <w:t xml:space="preserve">goals and priorities to increase understanding, capability, </w:t>
            </w:r>
            <w:r w:rsidR="0083684D">
              <w:t>and collaboration among others</w:t>
            </w:r>
            <w:r w:rsidR="00736B91">
              <w:t>.</w:t>
            </w:r>
            <w:r w:rsidR="00736B91">
              <w:rPr>
                <w:rStyle w:val="FootnoteReference"/>
              </w:rPr>
              <w:footnoteReference w:id="157"/>
            </w:r>
          </w:p>
          <w:p w14:paraId="65D01F43" w14:textId="5AE8404B" w:rsidR="00605394" w:rsidRPr="00800AC6" w:rsidRDefault="00043963" w:rsidP="00A03CC0">
            <w:pPr>
              <w:pStyle w:val="TableNText"/>
            </w:pPr>
            <w:r>
              <w:t xml:space="preserve">The </w:t>
            </w:r>
            <w:r w:rsidR="00F27954">
              <w:t xml:space="preserve">Principles for Palliative and End-of-Life Care in Residential Aged Care </w:t>
            </w:r>
            <w:r w:rsidR="00AD1FA5">
              <w:t>were developed collaboratively by seven peak bodies and organisations</w:t>
            </w:r>
            <w:r w:rsidR="00A51667">
              <w:t xml:space="preserve">. It </w:t>
            </w:r>
            <w:r w:rsidR="00D25B9A">
              <w:t>describe</w:t>
            </w:r>
            <w:r w:rsidR="00A51667">
              <w:t>s</w:t>
            </w:r>
            <w:r w:rsidR="00D25B9A">
              <w:t xml:space="preserve"> the key principles </w:t>
            </w:r>
            <w:r w:rsidR="00A51667">
              <w:t>for</w:t>
            </w:r>
            <w:r w:rsidR="00D25B9A">
              <w:t xml:space="preserve"> </w:t>
            </w:r>
            <w:r w:rsidR="00A51667">
              <w:t xml:space="preserve">the provision of palliative and end of life care </w:t>
            </w:r>
            <w:r w:rsidR="00800AC6">
              <w:t>in RACFs.</w:t>
            </w:r>
            <w:r w:rsidR="00DE4869">
              <w:rPr>
                <w:rStyle w:val="FootnoteReference"/>
              </w:rPr>
              <w:footnoteReference w:id="158"/>
            </w:r>
          </w:p>
        </w:tc>
      </w:tr>
      <w:tr w:rsidR="00E029EA" w14:paraId="5442DB59" w14:textId="77777777" w:rsidTr="22C19DAE">
        <w:trPr>
          <w:trHeight w:val="439"/>
        </w:trPr>
        <w:tc>
          <w:tcPr>
            <w:tcW w:w="1643" w:type="dxa"/>
            <w:shd w:val="clear" w:color="auto" w:fill="EDEDE8" w:themeFill="accent5"/>
          </w:tcPr>
          <w:p w14:paraId="149E3250" w14:textId="1FE41EAF" w:rsidR="00E029EA" w:rsidRPr="002B16C5" w:rsidRDefault="00B10C71" w:rsidP="00F10169">
            <w:pPr>
              <w:pStyle w:val="TableNheader"/>
            </w:pPr>
            <w:r>
              <w:lastRenderedPageBreak/>
              <w:t>F</w:t>
            </w:r>
            <w:r w:rsidR="00A65EB6" w:rsidRPr="002B16C5">
              <w:t>unding</w:t>
            </w:r>
            <w:r w:rsidR="00495066">
              <w:t xml:space="preserve"> models</w:t>
            </w:r>
          </w:p>
        </w:tc>
        <w:tc>
          <w:tcPr>
            <w:tcW w:w="2687" w:type="dxa"/>
          </w:tcPr>
          <w:p w14:paraId="13FCD658" w14:textId="29DB9C99" w:rsidR="00E029EA" w:rsidRDefault="00651468" w:rsidP="00B62B27">
            <w:pPr>
              <w:pStyle w:val="TableNText"/>
            </w:pPr>
            <w:r>
              <w:t>F</w:t>
            </w:r>
            <w:r w:rsidR="00FE6999">
              <w:t xml:space="preserve">unding models that promote actions to address health interface issues. </w:t>
            </w:r>
          </w:p>
        </w:tc>
        <w:tc>
          <w:tcPr>
            <w:tcW w:w="4770" w:type="dxa"/>
            <w:gridSpan w:val="2"/>
          </w:tcPr>
          <w:p w14:paraId="65B7B90C" w14:textId="2BD10243" w:rsidR="00E029EA" w:rsidRDefault="00651468" w:rsidP="00B62B27">
            <w:pPr>
              <w:pStyle w:val="TableNText"/>
            </w:pPr>
            <w:r>
              <w:t xml:space="preserve">The literature </w:t>
            </w:r>
            <w:r w:rsidR="00220BE3">
              <w:t>indicate</w:t>
            </w:r>
            <w:r w:rsidR="000477D2">
              <w:t>s</w:t>
            </w:r>
            <w:r>
              <w:t xml:space="preserve"> that </w:t>
            </w:r>
            <w:r w:rsidR="000477D2">
              <w:t>suboptimal</w:t>
            </w:r>
            <w:r>
              <w:t xml:space="preserve"> funding structures contribute to health interface issues.</w:t>
            </w:r>
            <w:r>
              <w:rPr>
                <w:rStyle w:val="FootnoteReference"/>
              </w:rPr>
              <w:footnoteReference w:id="159"/>
            </w:r>
            <w:r w:rsidRPr="00153EFD">
              <w:rPr>
                <w:vertAlign w:val="superscript"/>
              </w:rPr>
              <w:t>,</w:t>
            </w:r>
            <w:r>
              <w:rPr>
                <w:rStyle w:val="FootnoteReference"/>
              </w:rPr>
              <w:footnoteReference w:id="160"/>
            </w:r>
            <w:r w:rsidR="00C93B28">
              <w:rPr>
                <w:vertAlign w:val="superscript"/>
              </w:rPr>
              <w:t>,</w:t>
            </w:r>
            <w:r w:rsidR="00C93B28">
              <w:rPr>
                <w:rStyle w:val="FootnoteReference"/>
              </w:rPr>
              <w:footnoteReference w:id="161"/>
            </w:r>
            <w:r w:rsidR="00A03CC0">
              <w:rPr>
                <w:vertAlign w:val="superscript"/>
              </w:rPr>
              <w:t xml:space="preserve"> </w:t>
            </w:r>
            <w:r w:rsidR="00D307A2">
              <w:t>A pr</w:t>
            </w:r>
            <w:r w:rsidR="00B10C71">
              <w:t>oposition to improve the health interface in residential aged care i</w:t>
            </w:r>
            <w:r w:rsidR="00D307A2">
              <w:t>s</w:t>
            </w:r>
            <w:r w:rsidR="0009207C">
              <w:t xml:space="preserve"> the introduction of funding models that incentivise </w:t>
            </w:r>
            <w:r w:rsidR="00F922E9">
              <w:t>proactive coordination and delivery of care</w:t>
            </w:r>
            <w:r w:rsidR="002B6B39">
              <w:t>.</w:t>
            </w:r>
            <w:r>
              <w:rPr>
                <w:rStyle w:val="FootnoteReference"/>
              </w:rPr>
              <w:footnoteReference w:id="162"/>
            </w:r>
          </w:p>
        </w:tc>
      </w:tr>
      <w:tr w:rsidR="00E029EA" w14:paraId="678152F6" w14:textId="77777777" w:rsidTr="22C19DAE">
        <w:tc>
          <w:tcPr>
            <w:tcW w:w="1643" w:type="dxa"/>
            <w:shd w:val="clear" w:color="auto" w:fill="EDEDE8" w:themeFill="accent5"/>
          </w:tcPr>
          <w:p w14:paraId="78B0DD07" w14:textId="05F3DA45" w:rsidR="00E029EA" w:rsidRPr="002B16C5" w:rsidRDefault="00A65EB6" w:rsidP="00F10169">
            <w:pPr>
              <w:pStyle w:val="TableNheader"/>
            </w:pPr>
            <w:r w:rsidRPr="002B16C5">
              <w:t>Building capability</w:t>
            </w:r>
          </w:p>
        </w:tc>
        <w:tc>
          <w:tcPr>
            <w:tcW w:w="2687" w:type="dxa"/>
          </w:tcPr>
          <w:p w14:paraId="341C6089" w14:textId="10C5CB6C" w:rsidR="00E029EA" w:rsidRDefault="006841AF" w:rsidP="00B62B27">
            <w:pPr>
              <w:pStyle w:val="TableNText"/>
            </w:pPr>
            <w:r>
              <w:t>A</w:t>
            </w:r>
            <w:r w:rsidR="00FE6999">
              <w:t>pproaches t</w:t>
            </w:r>
            <w:r w:rsidR="005246F3">
              <w:t xml:space="preserve">hat aim to overcome health interface issues by building capability through education, </w:t>
            </w:r>
            <w:proofErr w:type="gramStart"/>
            <w:r w:rsidR="005246F3">
              <w:t>information</w:t>
            </w:r>
            <w:proofErr w:type="gramEnd"/>
            <w:r w:rsidR="005246F3">
              <w:t xml:space="preserve"> and resources.</w:t>
            </w:r>
          </w:p>
        </w:tc>
        <w:tc>
          <w:tcPr>
            <w:tcW w:w="4770" w:type="dxa"/>
            <w:gridSpan w:val="2"/>
          </w:tcPr>
          <w:p w14:paraId="1205227F" w14:textId="70B1EACC" w:rsidR="00FC2CD2" w:rsidRDefault="001B4DF5" w:rsidP="00FC2CD2">
            <w:pPr>
              <w:pStyle w:val="TableNText"/>
            </w:pPr>
            <w:r>
              <w:t xml:space="preserve">The Residential Aged Care Palliative Approach Toolkit (the PA Toolkit) </w:t>
            </w:r>
            <w:r w:rsidR="00DE4177" w:rsidRPr="00DE4177">
              <w:t>was a set of clinical, educational and management resources designed to guide and support residential aged care facilities to implement a comprehensive, evidence-</w:t>
            </w:r>
            <w:proofErr w:type="gramStart"/>
            <w:r w:rsidR="00DE4177" w:rsidRPr="00DE4177">
              <w:t>based</w:t>
            </w:r>
            <w:proofErr w:type="gramEnd"/>
            <w:r w:rsidR="00DE4177" w:rsidRPr="00DE4177">
              <w:t xml:space="preserve"> and person-centred approach to palliative care</w:t>
            </w:r>
            <w:r w:rsidR="00DE4177">
              <w:t xml:space="preserve">. The PA Toolkit was </w:t>
            </w:r>
            <w:r w:rsidR="00E72197">
              <w:t xml:space="preserve">developed in 2009 </w:t>
            </w:r>
            <w:r w:rsidR="00DD28E8">
              <w:t>but was</w:t>
            </w:r>
            <w:r w:rsidR="00E72197">
              <w:t xml:space="preserve"> retired in </w:t>
            </w:r>
            <w:r w:rsidR="006E5141">
              <w:t xml:space="preserve">2020 </w:t>
            </w:r>
            <w:r w:rsidR="0007224F">
              <w:t xml:space="preserve">and replaced by </w:t>
            </w:r>
            <w:r w:rsidR="001F4ED6">
              <w:t>other general and specific palliative care and aged care resources and information</w:t>
            </w:r>
            <w:r w:rsidR="0007224F">
              <w:t>.</w:t>
            </w:r>
            <w:r w:rsidR="0007224F">
              <w:rPr>
                <w:rStyle w:val="FootnoteReference"/>
              </w:rPr>
              <w:footnoteReference w:id="163"/>
            </w:r>
          </w:p>
          <w:p w14:paraId="245A9A36" w14:textId="77777777" w:rsidR="00D34C4C" w:rsidRDefault="007830A4" w:rsidP="000A6D6B">
            <w:pPr>
              <w:pStyle w:val="TableNText"/>
            </w:pPr>
            <w:r>
              <w:t xml:space="preserve">The </w:t>
            </w:r>
            <w:r w:rsidRPr="007830A4">
              <w:t>Indigenous Palliative Care Service Delivery Conceptual Model</w:t>
            </w:r>
            <w:r>
              <w:t xml:space="preserve"> is a conceptual model that outlines key principles for Indigenous palliative care service delivery.</w:t>
            </w:r>
            <w:r>
              <w:rPr>
                <w:rStyle w:val="FootnoteReference"/>
              </w:rPr>
              <w:footnoteReference w:id="164"/>
            </w:r>
          </w:p>
          <w:p w14:paraId="3FB03F83" w14:textId="3799196C" w:rsidR="000E088F" w:rsidRDefault="000E088F" w:rsidP="000A6D6B">
            <w:pPr>
              <w:pStyle w:val="TableNText"/>
            </w:pPr>
            <w:r>
              <w:t xml:space="preserve">End of Life Directions for Aged Care (ELDAC) is not specific to </w:t>
            </w:r>
            <w:proofErr w:type="gramStart"/>
            <w:r>
              <w:t>RACFs, but</w:t>
            </w:r>
            <w:proofErr w:type="gramEnd"/>
            <w:r>
              <w:t xml:space="preserve"> provides</w:t>
            </w:r>
            <w:r w:rsidR="002304B9">
              <w:t xml:space="preserve"> a national advisory service for specialist palliative care and advance care planning. It provides resources to </w:t>
            </w:r>
            <w:r w:rsidR="0021055B" w:rsidRPr="0021055B">
              <w:t>equip care providers with skills and information to help older Australians receive high-quality end of life care</w:t>
            </w:r>
            <w:r w:rsidR="0021055B">
              <w:t>.</w:t>
            </w:r>
            <w:r w:rsidR="0021055B">
              <w:rPr>
                <w:rStyle w:val="FootnoteReference"/>
              </w:rPr>
              <w:footnoteReference w:id="165"/>
            </w:r>
          </w:p>
        </w:tc>
      </w:tr>
      <w:tr w:rsidR="00E029EA" w14:paraId="0C8FF10D" w14:textId="77777777" w:rsidTr="22C19DAE">
        <w:tc>
          <w:tcPr>
            <w:tcW w:w="1643" w:type="dxa"/>
            <w:shd w:val="clear" w:color="auto" w:fill="EDEDE8" w:themeFill="accent5"/>
          </w:tcPr>
          <w:p w14:paraId="6758A76B" w14:textId="4566F741" w:rsidR="00E029EA" w:rsidRPr="002B16C5" w:rsidRDefault="00A65EB6" w:rsidP="00F10169">
            <w:pPr>
              <w:pStyle w:val="TableNheader"/>
            </w:pPr>
            <w:r w:rsidRPr="002B16C5">
              <w:t xml:space="preserve">Building relationships and </w:t>
            </w:r>
            <w:r w:rsidR="00D312B5">
              <w:t>integrating care</w:t>
            </w:r>
          </w:p>
        </w:tc>
        <w:tc>
          <w:tcPr>
            <w:tcW w:w="2687" w:type="dxa"/>
          </w:tcPr>
          <w:p w14:paraId="4F1B9DF8" w14:textId="516ED75F" w:rsidR="00E029EA" w:rsidRDefault="0024147D" w:rsidP="00B62B27">
            <w:pPr>
              <w:pStyle w:val="TableNText"/>
            </w:pPr>
            <w:r>
              <w:t>Approaches that aim to overcome health interface issues by</w:t>
            </w:r>
            <w:r w:rsidR="00EB7942">
              <w:t xml:space="preserve"> promoting integrated care and building networks of professionals to provide care.</w:t>
            </w:r>
          </w:p>
        </w:tc>
        <w:tc>
          <w:tcPr>
            <w:tcW w:w="4770" w:type="dxa"/>
            <w:gridSpan w:val="2"/>
          </w:tcPr>
          <w:p w14:paraId="718814B9" w14:textId="1D2FB595" w:rsidR="00E029EA" w:rsidRDefault="00722E7D" w:rsidP="00BC4781">
            <w:pPr>
              <w:pStyle w:val="TableNText"/>
            </w:pPr>
            <w:r>
              <w:t>As n</w:t>
            </w:r>
            <w:r w:rsidRPr="001774D5">
              <w:t xml:space="preserve">oted in Section </w:t>
            </w:r>
            <w:r w:rsidR="001774D5" w:rsidRPr="001774D5">
              <w:fldChar w:fldCharType="begin"/>
            </w:r>
            <w:r w:rsidR="001774D5" w:rsidRPr="001774D5">
              <w:instrText xml:space="preserve"> REF _Ref52270734 \r \h </w:instrText>
            </w:r>
            <w:r w:rsidR="001774D5">
              <w:instrText xml:space="preserve"> \* MERGEFORMAT </w:instrText>
            </w:r>
            <w:r w:rsidR="001774D5" w:rsidRPr="001774D5">
              <w:fldChar w:fldCharType="separate"/>
            </w:r>
            <w:r w:rsidR="000E59E1">
              <w:t>3.2</w:t>
            </w:r>
            <w:r w:rsidR="001774D5" w:rsidRPr="001774D5">
              <w:fldChar w:fldCharType="end"/>
            </w:r>
            <w:r w:rsidR="001774D5" w:rsidRPr="001774D5">
              <w:t>,</w:t>
            </w:r>
            <w:r w:rsidR="00887D80" w:rsidRPr="001774D5">
              <w:t xml:space="preserve"> integrating specialist care into RACFs is a consistent theme in models of care</w:t>
            </w:r>
            <w:r w:rsidR="00887D80" w:rsidRPr="000B7611">
              <w:t xml:space="preserve">. This approach addresses health interface issues by ensuring that </w:t>
            </w:r>
            <w:r w:rsidR="005A08B0" w:rsidRPr="000B7611">
              <w:t>medical services are available in the RAC. Hammond</w:t>
            </w:r>
            <w:r w:rsidR="000B7611" w:rsidRPr="000B7611">
              <w:t xml:space="preserve"> </w:t>
            </w:r>
            <w:r w:rsidR="005A08B0" w:rsidRPr="000B7611">
              <w:t>Care</w:t>
            </w:r>
            <w:r w:rsidR="000B7611" w:rsidRPr="000B7611">
              <w:t xml:space="preserve">’s Lavender Palliative Care Suite provides residents with </w:t>
            </w:r>
            <w:r w:rsidR="000B7611" w:rsidRPr="000B7611">
              <w:lastRenderedPageBreak/>
              <w:t>a</w:t>
            </w:r>
            <w:r w:rsidR="00937C31" w:rsidRPr="000B7611">
              <w:t>ccess to acute care, clinical training service, and in-house pharmacy</w:t>
            </w:r>
            <w:r w:rsidR="000B7611" w:rsidRPr="000B7611">
              <w:t xml:space="preserve"> within the RACF</w:t>
            </w:r>
            <w:r w:rsidR="00937C31" w:rsidRPr="00395C99">
              <w:rPr>
                <w:rFonts w:cs="Calibri"/>
                <w:sz w:val="16"/>
                <w:szCs w:val="16"/>
              </w:rPr>
              <w:t>.</w:t>
            </w:r>
            <w:r w:rsidR="00937C31" w:rsidRPr="00483021">
              <w:rPr>
                <w:rStyle w:val="FootnoteReference"/>
                <w:rFonts w:cs="Calibri"/>
                <w:sz w:val="16"/>
                <w:szCs w:val="16"/>
              </w:rPr>
              <w:t xml:space="preserve"> </w:t>
            </w:r>
            <w:r w:rsidR="00937C31" w:rsidRPr="00483021">
              <w:rPr>
                <w:rStyle w:val="FootnoteReference"/>
                <w:rFonts w:cs="Calibri"/>
                <w:sz w:val="16"/>
                <w:szCs w:val="16"/>
              </w:rPr>
              <w:footnoteReference w:id="166"/>
            </w:r>
          </w:p>
        </w:tc>
      </w:tr>
      <w:tr w:rsidR="00E029EA" w14:paraId="0529F8BE" w14:textId="77777777" w:rsidTr="22C19DAE">
        <w:tc>
          <w:tcPr>
            <w:tcW w:w="1643" w:type="dxa"/>
            <w:shd w:val="clear" w:color="auto" w:fill="EDEDE8" w:themeFill="accent5"/>
          </w:tcPr>
          <w:p w14:paraId="06793A64" w14:textId="2FC83518" w:rsidR="00E029EA" w:rsidRPr="006841AF" w:rsidRDefault="008D7844" w:rsidP="00F10169">
            <w:pPr>
              <w:pStyle w:val="TableNheader"/>
            </w:pPr>
            <w:r>
              <w:lastRenderedPageBreak/>
              <w:t>Improving transfer of information</w:t>
            </w:r>
          </w:p>
        </w:tc>
        <w:tc>
          <w:tcPr>
            <w:tcW w:w="2687" w:type="dxa"/>
          </w:tcPr>
          <w:p w14:paraId="73C1C3D3" w14:textId="146EDD6E" w:rsidR="00E029EA" w:rsidRDefault="0024147D" w:rsidP="00B62B27">
            <w:pPr>
              <w:pStyle w:val="TableNText"/>
            </w:pPr>
            <w:r>
              <w:t>Approaches</w:t>
            </w:r>
            <w:r w:rsidR="00460739">
              <w:t xml:space="preserve"> that </w:t>
            </w:r>
            <w:r>
              <w:t>aim to overcome health interface issues by</w:t>
            </w:r>
            <w:r w:rsidR="00687D06">
              <w:t xml:space="preserve"> </w:t>
            </w:r>
            <w:r w:rsidR="00DD65C9">
              <w:t>promot</w:t>
            </w:r>
            <w:r w:rsidR="00687D06">
              <w:t>ing</w:t>
            </w:r>
            <w:r w:rsidR="00DD65C9">
              <w:t xml:space="preserve"> the effective transfer of information between </w:t>
            </w:r>
            <w:r w:rsidR="000B1E58">
              <w:t>RACFs and hospitals</w:t>
            </w:r>
            <w:r w:rsidR="0054164C">
              <w:t>.</w:t>
            </w:r>
          </w:p>
        </w:tc>
        <w:tc>
          <w:tcPr>
            <w:tcW w:w="4770" w:type="dxa"/>
            <w:gridSpan w:val="2"/>
          </w:tcPr>
          <w:p w14:paraId="6B826A03" w14:textId="6C4BE3C2" w:rsidR="00E029EA" w:rsidRDefault="008D7844" w:rsidP="00B62B27">
            <w:pPr>
              <w:pStyle w:val="TableNText"/>
            </w:pPr>
            <w:r>
              <w:t>The Envelope model of care</w:t>
            </w:r>
            <w:r w:rsidR="000B1E58">
              <w:t xml:space="preserve"> </w:t>
            </w:r>
            <w:r w:rsidR="00682DCD">
              <w:t xml:space="preserve">employed a simple tool to transfer a resident’s clinical information during ED transfers. </w:t>
            </w:r>
            <w:r w:rsidR="00FE542A">
              <w:t xml:space="preserve">Evidence </w:t>
            </w:r>
            <w:r w:rsidR="006A2C8C">
              <w:t>indicated</w:t>
            </w:r>
            <w:r w:rsidR="00FE542A">
              <w:t xml:space="preserve"> that it improves </w:t>
            </w:r>
            <w:r w:rsidR="00937C31">
              <w:t>the transfer of clinical information between the RACF and the hospital</w:t>
            </w:r>
            <w:r w:rsidR="00FE542A">
              <w:t>.</w:t>
            </w:r>
            <w:r w:rsidRPr="00483021">
              <w:rPr>
                <w:rStyle w:val="FootnoteReference"/>
                <w:rFonts w:cs="Calibri"/>
                <w:sz w:val="16"/>
                <w:szCs w:val="16"/>
              </w:rPr>
              <w:footnoteReference w:id="167"/>
            </w:r>
          </w:p>
        </w:tc>
      </w:tr>
    </w:tbl>
    <w:p w14:paraId="75FA02F3" w14:textId="77777777" w:rsidR="007D297F" w:rsidRDefault="007D297F" w:rsidP="000E5949"/>
    <w:p w14:paraId="5505F501" w14:textId="4CC87BFB" w:rsidR="000E5949" w:rsidRDefault="000E5949" w:rsidP="000E5949">
      <w:r>
        <w:t xml:space="preserve">RACF initiatives to address health system interface issues often apply a combination of the </w:t>
      </w:r>
      <w:r w:rsidR="00FE6999">
        <w:t>elements</w:t>
      </w:r>
      <w:r w:rsidR="007729CB">
        <w:t>/</w:t>
      </w:r>
      <w:r w:rsidR="00FE6999">
        <w:t xml:space="preserve"> </w:t>
      </w:r>
      <w:r>
        <w:t xml:space="preserve">components described above; for example, by using policy and good practice guidelines to develop a model of care that seeks to address a specific health interface challenge. </w:t>
      </w:r>
    </w:p>
    <w:p w14:paraId="59768ABD" w14:textId="4E313BE8" w:rsidR="000929F9" w:rsidRDefault="000929F9" w:rsidP="000929F9">
      <w:pPr>
        <w:pStyle w:val="Heading3"/>
      </w:pPr>
      <w:bookmarkStart w:id="80" w:name="_Toc82767271"/>
      <w:r>
        <w:t xml:space="preserve">What has worked well and </w:t>
      </w:r>
      <w:r w:rsidR="000D4D63">
        <w:t xml:space="preserve">not as </w:t>
      </w:r>
      <w:r>
        <w:t>well?</w:t>
      </w:r>
      <w:bookmarkEnd w:id="80"/>
    </w:p>
    <w:p w14:paraId="33B5558B" w14:textId="7AD25F85" w:rsidR="000929F9" w:rsidRDefault="00BF1BF7" w:rsidP="00351182">
      <w:pPr>
        <w:pStyle w:val="Heading5"/>
      </w:pPr>
      <w:r>
        <w:t>Evidence-based models of care for the provision of palliative care in RACFs provide examples for what works well</w:t>
      </w:r>
    </w:p>
    <w:p w14:paraId="4E9F8A04" w14:textId="59034836" w:rsidR="000929F9" w:rsidRDefault="000929F9" w:rsidP="000929F9">
      <w:pPr>
        <w:rPr>
          <w:lang w:eastAsia="en-AU"/>
        </w:rPr>
      </w:pPr>
      <w:r w:rsidRPr="001774D5">
        <w:rPr>
          <w:lang w:eastAsia="en-AU"/>
        </w:rPr>
        <w:t xml:space="preserve">Section </w:t>
      </w:r>
      <w:r w:rsidR="001774D5" w:rsidRPr="001774D5">
        <w:rPr>
          <w:lang w:eastAsia="en-AU"/>
        </w:rPr>
        <w:fldChar w:fldCharType="begin"/>
      </w:r>
      <w:r w:rsidR="001774D5" w:rsidRPr="001774D5">
        <w:rPr>
          <w:lang w:eastAsia="en-AU"/>
        </w:rPr>
        <w:instrText xml:space="preserve"> REF _Ref52270749 \r \h </w:instrText>
      </w:r>
      <w:r w:rsidR="001774D5">
        <w:rPr>
          <w:lang w:eastAsia="en-AU"/>
        </w:rPr>
        <w:instrText xml:space="preserve"> \* MERGEFORMAT </w:instrText>
      </w:r>
      <w:r w:rsidR="001774D5" w:rsidRPr="001774D5">
        <w:rPr>
          <w:lang w:eastAsia="en-AU"/>
        </w:rPr>
      </w:r>
      <w:r w:rsidR="001774D5" w:rsidRPr="001774D5">
        <w:rPr>
          <w:lang w:eastAsia="en-AU"/>
        </w:rPr>
        <w:fldChar w:fldCharType="separate"/>
      </w:r>
      <w:r w:rsidR="000E59E1">
        <w:rPr>
          <w:lang w:eastAsia="en-AU"/>
        </w:rPr>
        <w:t>3.2</w:t>
      </w:r>
      <w:r w:rsidR="001774D5" w:rsidRPr="001774D5">
        <w:rPr>
          <w:lang w:eastAsia="en-AU"/>
        </w:rPr>
        <w:fldChar w:fldCharType="end"/>
      </w:r>
      <w:r w:rsidRPr="001774D5">
        <w:rPr>
          <w:lang w:eastAsia="en-AU"/>
        </w:rPr>
        <w:t xml:space="preserve"> describes</w:t>
      </w:r>
      <w:r>
        <w:rPr>
          <w:lang w:eastAsia="en-AU"/>
        </w:rPr>
        <w:t xml:space="preserve"> a number of models of care for the provision of palliative care for which there is evidence to suggest that the model is successful. A </w:t>
      </w:r>
      <w:r w:rsidR="00543BF9">
        <w:rPr>
          <w:lang w:eastAsia="en-AU"/>
        </w:rPr>
        <w:t xml:space="preserve">select </w:t>
      </w:r>
      <w:r w:rsidR="00A01CB0">
        <w:rPr>
          <w:lang w:eastAsia="en-AU"/>
        </w:rPr>
        <w:t xml:space="preserve">subset of the models of care </w:t>
      </w:r>
      <w:r w:rsidR="00DA79E6">
        <w:rPr>
          <w:lang w:eastAsia="en-AU"/>
        </w:rPr>
        <w:t>that address health interface issues that have</w:t>
      </w:r>
      <w:r w:rsidR="00A01CB0">
        <w:rPr>
          <w:lang w:eastAsia="en-AU"/>
        </w:rPr>
        <w:t xml:space="preserve"> a strong evidence base supporting their </w:t>
      </w:r>
      <w:r w:rsidR="00DA79E6">
        <w:rPr>
          <w:lang w:eastAsia="en-AU"/>
        </w:rPr>
        <w:t xml:space="preserve">success are highlighted below, alongside the reported reasons the approach worked well: </w:t>
      </w:r>
    </w:p>
    <w:p w14:paraId="597E9118" w14:textId="0055EAA3" w:rsidR="000929F9" w:rsidRDefault="000929F9" w:rsidP="000929F9">
      <w:pPr>
        <w:pStyle w:val="Bullet"/>
      </w:pPr>
      <w:r>
        <w:t>The INSPIRED Model uses a case management approach to aid the identification of palliative care needs and provision of clinical assessments.</w:t>
      </w:r>
      <w:r w:rsidR="00FF01B4">
        <w:t xml:space="preserve"> Proactive identification of palliative care needs in a systematic assessment framework</w:t>
      </w:r>
      <w:r w:rsidR="004A3BBC">
        <w:t xml:space="preserve"> and the integration of specialist palliative care with a palliative approach delivered by the RACF were noted as reasons for </w:t>
      </w:r>
      <w:r w:rsidR="008263C3">
        <w:t>success</w:t>
      </w:r>
      <w:r>
        <w:t>.</w:t>
      </w:r>
      <w:r w:rsidRPr="00483021">
        <w:rPr>
          <w:rStyle w:val="FootnoteReference"/>
          <w:rFonts w:cs="Source Sans Pro"/>
          <w:sz w:val="16"/>
          <w:szCs w:val="16"/>
        </w:rPr>
        <w:footnoteReference w:id="168"/>
      </w:r>
      <w:r w:rsidR="00DA63A3">
        <w:t xml:space="preserve"> </w:t>
      </w:r>
    </w:p>
    <w:p w14:paraId="1D626E54" w14:textId="18D9563A" w:rsidR="00F93179" w:rsidRPr="00A02A64" w:rsidRDefault="00F93179" w:rsidP="00F93179">
      <w:pPr>
        <w:pStyle w:val="Bullet"/>
      </w:pPr>
      <w:r>
        <w:t>The NSW o</w:t>
      </w:r>
      <w:r w:rsidRPr="00A02A64">
        <w:t>utreach geriatric medication advisory service</w:t>
      </w:r>
      <w:r w:rsidR="0032226F">
        <w:t xml:space="preserve"> employs multidisciplinary case conferences involving GP</w:t>
      </w:r>
      <w:r w:rsidR="00202D80">
        <w:t>s</w:t>
      </w:r>
      <w:r w:rsidR="0032226F">
        <w:t>, geriatrician</w:t>
      </w:r>
      <w:r w:rsidR="00202D80">
        <w:t xml:space="preserve">s, </w:t>
      </w:r>
      <w:proofErr w:type="gramStart"/>
      <w:r w:rsidR="00202D80">
        <w:t>pharmacists</w:t>
      </w:r>
      <w:proofErr w:type="gramEnd"/>
      <w:r w:rsidR="00202D80">
        <w:t xml:space="preserve"> and residential aged care staff</w:t>
      </w:r>
      <w:r w:rsidR="002D5377">
        <w:t xml:space="preserve"> to improve medication management for residents</w:t>
      </w:r>
      <w:r w:rsidR="00202D80">
        <w:t xml:space="preserve">. </w:t>
      </w:r>
      <w:r w:rsidR="000652C1">
        <w:t>The evidence indicated that the use of a case conferencing approach is more effective than an individual health provider</w:t>
      </w:r>
      <w:r w:rsidR="00195F7C">
        <w:t>, and that success may be driven by the presence of the resident’s GP</w:t>
      </w:r>
      <w:r w:rsidR="009B0D7C">
        <w:t xml:space="preserve"> and a focus on </w:t>
      </w:r>
      <w:r w:rsidR="00A02A64">
        <w:t xml:space="preserve">individual </w:t>
      </w:r>
      <w:r w:rsidR="008F3275">
        <w:t>resident</w:t>
      </w:r>
      <w:r w:rsidR="00A02A64">
        <w:t>s with agreed, time-based goals and approaches.</w:t>
      </w:r>
      <w:r w:rsidRPr="00A02A64">
        <w:rPr>
          <w:rStyle w:val="FootnoteReference"/>
        </w:rPr>
        <w:footnoteReference w:id="169"/>
      </w:r>
    </w:p>
    <w:p w14:paraId="48FDF9E2" w14:textId="073EA07A" w:rsidR="000929F9" w:rsidRPr="008424FC" w:rsidRDefault="000929F9" w:rsidP="000929F9">
      <w:pPr>
        <w:pStyle w:val="Bullet"/>
      </w:pPr>
      <w:r>
        <w:t xml:space="preserve">The Envelope model which is used to ensure effective transfer of information during ED transfers. </w:t>
      </w:r>
      <w:r w:rsidR="006107E6">
        <w:t>Its ease of use,</w:t>
      </w:r>
      <w:r w:rsidR="0066761A">
        <w:t xml:space="preserve"> low cost, and ability to increase awareness of the importance of clinical handovers </w:t>
      </w:r>
      <w:r w:rsidR="00E70A31">
        <w:t>were noted as reasons for success.</w:t>
      </w:r>
      <w:r w:rsidRPr="008424FC">
        <w:rPr>
          <w:rStyle w:val="FootnoteReference"/>
          <w:rFonts w:cs="Source Sans Pro"/>
          <w:sz w:val="16"/>
          <w:szCs w:val="16"/>
        </w:rPr>
        <w:t xml:space="preserve"> </w:t>
      </w:r>
      <w:r w:rsidRPr="00483021">
        <w:rPr>
          <w:rStyle w:val="FootnoteReference"/>
          <w:rFonts w:cs="Source Sans Pro"/>
          <w:sz w:val="16"/>
          <w:szCs w:val="16"/>
        </w:rPr>
        <w:footnoteReference w:id="170"/>
      </w:r>
    </w:p>
    <w:p w14:paraId="526832B6" w14:textId="73A77171" w:rsidR="000929F9" w:rsidRDefault="000929F9" w:rsidP="00351182">
      <w:pPr>
        <w:pStyle w:val="Heading5"/>
      </w:pPr>
      <w:r>
        <w:lastRenderedPageBreak/>
        <w:t xml:space="preserve">The evidence points to </w:t>
      </w:r>
      <w:proofErr w:type="gramStart"/>
      <w:r>
        <w:t>a number of</w:t>
      </w:r>
      <w:proofErr w:type="gramEnd"/>
      <w:r>
        <w:t xml:space="preserve"> principles for successfully addressing health interface issues in RACFs</w:t>
      </w:r>
    </w:p>
    <w:p w14:paraId="026E4145" w14:textId="71697D06" w:rsidR="000929F9" w:rsidRPr="00C51A83" w:rsidRDefault="000929F9" w:rsidP="000929F9">
      <w:r>
        <w:t xml:space="preserve">The </w:t>
      </w:r>
      <w:r w:rsidR="00A719C9">
        <w:t>evidence describe</w:t>
      </w:r>
      <w:r w:rsidR="00B2798F">
        <w:t>d</w:t>
      </w:r>
      <w:r>
        <w:t xml:space="preserve"> </w:t>
      </w:r>
      <w:proofErr w:type="gramStart"/>
      <w:r>
        <w:t>a number of</w:t>
      </w:r>
      <w:proofErr w:type="gramEnd"/>
      <w:r>
        <w:t xml:space="preserve"> principles </w:t>
      </w:r>
      <w:r w:rsidR="00C56BD3">
        <w:t>for</w:t>
      </w:r>
      <w:r>
        <w:t xml:space="preserve"> overcoming health interface issues for people receiving palliative care in RACFs, including:</w:t>
      </w:r>
    </w:p>
    <w:p w14:paraId="5ACA9CAD" w14:textId="72CC0CC9" w:rsidR="000929F9" w:rsidRPr="008424FC" w:rsidRDefault="006432C1" w:rsidP="000929F9">
      <w:pPr>
        <w:pStyle w:val="Bullet"/>
      </w:pPr>
      <w:r>
        <w:t>Promoting t</w:t>
      </w:r>
      <w:r w:rsidR="000929F9" w:rsidRPr="008424FC">
        <w:t>imely access to GPs which allows for earlier identification of issues requiring intervention and avoidance of unnecessary hospitalisation</w:t>
      </w:r>
      <w:r>
        <w:t>;</w:t>
      </w:r>
      <w:r w:rsidR="000929F9" w:rsidRPr="008424FC">
        <w:rPr>
          <w:rStyle w:val="FootnoteReference"/>
        </w:rPr>
        <w:footnoteReference w:id="171"/>
      </w:r>
    </w:p>
    <w:p w14:paraId="29E983ED" w14:textId="1BEF4582" w:rsidR="00D50E8F" w:rsidRPr="00C25154" w:rsidRDefault="006432C1" w:rsidP="000929F9">
      <w:pPr>
        <w:pStyle w:val="Bullet"/>
      </w:pPr>
      <w:r>
        <w:t>Ensuring g</w:t>
      </w:r>
      <w:r w:rsidR="009B7A60">
        <w:t xml:space="preserve">reater availability of nurse practitioners and primary care nurses to reduce reliance on </w:t>
      </w:r>
      <w:r w:rsidR="002C19DE">
        <w:t xml:space="preserve">GPs and provide </w:t>
      </w:r>
      <w:r w:rsidR="00D02469">
        <w:t xml:space="preserve">education and </w:t>
      </w:r>
      <w:r w:rsidR="002C19DE">
        <w:t>more immediately available support to residents at a lower cost</w:t>
      </w:r>
      <w:r>
        <w:t>;</w:t>
      </w:r>
      <w:r w:rsidR="002C19DE">
        <w:rPr>
          <w:rStyle w:val="FootnoteReference"/>
        </w:rPr>
        <w:footnoteReference w:id="172"/>
      </w:r>
      <w:r w:rsidR="007C1934" w:rsidRPr="00672B11">
        <w:rPr>
          <w:vertAlign w:val="superscript"/>
        </w:rPr>
        <w:t>,</w:t>
      </w:r>
      <w:r w:rsidR="007C1934">
        <w:rPr>
          <w:rStyle w:val="FootnoteReference"/>
        </w:rPr>
        <w:footnoteReference w:id="173"/>
      </w:r>
      <w:r w:rsidR="00816099" w:rsidRPr="00672B11">
        <w:rPr>
          <w:vertAlign w:val="superscript"/>
        </w:rPr>
        <w:t>,</w:t>
      </w:r>
      <w:r w:rsidR="00816099">
        <w:rPr>
          <w:rStyle w:val="FootnoteReference"/>
        </w:rPr>
        <w:footnoteReference w:id="174"/>
      </w:r>
    </w:p>
    <w:p w14:paraId="7E76D4DD" w14:textId="44FA726B" w:rsidR="006A537D" w:rsidRPr="006A537D" w:rsidRDefault="00C844C3" w:rsidP="000929F9">
      <w:pPr>
        <w:pStyle w:val="Bullet"/>
      </w:pPr>
      <w:r>
        <w:t>Promoting g</w:t>
      </w:r>
      <w:r w:rsidR="00C440EF">
        <w:t>reater availability of care plans, family communication and advance care directives</w:t>
      </w:r>
      <w:r w:rsidR="00E968A6">
        <w:t xml:space="preserve"> when transitions between an RACF and a health care provider are</w:t>
      </w:r>
      <w:r w:rsidR="004846F8">
        <w:t xml:space="preserve"> required</w:t>
      </w:r>
      <w:r w:rsidR="006432C1">
        <w:t>;</w:t>
      </w:r>
      <w:r w:rsidR="00957149">
        <w:rPr>
          <w:rStyle w:val="FootnoteReference"/>
        </w:rPr>
        <w:footnoteReference w:id="175"/>
      </w:r>
      <w:r w:rsidR="006432C1">
        <w:t xml:space="preserve"> </w:t>
      </w:r>
    </w:p>
    <w:p w14:paraId="59F73FB0" w14:textId="1B6B3753" w:rsidR="006F6E39" w:rsidRPr="006A537D" w:rsidRDefault="006F6E39" w:rsidP="000929F9">
      <w:pPr>
        <w:pStyle w:val="Bullet"/>
      </w:pPr>
      <w:r>
        <w:t xml:space="preserve">Effective clinical governance </w:t>
      </w:r>
      <w:r w:rsidR="000844BC">
        <w:t>and leadership in practice;</w:t>
      </w:r>
      <w:r w:rsidR="00521CD3">
        <w:rPr>
          <w:rStyle w:val="FootnoteReference"/>
        </w:rPr>
        <w:footnoteReference w:id="176"/>
      </w:r>
      <w:r w:rsidR="005C0B3C" w:rsidRPr="005C0B3C">
        <w:rPr>
          <w:vertAlign w:val="superscript"/>
        </w:rPr>
        <w:t>,</w:t>
      </w:r>
      <w:r w:rsidR="005C0B3C">
        <w:rPr>
          <w:rStyle w:val="FootnoteReference"/>
        </w:rPr>
        <w:footnoteReference w:id="177"/>
      </w:r>
      <w:r w:rsidR="000844BC">
        <w:t xml:space="preserve"> and</w:t>
      </w:r>
    </w:p>
    <w:p w14:paraId="2FD12436" w14:textId="6B492C59" w:rsidR="004846F8" w:rsidRDefault="0076347A" w:rsidP="000929F9">
      <w:pPr>
        <w:pStyle w:val="Bullet"/>
      </w:pPr>
      <w:r>
        <w:t>Introduction of a standard information transfer tool between hospitals and RACFs</w:t>
      </w:r>
      <w:r w:rsidR="000929F9">
        <w:t>.</w:t>
      </w:r>
      <w:r w:rsidR="000929F9">
        <w:rPr>
          <w:rStyle w:val="FootnoteReference"/>
        </w:rPr>
        <w:footnoteReference w:id="178"/>
      </w:r>
    </w:p>
    <w:p w14:paraId="05670443" w14:textId="2016353A" w:rsidR="003E3506" w:rsidRPr="00A64BDC" w:rsidRDefault="00C23708" w:rsidP="000929F9">
      <w:r>
        <w:t xml:space="preserve">These principles are by no means </w:t>
      </w:r>
      <w:r w:rsidR="005F337E">
        <w:t>comprehensive but</w:t>
      </w:r>
      <w:r>
        <w:t xml:space="preserve"> highlight </w:t>
      </w:r>
      <w:r w:rsidR="00381194">
        <w:t xml:space="preserve">the principles most frequently identified in this review. </w:t>
      </w:r>
      <w:r w:rsidR="003E3506">
        <w:t xml:space="preserve">Often, these approaches address only one facet of </w:t>
      </w:r>
      <w:r w:rsidR="003369AA">
        <w:t xml:space="preserve">the </w:t>
      </w:r>
      <w:r w:rsidR="003E3506">
        <w:t xml:space="preserve">health interface challenge. </w:t>
      </w:r>
      <w:r w:rsidR="00E06EC6">
        <w:t xml:space="preserve">Successful initiatives must work in concert to </w:t>
      </w:r>
      <w:r w:rsidR="000B7435">
        <w:t xml:space="preserve">have a meaningful impact on the </w:t>
      </w:r>
      <w:r w:rsidR="0025429E">
        <w:t>bigger picture – particularly due to the fractured and individualistic nature of RACFs and health care</w:t>
      </w:r>
      <w:r w:rsidR="000F3552">
        <w:t xml:space="preserve"> services.</w:t>
      </w:r>
    </w:p>
    <w:p w14:paraId="56F053FA" w14:textId="524F3F3B" w:rsidR="008260B3" w:rsidRDefault="001735B0" w:rsidP="008A047F">
      <w:pPr>
        <w:pStyle w:val="Heading1"/>
      </w:pPr>
      <w:bookmarkStart w:id="81" w:name="_Toc82767272"/>
      <w:r>
        <w:rPr>
          <w:rFonts w:cs="Segoe UI"/>
        </w:rPr>
        <w:lastRenderedPageBreak/>
        <w:t>Conclusions</w:t>
      </w:r>
      <w:bookmarkEnd w:id="81"/>
    </w:p>
    <w:p w14:paraId="1CEACFD4" w14:textId="77777777" w:rsidR="00CB1157" w:rsidRDefault="008A047F" w:rsidP="008A047F">
      <w:pPr>
        <w:rPr>
          <w:lang w:eastAsia="en-AU"/>
        </w:rPr>
      </w:pPr>
      <w:r>
        <w:rPr>
          <w:lang w:eastAsia="en-AU"/>
        </w:rPr>
        <w:t xml:space="preserve">This section </w:t>
      </w:r>
      <w:r w:rsidR="00C10731">
        <w:rPr>
          <w:lang w:eastAsia="en-AU"/>
        </w:rPr>
        <w:t>describes how</w:t>
      </w:r>
      <w:r>
        <w:rPr>
          <w:lang w:eastAsia="en-AU"/>
        </w:rPr>
        <w:t xml:space="preserve"> </w:t>
      </w:r>
      <w:r w:rsidR="00CB1157">
        <w:rPr>
          <w:lang w:eastAsia="en-AU"/>
        </w:rPr>
        <w:t>findings</w:t>
      </w:r>
      <w:r>
        <w:rPr>
          <w:lang w:eastAsia="en-AU"/>
        </w:rPr>
        <w:t xml:space="preserve"> from the literature review </w:t>
      </w:r>
      <w:r w:rsidR="00345943">
        <w:rPr>
          <w:lang w:eastAsia="en-AU"/>
        </w:rPr>
        <w:t>will</w:t>
      </w:r>
      <w:r>
        <w:rPr>
          <w:lang w:eastAsia="en-AU"/>
        </w:rPr>
        <w:t xml:space="preserve"> inform the national evaluatio</w:t>
      </w:r>
      <w:r w:rsidR="00C10731">
        <w:rPr>
          <w:lang w:eastAsia="en-AU"/>
        </w:rPr>
        <w:t>n</w:t>
      </w:r>
      <w:r>
        <w:rPr>
          <w:lang w:eastAsia="en-AU"/>
        </w:rPr>
        <w:t>.</w:t>
      </w:r>
      <w:r w:rsidR="00345943">
        <w:rPr>
          <w:lang w:eastAsia="en-AU"/>
        </w:rPr>
        <w:t xml:space="preserve"> </w:t>
      </w:r>
    </w:p>
    <w:p w14:paraId="3BF1E85F" w14:textId="3603223A" w:rsidR="00A9351E" w:rsidRDefault="00345943" w:rsidP="008A047F">
      <w:pPr>
        <w:rPr>
          <w:lang w:eastAsia="en-AU"/>
        </w:rPr>
      </w:pPr>
      <w:r>
        <w:rPr>
          <w:lang w:eastAsia="en-AU"/>
        </w:rPr>
        <w:t xml:space="preserve">Findings from this literature review </w:t>
      </w:r>
      <w:r w:rsidR="006611A9">
        <w:rPr>
          <w:lang w:eastAsia="en-AU"/>
        </w:rPr>
        <w:t>detail</w:t>
      </w:r>
      <w:r>
        <w:rPr>
          <w:lang w:eastAsia="en-AU"/>
        </w:rPr>
        <w:t xml:space="preserve"> the context in which RACFs </w:t>
      </w:r>
      <w:r w:rsidR="00F06396">
        <w:rPr>
          <w:lang w:eastAsia="en-AU"/>
        </w:rPr>
        <w:t>participating in</w:t>
      </w:r>
      <w:r>
        <w:rPr>
          <w:lang w:eastAsia="en-AU"/>
        </w:rPr>
        <w:t xml:space="preserve"> the Measure are operating. </w:t>
      </w:r>
      <w:r w:rsidR="006601A2">
        <w:rPr>
          <w:lang w:eastAsia="en-AU"/>
        </w:rPr>
        <w:t xml:space="preserve">Further, </w:t>
      </w:r>
      <w:proofErr w:type="gramStart"/>
      <w:r w:rsidR="006601A2">
        <w:rPr>
          <w:lang w:eastAsia="en-AU"/>
        </w:rPr>
        <w:t>domestic</w:t>
      </w:r>
      <w:proofErr w:type="gramEnd"/>
      <w:r w:rsidR="006601A2">
        <w:rPr>
          <w:lang w:eastAsia="en-AU"/>
        </w:rPr>
        <w:t xml:space="preserve"> and international evidence of palliative care in RACFs </w:t>
      </w:r>
      <w:r w:rsidR="00414A71">
        <w:rPr>
          <w:lang w:eastAsia="en-AU"/>
        </w:rPr>
        <w:t>will serve as comparators against the RACFs participating in the Measure.</w:t>
      </w:r>
      <w:r w:rsidR="007F7293">
        <w:rPr>
          <w:lang w:eastAsia="en-AU"/>
        </w:rPr>
        <w:t xml:space="preserve"> </w:t>
      </w:r>
    </w:p>
    <w:p w14:paraId="18EC982D" w14:textId="1A9B1720" w:rsidR="008B0944" w:rsidRDefault="00345943" w:rsidP="008A047F">
      <w:pPr>
        <w:rPr>
          <w:lang w:eastAsia="en-AU"/>
        </w:rPr>
      </w:pPr>
      <w:r>
        <w:rPr>
          <w:lang w:eastAsia="en-AU"/>
        </w:rPr>
        <w:fldChar w:fldCharType="begin"/>
      </w:r>
      <w:r>
        <w:rPr>
          <w:lang w:eastAsia="en-AU"/>
        </w:rPr>
        <w:instrText xml:space="preserve"> REF _Ref51766340 \h </w:instrText>
      </w:r>
      <w:r>
        <w:rPr>
          <w:lang w:eastAsia="en-AU"/>
        </w:rPr>
      </w:r>
      <w:r>
        <w:rPr>
          <w:lang w:eastAsia="en-AU"/>
        </w:rPr>
        <w:fldChar w:fldCharType="separate"/>
      </w:r>
      <w:r w:rsidR="000E59E1">
        <w:t xml:space="preserve">Table </w:t>
      </w:r>
      <w:r w:rsidR="000E59E1">
        <w:rPr>
          <w:noProof/>
        </w:rPr>
        <w:t>6</w:t>
      </w:r>
      <w:r>
        <w:rPr>
          <w:lang w:eastAsia="en-AU"/>
        </w:rPr>
        <w:fldChar w:fldCharType="end"/>
      </w:r>
      <w:r w:rsidR="007F7293">
        <w:rPr>
          <w:lang w:eastAsia="en-AU"/>
        </w:rPr>
        <w:t xml:space="preserve"> </w:t>
      </w:r>
      <w:r w:rsidR="00A9351E">
        <w:rPr>
          <w:lang w:eastAsia="en-AU"/>
        </w:rPr>
        <w:t>summarises</w:t>
      </w:r>
      <w:r w:rsidR="00CA5715">
        <w:rPr>
          <w:lang w:eastAsia="en-AU"/>
        </w:rPr>
        <w:t xml:space="preserve"> how the literature review will help address the key evaluation questions for the national evaluation.</w:t>
      </w:r>
    </w:p>
    <w:p w14:paraId="6266D158" w14:textId="1ECF28DC" w:rsidR="00345943" w:rsidRDefault="00345943" w:rsidP="00345943">
      <w:pPr>
        <w:pStyle w:val="Caption"/>
      </w:pPr>
      <w:bookmarkStart w:id="82" w:name="_Ref51766340"/>
      <w:r>
        <w:t xml:space="preserve">Table </w:t>
      </w:r>
      <w:r>
        <w:fldChar w:fldCharType="begin"/>
      </w:r>
      <w:r>
        <w:instrText xml:space="preserve"> SEQ Table \* ARABIC </w:instrText>
      </w:r>
      <w:r>
        <w:fldChar w:fldCharType="separate"/>
      </w:r>
      <w:r w:rsidR="000E59E1">
        <w:rPr>
          <w:noProof/>
        </w:rPr>
        <w:t>6</w:t>
      </w:r>
      <w:r>
        <w:fldChar w:fldCharType="end"/>
      </w:r>
      <w:bookmarkEnd w:id="82"/>
      <w:r>
        <w:t xml:space="preserve"> | Implications for the national evaluation</w:t>
      </w:r>
    </w:p>
    <w:tbl>
      <w:tblPr>
        <w:tblStyle w:val="TableGrid"/>
        <w:tblW w:w="9100" w:type="dxa"/>
        <w:tblLook w:val="0400" w:firstRow="0" w:lastRow="0" w:firstColumn="0" w:lastColumn="0" w:noHBand="0" w:noVBand="1"/>
        <w:tblCaption w:val="Table 6 outlines the Implications for the national evaluation "/>
        <w:tblDescription w:val="How appropriate is the Measure to meet the needs of residents, families and carers in the Residential Aged Care Facilities (RACF) setting? &#10;&#10;The body of evidence describing the needs of residents, families, carers and staff in RACFs will be used to describe the context within which RACFs participating in the Measure are operating.  &#10;&#10;Evidence describing system needs will be explored further to understand the needs and operating context of systems involved in activities implemented under the Measure. &#10;&#10;Evidence on service gaps, such as workforce capacity and capability, will steer the discussion on service gaps in the national evaluation and support the articulation of the unmet needs that the Measure aims to meet. &#10;&#10;&#10;How effective have the joint funding and delivery arrangements been for implementing and achieving the aims of the Measure? How could governance arrangements be more effective? &#10;&#10;Best practice approaches to joint funding and delivery arrangements evidenced in the literature will be shared in the national evaluation and will contextualise the Measure’s arrangement. &#10;&#10;Findings from examination of good practice funding and delivery arrangements will help identify areas of improvement for potential future joint activities/agreements.  &#10;&#10;&#10;To what extent has the Measure achieved its intended outcomes? &#10;&#10;Markers of quality palliative care in RACFs identified and outcomes measured by evaluations of evidence-based good practice models of care will inform the selection of indicators that will guide data collection and analysis for the national evaluation. &#10;&#10;&#10;Is there a specific model of care that has been implemented that has proven to be more successful than others? &#10;&#10;The domestic and international models identified in the literature review will answer the questions on successful models of care outside of the Measure for the national evaluation. &#10;&#10;The critical success factors for palliative care models of care will be used as a basis for further exploration in the national evaluation.  &#10;&#10;&#10;Does the Measure and the models adopted in each jurisdiction help to address health system interface issues? &#10;&#10;Evidence based models of care outside of the Measure that address health interface issues will be used to inform the definition of good practice and will be explored further in the national evaluation. &#10;&#10;Success factors and enablers will be used to understand the factors that contribute to models that successfully address health interface issues and identify areas where activities under the Measure can improve. "/>
      </w:tblPr>
      <w:tblGrid>
        <w:gridCol w:w="2637"/>
        <w:gridCol w:w="6463"/>
      </w:tblGrid>
      <w:tr w:rsidR="0036673C" w:rsidRPr="00D832A1" w14:paraId="14BF5808" w14:textId="77777777" w:rsidTr="22C19DAE">
        <w:tc>
          <w:tcPr>
            <w:tcW w:w="2637" w:type="dxa"/>
            <w:tcBorders>
              <w:top w:val="nil"/>
              <w:left w:val="single" w:sz="4" w:space="0" w:color="FFFFFF" w:themeColor="background1"/>
            </w:tcBorders>
            <w:shd w:val="clear" w:color="auto" w:fill="00264D" w:themeFill="background2"/>
          </w:tcPr>
          <w:p w14:paraId="12DAB3F7" w14:textId="6C90E0AB" w:rsidR="0036673C" w:rsidRPr="00F10169" w:rsidRDefault="0036673C" w:rsidP="00F10169">
            <w:pPr>
              <w:pStyle w:val="TableNheader"/>
              <w:rPr>
                <w:color w:val="FFFFFF" w:themeColor="background1"/>
                <w:lang w:eastAsia="en-AU"/>
              </w:rPr>
            </w:pPr>
            <w:r w:rsidRPr="00F10169">
              <w:rPr>
                <w:color w:val="FFFFFF" w:themeColor="background1"/>
                <w:lang w:eastAsia="en-AU"/>
              </w:rPr>
              <w:t>Key evaluation questions</w:t>
            </w:r>
          </w:p>
        </w:tc>
        <w:tc>
          <w:tcPr>
            <w:tcW w:w="6463" w:type="dxa"/>
            <w:tcBorders>
              <w:top w:val="nil"/>
              <w:left w:val="single" w:sz="4" w:space="0" w:color="FFFFFF" w:themeColor="background1"/>
            </w:tcBorders>
            <w:shd w:val="clear" w:color="auto" w:fill="00264D" w:themeFill="background2"/>
          </w:tcPr>
          <w:p w14:paraId="1ECF60C0" w14:textId="169E523E" w:rsidR="0036673C" w:rsidRPr="00F10169" w:rsidRDefault="0036673C" w:rsidP="00F10169">
            <w:pPr>
              <w:pStyle w:val="TableNheader"/>
              <w:rPr>
                <w:color w:val="FFFFFF" w:themeColor="background1"/>
                <w:lang w:eastAsia="en-AU"/>
              </w:rPr>
            </w:pPr>
            <w:r w:rsidRPr="00F10169">
              <w:rPr>
                <w:color w:val="FFFFFF" w:themeColor="background1"/>
                <w:lang w:eastAsia="en-AU"/>
              </w:rPr>
              <w:t>Implications for the national evaluation</w:t>
            </w:r>
          </w:p>
        </w:tc>
      </w:tr>
      <w:tr w:rsidR="0036673C" w:rsidRPr="00250644" w14:paraId="50309678" w14:textId="77777777" w:rsidTr="22C19DAE">
        <w:tc>
          <w:tcPr>
            <w:tcW w:w="2637" w:type="dxa"/>
          </w:tcPr>
          <w:p w14:paraId="44520DD6" w14:textId="347C3EA0" w:rsidR="0036673C" w:rsidRPr="0031004F" w:rsidRDefault="00BB54B2" w:rsidP="00260BDD">
            <w:pPr>
              <w:pStyle w:val="TableNText"/>
            </w:pPr>
            <w:r w:rsidRPr="0031004F">
              <w:t xml:space="preserve">How appropriate is the Measure to meet the needs of residents, </w:t>
            </w:r>
            <w:proofErr w:type="gramStart"/>
            <w:r w:rsidRPr="0031004F">
              <w:t>families</w:t>
            </w:r>
            <w:proofErr w:type="gramEnd"/>
            <w:r w:rsidRPr="0031004F">
              <w:t xml:space="preserve"> and carers in the Residential Aged Care Facilities (RACF) setting?</w:t>
            </w:r>
          </w:p>
        </w:tc>
        <w:tc>
          <w:tcPr>
            <w:tcW w:w="6463" w:type="dxa"/>
          </w:tcPr>
          <w:p w14:paraId="088DD20B" w14:textId="77777777" w:rsidR="00E939F3" w:rsidRDefault="00E90991" w:rsidP="005F337E">
            <w:pPr>
              <w:pStyle w:val="TableNBullet"/>
            </w:pPr>
            <w:r w:rsidRPr="00462250">
              <w:t xml:space="preserve">The body of evidence describing the needs of residents, families, </w:t>
            </w:r>
            <w:proofErr w:type="gramStart"/>
            <w:r w:rsidRPr="00462250">
              <w:t>carers</w:t>
            </w:r>
            <w:proofErr w:type="gramEnd"/>
            <w:r w:rsidRPr="00462250">
              <w:t xml:space="preserve"> and staff in RACFs will be used to </w:t>
            </w:r>
            <w:r w:rsidR="00FF209F">
              <w:t>describe the</w:t>
            </w:r>
            <w:r w:rsidRPr="00462250">
              <w:t xml:space="preserve"> context within which RACFs participating in the Measure are operating</w:t>
            </w:r>
            <w:r w:rsidR="001E5164">
              <w:t>.</w:t>
            </w:r>
            <w:r w:rsidR="00D21CF2">
              <w:t xml:space="preserve"> </w:t>
            </w:r>
          </w:p>
          <w:p w14:paraId="24A3F879" w14:textId="078D4353" w:rsidR="00E90991" w:rsidRPr="00462250" w:rsidRDefault="00D21CF2" w:rsidP="005F337E">
            <w:pPr>
              <w:pStyle w:val="TableNBullet"/>
            </w:pPr>
            <w:r>
              <w:t>Evidence describing system needs will be explored further</w:t>
            </w:r>
            <w:r w:rsidR="00E939F3">
              <w:t xml:space="preserve"> to understand </w:t>
            </w:r>
            <w:r w:rsidR="00F34F3A">
              <w:t xml:space="preserve">the needs and operating context of systems </w:t>
            </w:r>
            <w:r w:rsidR="00C95097">
              <w:t>involved in activities implemented under the Measure.</w:t>
            </w:r>
          </w:p>
          <w:p w14:paraId="0CD7DC71" w14:textId="701C333A" w:rsidR="0036673C" w:rsidRPr="00910280" w:rsidRDefault="0036673C" w:rsidP="005F337E">
            <w:pPr>
              <w:pStyle w:val="TableNBullet"/>
            </w:pPr>
            <w:r w:rsidRPr="00910280">
              <w:t>Evidence</w:t>
            </w:r>
            <w:r w:rsidR="00EF7D84">
              <w:t xml:space="preserve"> on </w:t>
            </w:r>
            <w:r w:rsidR="00EF7D84" w:rsidRPr="00910280">
              <w:t>service gaps</w:t>
            </w:r>
            <w:r w:rsidR="0053265F">
              <w:t>, such as</w:t>
            </w:r>
            <w:r w:rsidRPr="00910280">
              <w:t xml:space="preserve"> workforce capacity and capability</w:t>
            </w:r>
            <w:r w:rsidR="0053265F">
              <w:t>, will steer</w:t>
            </w:r>
            <w:r w:rsidR="00FF209F">
              <w:t xml:space="preserve"> the </w:t>
            </w:r>
            <w:r w:rsidR="00F6115B">
              <w:t xml:space="preserve">discussion on service gaps in the </w:t>
            </w:r>
            <w:r w:rsidR="00FF209F">
              <w:t>national evaluation</w:t>
            </w:r>
            <w:r w:rsidR="007B4C29">
              <w:t xml:space="preserve"> and support the </w:t>
            </w:r>
            <w:r w:rsidR="00DD418B">
              <w:t xml:space="preserve">articulation </w:t>
            </w:r>
            <w:r w:rsidR="007B4C29">
              <w:t xml:space="preserve">of the </w:t>
            </w:r>
            <w:r w:rsidR="00DD418B">
              <w:t xml:space="preserve">unmet </w:t>
            </w:r>
            <w:r w:rsidR="007B4C29">
              <w:t xml:space="preserve">needs </w:t>
            </w:r>
            <w:r w:rsidR="00DD418B">
              <w:t xml:space="preserve">that </w:t>
            </w:r>
            <w:r w:rsidR="007B4C29">
              <w:t>the Measure aims to meet</w:t>
            </w:r>
            <w:r w:rsidR="00F6115B">
              <w:t>.</w:t>
            </w:r>
          </w:p>
        </w:tc>
      </w:tr>
      <w:tr w:rsidR="0036673C" w:rsidRPr="0089463B" w14:paraId="0E658F82" w14:textId="77777777" w:rsidTr="22C19DAE">
        <w:tc>
          <w:tcPr>
            <w:tcW w:w="2637" w:type="dxa"/>
          </w:tcPr>
          <w:p w14:paraId="4A35B249" w14:textId="36954E4F" w:rsidR="0036673C" w:rsidRPr="0031004F" w:rsidRDefault="00BB54B2" w:rsidP="00260BDD">
            <w:pPr>
              <w:pStyle w:val="TableNText"/>
            </w:pPr>
            <w:r>
              <w:t>How effective have the joint funding and delivery arrangements been for implementing and achieving the aims of the Measure? How could governance arrangements be more effective?</w:t>
            </w:r>
          </w:p>
        </w:tc>
        <w:tc>
          <w:tcPr>
            <w:tcW w:w="6463" w:type="dxa"/>
          </w:tcPr>
          <w:p w14:paraId="4DCB2F2E" w14:textId="42041EBE" w:rsidR="00923E40" w:rsidRDefault="00923E40" w:rsidP="005F337E">
            <w:pPr>
              <w:pStyle w:val="TableNBullet"/>
            </w:pPr>
            <w:r>
              <w:t xml:space="preserve">Best practice approaches to </w:t>
            </w:r>
            <w:r w:rsidR="001E53A8">
              <w:t xml:space="preserve">joint </w:t>
            </w:r>
            <w:r>
              <w:t xml:space="preserve">funding and delivery arrangements </w:t>
            </w:r>
            <w:r w:rsidR="00853E2F">
              <w:t xml:space="preserve">evidenced in the literature </w:t>
            </w:r>
            <w:r>
              <w:t xml:space="preserve">will be shared in the national evaluation and will </w:t>
            </w:r>
            <w:r w:rsidRPr="00462250">
              <w:t>contextualise the Measure’s arrangement</w:t>
            </w:r>
            <w:r w:rsidR="00351E03">
              <w:t>.</w:t>
            </w:r>
          </w:p>
          <w:p w14:paraId="525B29F5" w14:textId="3B2917AF" w:rsidR="00910280" w:rsidRPr="00923E40" w:rsidRDefault="0044207E" w:rsidP="005F337E">
            <w:pPr>
              <w:pStyle w:val="TableNBullet"/>
            </w:pPr>
            <w:r w:rsidRPr="00462250">
              <w:t xml:space="preserve">Findings from </w:t>
            </w:r>
            <w:r w:rsidR="001E53A8">
              <w:t>examination of good practice</w:t>
            </w:r>
            <w:r w:rsidRPr="00462250">
              <w:t xml:space="preserve"> funding and delivery</w:t>
            </w:r>
            <w:r w:rsidR="00853E2F">
              <w:t xml:space="preserve"> arrangements</w:t>
            </w:r>
            <w:r w:rsidRPr="00462250">
              <w:t xml:space="preserve"> will </w:t>
            </w:r>
            <w:r w:rsidR="00351E03">
              <w:t>help</w:t>
            </w:r>
            <w:r w:rsidRPr="00462250">
              <w:t xml:space="preserve"> identify areas of improvement</w:t>
            </w:r>
            <w:r w:rsidR="001E53A8">
              <w:t xml:space="preserve"> for potential future joint activities/agreements. </w:t>
            </w:r>
          </w:p>
        </w:tc>
      </w:tr>
      <w:tr w:rsidR="0036673C" w14:paraId="371D67D2" w14:textId="77777777" w:rsidTr="22C19DAE">
        <w:tc>
          <w:tcPr>
            <w:tcW w:w="2637" w:type="dxa"/>
          </w:tcPr>
          <w:p w14:paraId="5F08EB20" w14:textId="0EB945AB" w:rsidR="00334619" w:rsidRDefault="00334619" w:rsidP="00260BDD">
            <w:pPr>
              <w:pStyle w:val="TableNText"/>
            </w:pPr>
            <w:r>
              <w:t>To what extent has the Measure achieved its intended outcomes?</w:t>
            </w:r>
          </w:p>
          <w:p w14:paraId="559753EC" w14:textId="77777777" w:rsidR="0036673C" w:rsidRDefault="0036673C" w:rsidP="00260BDD">
            <w:pPr>
              <w:pStyle w:val="TableNText"/>
            </w:pPr>
          </w:p>
        </w:tc>
        <w:tc>
          <w:tcPr>
            <w:tcW w:w="6463" w:type="dxa"/>
          </w:tcPr>
          <w:p w14:paraId="15B76153" w14:textId="2C40F7B4" w:rsidR="0036673C" w:rsidRPr="00462250" w:rsidRDefault="000B6829" w:rsidP="005F337E">
            <w:pPr>
              <w:pStyle w:val="TableNBullet"/>
            </w:pPr>
            <w:r w:rsidRPr="00462250">
              <w:t xml:space="preserve">Markers of quality palliative care in RACFs </w:t>
            </w:r>
            <w:r w:rsidR="00FE283B">
              <w:t xml:space="preserve">identified </w:t>
            </w:r>
            <w:r w:rsidR="00B06BFD">
              <w:t>and outcomes measured by evaluations of evidence-based good practice models of care</w:t>
            </w:r>
            <w:r w:rsidR="001735B0">
              <w:t xml:space="preserve"> </w:t>
            </w:r>
            <w:r w:rsidRPr="00462250">
              <w:t>will inform the selection of indicators that will guide data collection and analysis for the national evaluation.</w:t>
            </w:r>
          </w:p>
        </w:tc>
      </w:tr>
      <w:tr w:rsidR="0036673C" w14:paraId="16EDA700" w14:textId="77777777" w:rsidTr="22C19DAE">
        <w:tc>
          <w:tcPr>
            <w:tcW w:w="2637" w:type="dxa"/>
          </w:tcPr>
          <w:p w14:paraId="434F2FE8" w14:textId="30C9073C" w:rsidR="00334619" w:rsidRDefault="00334619" w:rsidP="00260BDD">
            <w:pPr>
              <w:pStyle w:val="TableNText"/>
            </w:pPr>
            <w:r>
              <w:t>Is there a specific model of care that has been implemented that has proven to be more successful than others?</w:t>
            </w:r>
          </w:p>
          <w:p w14:paraId="529E3C9A" w14:textId="77777777" w:rsidR="0036673C" w:rsidRDefault="0036673C" w:rsidP="00260BDD">
            <w:pPr>
              <w:pStyle w:val="TableNText"/>
            </w:pPr>
          </w:p>
        </w:tc>
        <w:tc>
          <w:tcPr>
            <w:tcW w:w="6463" w:type="dxa"/>
          </w:tcPr>
          <w:p w14:paraId="5AE97DF4" w14:textId="77777777" w:rsidR="0044207E" w:rsidRPr="00462250" w:rsidRDefault="0044207E" w:rsidP="005F337E">
            <w:pPr>
              <w:pStyle w:val="TableNBullet"/>
            </w:pPr>
            <w:r w:rsidRPr="00462250">
              <w:t xml:space="preserve">The domestic and international models </w:t>
            </w:r>
            <w:r>
              <w:t>identified in the literature review</w:t>
            </w:r>
            <w:r w:rsidRPr="00462250">
              <w:t xml:space="preserve"> will answer the questions on successful models of care outside of the Measure for the national evaluation.</w:t>
            </w:r>
          </w:p>
          <w:p w14:paraId="199226F8" w14:textId="52965C49" w:rsidR="0044207E" w:rsidRPr="00462250" w:rsidRDefault="0044207E" w:rsidP="005F337E">
            <w:pPr>
              <w:pStyle w:val="TableNBullet"/>
            </w:pPr>
            <w:r w:rsidRPr="00462250">
              <w:t xml:space="preserve">The </w:t>
            </w:r>
            <w:r w:rsidR="00E30946">
              <w:t xml:space="preserve">critical </w:t>
            </w:r>
            <w:r w:rsidRPr="00462250">
              <w:t xml:space="preserve">success factors for palliative care models of care </w:t>
            </w:r>
            <w:r w:rsidR="00C1195A">
              <w:t>w</w:t>
            </w:r>
            <w:r w:rsidR="007879FB">
              <w:t xml:space="preserve">ill be </w:t>
            </w:r>
            <w:r w:rsidR="001E5164">
              <w:t>used as a basis for</w:t>
            </w:r>
            <w:r w:rsidR="00E30946">
              <w:t xml:space="preserve"> further </w:t>
            </w:r>
            <w:r w:rsidR="001E5164">
              <w:t>exploration</w:t>
            </w:r>
            <w:r w:rsidR="00E30946">
              <w:t xml:space="preserve"> in the national evaluation</w:t>
            </w:r>
            <w:r w:rsidR="000B3D53">
              <w:t xml:space="preserve">. </w:t>
            </w:r>
          </w:p>
        </w:tc>
      </w:tr>
      <w:tr w:rsidR="00334619" w14:paraId="12AB00E0" w14:textId="77777777" w:rsidTr="22C19DAE">
        <w:tc>
          <w:tcPr>
            <w:tcW w:w="2637" w:type="dxa"/>
          </w:tcPr>
          <w:p w14:paraId="58E9F876" w14:textId="7EAEF8C9" w:rsidR="00334619" w:rsidRDefault="00701415" w:rsidP="00F32FC9">
            <w:pPr>
              <w:pStyle w:val="TableNText"/>
            </w:pPr>
            <w:r>
              <w:t>Does the Measure and the models adopted in each jurisdiction help to address health system interface issues?</w:t>
            </w:r>
          </w:p>
        </w:tc>
        <w:tc>
          <w:tcPr>
            <w:tcW w:w="6463" w:type="dxa"/>
          </w:tcPr>
          <w:p w14:paraId="2A511EDE" w14:textId="238D7ED1" w:rsidR="00881809" w:rsidRDefault="001E5164" w:rsidP="005F337E">
            <w:pPr>
              <w:pStyle w:val="TableNBullet"/>
            </w:pPr>
            <w:r>
              <w:t>Evidence based m</w:t>
            </w:r>
            <w:r w:rsidR="00881809">
              <w:t>odels</w:t>
            </w:r>
            <w:r w:rsidR="001735B0">
              <w:t xml:space="preserve"> </w:t>
            </w:r>
            <w:r w:rsidR="00B75777">
              <w:t xml:space="preserve">of care outside of the Measure that address </w:t>
            </w:r>
            <w:r>
              <w:t xml:space="preserve">health </w:t>
            </w:r>
            <w:r w:rsidR="00B75777">
              <w:t xml:space="preserve">interface issues will be </w:t>
            </w:r>
            <w:r w:rsidR="00B807A1">
              <w:t>used to inform the definition of good practice and will be explored further</w:t>
            </w:r>
            <w:r w:rsidR="00B75777">
              <w:t xml:space="preserve"> in the national evaluation.</w:t>
            </w:r>
          </w:p>
          <w:p w14:paraId="22EDAA4D" w14:textId="25E729C1" w:rsidR="00334619" w:rsidRPr="00D057FC" w:rsidRDefault="00857B0A" w:rsidP="005F337E">
            <w:pPr>
              <w:pStyle w:val="TableNBullet"/>
            </w:pPr>
            <w:r>
              <w:t xml:space="preserve">Success factors and </w:t>
            </w:r>
            <w:r w:rsidR="00994815">
              <w:t xml:space="preserve">enablers will be </w:t>
            </w:r>
            <w:r w:rsidR="00A76949">
              <w:t xml:space="preserve">used to understand </w:t>
            </w:r>
            <w:r w:rsidR="000301F1">
              <w:t>the factors</w:t>
            </w:r>
            <w:r w:rsidR="00C46028">
              <w:t xml:space="preserve"> that contribute to models that </w:t>
            </w:r>
            <w:r w:rsidR="000301F1">
              <w:t xml:space="preserve">successfully </w:t>
            </w:r>
            <w:r w:rsidR="00C46028">
              <w:t>address health interface issues</w:t>
            </w:r>
            <w:r w:rsidR="009571BF">
              <w:t xml:space="preserve"> and identify areas where activities under the Measure can improve.</w:t>
            </w:r>
          </w:p>
        </w:tc>
      </w:tr>
    </w:tbl>
    <w:p w14:paraId="038D47ED" w14:textId="77777777" w:rsidR="00D1255F" w:rsidRDefault="00D1255F" w:rsidP="005B0558">
      <w:pPr>
        <w:rPr>
          <w:lang w:eastAsia="en-AU"/>
        </w:rPr>
      </w:pPr>
      <w:r>
        <w:rPr>
          <w:lang w:eastAsia="en-AU"/>
        </w:rPr>
        <w:br w:type="page"/>
      </w:r>
    </w:p>
    <w:p w14:paraId="5540C6BF" w14:textId="77777777" w:rsidR="00446A97" w:rsidRDefault="00446A97" w:rsidP="00D1255F">
      <w:pPr>
        <w:pStyle w:val="xAppendixLevel1"/>
        <w:sectPr w:rsidR="00446A97" w:rsidSect="003B52E5">
          <w:pgSz w:w="11907" w:h="16839" w:orient="landscape" w:code="9"/>
          <w:pgMar w:top="1418" w:right="1418" w:bottom="1701" w:left="1559" w:header="720" w:footer="720" w:gutter="0"/>
          <w:cols w:space="720"/>
          <w:docGrid w:linePitch="360"/>
        </w:sectPr>
      </w:pPr>
    </w:p>
    <w:p w14:paraId="4FA19F09" w14:textId="75ABA75E" w:rsidR="008A047F" w:rsidRDefault="00CC6FCB" w:rsidP="00D1255F">
      <w:pPr>
        <w:pStyle w:val="xAppendixLevel1"/>
      </w:pPr>
      <w:bookmarkStart w:id="83" w:name="_Ref51163437"/>
      <w:bookmarkStart w:id="84" w:name="_Toc51571050"/>
      <w:bookmarkStart w:id="85" w:name="_Toc82767273"/>
      <w:r>
        <w:lastRenderedPageBreak/>
        <w:t>Detailed models of care</w:t>
      </w:r>
      <w:bookmarkEnd w:id="83"/>
      <w:bookmarkEnd w:id="84"/>
      <w:bookmarkEnd w:id="85"/>
    </w:p>
    <w:p w14:paraId="1C62768A" w14:textId="69BE0BAA" w:rsidR="00446A97" w:rsidRPr="00483021" w:rsidRDefault="00446A97" w:rsidP="00446A97">
      <w:pPr>
        <w:rPr>
          <w:rFonts w:cs="Calibri"/>
          <w:sz w:val="16"/>
          <w:szCs w:val="16"/>
          <w:lang w:eastAsia="en-AU"/>
        </w:rPr>
      </w:pPr>
      <w:r>
        <w:rPr>
          <w:lang w:eastAsia="en-AU"/>
        </w:rPr>
        <w:t xml:space="preserve">This </w:t>
      </w:r>
      <w:r w:rsidRPr="00483021">
        <w:rPr>
          <w:rFonts w:cs="Calibri"/>
          <w:sz w:val="16"/>
          <w:szCs w:val="16"/>
          <w:lang w:eastAsia="en-AU"/>
        </w:rPr>
        <w:t>appendix contains detailed information on the models of care identified domestically and internationally.</w:t>
      </w:r>
    </w:p>
    <w:tbl>
      <w:tblPr>
        <w:tblStyle w:val="TableGrid"/>
        <w:tblpPr w:leftFromText="180" w:rightFromText="180" w:vertAnchor="text" w:tblpY="1"/>
        <w:tblOverlap w:val="never"/>
        <w:tblW w:w="14260" w:type="dxa"/>
        <w:tblLook w:val="0400" w:firstRow="0" w:lastRow="0" w:firstColumn="0" w:lastColumn="0" w:noHBand="0" w:noVBand="1"/>
        <w:tblCaption w:val="Appendix A lists the detailed models of care"/>
        <w:tblDescription w:val="INSPIRED Model  (ACT) consists of placing a palliative care nurse practitioner in RACFs. Nurse practitioners conduct ‘Needs rounds’ to assess residents’ palliative care needs and deterioration. Palliative care nurse practitioners provide direct support though clinical assessments and indirect support through needs rounds, which serve to uplift staff capability through care plan discussions. &#10;• Normalised death and dying in RACFs &#10;• Provided timely access to palliative care specialist&#10;• Reduced unnecessary hospitalisations &#10;• Improved decision making and planned care for residents, meaning staff and relatives were better informed on resident trajectory &#10;• Developed capabilities of RACF staff indirectly through needs rounds.&#10;&#10;Lavender Palliative Care Suite - Hammond Care (VIC) operates a nine-bed specialist palliative care unit as part of a 124-place mixed low and high-care home. Integrated, multi-disciplinary approach to care. Access to HammondCare acute care, clinical training service and in-house pharmacy. &#10;• Enabled personalised and flexible care routines&#10;• Provided for residents’ individual physical, psychological, social and spiritual needs &#10;• Demonstrated efficacy of providing specialised palliative care in an existing residential aged care setting.&#10;&#10;Geriatric Flying Squad (NSW) Specialist outreach service provides a rapid response and a clear point of contact for RACF staff to access support. Service provides a comprehensive assessment in the older person’s home at the RACF within 2-4 hours of referral, including the provision of palliative care. Expedited ward admission where necessary. Assessment occurs at the person’s home in the aged care facility if this is their choice.&#10;• Provided proactive and timely care, in the home where possible&#10;• Improved decision support making through risk stratification &#10;• Improved care coordination and continuity of care &#10;• Developed capability across individuals, units and organisations&#10;• Established quality indicators through comprehensive geriatric assessment &#10;• Provided access to network of specialist palliative care professionals through partnerships.&#10;&#10;Outreach geriatric medication advisory service (NSW) Multidisciplinary case conferences involving GP, geriatrician and pharmacists and residential care staff held for each resident.&#10;• Provided holistic, person-centred care through the multidisciplinary team &#10;• Improved appropriate medication prescribing to residents.&#10;&#10;Indigenous Palliative Care Service Delivery Conceptual Model (NT) Created a conceptual model that outlined seven key principles for Indigenous palliative care service delivery: 1) Equity 2) Autonomy and Empowerment 3) The Importance of Trust 4) Humane, Non-judgmental Care 5) Seamless Care 6) Emphasis on Living 7) Cultural Respect.&#10;• Developed capabilities of RACF workforce to identify needs specific to Indigenous peoples in Australia.&#10;&#10;Austin Health’s Residential InReach service (VIC) A geriatrician-led model that operates seven days a week, from 9 AM to 5 PM. This service offers RACFs telephone advice, geriatrician or nursing reviews, acute interventions and palliative care. &#10;• Provided timely access to medical assessment and assistance with clinical decision-making &#10;• Improved decision-making around hospital transfers through prioritising and advocating for the resident’s best outcomes &#10;• Increased documentation of and adherence to advance care plans to assist staff with decision-making and reduce anxiety when a resident deteriorates&#10;• Improved staff capacity to engage in advance care planning opportunities in the RACF setting.&#10;&#10;Aged Care Emergency (ACE) program (NSW) ACE supports staff in RACFs to facilitate residents’ acute care needs being met within the facility and avoiding an ED presentation. Aim to reduce the need for residents of RACFs to present to an ED for acute care, or where ED presentation is required, to proactively manage the visit. Enhance integration of a range of services for older people.&#10;• Increased respect for knowledge and skills of RACF staff&#10;• Provided RACF staff access to a network of specialist palliative care providers&#10;• Developed collaborative relationships and trust to enable appropriate decision making &#10;• Established clear patient goals of care prior to transferring to an ED&#10;• Provided proactive case management within the ED.&#10;&#10;The Envelope (VIC) A simple tool to transfer clinical information during ED transfers. The Envelope maintained privacy of the resident (no clinical information is recorded on the Envelope), was succinct and simple, and kept costs to a minimum. &#10;• Improved clinical handover, as perceived by staff&#10;• Raised awareness of the importance of clinical handover, as perceived by staff.&#10;&#10;CARE-PACT (QLD) Comprehensive Aged Residents Emergency and Partners in Assessment, Care and Treatment (CARE-PACT) program: a hospital substitutive care and demand management project that provides a consultative service for GPs regarding their resident’s acute healthcare issues. CARE-PACT is a dedicated, hospital-based, single point of telephone contact for referral of deteriorating RACF residents for GPs, paramedics, RACF staff and community health providers. CARE-PACT partners with existing community and hospital-based services to facilitate linking of residents with acute care needs to the service best able to fulfill these needs. &#10;• Optimised continuity of care and effectiveness of discharge with informed collaborative care planning &#10;• Improved quality of gerontic nursing care in the ED &#10;• Reduced hospital length of stay by having ED receive prior warning of a forthcoming ambulance transfer &#10;• Facilitated early discharge through recognising and remediating barriers to discharge early in the presentation.&#10;&#10;Aged Rapid Response Team (ARRT) (NSW) offers an outreach service to RACFs through rapid access medical and nursing community visits and a telephone service for advice regarding resident palliative care. • Provided timely access to specialist care at home&#10;• Prevented unnecessary hospital presentations/admissions&#10;• Developed capabilities for registered nurses in RACFs&#10;• Increased documentation of advance care planning.&#10;&#10;Virtual Aged Care Services (VACS) (NSW) aims to reduce unnecessary hospital presentations and admissions for older people, facilitate early discharge from hospital (reducing length of stay) and streamline older patients’ entry points to hospital. VACS was piloted in two RACFs to trial telehealth strategies for delivery. &#10;• Improved care coordination and collaborative care plan development with involved providers&#10;• Provided access to a network of specialist care providers&#10;• Developed capabilities of RACF staff through education&#10;• Increased resource utilisation through telehealth strategies.&#10; &#10;St. Vincent’s Health Network’s Palliative Care Nurse Practitioners (VIC)A network of acute care facilities and specialist palliative care providers that coordinate to deliver palliative care in community and residential aged care facilities.  &#10;• Provided timely provision of appropriate care and support&#10;• Improved assessment, management and evaluation of patients&#10;• Prescribed appropriate medications&#10;• Delivered personalised care &#10;• Provided continuity of care between hospital and home&#10;• Provided advice and support to patients and their loved ones (including care for physical, psychological and spiritual needs).&#10;&#10;REACH Aged Care in the South (REACH) (SA) A program where GPs worked with facilities to assist with residents’ urgent needs and ongoing medical services.   &#10;• Provided urgent assessment for residents’ whose usual GP was unavailable &#10;• Provided ongoing medical services to RACF patients &#10;• Assisted with facilities clinical governance &#10;• Provided education and training and participation in Medical Advisory Committee&#10;&#10;BUPA Model of Care (in various jurisdictions) A program where GPs deliver preventative healthcare and immediate medical treatment in residential aged care facilities.  &#10;• Provided individual services in RACFs, including delivery of palliative care&#10;• Trained and educated GPs as required &#10;&#10;&#10;INTERNATIONAL    &#10;Residential Aged Care Integration Program (RACIP) (New Zealand)is a quality improvement intervention to support residential aged care staff and includes on-site support, education, clinical coaching and care coordination provided by gerontology nurse specialists (GNSs) employed by a large district health board. &#10;• Provided education and clinical coaching through education sessions and access to gerontology clinical coaching&#10;• Developed a collaborative relationship between GNSs and facility staff&#10;• Established quality initiatives and indicators (e.g. RN Care guides&#10;• Improved care coordination for high-risk residents&#10;• Provided access to a network of gerontology specialists, e.g. with secondary care Older Adult Specialists and primary and secondary care services.&#10;&#10;Aged Residential Care Health Utilisation Study (ARCHUS) (New Zealand) is a complex multi-disciplinary team intervention in long-term care facilities. A GNS conducted baseline facility needs assessment and quality indicator benchmarking. A multi-disciplinary team (MDT) meetings were held involving a geriatrician, facility GP, pharmacist, GNS and senior nursing staff. &#10;• Improved integration of RACF with geriatricians and with emergency/acute services&#10;• Educated RACF staff to increase their use of research and current guidelines&#10;• Improved RACF palliative care practices&#10;• Provided alternative residential aged care models to target care for high risk groups, e.g. those with end-stage dementia.&#10;&#10;Gold Standard Framework (GSF) (United Kingdom) A model of end-of-life care, in nursing homes in England. The GSF helps practitioners to identify individuals in need of supportive end-of-life care, to assess their needs, symptoms, preferences and other concerns important to them. &#10;• Increased discussion with residents and families about care towards the end-of-life&#10;• Improved communication with GP out-of-hours services&#10;• Introduced procedures for anticipatory medication and greater staff confidence in caring for people at the end-of-life.&#10;&#10;The Supportive and Palliative Care Indicators Tool (SPICT) (United Kingdom) is designed to provide practical, evidence-informed guidance to help clinicians working in primary and secondary care recognise when their patients might be at risk of dying and likely to benefit from supportive and palliative care in parallel with appropriate ongoing management of their advanced conditions. &#10;• Identified patients with multiple unmet needs who would benefit from needs assessment and advance care planning&#10;• Provided clear indicators which clinicians can use to initiate conversations with patients and families &#10;• Promoted effective communication and coordination between primary and secondary care teams.&#10;&#10;Palliative Care Mobile Unit (Canada) A palliative care mobile unit to provide care to residents at end of life. Unit contained palliative care specialists (GP and/or Nurse) to identify palliative care needs at the residential facility. &#10;• Families and medical teams supported to manage end-of-life symptoms and psychological suffering &#10;• Avoided unnecessary hospitalizations.&#10;&#10;Palliative Care Leadership Teams (PCLT) (United States) included recruitment and training of Palliative Care Leadership Teams in each facility, followed by six technical assistance meetings for team members. Hospice providers delivered six educational sessions for all nursing home staff using a structured curriculum. &#10;• Increased hospice enrolment&#10;• Improved pain assessment and nonpharmacologic pain treatment&#10;• Increased advance care planning discussions.&#10;&#10;Social workers to enhance advance care planning (United States)Nursing home social workers were given a baseline education in advance care planning that incorporated small-group workshops and role play/practice sessions for intervention social workers. Social workers than continued care planning with residents of nursing homes, discussing goals of care at team meetings and ‘‘flagged’’ advance directives on nursing home charts.&#10; • Improved documentation of and adherence to residents’ preferred resuscitation orders and other medical interventions &#10;• Provided indirect capability uplift of nursing home staff to end-of-life needs (e.g. advance care planning) during team meetings.&#10;"/>
      </w:tblPr>
      <w:tblGrid>
        <w:gridCol w:w="1425"/>
        <w:gridCol w:w="1365"/>
        <w:gridCol w:w="2645"/>
        <w:gridCol w:w="352"/>
        <w:gridCol w:w="5071"/>
        <w:gridCol w:w="3402"/>
      </w:tblGrid>
      <w:tr w:rsidR="00446A97" w:rsidRPr="00483021" w14:paraId="7875C4E5" w14:textId="77777777" w:rsidTr="007C1934">
        <w:trPr>
          <w:tblHeader/>
        </w:trPr>
        <w:tc>
          <w:tcPr>
            <w:tcW w:w="1425" w:type="dxa"/>
            <w:tcBorders>
              <w:top w:val="nil"/>
              <w:right w:val="single" w:sz="4" w:space="0" w:color="FFFFFF" w:themeColor="background1"/>
            </w:tcBorders>
            <w:shd w:val="clear" w:color="auto" w:fill="00264D" w:themeFill="background2"/>
          </w:tcPr>
          <w:p w14:paraId="7812424C" w14:textId="5A11444D" w:rsidR="00446A97" w:rsidRPr="006D758B" w:rsidRDefault="00446A97" w:rsidP="006D758B">
            <w:pPr>
              <w:pStyle w:val="TableNheader"/>
              <w:rPr>
                <w:color w:val="FFFFFF" w:themeColor="background1"/>
              </w:rPr>
            </w:pPr>
            <w:r w:rsidRPr="006D758B">
              <w:rPr>
                <w:color w:val="FFFFFF" w:themeColor="background1"/>
              </w:rPr>
              <w:t xml:space="preserve">Model of </w:t>
            </w:r>
            <w:r w:rsidR="00C10D10" w:rsidRPr="006D758B">
              <w:rPr>
                <w:color w:val="FFFFFF" w:themeColor="background1"/>
              </w:rPr>
              <w:t>C</w:t>
            </w:r>
            <w:r w:rsidRPr="006D758B">
              <w:rPr>
                <w:color w:val="FFFFFF" w:themeColor="background1"/>
              </w:rPr>
              <w:t>are</w:t>
            </w:r>
          </w:p>
        </w:tc>
        <w:tc>
          <w:tcPr>
            <w:tcW w:w="1365" w:type="dxa"/>
            <w:tcBorders>
              <w:top w:val="nil"/>
              <w:right w:val="single" w:sz="4" w:space="0" w:color="FFFFFF" w:themeColor="background1"/>
            </w:tcBorders>
            <w:shd w:val="clear" w:color="auto" w:fill="00264D" w:themeFill="background2"/>
          </w:tcPr>
          <w:p w14:paraId="6F865558" w14:textId="7EE9B941" w:rsidR="00446A97" w:rsidRPr="006D758B" w:rsidRDefault="00C10D10" w:rsidP="006D758B">
            <w:pPr>
              <w:pStyle w:val="TableNheader"/>
              <w:rPr>
                <w:color w:val="FFFFFF" w:themeColor="background1"/>
              </w:rPr>
            </w:pPr>
            <w:r w:rsidRPr="006D758B">
              <w:rPr>
                <w:color w:val="FFFFFF" w:themeColor="background1"/>
              </w:rPr>
              <w:t>Key element</w:t>
            </w:r>
            <w:r w:rsidR="00446A97" w:rsidRPr="006D758B">
              <w:rPr>
                <w:color w:val="FFFFFF" w:themeColor="background1"/>
              </w:rPr>
              <w:t xml:space="preserve"> </w:t>
            </w:r>
          </w:p>
        </w:tc>
        <w:tc>
          <w:tcPr>
            <w:tcW w:w="2997" w:type="dxa"/>
            <w:gridSpan w:val="2"/>
            <w:tcBorders>
              <w:top w:val="nil"/>
              <w:left w:val="single" w:sz="4" w:space="0" w:color="FFFFFF" w:themeColor="background1"/>
              <w:right w:val="single" w:sz="4" w:space="0" w:color="FFFFFF" w:themeColor="background1"/>
            </w:tcBorders>
            <w:shd w:val="clear" w:color="auto" w:fill="00264D" w:themeFill="background2"/>
          </w:tcPr>
          <w:p w14:paraId="0F84F500" w14:textId="77777777" w:rsidR="00446A97" w:rsidRPr="006D758B" w:rsidRDefault="00446A97" w:rsidP="006D758B">
            <w:pPr>
              <w:pStyle w:val="TableNheader"/>
              <w:rPr>
                <w:color w:val="FFFFFF" w:themeColor="background1"/>
              </w:rPr>
            </w:pPr>
            <w:r w:rsidRPr="006D758B">
              <w:rPr>
                <w:color w:val="FFFFFF" w:themeColor="background1"/>
              </w:rPr>
              <w:t xml:space="preserve">Description </w:t>
            </w:r>
          </w:p>
          <w:p w14:paraId="7AB7C75B" w14:textId="77777777" w:rsidR="00446A97" w:rsidRPr="006D758B" w:rsidRDefault="00446A97" w:rsidP="006D758B">
            <w:pPr>
              <w:pStyle w:val="TableNheader"/>
              <w:rPr>
                <w:color w:val="FFFFFF" w:themeColor="background1"/>
              </w:rPr>
            </w:pPr>
          </w:p>
        </w:tc>
        <w:tc>
          <w:tcPr>
            <w:tcW w:w="5071" w:type="dxa"/>
            <w:tcBorders>
              <w:top w:val="nil"/>
              <w:left w:val="single" w:sz="4" w:space="0" w:color="FFFFFF" w:themeColor="background1"/>
            </w:tcBorders>
            <w:shd w:val="clear" w:color="auto" w:fill="00264D" w:themeFill="background2"/>
          </w:tcPr>
          <w:p w14:paraId="7767DD66" w14:textId="78B6801A" w:rsidR="00446A97" w:rsidRPr="006D758B" w:rsidRDefault="00446A97" w:rsidP="006D758B">
            <w:pPr>
              <w:pStyle w:val="TableNheader"/>
              <w:rPr>
                <w:color w:val="FFFFFF" w:themeColor="background1"/>
              </w:rPr>
            </w:pPr>
            <w:r w:rsidRPr="006D758B">
              <w:rPr>
                <w:color w:val="FFFFFF" w:themeColor="background1"/>
              </w:rPr>
              <w:t xml:space="preserve">Why good practice? </w:t>
            </w:r>
          </w:p>
        </w:tc>
        <w:tc>
          <w:tcPr>
            <w:tcW w:w="3402" w:type="dxa"/>
            <w:tcBorders>
              <w:top w:val="nil"/>
              <w:left w:val="single" w:sz="4" w:space="0" w:color="FFFFFF" w:themeColor="background1"/>
            </w:tcBorders>
            <w:shd w:val="clear" w:color="auto" w:fill="00264D" w:themeFill="background2"/>
          </w:tcPr>
          <w:p w14:paraId="66A58F42" w14:textId="7D7A140C" w:rsidR="00446A97" w:rsidRPr="006D758B" w:rsidRDefault="00446A97" w:rsidP="006D758B">
            <w:pPr>
              <w:pStyle w:val="TableNheader"/>
              <w:rPr>
                <w:color w:val="FFFFFF" w:themeColor="background1"/>
              </w:rPr>
            </w:pPr>
            <w:r w:rsidRPr="006D758B">
              <w:rPr>
                <w:color w:val="FFFFFF" w:themeColor="background1"/>
              </w:rPr>
              <w:t>Evaluation or review?</w:t>
            </w:r>
          </w:p>
        </w:tc>
      </w:tr>
      <w:tr w:rsidR="00446A97" w:rsidRPr="00483021" w14:paraId="5E8AF4C9" w14:textId="77777777" w:rsidTr="007C1934">
        <w:trPr>
          <w:tblHeader/>
        </w:trPr>
        <w:tc>
          <w:tcPr>
            <w:tcW w:w="1425" w:type="dxa"/>
            <w:tcBorders>
              <w:top w:val="nil"/>
              <w:right w:val="single" w:sz="4" w:space="0" w:color="FFFFFF" w:themeColor="background1"/>
            </w:tcBorders>
            <w:shd w:val="clear" w:color="auto" w:fill="EDEDE8" w:themeFill="accent5"/>
          </w:tcPr>
          <w:p w14:paraId="590F70F0" w14:textId="77777777" w:rsidR="00446A97" w:rsidRPr="00483021" w:rsidRDefault="00446A97" w:rsidP="007C1934">
            <w:pPr>
              <w:rPr>
                <w:rFonts w:cs="Calibri"/>
                <w:sz w:val="16"/>
                <w:szCs w:val="16"/>
              </w:rPr>
            </w:pPr>
            <w:r w:rsidRPr="00483021">
              <w:rPr>
                <w:rFonts w:cs="Calibri"/>
                <w:sz w:val="16"/>
                <w:szCs w:val="16"/>
              </w:rPr>
              <w:t>AUSTRALIA</w:t>
            </w:r>
          </w:p>
        </w:tc>
        <w:tc>
          <w:tcPr>
            <w:tcW w:w="1365" w:type="dxa"/>
            <w:tcBorders>
              <w:top w:val="nil"/>
              <w:right w:val="single" w:sz="4" w:space="0" w:color="FFFFFF" w:themeColor="background1"/>
            </w:tcBorders>
            <w:shd w:val="clear" w:color="auto" w:fill="EDEDE8" w:themeFill="accent5"/>
          </w:tcPr>
          <w:p w14:paraId="406C88D2" w14:textId="77777777" w:rsidR="00446A97" w:rsidRPr="00483021" w:rsidRDefault="00446A97" w:rsidP="007C1934">
            <w:pPr>
              <w:rPr>
                <w:rFonts w:cs="Calibri"/>
                <w:sz w:val="16"/>
                <w:szCs w:val="16"/>
              </w:rPr>
            </w:pPr>
          </w:p>
        </w:tc>
        <w:tc>
          <w:tcPr>
            <w:tcW w:w="2997" w:type="dxa"/>
            <w:gridSpan w:val="2"/>
            <w:tcBorders>
              <w:top w:val="nil"/>
              <w:left w:val="single" w:sz="4" w:space="0" w:color="FFFFFF" w:themeColor="background1"/>
              <w:right w:val="single" w:sz="4" w:space="0" w:color="FFFFFF" w:themeColor="background1"/>
            </w:tcBorders>
            <w:shd w:val="clear" w:color="auto" w:fill="EDEDE8" w:themeFill="accent5"/>
          </w:tcPr>
          <w:p w14:paraId="1EC9ADC4" w14:textId="77777777" w:rsidR="00446A97" w:rsidRPr="00483021" w:rsidRDefault="00446A97" w:rsidP="007C1934">
            <w:pPr>
              <w:rPr>
                <w:rFonts w:cs="Calibri"/>
                <w:sz w:val="16"/>
                <w:szCs w:val="16"/>
              </w:rPr>
            </w:pPr>
          </w:p>
        </w:tc>
        <w:tc>
          <w:tcPr>
            <w:tcW w:w="5071" w:type="dxa"/>
            <w:tcBorders>
              <w:top w:val="nil"/>
              <w:left w:val="single" w:sz="4" w:space="0" w:color="FFFFFF" w:themeColor="background1"/>
            </w:tcBorders>
            <w:shd w:val="clear" w:color="auto" w:fill="EDEDE8" w:themeFill="accent5"/>
          </w:tcPr>
          <w:p w14:paraId="3A1C0B00" w14:textId="77777777" w:rsidR="00446A97" w:rsidRPr="00483021" w:rsidRDefault="00446A97" w:rsidP="007C1934">
            <w:pPr>
              <w:rPr>
                <w:rFonts w:cs="Calibri"/>
                <w:sz w:val="16"/>
                <w:szCs w:val="16"/>
              </w:rPr>
            </w:pPr>
          </w:p>
        </w:tc>
        <w:tc>
          <w:tcPr>
            <w:tcW w:w="3402" w:type="dxa"/>
            <w:tcBorders>
              <w:top w:val="nil"/>
              <w:left w:val="single" w:sz="4" w:space="0" w:color="FFFFFF" w:themeColor="background1"/>
            </w:tcBorders>
            <w:shd w:val="clear" w:color="auto" w:fill="EDEDE8" w:themeFill="accent5"/>
          </w:tcPr>
          <w:p w14:paraId="60DECDD3" w14:textId="77777777" w:rsidR="00446A97" w:rsidRPr="00483021" w:rsidRDefault="00446A97" w:rsidP="007C1934">
            <w:pPr>
              <w:rPr>
                <w:rFonts w:cs="Calibri"/>
                <w:sz w:val="16"/>
                <w:szCs w:val="16"/>
              </w:rPr>
            </w:pPr>
          </w:p>
        </w:tc>
      </w:tr>
      <w:tr w:rsidR="00F964F8" w:rsidRPr="00483021" w14:paraId="7640FE0D" w14:textId="77777777" w:rsidTr="007C1934">
        <w:tc>
          <w:tcPr>
            <w:tcW w:w="1425" w:type="dxa"/>
          </w:tcPr>
          <w:p w14:paraId="4510A3E4" w14:textId="77777777" w:rsidR="00F964F8" w:rsidRPr="00483021" w:rsidRDefault="00F964F8" w:rsidP="000E357B">
            <w:pPr>
              <w:pStyle w:val="TableNText"/>
            </w:pPr>
            <w:r w:rsidRPr="00483021">
              <w:t>INSPIRED Model</w:t>
            </w:r>
            <w:r w:rsidRPr="00483021">
              <w:rPr>
                <w:rStyle w:val="FootnoteReference"/>
                <w:rFonts w:cs="Calibri"/>
                <w:sz w:val="16"/>
                <w:szCs w:val="16"/>
              </w:rPr>
              <w:footnoteReference w:id="179"/>
            </w:r>
          </w:p>
          <w:p w14:paraId="13DDBAC2" w14:textId="235313A8" w:rsidR="00F964F8" w:rsidRPr="00483021" w:rsidRDefault="00F964F8" w:rsidP="000E357B">
            <w:pPr>
              <w:pStyle w:val="TableNText"/>
              <w:rPr>
                <w:b/>
              </w:rPr>
            </w:pPr>
            <w:r w:rsidRPr="00483021">
              <w:rPr>
                <w:b/>
              </w:rPr>
              <w:t>ACT</w:t>
            </w:r>
          </w:p>
        </w:tc>
        <w:tc>
          <w:tcPr>
            <w:tcW w:w="1365" w:type="dxa"/>
          </w:tcPr>
          <w:p w14:paraId="3C5261FE" w14:textId="77777777" w:rsidR="00F964F8" w:rsidRPr="00483021" w:rsidRDefault="00F964F8" w:rsidP="000E357B">
            <w:pPr>
              <w:pStyle w:val="TableNText"/>
            </w:pPr>
            <w:r w:rsidRPr="00483021">
              <w:t>Case management</w:t>
            </w:r>
          </w:p>
        </w:tc>
        <w:tc>
          <w:tcPr>
            <w:tcW w:w="2997" w:type="dxa"/>
            <w:gridSpan w:val="2"/>
          </w:tcPr>
          <w:p w14:paraId="51A20458" w14:textId="71C4AEC5" w:rsidR="00F964F8" w:rsidRPr="00483021" w:rsidRDefault="00F964F8" w:rsidP="000E357B">
            <w:pPr>
              <w:pStyle w:val="TableNText"/>
            </w:pPr>
            <w:r w:rsidRPr="00483021">
              <w:t xml:space="preserve">INSPIRED model consists of placing </w:t>
            </w:r>
            <w:r>
              <w:t>a</w:t>
            </w:r>
            <w:r w:rsidRPr="00483021">
              <w:t xml:space="preserve"> palliative care nurse practitioner in RACFs. Nurse practitioners conduct ‘Needs rounds’ to assess residents’ palliative care needs and deterioration. Palliative care nurse practitioners provide direct support though clinical assessments and indirect support through needs rounds, which serve to uplift staff capability through care plan discussions.</w:t>
            </w:r>
          </w:p>
        </w:tc>
        <w:tc>
          <w:tcPr>
            <w:tcW w:w="5071" w:type="dxa"/>
          </w:tcPr>
          <w:p w14:paraId="3A025969" w14:textId="77777777" w:rsidR="00F964F8" w:rsidRPr="00483021" w:rsidRDefault="00F964F8" w:rsidP="00F964F8">
            <w:pPr>
              <w:pStyle w:val="TableNBullet"/>
            </w:pPr>
            <w:r w:rsidRPr="00483021">
              <w:t xml:space="preserve">Normalised death and dying in RACFs </w:t>
            </w:r>
          </w:p>
          <w:p w14:paraId="072CDF99" w14:textId="77777777" w:rsidR="00F964F8" w:rsidRPr="00483021" w:rsidRDefault="00F964F8" w:rsidP="00F964F8">
            <w:pPr>
              <w:pStyle w:val="TableNBullet"/>
            </w:pPr>
            <w:r w:rsidRPr="00483021">
              <w:t>Provided timely access to palliative care specialist</w:t>
            </w:r>
          </w:p>
          <w:p w14:paraId="5F8AAAE0" w14:textId="77777777" w:rsidR="00F964F8" w:rsidRPr="00D82AB1" w:rsidRDefault="00F964F8" w:rsidP="00F964F8">
            <w:pPr>
              <w:pStyle w:val="TableNBullet"/>
            </w:pPr>
            <w:r>
              <w:t xml:space="preserve">Reduced unnecessary hospitalisations </w:t>
            </w:r>
          </w:p>
          <w:p w14:paraId="65CA395A" w14:textId="77777777" w:rsidR="00F964F8" w:rsidRDefault="00F964F8" w:rsidP="00F964F8">
            <w:pPr>
              <w:pStyle w:val="TableNBullet"/>
            </w:pPr>
            <w:r>
              <w:t>Improved</w:t>
            </w:r>
            <w:r w:rsidRPr="00483021">
              <w:t xml:space="preserve"> decision making and planned care for residents</w:t>
            </w:r>
            <w:r>
              <w:t>,</w:t>
            </w:r>
            <w:r w:rsidRPr="00483021">
              <w:t xml:space="preserve"> meaning staff and relatives were better informed on resident trajectory </w:t>
            </w:r>
          </w:p>
          <w:p w14:paraId="0FC20055" w14:textId="02A884C8" w:rsidR="00F964F8" w:rsidRPr="00483021" w:rsidRDefault="00F964F8" w:rsidP="00F964F8">
            <w:pPr>
              <w:pStyle w:val="TableNBullet"/>
            </w:pPr>
            <w:r w:rsidRPr="00D82AB1">
              <w:t>Developed capabilities of RACF staff</w:t>
            </w:r>
            <w:r>
              <w:t xml:space="preserve"> indirectly through needs rounds</w:t>
            </w:r>
            <w:r w:rsidR="004A2DE6">
              <w:t>.</w:t>
            </w:r>
          </w:p>
        </w:tc>
        <w:tc>
          <w:tcPr>
            <w:tcW w:w="3402" w:type="dxa"/>
          </w:tcPr>
          <w:p w14:paraId="2093870F" w14:textId="05B928C9" w:rsidR="00F964F8" w:rsidRPr="00483021" w:rsidRDefault="00F964F8" w:rsidP="00712515">
            <w:pPr>
              <w:pStyle w:val="TableNText"/>
            </w:pPr>
            <w:r w:rsidRPr="00483021">
              <w:t xml:space="preserve">A quasi-experimental design </w:t>
            </w:r>
            <w:r>
              <w:t xml:space="preserve">in four RACFs. Formal </w:t>
            </w:r>
            <w:r w:rsidRPr="00483021">
              <w:t>evaluation</w:t>
            </w:r>
            <w:r>
              <w:t xml:space="preserve"> conducted</w:t>
            </w:r>
            <w:r w:rsidRPr="00483021">
              <w:t xml:space="preserve">. </w:t>
            </w:r>
          </w:p>
          <w:p w14:paraId="56B11D8B" w14:textId="77777777" w:rsidR="00F964F8" w:rsidRPr="00483021" w:rsidRDefault="00F964F8" w:rsidP="00712515">
            <w:pPr>
              <w:pStyle w:val="TableNText"/>
            </w:pPr>
            <w:r w:rsidRPr="00483021">
              <w:t xml:space="preserve">Results: </w:t>
            </w:r>
          </w:p>
          <w:p w14:paraId="63C74831" w14:textId="77777777" w:rsidR="00F964F8" w:rsidRPr="00712515" w:rsidRDefault="00F964F8" w:rsidP="00712515">
            <w:pPr>
              <w:pStyle w:val="TableNBullet"/>
            </w:pPr>
            <w:r w:rsidRPr="00712515">
              <w:t xml:space="preserve">Substantial reduction in the length of hospital stays </w:t>
            </w:r>
          </w:p>
          <w:p w14:paraId="24268ECC" w14:textId="6731CA4D" w:rsidR="00F964F8" w:rsidRPr="00483021" w:rsidRDefault="00F964F8" w:rsidP="00712515">
            <w:pPr>
              <w:pStyle w:val="TableNBullet"/>
            </w:pPr>
            <w:r w:rsidRPr="00712515">
              <w:t>Lower incidence of death in the acute care setting.</w:t>
            </w:r>
            <w:r w:rsidRPr="00483021">
              <w:t xml:space="preserve"> </w:t>
            </w:r>
          </w:p>
        </w:tc>
      </w:tr>
      <w:tr w:rsidR="006A537D" w:rsidRPr="00483021" w14:paraId="2330484B" w14:textId="77777777" w:rsidTr="00446A97">
        <w:tc>
          <w:tcPr>
            <w:tcW w:w="1425" w:type="dxa"/>
          </w:tcPr>
          <w:p w14:paraId="79B68775" w14:textId="766A8A81" w:rsidR="00D576FE" w:rsidRDefault="006A537D" w:rsidP="000E357B">
            <w:pPr>
              <w:pStyle w:val="TableNText"/>
            </w:pPr>
            <w:r w:rsidRPr="00483021">
              <w:t>Lavender Palliative Care Suite</w:t>
            </w:r>
            <w:r>
              <w:t xml:space="preserve"> </w:t>
            </w:r>
            <w:r w:rsidRPr="00483021">
              <w:t xml:space="preserve">- </w:t>
            </w:r>
            <w:r w:rsidRPr="00483021">
              <w:lastRenderedPageBreak/>
              <w:t>Hammond Care</w:t>
            </w:r>
            <w:r w:rsidRPr="00483021">
              <w:rPr>
                <w:rStyle w:val="FootnoteReference"/>
                <w:rFonts w:cs="Calibri"/>
                <w:sz w:val="16"/>
                <w:szCs w:val="16"/>
              </w:rPr>
              <w:footnoteReference w:id="180"/>
            </w:r>
          </w:p>
          <w:p w14:paraId="365F1FAD" w14:textId="25EA5DC4" w:rsidR="006A537D" w:rsidRPr="00EF0B87" w:rsidRDefault="00EF0B87" w:rsidP="000E357B">
            <w:pPr>
              <w:pStyle w:val="TableNText"/>
              <w:rPr>
                <w:b/>
              </w:rPr>
            </w:pPr>
            <w:r w:rsidRPr="00EF0B87">
              <w:rPr>
                <w:b/>
              </w:rPr>
              <w:t>VIC</w:t>
            </w:r>
            <w:r w:rsidR="006A537D" w:rsidRPr="00EF0B87">
              <w:rPr>
                <w:b/>
              </w:rPr>
              <w:t xml:space="preserve"> </w:t>
            </w:r>
          </w:p>
        </w:tc>
        <w:tc>
          <w:tcPr>
            <w:tcW w:w="1365" w:type="dxa"/>
          </w:tcPr>
          <w:p w14:paraId="7A4EF980" w14:textId="77777777" w:rsidR="006A537D" w:rsidRPr="00395C99" w:rsidRDefault="006A537D" w:rsidP="000E357B">
            <w:pPr>
              <w:pStyle w:val="TableNText"/>
            </w:pPr>
            <w:r w:rsidRPr="00395C99">
              <w:lastRenderedPageBreak/>
              <w:t>Integrated care</w:t>
            </w:r>
          </w:p>
        </w:tc>
        <w:tc>
          <w:tcPr>
            <w:tcW w:w="2997" w:type="dxa"/>
            <w:gridSpan w:val="2"/>
          </w:tcPr>
          <w:p w14:paraId="509EFA9C" w14:textId="48CF0C9C" w:rsidR="006A537D" w:rsidRPr="00395C99" w:rsidRDefault="006A537D" w:rsidP="000E357B">
            <w:pPr>
              <w:pStyle w:val="TableNText"/>
            </w:pPr>
            <w:proofErr w:type="spellStart"/>
            <w:r w:rsidRPr="00395C99">
              <w:t>HammondCare</w:t>
            </w:r>
            <w:proofErr w:type="spellEnd"/>
            <w:r w:rsidRPr="00395C99">
              <w:t xml:space="preserve"> operates a </w:t>
            </w:r>
            <w:r w:rsidR="00C138EB">
              <w:t>nine-</w:t>
            </w:r>
            <w:r w:rsidRPr="00395C99">
              <w:t xml:space="preserve">bed specialist palliative care unit as part of a 124-place mixed low and high-care home. </w:t>
            </w:r>
          </w:p>
          <w:p w14:paraId="6CFBFFFB" w14:textId="01509FBA" w:rsidR="006A537D" w:rsidRPr="00483021" w:rsidRDefault="006A537D" w:rsidP="000E357B">
            <w:pPr>
              <w:pStyle w:val="TableNText"/>
            </w:pPr>
            <w:r w:rsidRPr="00395C99">
              <w:t>Integrated, multi-</w:t>
            </w:r>
            <w:r w:rsidR="001D7FFC" w:rsidRPr="00395C99">
              <w:t>disciplinary</w:t>
            </w:r>
            <w:r w:rsidRPr="00395C99">
              <w:t xml:space="preserve"> approach to care. Access to </w:t>
            </w:r>
            <w:proofErr w:type="spellStart"/>
            <w:r w:rsidRPr="00395C99">
              <w:lastRenderedPageBreak/>
              <w:t>Hamm</w:t>
            </w:r>
            <w:r w:rsidR="00F8345B">
              <w:t>o</w:t>
            </w:r>
            <w:r w:rsidRPr="00395C99">
              <w:t>ndCare</w:t>
            </w:r>
            <w:proofErr w:type="spellEnd"/>
            <w:r w:rsidRPr="00395C99">
              <w:t xml:space="preserve"> acute care, clinical training service and in-house pharmacy.</w:t>
            </w:r>
          </w:p>
        </w:tc>
        <w:tc>
          <w:tcPr>
            <w:tcW w:w="5071" w:type="dxa"/>
          </w:tcPr>
          <w:p w14:paraId="1A982377" w14:textId="1354C74F" w:rsidR="006A537D" w:rsidRPr="00483021" w:rsidRDefault="006A537D" w:rsidP="003E3445">
            <w:pPr>
              <w:pStyle w:val="TableNBullet"/>
            </w:pPr>
            <w:r w:rsidRPr="00483021">
              <w:lastRenderedPageBreak/>
              <w:t>Enable</w:t>
            </w:r>
            <w:r w:rsidR="00C80FC6">
              <w:t>d</w:t>
            </w:r>
            <w:r w:rsidRPr="00483021">
              <w:t xml:space="preserve"> personalised and flexible care routines</w:t>
            </w:r>
          </w:p>
          <w:p w14:paraId="599559A1" w14:textId="58BAC591" w:rsidR="006A537D" w:rsidRPr="00483021" w:rsidRDefault="006A537D" w:rsidP="003E3445">
            <w:pPr>
              <w:pStyle w:val="TableNBullet"/>
            </w:pPr>
            <w:r w:rsidRPr="00483021">
              <w:t>Provide</w:t>
            </w:r>
            <w:r w:rsidR="00C80FC6">
              <w:t>d</w:t>
            </w:r>
            <w:r w:rsidRPr="00483021">
              <w:t xml:space="preserve"> for residents’ individual physical, psychological, </w:t>
            </w:r>
            <w:proofErr w:type="gramStart"/>
            <w:r w:rsidRPr="00483021">
              <w:t>social</w:t>
            </w:r>
            <w:proofErr w:type="gramEnd"/>
            <w:r w:rsidRPr="00483021">
              <w:t xml:space="preserve"> and spiritual needs </w:t>
            </w:r>
          </w:p>
          <w:p w14:paraId="519C67AE" w14:textId="702DB823" w:rsidR="006A537D" w:rsidRPr="00483021" w:rsidRDefault="006A537D" w:rsidP="003E3445">
            <w:pPr>
              <w:pStyle w:val="TableNBullet"/>
            </w:pPr>
            <w:r w:rsidRPr="00483021">
              <w:t>Demonstrate</w:t>
            </w:r>
            <w:r w:rsidR="00C80FC6">
              <w:t>d efficacy of providing</w:t>
            </w:r>
            <w:r w:rsidRPr="00483021">
              <w:t xml:space="preserve"> specialised palliative care </w:t>
            </w:r>
            <w:r w:rsidR="00C80FC6">
              <w:t>in</w:t>
            </w:r>
            <w:r>
              <w:t xml:space="preserve"> an</w:t>
            </w:r>
            <w:r w:rsidRPr="00483021">
              <w:t xml:space="preserve"> existing residential aged care setting</w:t>
            </w:r>
            <w:r w:rsidR="00C54A59">
              <w:t>.</w:t>
            </w:r>
          </w:p>
        </w:tc>
        <w:tc>
          <w:tcPr>
            <w:tcW w:w="3402" w:type="dxa"/>
          </w:tcPr>
          <w:p w14:paraId="78425127" w14:textId="57D55170" w:rsidR="006A537D" w:rsidRPr="00483021" w:rsidRDefault="002032AB" w:rsidP="00712515">
            <w:pPr>
              <w:pStyle w:val="TableNText"/>
            </w:pPr>
            <w:r>
              <w:t xml:space="preserve"> </w:t>
            </w:r>
            <w:r w:rsidRPr="00483021">
              <w:t>No formal evaluation or review identified</w:t>
            </w:r>
            <w:r>
              <w:t>.</w:t>
            </w:r>
          </w:p>
        </w:tc>
      </w:tr>
      <w:tr w:rsidR="001D7FFC" w:rsidRPr="00483021" w14:paraId="7202DF4C" w14:textId="77777777" w:rsidTr="00446A97">
        <w:tc>
          <w:tcPr>
            <w:tcW w:w="1425" w:type="dxa"/>
          </w:tcPr>
          <w:p w14:paraId="2009E2CD" w14:textId="77777777" w:rsidR="001D7FFC" w:rsidRDefault="001D7FFC" w:rsidP="005F337E">
            <w:pPr>
              <w:pStyle w:val="TableNText"/>
            </w:pPr>
            <w:r w:rsidRPr="00483021">
              <w:t>Geriatric Flying Squad</w:t>
            </w:r>
            <w:r w:rsidRPr="00483021">
              <w:rPr>
                <w:rStyle w:val="FootnoteReference"/>
                <w:rFonts w:cs="Calibri"/>
                <w:sz w:val="16"/>
                <w:szCs w:val="16"/>
              </w:rPr>
              <w:footnoteReference w:id="181"/>
            </w:r>
          </w:p>
          <w:p w14:paraId="0E523A4B" w14:textId="364E8A25" w:rsidR="001D7FFC" w:rsidRPr="00483021" w:rsidRDefault="0038024B" w:rsidP="005F337E">
            <w:pPr>
              <w:pStyle w:val="TableNText"/>
            </w:pPr>
            <w:r w:rsidRPr="0038024B">
              <w:rPr>
                <w:b/>
              </w:rPr>
              <w:t>NSW</w:t>
            </w:r>
          </w:p>
        </w:tc>
        <w:tc>
          <w:tcPr>
            <w:tcW w:w="1365" w:type="dxa"/>
          </w:tcPr>
          <w:p w14:paraId="039308F2" w14:textId="3F65682E" w:rsidR="001D7FFC" w:rsidRPr="00395C99" w:rsidRDefault="005908D1" w:rsidP="005F337E">
            <w:pPr>
              <w:pStyle w:val="TableNText"/>
            </w:pPr>
            <w:r>
              <w:t>Specialist o</w:t>
            </w:r>
            <w:r w:rsidR="001D7FFC" w:rsidRPr="00483021">
              <w:t xml:space="preserve">utreach service </w:t>
            </w:r>
          </w:p>
        </w:tc>
        <w:tc>
          <w:tcPr>
            <w:tcW w:w="2997" w:type="dxa"/>
            <w:gridSpan w:val="2"/>
          </w:tcPr>
          <w:p w14:paraId="131F9A0E" w14:textId="0B9B93AA" w:rsidR="001D7FFC" w:rsidRPr="00483021" w:rsidRDefault="001D7FFC" w:rsidP="005F337E">
            <w:pPr>
              <w:pStyle w:val="TableNText"/>
            </w:pPr>
            <w:r w:rsidRPr="00395C99">
              <w:t>Service provides a rapid response and a clear point of contact for RACF staff to access support.</w:t>
            </w:r>
            <w:r>
              <w:t xml:space="preserve"> </w:t>
            </w:r>
            <w:r w:rsidRPr="00483021">
              <w:t>Service provides a c</w:t>
            </w:r>
            <w:r w:rsidRPr="00395C99">
              <w:t>omprehensive assessment in the older person’s home at the RACF within 2-4 hours of referral</w:t>
            </w:r>
            <w:r w:rsidR="00E478EF">
              <w:t>, including the provision of palliative care</w:t>
            </w:r>
            <w:r w:rsidRPr="00395C99">
              <w:t>. Expedited ward admission where necessary. Assessment occurs at the person’s home in the aged care facility if this is their choice.</w:t>
            </w:r>
          </w:p>
        </w:tc>
        <w:tc>
          <w:tcPr>
            <w:tcW w:w="5071" w:type="dxa"/>
          </w:tcPr>
          <w:p w14:paraId="3E65D20B" w14:textId="673893AE" w:rsidR="001D7FFC" w:rsidRPr="00483021" w:rsidRDefault="001D7FFC" w:rsidP="003E3445">
            <w:pPr>
              <w:pStyle w:val="TableNBullet"/>
            </w:pPr>
            <w:r w:rsidRPr="00483021">
              <w:t>Pr</w:t>
            </w:r>
            <w:r w:rsidR="00C80FC6">
              <w:t>ovided pr</w:t>
            </w:r>
            <w:r w:rsidRPr="00483021">
              <w:t>oactive and timely care</w:t>
            </w:r>
            <w:r w:rsidR="006761D7">
              <w:t>, in the home where possible</w:t>
            </w:r>
          </w:p>
          <w:p w14:paraId="6337CA5C" w14:textId="3C0C571B" w:rsidR="001D7FFC" w:rsidRPr="00483021" w:rsidRDefault="00C80FC6" w:rsidP="003E3445">
            <w:pPr>
              <w:pStyle w:val="TableNBullet"/>
            </w:pPr>
            <w:r>
              <w:t>Improved</w:t>
            </w:r>
            <w:r w:rsidR="001D7FFC" w:rsidRPr="00483021">
              <w:t xml:space="preserve"> decision support </w:t>
            </w:r>
            <w:r>
              <w:t xml:space="preserve">making through risk stratification </w:t>
            </w:r>
          </w:p>
          <w:p w14:paraId="44994AE4" w14:textId="1FAA18B1" w:rsidR="00C80FC6" w:rsidRPr="00C80FC6" w:rsidRDefault="00C80FC6" w:rsidP="003E3445">
            <w:pPr>
              <w:pStyle w:val="TableNBullet"/>
            </w:pPr>
            <w:r>
              <w:t>Improved care c</w:t>
            </w:r>
            <w:r w:rsidR="001D7FFC" w:rsidRPr="00483021">
              <w:t xml:space="preserve">oordination and continuity of care </w:t>
            </w:r>
          </w:p>
          <w:p w14:paraId="353BE922" w14:textId="2DB623F4" w:rsidR="001D7FFC" w:rsidRPr="00483021" w:rsidRDefault="00C80FC6" w:rsidP="003E3445">
            <w:pPr>
              <w:pStyle w:val="TableNBullet"/>
            </w:pPr>
            <w:r>
              <w:t>Developed c</w:t>
            </w:r>
            <w:r w:rsidR="001D7FFC" w:rsidRPr="00483021">
              <w:t xml:space="preserve">apability </w:t>
            </w:r>
            <w:r w:rsidR="001D7FFC">
              <w:t>across</w:t>
            </w:r>
            <w:r w:rsidR="001D7FFC" w:rsidRPr="00483021">
              <w:t xml:space="preserve"> individuals</w:t>
            </w:r>
            <w:r w:rsidR="007F2BAD">
              <w:t>,</w:t>
            </w:r>
            <w:r w:rsidR="001D7FFC" w:rsidRPr="00483021">
              <w:t xml:space="preserve"> </w:t>
            </w:r>
            <w:proofErr w:type="gramStart"/>
            <w:r w:rsidR="001D7FFC" w:rsidRPr="00483021">
              <w:t>units</w:t>
            </w:r>
            <w:proofErr w:type="gramEnd"/>
            <w:r w:rsidR="001D7FFC" w:rsidRPr="00483021">
              <w:t xml:space="preserve"> and organisations</w:t>
            </w:r>
          </w:p>
          <w:p w14:paraId="566B8E33" w14:textId="008663A4" w:rsidR="001D7FFC" w:rsidRPr="00483021" w:rsidRDefault="005908D1" w:rsidP="003E3445">
            <w:pPr>
              <w:pStyle w:val="TableNBullet"/>
            </w:pPr>
            <w:r>
              <w:t>Established quality indicators through c</w:t>
            </w:r>
            <w:r w:rsidR="001D7FFC" w:rsidRPr="00483021">
              <w:t xml:space="preserve">omprehensive geriatric assessment </w:t>
            </w:r>
          </w:p>
          <w:p w14:paraId="773B13FD" w14:textId="690D4C49" w:rsidR="001D7FFC" w:rsidRPr="00483021" w:rsidRDefault="001D7FFC" w:rsidP="003E3445">
            <w:pPr>
              <w:pStyle w:val="TableNBullet"/>
            </w:pPr>
            <w:r w:rsidRPr="00483021">
              <w:t>P</w:t>
            </w:r>
            <w:r w:rsidR="005908D1">
              <w:t>rovided access to network of specialist palliative care professionals through p</w:t>
            </w:r>
            <w:r w:rsidRPr="00483021">
              <w:t>artnerships</w:t>
            </w:r>
            <w:r w:rsidR="002128E1">
              <w:t>.</w:t>
            </w:r>
          </w:p>
        </w:tc>
        <w:tc>
          <w:tcPr>
            <w:tcW w:w="3402" w:type="dxa"/>
          </w:tcPr>
          <w:p w14:paraId="307ACC78" w14:textId="0E69A9C2" w:rsidR="001D7FFC" w:rsidRPr="00483021" w:rsidRDefault="002032AB" w:rsidP="00712515">
            <w:pPr>
              <w:pStyle w:val="TableNText"/>
              <w:rPr>
                <w:highlight w:val="yellow"/>
              </w:rPr>
            </w:pPr>
            <w:r w:rsidRPr="00483021">
              <w:t>No formal evaluation or review identified</w:t>
            </w:r>
            <w:r>
              <w:t>.</w:t>
            </w:r>
          </w:p>
        </w:tc>
      </w:tr>
      <w:tr w:rsidR="001D7FFC" w:rsidRPr="00483021" w14:paraId="61F2A36F" w14:textId="77777777" w:rsidTr="00446A97">
        <w:tc>
          <w:tcPr>
            <w:tcW w:w="1425" w:type="dxa"/>
          </w:tcPr>
          <w:p w14:paraId="3D39B970" w14:textId="77777777" w:rsidR="0038024B" w:rsidRDefault="001D7FFC" w:rsidP="005F337E">
            <w:pPr>
              <w:pStyle w:val="TableNText"/>
            </w:pPr>
            <w:r w:rsidRPr="00483021">
              <w:t>Outreach geriatric medication advisory service</w:t>
            </w:r>
            <w:r w:rsidRPr="00483021">
              <w:rPr>
                <w:rStyle w:val="FootnoteReference"/>
                <w:rFonts w:cs="Calibri"/>
                <w:sz w:val="16"/>
                <w:szCs w:val="16"/>
              </w:rPr>
              <w:footnoteReference w:id="182"/>
            </w:r>
          </w:p>
          <w:p w14:paraId="733D604A" w14:textId="517A6786" w:rsidR="001D7FFC" w:rsidRPr="0038024B" w:rsidRDefault="0038024B" w:rsidP="005F337E">
            <w:pPr>
              <w:pStyle w:val="TableNText"/>
              <w:rPr>
                <w:b/>
              </w:rPr>
            </w:pPr>
            <w:r w:rsidRPr="0038024B">
              <w:rPr>
                <w:b/>
              </w:rPr>
              <w:t>NSW</w:t>
            </w:r>
            <w:r w:rsidR="001D7FFC" w:rsidRPr="0038024B">
              <w:rPr>
                <w:b/>
              </w:rPr>
              <w:t xml:space="preserve"> </w:t>
            </w:r>
          </w:p>
        </w:tc>
        <w:tc>
          <w:tcPr>
            <w:tcW w:w="1365" w:type="dxa"/>
          </w:tcPr>
          <w:p w14:paraId="14A3F67D" w14:textId="77777777" w:rsidR="001D7FFC" w:rsidRPr="00395C99" w:rsidRDefault="001D7FFC" w:rsidP="005F337E">
            <w:pPr>
              <w:pStyle w:val="TableNText"/>
            </w:pPr>
            <w:r w:rsidRPr="00395C99">
              <w:t xml:space="preserve">Case management </w:t>
            </w:r>
          </w:p>
        </w:tc>
        <w:tc>
          <w:tcPr>
            <w:tcW w:w="2997" w:type="dxa"/>
            <w:gridSpan w:val="2"/>
          </w:tcPr>
          <w:p w14:paraId="6D365BE4" w14:textId="39C756E6" w:rsidR="001D7FFC" w:rsidRPr="00483021" w:rsidRDefault="001D7FFC" w:rsidP="005F337E">
            <w:pPr>
              <w:pStyle w:val="TableNText"/>
            </w:pPr>
            <w:r w:rsidRPr="00395C99">
              <w:t>Multidisciplinary</w:t>
            </w:r>
            <w:r>
              <w:t xml:space="preserve"> </w:t>
            </w:r>
            <w:r w:rsidRPr="00395C99">
              <w:t>case</w:t>
            </w:r>
            <w:r>
              <w:t xml:space="preserve"> </w:t>
            </w:r>
            <w:r w:rsidRPr="00395C99">
              <w:t>conferences</w:t>
            </w:r>
            <w:r>
              <w:t xml:space="preserve"> </w:t>
            </w:r>
            <w:r w:rsidRPr="00395C99">
              <w:t>involving GP, geriatrician and pharmacists and residential care staff held for each resident</w:t>
            </w:r>
            <w:r w:rsidR="00DA2CEF">
              <w:t>.</w:t>
            </w:r>
          </w:p>
        </w:tc>
        <w:tc>
          <w:tcPr>
            <w:tcW w:w="5071" w:type="dxa"/>
          </w:tcPr>
          <w:p w14:paraId="4881F6E5" w14:textId="77777777" w:rsidR="00381E67" w:rsidRPr="00483021" w:rsidRDefault="00381E67" w:rsidP="003E3445">
            <w:pPr>
              <w:pStyle w:val="TableNBullet"/>
            </w:pPr>
            <w:r w:rsidRPr="00D82AB1">
              <w:t xml:space="preserve">Provided holistic, person-centred care through the multidisciplinary team </w:t>
            </w:r>
          </w:p>
          <w:p w14:paraId="3EA636BA" w14:textId="39F8CEC7" w:rsidR="001D7FFC" w:rsidRPr="00483021" w:rsidRDefault="00381E67" w:rsidP="003E3445">
            <w:pPr>
              <w:pStyle w:val="TableNBullet"/>
            </w:pPr>
            <w:r>
              <w:t>Improved appropriate medication</w:t>
            </w:r>
            <w:r w:rsidRPr="00483021">
              <w:t xml:space="preserve"> prescribing</w:t>
            </w:r>
            <w:r>
              <w:t xml:space="preserve"> to residents</w:t>
            </w:r>
            <w:r w:rsidR="00670B3C">
              <w:t>.</w:t>
            </w:r>
          </w:p>
        </w:tc>
        <w:tc>
          <w:tcPr>
            <w:tcW w:w="3402" w:type="dxa"/>
          </w:tcPr>
          <w:p w14:paraId="098E5025" w14:textId="78B89F64" w:rsidR="001D7FFC" w:rsidRPr="00483021" w:rsidRDefault="001D7FFC" w:rsidP="00712515">
            <w:pPr>
              <w:pStyle w:val="TableNText"/>
            </w:pPr>
            <w:r w:rsidRPr="00483021">
              <w:t xml:space="preserve">A randomised controlled trial </w:t>
            </w:r>
            <w:r w:rsidR="001B629F">
              <w:t>in one</w:t>
            </w:r>
            <w:r w:rsidRPr="00483021">
              <w:t xml:space="preserve"> RACF, </w:t>
            </w:r>
            <w:r w:rsidR="001B629F">
              <w:t>for</w:t>
            </w:r>
            <w:r w:rsidRPr="00483021">
              <w:t xml:space="preserve"> residents with medication problems and/or challenging behaviours</w:t>
            </w:r>
            <w:r w:rsidR="001B629F">
              <w:t>.</w:t>
            </w:r>
            <w:r w:rsidR="002D5B22" w:rsidRPr="00483021">
              <w:t xml:space="preserve"> Formal evaluation conducted</w:t>
            </w:r>
            <w:r w:rsidRPr="00483021">
              <w:t>.</w:t>
            </w:r>
          </w:p>
          <w:p w14:paraId="33A5555D" w14:textId="77777777" w:rsidR="001D7FFC" w:rsidRPr="00483021" w:rsidRDefault="001D7FFC" w:rsidP="00712515">
            <w:pPr>
              <w:pStyle w:val="TableNText"/>
            </w:pPr>
            <w:r w:rsidRPr="00483021">
              <w:t xml:space="preserve">Results: </w:t>
            </w:r>
          </w:p>
          <w:p w14:paraId="68C893EB" w14:textId="0D4ABB19" w:rsidR="001D7FFC" w:rsidRPr="00712515" w:rsidRDefault="001D7FFC" w:rsidP="00712515">
            <w:pPr>
              <w:pStyle w:val="TableNBullet"/>
            </w:pPr>
            <w:r w:rsidRPr="00712515">
              <w:t xml:space="preserve">Medication appropriateness improved </w:t>
            </w:r>
          </w:p>
          <w:p w14:paraId="29634FA1" w14:textId="64AC8D24" w:rsidR="001D7FFC" w:rsidRPr="00483021" w:rsidRDefault="001D7FFC" w:rsidP="00712515">
            <w:pPr>
              <w:pStyle w:val="TableNBullet"/>
            </w:pPr>
            <w:r w:rsidRPr="00712515">
              <w:t>Inappropriate prescribing decreased, particularly for benzodiazepines</w:t>
            </w:r>
            <w:r w:rsidR="00BD545E">
              <w:t>.</w:t>
            </w:r>
          </w:p>
        </w:tc>
      </w:tr>
      <w:tr w:rsidR="001D7FFC" w:rsidRPr="00483021" w14:paraId="150D8D18" w14:textId="77777777" w:rsidTr="00446A97">
        <w:tc>
          <w:tcPr>
            <w:tcW w:w="1425" w:type="dxa"/>
          </w:tcPr>
          <w:p w14:paraId="195D67D1" w14:textId="77777777" w:rsidR="001D7FFC" w:rsidRDefault="001D7FFC" w:rsidP="005F337E">
            <w:pPr>
              <w:pStyle w:val="TableNText"/>
            </w:pPr>
            <w:r w:rsidRPr="00483021">
              <w:t xml:space="preserve">Indigenous Palliative Care Service Delivery </w:t>
            </w:r>
            <w:r w:rsidRPr="00483021">
              <w:lastRenderedPageBreak/>
              <w:t>Conceptual Model</w:t>
            </w:r>
            <w:r w:rsidRPr="00483021">
              <w:rPr>
                <w:rStyle w:val="FootnoteReference"/>
                <w:rFonts w:cs="Calibri"/>
                <w:sz w:val="16"/>
                <w:szCs w:val="16"/>
              </w:rPr>
              <w:footnoteReference w:id="183"/>
            </w:r>
          </w:p>
          <w:p w14:paraId="3474D242" w14:textId="52440B77" w:rsidR="001D7FFC" w:rsidRPr="00EF721E" w:rsidRDefault="00EF721E" w:rsidP="005F337E">
            <w:pPr>
              <w:pStyle w:val="TableNText"/>
              <w:rPr>
                <w:b/>
              </w:rPr>
            </w:pPr>
            <w:r>
              <w:rPr>
                <w:b/>
              </w:rPr>
              <w:t>NT</w:t>
            </w:r>
          </w:p>
        </w:tc>
        <w:tc>
          <w:tcPr>
            <w:tcW w:w="1365" w:type="dxa"/>
          </w:tcPr>
          <w:p w14:paraId="00B30E43" w14:textId="5904175C" w:rsidR="001D7FFC" w:rsidRPr="00395C99" w:rsidRDefault="001D7FFC" w:rsidP="005F337E">
            <w:pPr>
              <w:pStyle w:val="TableNText"/>
            </w:pPr>
            <w:r w:rsidRPr="00395C99">
              <w:lastRenderedPageBreak/>
              <w:t>Capability building</w:t>
            </w:r>
          </w:p>
        </w:tc>
        <w:tc>
          <w:tcPr>
            <w:tcW w:w="2997" w:type="dxa"/>
            <w:gridSpan w:val="2"/>
          </w:tcPr>
          <w:p w14:paraId="04C18F93" w14:textId="06A0C7E3" w:rsidR="001D7FFC" w:rsidRPr="00483021" w:rsidRDefault="001D7FFC" w:rsidP="005F337E">
            <w:pPr>
              <w:pStyle w:val="TableNText"/>
            </w:pPr>
            <w:r w:rsidRPr="00395C99">
              <w:t xml:space="preserve">Created a conceptual model that outlined seven key principles for Indigenous palliative care service </w:t>
            </w:r>
            <w:r w:rsidRPr="00395C99">
              <w:lastRenderedPageBreak/>
              <w:t>delivery:</w:t>
            </w:r>
            <w:r>
              <w:t xml:space="preserve"> </w:t>
            </w:r>
            <w:r w:rsidRPr="00395C99">
              <w:t>1) Equity 2) Autonomy and Empowerment 3) The Importance of Trust 4) Humane, Non-judgmental Care 5) Seamless Care 6) Emphasis on Living</w:t>
            </w:r>
            <w:r w:rsidR="00A26F42">
              <w:t xml:space="preserve"> </w:t>
            </w:r>
            <w:r w:rsidRPr="00395C99">
              <w:t>7) Cultural Respect</w:t>
            </w:r>
            <w:r w:rsidR="00C04E2A">
              <w:t>.</w:t>
            </w:r>
          </w:p>
        </w:tc>
        <w:tc>
          <w:tcPr>
            <w:tcW w:w="5071" w:type="dxa"/>
          </w:tcPr>
          <w:p w14:paraId="3BA8AD8D" w14:textId="62AAE125" w:rsidR="001D7FFC" w:rsidRPr="00EF7909" w:rsidRDefault="00F54D44" w:rsidP="003E3445">
            <w:pPr>
              <w:pStyle w:val="TableNBullet"/>
            </w:pPr>
            <w:r>
              <w:lastRenderedPageBreak/>
              <w:t>Developed</w:t>
            </w:r>
            <w:r w:rsidR="001D7FFC" w:rsidRPr="00EF7909">
              <w:t xml:space="preserve"> capabilities of RACF workforce to identify needs specific to Indigenous peoples in Australia</w:t>
            </w:r>
            <w:r w:rsidR="00B27BD5">
              <w:t>.</w:t>
            </w:r>
          </w:p>
          <w:p w14:paraId="16C7D3F1" w14:textId="56D4BBA1" w:rsidR="001D7FFC" w:rsidRPr="00C04E2A" w:rsidRDefault="001D7FFC" w:rsidP="00C04E2A">
            <w:pPr>
              <w:pStyle w:val="TableNBullet"/>
              <w:numPr>
                <w:ilvl w:val="0"/>
                <w:numId w:val="0"/>
              </w:numPr>
            </w:pPr>
          </w:p>
        </w:tc>
        <w:tc>
          <w:tcPr>
            <w:tcW w:w="3402" w:type="dxa"/>
          </w:tcPr>
          <w:p w14:paraId="0B1A8FDB" w14:textId="577E43BC" w:rsidR="001D7FFC" w:rsidRPr="00483021" w:rsidRDefault="001D7FFC" w:rsidP="00712515">
            <w:pPr>
              <w:pStyle w:val="TableNText"/>
              <w:rPr>
                <w:highlight w:val="yellow"/>
              </w:rPr>
            </w:pPr>
            <w:r w:rsidRPr="00483021">
              <w:lastRenderedPageBreak/>
              <w:t>No formal evaluation or review identified.</w:t>
            </w:r>
          </w:p>
        </w:tc>
      </w:tr>
      <w:tr w:rsidR="001D7FFC" w:rsidRPr="00483021" w14:paraId="03CEC442" w14:textId="77777777" w:rsidTr="00446A97">
        <w:tc>
          <w:tcPr>
            <w:tcW w:w="1425" w:type="dxa"/>
          </w:tcPr>
          <w:p w14:paraId="760F0436" w14:textId="036E6FA8" w:rsidR="001D7FFC" w:rsidRDefault="001D7FFC" w:rsidP="005F337E">
            <w:pPr>
              <w:pStyle w:val="TableNText"/>
            </w:pPr>
            <w:r w:rsidRPr="00483021">
              <w:t xml:space="preserve">Austin Health’s Residential </w:t>
            </w:r>
            <w:proofErr w:type="spellStart"/>
            <w:r w:rsidRPr="00483021">
              <w:t>InReach</w:t>
            </w:r>
            <w:proofErr w:type="spellEnd"/>
            <w:r>
              <w:t xml:space="preserve"> </w:t>
            </w:r>
            <w:r w:rsidRPr="00483021">
              <w:t>service</w:t>
            </w:r>
            <w:r w:rsidRPr="00483021">
              <w:rPr>
                <w:rStyle w:val="FootnoteReference"/>
                <w:rFonts w:cs="Calibri"/>
                <w:sz w:val="16"/>
                <w:szCs w:val="16"/>
              </w:rPr>
              <w:footnoteReference w:id="184"/>
            </w:r>
          </w:p>
          <w:p w14:paraId="43EA7E9A" w14:textId="14D5B174" w:rsidR="001D7FFC" w:rsidRPr="0002297C" w:rsidRDefault="0002297C" w:rsidP="005F337E">
            <w:pPr>
              <w:pStyle w:val="TableNText"/>
              <w:rPr>
                <w:b/>
              </w:rPr>
            </w:pPr>
            <w:r>
              <w:rPr>
                <w:b/>
              </w:rPr>
              <w:t>VIC</w:t>
            </w:r>
          </w:p>
        </w:tc>
        <w:tc>
          <w:tcPr>
            <w:tcW w:w="1365" w:type="dxa"/>
          </w:tcPr>
          <w:p w14:paraId="1607AC38" w14:textId="1074B442" w:rsidR="001D7FFC" w:rsidRPr="00395C99" w:rsidRDefault="002A0835" w:rsidP="005F337E">
            <w:pPr>
              <w:pStyle w:val="TableNText"/>
            </w:pPr>
            <w:r>
              <w:t>Specialist i</w:t>
            </w:r>
            <w:r w:rsidR="001D7FFC" w:rsidRPr="00395C99">
              <w:t>n-reach service</w:t>
            </w:r>
          </w:p>
        </w:tc>
        <w:tc>
          <w:tcPr>
            <w:tcW w:w="2997" w:type="dxa"/>
            <w:gridSpan w:val="2"/>
          </w:tcPr>
          <w:p w14:paraId="5FCB53BB" w14:textId="73F6B0F4" w:rsidR="001D7FFC" w:rsidRPr="00483021" w:rsidRDefault="001D7FFC" w:rsidP="005F337E">
            <w:pPr>
              <w:pStyle w:val="TableNText"/>
            </w:pPr>
            <w:r w:rsidRPr="00395C99">
              <w:t xml:space="preserve">A geriatrician-led </w:t>
            </w:r>
            <w:r w:rsidR="003D7A4D">
              <w:t>model that</w:t>
            </w:r>
            <w:r w:rsidRPr="00395C99">
              <w:t xml:space="preserve"> operates seven days a week, from 9 AM to 5 PM. This service offers RACFs telephone advice, geriatrician or nursing reviews, acute </w:t>
            </w:r>
            <w:proofErr w:type="gramStart"/>
            <w:r w:rsidRPr="00395C99">
              <w:t>interventions</w:t>
            </w:r>
            <w:proofErr w:type="gramEnd"/>
            <w:r w:rsidRPr="00395C99">
              <w:t xml:space="preserve"> and palliative care.</w:t>
            </w:r>
          </w:p>
        </w:tc>
        <w:tc>
          <w:tcPr>
            <w:tcW w:w="5071" w:type="dxa"/>
          </w:tcPr>
          <w:p w14:paraId="1658220D" w14:textId="4353207D" w:rsidR="001D7FFC" w:rsidRPr="00483021" w:rsidRDefault="00F54D44" w:rsidP="003E3445">
            <w:pPr>
              <w:pStyle w:val="TableNBullet"/>
            </w:pPr>
            <w:r>
              <w:t>Provided t</w:t>
            </w:r>
            <w:r w:rsidR="001D7FFC" w:rsidRPr="00483021">
              <w:t xml:space="preserve">imely access to medical assessment and assistance with clinical decision-making </w:t>
            </w:r>
          </w:p>
          <w:p w14:paraId="4E1EFC87" w14:textId="417BA1FA" w:rsidR="001D7FFC" w:rsidRPr="00483021" w:rsidRDefault="00F54D44" w:rsidP="003E3445">
            <w:pPr>
              <w:pStyle w:val="TableNBullet"/>
            </w:pPr>
            <w:r>
              <w:t xml:space="preserve">Improved decision-making around hospital transfers through </w:t>
            </w:r>
            <w:r w:rsidR="001D7FFC" w:rsidRPr="00483021">
              <w:t xml:space="preserve">prioritising and advocating for the resident’s best outcomes </w:t>
            </w:r>
          </w:p>
          <w:p w14:paraId="15CA9C8A" w14:textId="3D7E4B1E" w:rsidR="001D7FFC" w:rsidRPr="00483021" w:rsidRDefault="00F54D44" w:rsidP="003E3445">
            <w:pPr>
              <w:pStyle w:val="TableNBullet"/>
            </w:pPr>
            <w:r>
              <w:t xml:space="preserve">Increased documentation of and adherence to </w:t>
            </w:r>
            <w:r w:rsidR="007E2EA6">
              <w:t>advance care plans</w:t>
            </w:r>
            <w:r w:rsidR="001D7FFC">
              <w:t xml:space="preserve"> </w:t>
            </w:r>
            <w:r w:rsidR="001D7FFC" w:rsidRPr="00483021">
              <w:t>to assist staff with decision-making and reduce anxiety when a resident deteriorates</w:t>
            </w:r>
          </w:p>
          <w:p w14:paraId="18E41747" w14:textId="3CB2A774" w:rsidR="001D7FFC" w:rsidRPr="00483021" w:rsidRDefault="001D7FFC" w:rsidP="003E3445">
            <w:pPr>
              <w:pStyle w:val="TableNBullet"/>
            </w:pPr>
            <w:r w:rsidRPr="00483021">
              <w:t>Improv</w:t>
            </w:r>
            <w:r w:rsidR="007E2EA6">
              <w:t>ed</w:t>
            </w:r>
            <w:r w:rsidRPr="00483021">
              <w:t xml:space="preserve"> staff capacity to engage in </w:t>
            </w:r>
            <w:r w:rsidR="007E2EA6">
              <w:t>advance care planning</w:t>
            </w:r>
            <w:r w:rsidRPr="00483021">
              <w:t xml:space="preserve"> opportunities in the RACF setting</w:t>
            </w:r>
            <w:r w:rsidR="00EA1B64">
              <w:t>.</w:t>
            </w:r>
          </w:p>
        </w:tc>
        <w:tc>
          <w:tcPr>
            <w:tcW w:w="3402" w:type="dxa"/>
          </w:tcPr>
          <w:p w14:paraId="015DBAAA" w14:textId="77777777" w:rsidR="001D7FFC" w:rsidRPr="00483021" w:rsidRDefault="001D7FFC" w:rsidP="00712515">
            <w:pPr>
              <w:pStyle w:val="TableNText"/>
            </w:pPr>
            <w:r w:rsidRPr="00483021">
              <w:t>No formal evaluation or review identified.</w:t>
            </w:r>
          </w:p>
        </w:tc>
      </w:tr>
      <w:tr w:rsidR="00381E67" w:rsidRPr="00483021" w14:paraId="4265D488" w14:textId="77777777" w:rsidTr="00446A97">
        <w:tc>
          <w:tcPr>
            <w:tcW w:w="1425" w:type="dxa"/>
          </w:tcPr>
          <w:p w14:paraId="0F80748D" w14:textId="2AF7EEFD" w:rsidR="00381E67" w:rsidRDefault="00381E67" w:rsidP="005F337E">
            <w:pPr>
              <w:pStyle w:val="TableNText"/>
            </w:pPr>
            <w:r w:rsidRPr="00483021">
              <w:t xml:space="preserve">Aged Care </w:t>
            </w:r>
            <w:r>
              <w:t>E</w:t>
            </w:r>
            <w:r w:rsidRPr="00483021">
              <w:t>mergency (ACE) program</w:t>
            </w:r>
            <w:r w:rsidRPr="00483021">
              <w:rPr>
                <w:rStyle w:val="FootnoteReference"/>
                <w:rFonts w:cs="Calibri"/>
                <w:sz w:val="16"/>
                <w:szCs w:val="16"/>
              </w:rPr>
              <w:footnoteReference w:id="185"/>
            </w:r>
          </w:p>
          <w:p w14:paraId="768016BA" w14:textId="0B02730E" w:rsidR="00381E67" w:rsidRPr="00B73475" w:rsidRDefault="00381E67" w:rsidP="005F337E">
            <w:pPr>
              <w:pStyle w:val="TableNText"/>
              <w:rPr>
                <w:b/>
              </w:rPr>
            </w:pPr>
            <w:r>
              <w:rPr>
                <w:b/>
              </w:rPr>
              <w:t>NSW</w:t>
            </w:r>
          </w:p>
          <w:p w14:paraId="2E4BC9CE" w14:textId="08E68B73" w:rsidR="00381E67" w:rsidRPr="00483021" w:rsidRDefault="00381E67" w:rsidP="005F337E">
            <w:pPr>
              <w:pStyle w:val="TableNText"/>
            </w:pPr>
          </w:p>
        </w:tc>
        <w:tc>
          <w:tcPr>
            <w:tcW w:w="1365" w:type="dxa"/>
          </w:tcPr>
          <w:p w14:paraId="2C89C128" w14:textId="77777777" w:rsidR="00381E67" w:rsidRPr="00395C99" w:rsidRDefault="00381E67" w:rsidP="005F337E">
            <w:pPr>
              <w:pStyle w:val="TableNText"/>
            </w:pPr>
            <w:r w:rsidRPr="00395C99">
              <w:t>Capability building</w:t>
            </w:r>
          </w:p>
        </w:tc>
        <w:tc>
          <w:tcPr>
            <w:tcW w:w="2997" w:type="dxa"/>
            <w:gridSpan w:val="2"/>
          </w:tcPr>
          <w:p w14:paraId="1F1EB081" w14:textId="2FEFDB40" w:rsidR="00381E67" w:rsidRPr="00483021" w:rsidRDefault="00381E67" w:rsidP="005F337E">
            <w:pPr>
              <w:pStyle w:val="TableNText"/>
            </w:pPr>
            <w:r w:rsidRPr="00483021">
              <w:t>ACE supports staff in RACFs to facilitate residents’ acute care needs being met within the facility and avoiding an ED presentation. Aim to reduce the need for residents of RACFs to present to an ED for acute care, or where ED presentation is required, to proactively manage the visit. Enhance integration of a range of services for older people.</w:t>
            </w:r>
          </w:p>
        </w:tc>
        <w:tc>
          <w:tcPr>
            <w:tcW w:w="5071" w:type="dxa"/>
          </w:tcPr>
          <w:p w14:paraId="348B979D" w14:textId="77777777" w:rsidR="00381E67" w:rsidRPr="00C17265" w:rsidRDefault="00381E67" w:rsidP="003E3445">
            <w:pPr>
              <w:pStyle w:val="TableNBullet"/>
            </w:pPr>
            <w:r w:rsidRPr="00C17265">
              <w:t>Increased respect for knowledge and skills of RACF staff</w:t>
            </w:r>
          </w:p>
          <w:p w14:paraId="6A442C5D" w14:textId="77777777" w:rsidR="00381E67" w:rsidRPr="00C17265" w:rsidRDefault="00381E67" w:rsidP="003E3445">
            <w:pPr>
              <w:pStyle w:val="TableNBullet"/>
            </w:pPr>
            <w:r w:rsidRPr="00C17265">
              <w:t>Provided RACF staff access to a network of specialist palliative care providers</w:t>
            </w:r>
          </w:p>
          <w:p w14:paraId="5466CCD1" w14:textId="77777777" w:rsidR="00381E67" w:rsidRPr="00C17265" w:rsidRDefault="00381E67" w:rsidP="003E3445">
            <w:pPr>
              <w:pStyle w:val="TableNBullet"/>
            </w:pPr>
            <w:r w:rsidRPr="00C17265">
              <w:t xml:space="preserve">Developed collaborative relationships and trust to enable appropriate decision making </w:t>
            </w:r>
          </w:p>
          <w:p w14:paraId="06CC5063" w14:textId="6E00A68D" w:rsidR="00381E67" w:rsidRPr="00C17265" w:rsidRDefault="00381E67" w:rsidP="003E3445">
            <w:pPr>
              <w:pStyle w:val="TableNBullet"/>
            </w:pPr>
            <w:r w:rsidRPr="00C17265">
              <w:t xml:space="preserve">Established clear patient </w:t>
            </w:r>
            <w:r w:rsidR="00BF4577" w:rsidRPr="00C17265">
              <w:t>goals</w:t>
            </w:r>
            <w:r w:rsidRPr="00C17265">
              <w:t xml:space="preserve"> of care prior to transferring to an ED</w:t>
            </w:r>
          </w:p>
          <w:p w14:paraId="1211245F" w14:textId="398FEBF2" w:rsidR="00381E67" w:rsidRPr="00C17265" w:rsidRDefault="00381E67" w:rsidP="003E3445">
            <w:pPr>
              <w:pStyle w:val="TableNBullet"/>
            </w:pPr>
            <w:r w:rsidRPr="00C17265">
              <w:t>Provided proactive case management within the ED</w:t>
            </w:r>
            <w:r w:rsidR="00CF07B1">
              <w:t>.</w:t>
            </w:r>
          </w:p>
        </w:tc>
        <w:tc>
          <w:tcPr>
            <w:tcW w:w="3402" w:type="dxa"/>
          </w:tcPr>
          <w:p w14:paraId="36AD1BF7" w14:textId="77777777" w:rsidR="00381E67" w:rsidRPr="00483021" w:rsidRDefault="00381E67" w:rsidP="00712515">
            <w:pPr>
              <w:pStyle w:val="TableNText"/>
            </w:pPr>
            <w:r w:rsidRPr="00483021">
              <w:t>Internal review conducted.</w:t>
            </w:r>
          </w:p>
          <w:p w14:paraId="6284E4E6" w14:textId="32F96E50" w:rsidR="00381E67" w:rsidRDefault="00381E67" w:rsidP="00712515">
            <w:pPr>
              <w:pStyle w:val="TableNText"/>
            </w:pPr>
            <w:r>
              <w:t>Results:</w:t>
            </w:r>
          </w:p>
          <w:p w14:paraId="6D25A050" w14:textId="0BAE823B" w:rsidR="00381E67" w:rsidRPr="00712515" w:rsidRDefault="00381E67" w:rsidP="00712515">
            <w:pPr>
              <w:pStyle w:val="TableNBullet"/>
            </w:pPr>
            <w:r w:rsidRPr="00712515">
              <w:t>An estimated 981 residents avoided ED annually</w:t>
            </w:r>
          </w:p>
          <w:p w14:paraId="2A16A933" w14:textId="1A9FF675" w:rsidR="00381E67" w:rsidRPr="004C5558" w:rsidRDefault="00381E67" w:rsidP="00712515">
            <w:pPr>
              <w:pStyle w:val="TableNBullet"/>
            </w:pPr>
            <w:r w:rsidRPr="00712515">
              <w:t>Compared with usual care, ACE saved an estimated $921,214.</w:t>
            </w:r>
            <w:r w:rsidRPr="004C5558">
              <w:t xml:space="preserve"> </w:t>
            </w:r>
          </w:p>
        </w:tc>
      </w:tr>
      <w:tr w:rsidR="00381E67" w:rsidRPr="00483021" w14:paraId="77BF3214" w14:textId="77777777" w:rsidTr="00446A97">
        <w:tc>
          <w:tcPr>
            <w:tcW w:w="1425" w:type="dxa"/>
          </w:tcPr>
          <w:p w14:paraId="417B4DB7" w14:textId="77777777" w:rsidR="00381E67" w:rsidRDefault="00381E67" w:rsidP="005F337E">
            <w:pPr>
              <w:pStyle w:val="TableNText"/>
            </w:pPr>
            <w:r w:rsidRPr="00483021">
              <w:lastRenderedPageBreak/>
              <w:t>The Envelope</w:t>
            </w:r>
            <w:r w:rsidRPr="00483021">
              <w:rPr>
                <w:rStyle w:val="FootnoteReference"/>
                <w:rFonts w:cs="Calibri"/>
                <w:sz w:val="16"/>
                <w:szCs w:val="16"/>
              </w:rPr>
              <w:footnoteReference w:id="186"/>
            </w:r>
          </w:p>
          <w:p w14:paraId="5797386D" w14:textId="6C836C81" w:rsidR="00381E67" w:rsidRPr="00811CEC" w:rsidRDefault="00381E67" w:rsidP="005F337E">
            <w:pPr>
              <w:pStyle w:val="TableNText"/>
              <w:rPr>
                <w:b/>
              </w:rPr>
            </w:pPr>
            <w:r w:rsidRPr="00811CEC">
              <w:rPr>
                <w:b/>
              </w:rPr>
              <w:t>VIC</w:t>
            </w:r>
          </w:p>
        </w:tc>
        <w:tc>
          <w:tcPr>
            <w:tcW w:w="1365" w:type="dxa"/>
          </w:tcPr>
          <w:p w14:paraId="5F5C9153" w14:textId="13D436EE" w:rsidR="00381E67" w:rsidRPr="00395C99" w:rsidRDefault="00381E67" w:rsidP="005F337E">
            <w:pPr>
              <w:pStyle w:val="TableNText"/>
            </w:pPr>
            <w:r>
              <w:t>Shared care</w:t>
            </w:r>
          </w:p>
        </w:tc>
        <w:tc>
          <w:tcPr>
            <w:tcW w:w="2997" w:type="dxa"/>
            <w:gridSpan w:val="2"/>
          </w:tcPr>
          <w:p w14:paraId="1E572D62" w14:textId="61B6AA22" w:rsidR="00381E67" w:rsidRPr="00483021" w:rsidRDefault="00381E67" w:rsidP="005F337E">
            <w:pPr>
              <w:pStyle w:val="TableNText"/>
            </w:pPr>
            <w:r w:rsidRPr="00483021">
              <w:t>A simple tool to transfer clinical information during ED transfers. The Envelope maintained privacy of the resident (no clinical information is recorded on</w:t>
            </w:r>
            <w:r>
              <w:t xml:space="preserve"> </w:t>
            </w:r>
            <w:r w:rsidRPr="00483021">
              <w:t>the</w:t>
            </w:r>
            <w:r>
              <w:t xml:space="preserve"> </w:t>
            </w:r>
            <w:r w:rsidRPr="00483021">
              <w:t>Envelope), was succinct</w:t>
            </w:r>
            <w:r>
              <w:t xml:space="preserve"> </w:t>
            </w:r>
            <w:r w:rsidRPr="00483021">
              <w:t>and</w:t>
            </w:r>
            <w:r>
              <w:t xml:space="preserve"> </w:t>
            </w:r>
            <w:r w:rsidRPr="00483021">
              <w:t>simple, and kept costs to a minimum.</w:t>
            </w:r>
          </w:p>
        </w:tc>
        <w:tc>
          <w:tcPr>
            <w:tcW w:w="5071" w:type="dxa"/>
          </w:tcPr>
          <w:p w14:paraId="04F107C9" w14:textId="77777777" w:rsidR="00381E67" w:rsidRPr="00C17265" w:rsidRDefault="00381E67" w:rsidP="003E3445">
            <w:pPr>
              <w:pStyle w:val="TableNBullet"/>
            </w:pPr>
            <w:r w:rsidRPr="00C17265">
              <w:t>Improved clinical handover, as perceived by staff</w:t>
            </w:r>
          </w:p>
          <w:p w14:paraId="5A9C813B" w14:textId="241258AB" w:rsidR="00381E67" w:rsidRPr="00C17265" w:rsidRDefault="00381E67" w:rsidP="003E3445">
            <w:pPr>
              <w:pStyle w:val="TableNBullet"/>
            </w:pPr>
            <w:r w:rsidRPr="00C17265">
              <w:t>Raised awareness of the importance of clinical handover, as perceived by staff</w:t>
            </w:r>
            <w:r w:rsidR="00515395">
              <w:t>.</w:t>
            </w:r>
          </w:p>
        </w:tc>
        <w:tc>
          <w:tcPr>
            <w:tcW w:w="3402" w:type="dxa"/>
          </w:tcPr>
          <w:p w14:paraId="4116A6C6" w14:textId="3B978340" w:rsidR="00381E67" w:rsidRPr="00483021" w:rsidRDefault="00381E67" w:rsidP="00712515">
            <w:pPr>
              <w:pStyle w:val="TableNText"/>
            </w:pPr>
            <w:r>
              <w:t xml:space="preserve">Quasi-experimental study design. </w:t>
            </w:r>
            <w:r w:rsidRPr="00483021">
              <w:t>Internal review conducted.</w:t>
            </w:r>
          </w:p>
          <w:p w14:paraId="638FD7E5" w14:textId="77777777" w:rsidR="00381E67" w:rsidRDefault="00381E67" w:rsidP="00712515">
            <w:pPr>
              <w:pStyle w:val="TableNText"/>
            </w:pPr>
            <w:r>
              <w:t>Results:</w:t>
            </w:r>
          </w:p>
          <w:p w14:paraId="23275203" w14:textId="77777777" w:rsidR="00381E67" w:rsidRPr="00712515" w:rsidRDefault="00381E67" w:rsidP="00712515">
            <w:pPr>
              <w:pStyle w:val="TableNBullet"/>
            </w:pPr>
            <w:r w:rsidRPr="00712515">
              <w:t>163/165 staff (99%) thought the Envelope was useful</w:t>
            </w:r>
          </w:p>
          <w:p w14:paraId="028CBDCB" w14:textId="275AB48E" w:rsidR="00381E67" w:rsidRPr="00712515" w:rsidRDefault="00381E67" w:rsidP="00712515">
            <w:pPr>
              <w:pStyle w:val="TableNBullet"/>
            </w:pPr>
            <w:r w:rsidRPr="00712515">
              <w:t>148/165 (90%) staff said it was easy to use</w:t>
            </w:r>
          </w:p>
          <w:p w14:paraId="7FCEB8AD" w14:textId="77777777" w:rsidR="00381E67" w:rsidRPr="00712515" w:rsidRDefault="00381E67" w:rsidP="00712515">
            <w:pPr>
              <w:pStyle w:val="TableNBullet"/>
            </w:pPr>
            <w:r w:rsidRPr="00712515">
              <w:t>128/165 staff (78%) and all interviewees believed that using the Envelope improved clinical handover</w:t>
            </w:r>
          </w:p>
          <w:p w14:paraId="1D08DAD0" w14:textId="6F47F807" w:rsidR="00381E67" w:rsidRPr="00483021" w:rsidRDefault="00381E67" w:rsidP="00712515">
            <w:pPr>
              <w:pStyle w:val="TableNBullet"/>
            </w:pPr>
            <w:r w:rsidRPr="00712515">
              <w:t>152/165 staff (92%) indicated they would continue to use the Envelope.</w:t>
            </w:r>
          </w:p>
        </w:tc>
      </w:tr>
      <w:tr w:rsidR="001D7FFC" w:rsidRPr="00483021" w14:paraId="61402129" w14:textId="77777777" w:rsidTr="00446A97">
        <w:tc>
          <w:tcPr>
            <w:tcW w:w="1425" w:type="dxa"/>
          </w:tcPr>
          <w:p w14:paraId="47342159" w14:textId="77777777" w:rsidR="001D7FFC" w:rsidRDefault="001D7FFC" w:rsidP="005F337E">
            <w:pPr>
              <w:pStyle w:val="TableNText"/>
            </w:pPr>
            <w:r w:rsidRPr="00483021">
              <w:t>CARE-PACT</w:t>
            </w:r>
            <w:r w:rsidRPr="00483021">
              <w:rPr>
                <w:rStyle w:val="FootnoteReference"/>
                <w:rFonts w:cs="Calibri"/>
                <w:sz w:val="16"/>
                <w:szCs w:val="16"/>
              </w:rPr>
              <w:footnoteReference w:id="187"/>
            </w:r>
          </w:p>
          <w:p w14:paraId="7CF12545" w14:textId="7B2D3F4A" w:rsidR="001D7FFC" w:rsidRPr="004925B9" w:rsidRDefault="004925B9" w:rsidP="005F337E">
            <w:pPr>
              <w:pStyle w:val="TableNText"/>
              <w:rPr>
                <w:b/>
              </w:rPr>
            </w:pPr>
            <w:r>
              <w:rPr>
                <w:b/>
              </w:rPr>
              <w:t>QLD</w:t>
            </w:r>
          </w:p>
        </w:tc>
        <w:tc>
          <w:tcPr>
            <w:tcW w:w="1365" w:type="dxa"/>
          </w:tcPr>
          <w:p w14:paraId="4A2FB995" w14:textId="708C0B33" w:rsidR="001D7FFC" w:rsidRPr="00395C99" w:rsidRDefault="002A0835" w:rsidP="005F337E">
            <w:pPr>
              <w:pStyle w:val="TableNText"/>
              <w:rPr>
                <w:color w:val="FF0000"/>
              </w:rPr>
            </w:pPr>
            <w:r>
              <w:rPr>
                <w:color w:val="auto"/>
              </w:rPr>
              <w:t>Specialist i</w:t>
            </w:r>
            <w:r w:rsidR="001D7FFC" w:rsidRPr="00395C99">
              <w:rPr>
                <w:color w:val="auto"/>
              </w:rPr>
              <w:t>n-reach</w:t>
            </w:r>
            <w:r>
              <w:rPr>
                <w:color w:val="auto"/>
              </w:rPr>
              <w:t xml:space="preserve"> services</w:t>
            </w:r>
          </w:p>
        </w:tc>
        <w:tc>
          <w:tcPr>
            <w:tcW w:w="2997" w:type="dxa"/>
            <w:gridSpan w:val="2"/>
          </w:tcPr>
          <w:p w14:paraId="32C8895A" w14:textId="460A3138" w:rsidR="001D7FFC" w:rsidRPr="00483021" w:rsidRDefault="001D7FFC" w:rsidP="005F337E">
            <w:pPr>
              <w:pStyle w:val="TableNText"/>
            </w:pPr>
            <w:r w:rsidRPr="00483021">
              <w:t>Comprehensive Aged Residents Emergency and Partners in Assessment, Care and Treatment (CARE-PACT) program: a hospital substitutive care and demand management project that</w:t>
            </w:r>
            <w:r>
              <w:t xml:space="preserve"> </w:t>
            </w:r>
            <w:r w:rsidRPr="00483021">
              <w:t>provides a consultative service for GPs regarding their resident’s acute healthcare issues.</w:t>
            </w:r>
            <w:r>
              <w:t xml:space="preserve"> </w:t>
            </w:r>
            <w:r w:rsidRPr="00483021">
              <w:t>CARE-PACT is a dedicated, hospital-based, single point of telephone contact for referral of deteriorating RACF residents for GPs, paramedics, RACF staff and community health providers.</w:t>
            </w:r>
            <w:r>
              <w:t xml:space="preserve"> </w:t>
            </w:r>
            <w:r w:rsidRPr="00483021">
              <w:t xml:space="preserve">CARE-PACT partners with existing community and hospital-based services to facilitate linking of </w:t>
            </w:r>
            <w:r w:rsidRPr="00483021">
              <w:lastRenderedPageBreak/>
              <w:t>residents with acute care needs to the service best able to fulfill these needs.</w:t>
            </w:r>
          </w:p>
        </w:tc>
        <w:tc>
          <w:tcPr>
            <w:tcW w:w="5071" w:type="dxa"/>
          </w:tcPr>
          <w:p w14:paraId="524A0F18" w14:textId="4E0B0591" w:rsidR="001D7FFC" w:rsidRPr="00C17265" w:rsidRDefault="00C70562" w:rsidP="003E3445">
            <w:pPr>
              <w:pStyle w:val="TableNBullet"/>
            </w:pPr>
            <w:r w:rsidRPr="00C17265">
              <w:lastRenderedPageBreak/>
              <w:t>O</w:t>
            </w:r>
            <w:r w:rsidR="001D7FFC" w:rsidRPr="00C17265">
              <w:t>ptimise</w:t>
            </w:r>
            <w:r w:rsidRPr="00C17265">
              <w:t>d</w:t>
            </w:r>
            <w:r w:rsidR="001D7FFC" w:rsidRPr="00C17265">
              <w:t xml:space="preserve"> continuity of care and effectiveness of discharge with informed collaborative care planning </w:t>
            </w:r>
          </w:p>
          <w:p w14:paraId="7E31FDE8" w14:textId="14CE1D27" w:rsidR="001D7FFC" w:rsidRPr="00C17265" w:rsidRDefault="00C70562" w:rsidP="003E3445">
            <w:pPr>
              <w:pStyle w:val="TableNBullet"/>
            </w:pPr>
            <w:r w:rsidRPr="00C17265">
              <w:t>I</w:t>
            </w:r>
            <w:r w:rsidR="001D7FFC" w:rsidRPr="00C17265">
              <w:t>mprove</w:t>
            </w:r>
            <w:r w:rsidRPr="00C17265">
              <w:t>d</w:t>
            </w:r>
            <w:r w:rsidR="001D7FFC" w:rsidRPr="00C17265">
              <w:t xml:space="preserve"> quality of gerontic nursing care in the ED </w:t>
            </w:r>
          </w:p>
          <w:p w14:paraId="10D01FCE" w14:textId="77777777" w:rsidR="00C17265" w:rsidRDefault="00C17265" w:rsidP="003E3445">
            <w:pPr>
              <w:pStyle w:val="TableNBullet"/>
            </w:pPr>
            <w:r>
              <w:t>R</w:t>
            </w:r>
            <w:r w:rsidR="001D7FFC" w:rsidRPr="00C17265">
              <w:t>educe</w:t>
            </w:r>
            <w:r w:rsidR="00C70562" w:rsidRPr="00C17265">
              <w:t>d</w:t>
            </w:r>
            <w:r w:rsidR="001D7FFC" w:rsidRPr="00C17265">
              <w:t xml:space="preserve"> hospital length of stay by having ED receive </w:t>
            </w:r>
            <w:proofErr w:type="gramStart"/>
            <w:r w:rsidR="001D7FFC" w:rsidRPr="00C17265">
              <w:t>prior warning</w:t>
            </w:r>
            <w:proofErr w:type="gramEnd"/>
            <w:r w:rsidR="001D7FFC" w:rsidRPr="00C17265">
              <w:t xml:space="preserve"> of a forthcoming ambulance transfer </w:t>
            </w:r>
          </w:p>
          <w:p w14:paraId="5EE6A697" w14:textId="4CB74CE0" w:rsidR="001D7FFC" w:rsidRPr="00C17265" w:rsidRDefault="00C17265" w:rsidP="003E3445">
            <w:pPr>
              <w:pStyle w:val="TableNBullet"/>
            </w:pPr>
            <w:r>
              <w:t>F</w:t>
            </w:r>
            <w:r w:rsidR="001D7FFC" w:rsidRPr="00C17265">
              <w:t>acilitat</w:t>
            </w:r>
            <w:r>
              <w:t>ed</w:t>
            </w:r>
            <w:r w:rsidR="001D7FFC" w:rsidRPr="00C17265">
              <w:t xml:space="preserve"> early discharge through recognising and </w:t>
            </w:r>
            <w:r w:rsidR="006761D7">
              <w:t>r</w:t>
            </w:r>
            <w:r w:rsidR="001D7FFC" w:rsidRPr="00C17265">
              <w:t>emediating barriers to discharge early in the presentation</w:t>
            </w:r>
            <w:r w:rsidR="008F76DD">
              <w:t>.</w:t>
            </w:r>
          </w:p>
        </w:tc>
        <w:tc>
          <w:tcPr>
            <w:tcW w:w="3402" w:type="dxa"/>
          </w:tcPr>
          <w:p w14:paraId="5191CBB1" w14:textId="77777777" w:rsidR="001D7FFC" w:rsidRPr="00483021" w:rsidRDefault="001D7FFC" w:rsidP="00712515">
            <w:pPr>
              <w:pStyle w:val="TableNText"/>
            </w:pPr>
            <w:r w:rsidRPr="00483021">
              <w:t>No formal evaluation or review identified.</w:t>
            </w:r>
          </w:p>
        </w:tc>
      </w:tr>
      <w:tr w:rsidR="001D7FFC" w:rsidRPr="00483021" w14:paraId="79499FD7" w14:textId="77777777" w:rsidTr="00446A97">
        <w:tc>
          <w:tcPr>
            <w:tcW w:w="1425" w:type="dxa"/>
          </w:tcPr>
          <w:p w14:paraId="28DBA353" w14:textId="77777777" w:rsidR="001D7FFC" w:rsidRDefault="001D7FFC" w:rsidP="005F337E">
            <w:pPr>
              <w:pStyle w:val="TableNText"/>
            </w:pPr>
            <w:r w:rsidRPr="00483021">
              <w:t>Aged Rapid Response Team (ARRT)</w:t>
            </w:r>
            <w:r w:rsidRPr="00483021">
              <w:rPr>
                <w:rStyle w:val="FootnoteReference"/>
                <w:rFonts w:cs="Calibri"/>
                <w:sz w:val="16"/>
                <w:szCs w:val="16"/>
              </w:rPr>
              <w:footnoteReference w:id="188"/>
            </w:r>
          </w:p>
          <w:p w14:paraId="74451641" w14:textId="1E181B84" w:rsidR="001D7FFC" w:rsidRPr="004C3C8E" w:rsidRDefault="004C3C8E" w:rsidP="005F337E">
            <w:pPr>
              <w:pStyle w:val="TableNText"/>
              <w:rPr>
                <w:b/>
              </w:rPr>
            </w:pPr>
            <w:r>
              <w:rPr>
                <w:b/>
              </w:rPr>
              <w:t>NSW</w:t>
            </w:r>
          </w:p>
        </w:tc>
        <w:tc>
          <w:tcPr>
            <w:tcW w:w="1365" w:type="dxa"/>
          </w:tcPr>
          <w:p w14:paraId="1973BF31" w14:textId="6E386022" w:rsidR="001D7FFC" w:rsidRPr="00395C99" w:rsidRDefault="002A0835" w:rsidP="005F337E">
            <w:pPr>
              <w:pStyle w:val="TableNText"/>
            </w:pPr>
            <w:r>
              <w:t>Specialist o</w:t>
            </w:r>
            <w:r w:rsidR="001D7FFC" w:rsidRPr="00395C99">
              <w:t>utreach service</w:t>
            </w:r>
          </w:p>
        </w:tc>
        <w:tc>
          <w:tcPr>
            <w:tcW w:w="2997" w:type="dxa"/>
            <w:gridSpan w:val="2"/>
          </w:tcPr>
          <w:p w14:paraId="5BABEE0D" w14:textId="2F01EBCF" w:rsidR="001D7FFC" w:rsidRPr="00483021" w:rsidRDefault="001D7FFC" w:rsidP="005F337E">
            <w:pPr>
              <w:pStyle w:val="TableNText"/>
            </w:pPr>
            <w:r w:rsidRPr="00483021">
              <w:rPr>
                <w:color w:val="000000"/>
              </w:rPr>
              <w:t xml:space="preserve">ARRT offers an outreach service to RACFs through rapid access medical and nursing community visits and a telephone service for advice regarding resident </w:t>
            </w:r>
            <w:r w:rsidR="002D4950">
              <w:rPr>
                <w:color w:val="000000"/>
              </w:rPr>
              <w:t xml:space="preserve">palliative </w:t>
            </w:r>
            <w:r w:rsidRPr="00483021">
              <w:rPr>
                <w:color w:val="000000"/>
              </w:rPr>
              <w:t>care.</w:t>
            </w:r>
          </w:p>
        </w:tc>
        <w:tc>
          <w:tcPr>
            <w:tcW w:w="5071" w:type="dxa"/>
          </w:tcPr>
          <w:p w14:paraId="6DD847CE" w14:textId="6699789E" w:rsidR="001D7FFC" w:rsidRPr="00483021" w:rsidRDefault="00C70562" w:rsidP="003E3445">
            <w:pPr>
              <w:pStyle w:val="TableNBullet"/>
            </w:pPr>
            <w:r>
              <w:t>Provided t</w:t>
            </w:r>
            <w:r w:rsidR="001D7FFC" w:rsidRPr="00483021">
              <w:t>imely access to specialist care at home</w:t>
            </w:r>
          </w:p>
          <w:p w14:paraId="1D4796EF" w14:textId="327170AA" w:rsidR="001D7FFC" w:rsidRPr="00483021" w:rsidRDefault="001D7FFC" w:rsidP="003E3445">
            <w:pPr>
              <w:pStyle w:val="TableNBullet"/>
            </w:pPr>
            <w:r w:rsidRPr="00483021">
              <w:t>Prevent</w:t>
            </w:r>
            <w:r w:rsidR="00C70562">
              <w:t>ed</w:t>
            </w:r>
            <w:r w:rsidRPr="00483021">
              <w:t xml:space="preserve"> unnecessary hospital presentations/admissions</w:t>
            </w:r>
          </w:p>
          <w:p w14:paraId="5E761448" w14:textId="67D992B4" w:rsidR="001D7FFC" w:rsidRPr="00483021" w:rsidRDefault="00A070D0" w:rsidP="003E3445">
            <w:pPr>
              <w:pStyle w:val="TableNBullet"/>
            </w:pPr>
            <w:r w:rsidRPr="00483021">
              <w:t>Develo</w:t>
            </w:r>
            <w:r>
              <w:t>ped</w:t>
            </w:r>
            <w:r w:rsidR="00C70562">
              <w:t xml:space="preserve"> capabilities</w:t>
            </w:r>
            <w:r w:rsidR="001D7FFC">
              <w:t xml:space="preserve"> f</w:t>
            </w:r>
            <w:r w:rsidR="001D7FFC" w:rsidRPr="00483021">
              <w:t xml:space="preserve">or </w:t>
            </w:r>
            <w:r w:rsidR="00F7430C">
              <w:t>r</w:t>
            </w:r>
            <w:r w:rsidR="001D7FFC" w:rsidRPr="00483021">
              <w:t xml:space="preserve">egistered </w:t>
            </w:r>
            <w:r w:rsidR="00F7430C">
              <w:t>n</w:t>
            </w:r>
            <w:r w:rsidR="001D7FFC" w:rsidRPr="00483021">
              <w:t>urses in RACFs</w:t>
            </w:r>
          </w:p>
          <w:p w14:paraId="72F4F69A" w14:textId="06152DB1" w:rsidR="001D7FFC" w:rsidRPr="00483021" w:rsidRDefault="00A070D0" w:rsidP="003E3445">
            <w:pPr>
              <w:pStyle w:val="TableNBullet"/>
            </w:pPr>
            <w:r>
              <w:t xml:space="preserve">Increased documentation of </w:t>
            </w:r>
            <w:r w:rsidR="001D7FFC" w:rsidRPr="00483021">
              <w:t>advance care planning</w:t>
            </w:r>
            <w:r w:rsidR="00142FF5">
              <w:t>.</w:t>
            </w:r>
          </w:p>
        </w:tc>
        <w:tc>
          <w:tcPr>
            <w:tcW w:w="3402" w:type="dxa"/>
          </w:tcPr>
          <w:p w14:paraId="3AA57A17" w14:textId="77777777" w:rsidR="001D7FFC" w:rsidRPr="00483021" w:rsidRDefault="001D7FFC" w:rsidP="00712515">
            <w:pPr>
              <w:pStyle w:val="TableNText"/>
            </w:pPr>
            <w:r w:rsidRPr="00483021">
              <w:t>No formal evaluation or review identified.</w:t>
            </w:r>
          </w:p>
        </w:tc>
      </w:tr>
      <w:tr w:rsidR="00F5607B" w:rsidRPr="00483021" w14:paraId="63A51D69" w14:textId="77777777" w:rsidTr="00446A97">
        <w:tc>
          <w:tcPr>
            <w:tcW w:w="1425" w:type="dxa"/>
          </w:tcPr>
          <w:p w14:paraId="5EAF2089" w14:textId="77777777" w:rsidR="00F5607B" w:rsidRDefault="00F5607B" w:rsidP="005F337E">
            <w:pPr>
              <w:pStyle w:val="TableNText"/>
            </w:pPr>
            <w:r w:rsidRPr="00483021">
              <w:t>Virtual Aged Care Services (VACS)</w:t>
            </w:r>
            <w:r w:rsidRPr="00483021">
              <w:rPr>
                <w:rStyle w:val="FootnoteReference"/>
                <w:rFonts w:cs="Calibri"/>
                <w:sz w:val="16"/>
                <w:szCs w:val="16"/>
              </w:rPr>
              <w:footnoteReference w:id="189"/>
            </w:r>
          </w:p>
          <w:p w14:paraId="1885F2FE" w14:textId="72BE515B" w:rsidR="00F5607B" w:rsidRPr="00C96647" w:rsidRDefault="00F5607B" w:rsidP="005F337E">
            <w:pPr>
              <w:pStyle w:val="TableNText"/>
              <w:rPr>
                <w:b/>
              </w:rPr>
            </w:pPr>
            <w:r>
              <w:rPr>
                <w:b/>
              </w:rPr>
              <w:t>NSW</w:t>
            </w:r>
          </w:p>
        </w:tc>
        <w:tc>
          <w:tcPr>
            <w:tcW w:w="1365" w:type="dxa"/>
          </w:tcPr>
          <w:p w14:paraId="65C7C5B9" w14:textId="46866E4A" w:rsidR="00F5607B" w:rsidRPr="00395C99" w:rsidRDefault="00F5607B" w:rsidP="005F337E">
            <w:pPr>
              <w:pStyle w:val="TableNText"/>
              <w:rPr>
                <w:color w:val="FF0000"/>
              </w:rPr>
            </w:pPr>
            <w:r>
              <w:t>Specialist i</w:t>
            </w:r>
            <w:r w:rsidRPr="00395C99">
              <w:t>n-reach</w:t>
            </w:r>
            <w:r>
              <w:t xml:space="preserve"> service</w:t>
            </w:r>
          </w:p>
        </w:tc>
        <w:tc>
          <w:tcPr>
            <w:tcW w:w="2997" w:type="dxa"/>
            <w:gridSpan w:val="2"/>
          </w:tcPr>
          <w:p w14:paraId="652715A2" w14:textId="1B12ED9C" w:rsidR="00F5607B" w:rsidRPr="00483021" w:rsidRDefault="00F5607B" w:rsidP="005F337E">
            <w:pPr>
              <w:pStyle w:val="TableNText"/>
            </w:pPr>
            <w:r w:rsidRPr="00483021">
              <w:t>VACS aims to reduce unnecessary hospital presentations and admissions for older people, facilitate early discharge from hospital (reducing length of stay) and streamline older patients’ entry points to hospital. VACS was piloted in two RACFs to trial telehealth strategies for delivery.</w:t>
            </w:r>
          </w:p>
        </w:tc>
        <w:tc>
          <w:tcPr>
            <w:tcW w:w="5071" w:type="dxa"/>
          </w:tcPr>
          <w:p w14:paraId="60A754B7" w14:textId="77777777" w:rsidR="00F5607B" w:rsidRDefault="00F5607B" w:rsidP="003E3445">
            <w:pPr>
              <w:pStyle w:val="TableNBullet"/>
            </w:pPr>
            <w:r>
              <w:t>Improved c</w:t>
            </w:r>
            <w:r w:rsidRPr="00483021">
              <w:t>are coordination</w:t>
            </w:r>
            <w:r>
              <w:t xml:space="preserve"> and</w:t>
            </w:r>
            <w:r w:rsidRPr="00483021">
              <w:t xml:space="preserve"> collaborative care plan development with involved providers</w:t>
            </w:r>
          </w:p>
          <w:p w14:paraId="0E69DF27" w14:textId="77777777" w:rsidR="00F5607B" w:rsidRPr="00483021" w:rsidRDefault="00F5607B" w:rsidP="003E3445">
            <w:pPr>
              <w:pStyle w:val="TableNBullet"/>
            </w:pPr>
            <w:r>
              <w:t>Provided access to a network of specialist care providers</w:t>
            </w:r>
          </w:p>
          <w:p w14:paraId="0EA29983" w14:textId="77777777" w:rsidR="00F5607B" w:rsidRPr="00483021" w:rsidRDefault="00F5607B" w:rsidP="003E3445">
            <w:pPr>
              <w:pStyle w:val="TableNBullet"/>
            </w:pPr>
            <w:r w:rsidRPr="00D82AB1">
              <w:t>Developed capabilities of RACF staff</w:t>
            </w:r>
            <w:r>
              <w:t xml:space="preserve"> through education</w:t>
            </w:r>
          </w:p>
          <w:p w14:paraId="782F3192" w14:textId="728410A6" w:rsidR="00F5607B" w:rsidRPr="00483021" w:rsidRDefault="00F5607B" w:rsidP="003E3445">
            <w:pPr>
              <w:pStyle w:val="TableNBullet"/>
            </w:pPr>
            <w:r>
              <w:t xml:space="preserve">Increased </w:t>
            </w:r>
            <w:r w:rsidRPr="00483021">
              <w:t>resource utilisation</w:t>
            </w:r>
            <w:r>
              <w:t xml:space="preserve"> through telehealth strategies</w:t>
            </w:r>
            <w:r w:rsidR="00D11AAF">
              <w:t>.</w:t>
            </w:r>
            <w:r>
              <w:t xml:space="preserve"> </w:t>
            </w:r>
          </w:p>
        </w:tc>
        <w:tc>
          <w:tcPr>
            <w:tcW w:w="3402" w:type="dxa"/>
          </w:tcPr>
          <w:p w14:paraId="48349F74" w14:textId="39AB8BD5" w:rsidR="00F5607B" w:rsidRDefault="00F5607B" w:rsidP="00712515">
            <w:pPr>
              <w:pStyle w:val="TableNText"/>
            </w:pPr>
            <w:r>
              <w:t>Internal review</w:t>
            </w:r>
            <w:r w:rsidRPr="00483021">
              <w:t xml:space="preserve"> </w:t>
            </w:r>
            <w:r>
              <w:t>conducted.</w:t>
            </w:r>
          </w:p>
          <w:p w14:paraId="51B2D5B2" w14:textId="631FF8E3" w:rsidR="00F5607B" w:rsidRDefault="00F5607B" w:rsidP="00712515">
            <w:pPr>
              <w:pStyle w:val="TableNText"/>
            </w:pPr>
            <w:r>
              <w:t>Results:</w:t>
            </w:r>
          </w:p>
          <w:p w14:paraId="7DE516DC" w14:textId="15B65826" w:rsidR="00F5607B" w:rsidRPr="00712515" w:rsidRDefault="00F5607B" w:rsidP="00712515">
            <w:pPr>
              <w:pStyle w:val="TableNBullet"/>
            </w:pPr>
            <w:r w:rsidRPr="00712515">
              <w:t>ED presentations reduced by 60%</w:t>
            </w:r>
          </w:p>
          <w:p w14:paraId="59E2A330" w14:textId="7260C037" w:rsidR="00F5607B" w:rsidRPr="00712515" w:rsidRDefault="00F5607B" w:rsidP="00712515">
            <w:pPr>
              <w:pStyle w:val="TableNBullet"/>
            </w:pPr>
            <w:r w:rsidRPr="00712515">
              <w:t xml:space="preserve">Unplanned admissions reduced to approximately 10% </w:t>
            </w:r>
          </w:p>
          <w:p w14:paraId="458D954A" w14:textId="6CE8E7E8" w:rsidR="00F5607B" w:rsidRPr="00483021" w:rsidRDefault="00D11AAF" w:rsidP="00712515">
            <w:pPr>
              <w:pStyle w:val="TableNBullet"/>
            </w:pPr>
            <w:r w:rsidRPr="00712515">
              <w:t>Two-day</w:t>
            </w:r>
            <w:r w:rsidR="00F5607B" w:rsidRPr="00712515">
              <w:t xml:space="preserve"> reduction in LOS for older people.</w:t>
            </w:r>
          </w:p>
        </w:tc>
      </w:tr>
      <w:tr w:rsidR="00446A97" w:rsidRPr="00483021" w14:paraId="320018A9" w14:textId="77777777" w:rsidTr="007C1934">
        <w:tc>
          <w:tcPr>
            <w:tcW w:w="1425" w:type="dxa"/>
          </w:tcPr>
          <w:p w14:paraId="0C247B06" w14:textId="77777777" w:rsidR="00446A97" w:rsidRDefault="00446A97" w:rsidP="005F337E">
            <w:pPr>
              <w:pStyle w:val="TableNText"/>
            </w:pPr>
            <w:r w:rsidRPr="00483021">
              <w:t>St. Vincent’s Health Network’s Palliative Care Nurse Practitioners</w:t>
            </w:r>
            <w:r w:rsidR="00444431" w:rsidRPr="00483021">
              <w:rPr>
                <w:rStyle w:val="FootnoteReference"/>
                <w:rFonts w:cs="Calibri"/>
                <w:sz w:val="16"/>
                <w:szCs w:val="16"/>
              </w:rPr>
              <w:footnoteReference w:id="190"/>
            </w:r>
          </w:p>
          <w:p w14:paraId="506623B4" w14:textId="3C924C02" w:rsidR="00446A97" w:rsidRPr="00F774B1" w:rsidRDefault="00F774B1" w:rsidP="005F337E">
            <w:pPr>
              <w:pStyle w:val="TableNText"/>
              <w:rPr>
                <w:b/>
              </w:rPr>
            </w:pPr>
            <w:r>
              <w:rPr>
                <w:b/>
              </w:rPr>
              <w:t>VIC</w:t>
            </w:r>
          </w:p>
        </w:tc>
        <w:tc>
          <w:tcPr>
            <w:tcW w:w="1365" w:type="dxa"/>
          </w:tcPr>
          <w:p w14:paraId="79749311" w14:textId="77777777" w:rsidR="00446A97" w:rsidRPr="00395C99" w:rsidRDefault="00446A97" w:rsidP="005F337E">
            <w:pPr>
              <w:pStyle w:val="TableNText"/>
            </w:pPr>
            <w:r w:rsidRPr="00395C99">
              <w:t>Shared care</w:t>
            </w:r>
          </w:p>
        </w:tc>
        <w:tc>
          <w:tcPr>
            <w:tcW w:w="2645" w:type="dxa"/>
          </w:tcPr>
          <w:p w14:paraId="083AFBD9" w14:textId="3AE52B51" w:rsidR="00446A97" w:rsidRPr="00395C99" w:rsidRDefault="00446A97" w:rsidP="005F337E">
            <w:pPr>
              <w:pStyle w:val="TableNText"/>
            </w:pPr>
            <w:r w:rsidRPr="00395C99">
              <w:t>A network</w:t>
            </w:r>
            <w:r w:rsidR="003869CD" w:rsidRPr="00395C99">
              <w:t xml:space="preserve"> of acute care </w:t>
            </w:r>
            <w:r w:rsidR="00B82979" w:rsidRPr="00395C99">
              <w:t>facilitie</w:t>
            </w:r>
            <w:r w:rsidR="003869CD" w:rsidRPr="00395C99">
              <w:t>s</w:t>
            </w:r>
            <w:r w:rsidR="00B82979" w:rsidRPr="00395C99">
              <w:t xml:space="preserve"> and specialist palliative care providers that coordinate to deliver palliative care in community and residential aged care facilities.</w:t>
            </w:r>
          </w:p>
        </w:tc>
        <w:tc>
          <w:tcPr>
            <w:tcW w:w="352" w:type="dxa"/>
          </w:tcPr>
          <w:p w14:paraId="59DC734C" w14:textId="77777777" w:rsidR="00446A97" w:rsidRPr="00483021" w:rsidRDefault="00446A97" w:rsidP="00F5607B">
            <w:pPr>
              <w:pStyle w:val="TableNText"/>
            </w:pPr>
          </w:p>
        </w:tc>
        <w:tc>
          <w:tcPr>
            <w:tcW w:w="5071" w:type="dxa"/>
          </w:tcPr>
          <w:p w14:paraId="24EBB51D" w14:textId="3E15A91D" w:rsidR="00050C3D" w:rsidRPr="00483021" w:rsidRDefault="00C55322" w:rsidP="003E3445">
            <w:pPr>
              <w:pStyle w:val="TableNBullet"/>
            </w:pPr>
            <w:r>
              <w:t>Provided</w:t>
            </w:r>
            <w:r w:rsidR="00D56CA3" w:rsidRPr="00483021">
              <w:t xml:space="preserve"> timely provision of appropriate care and support</w:t>
            </w:r>
          </w:p>
          <w:p w14:paraId="34132C98" w14:textId="1563293F" w:rsidR="00E245A6" w:rsidRPr="00483021" w:rsidRDefault="00EA1716" w:rsidP="003E3445">
            <w:pPr>
              <w:pStyle w:val="TableNBullet"/>
            </w:pPr>
            <w:r>
              <w:t>Improved a</w:t>
            </w:r>
            <w:r w:rsidR="00E245A6" w:rsidRPr="00483021">
              <w:t xml:space="preserve">ssessment, </w:t>
            </w:r>
            <w:proofErr w:type="gramStart"/>
            <w:r w:rsidR="00E245A6" w:rsidRPr="00483021">
              <w:t>management</w:t>
            </w:r>
            <w:proofErr w:type="gramEnd"/>
            <w:r w:rsidR="00E245A6" w:rsidRPr="00483021">
              <w:t xml:space="preserve"> and evaluation of patients</w:t>
            </w:r>
          </w:p>
          <w:p w14:paraId="1F3DCC63" w14:textId="1AF25C7F" w:rsidR="00E245A6" w:rsidRPr="00483021" w:rsidRDefault="00EA1716" w:rsidP="003E3445">
            <w:pPr>
              <w:pStyle w:val="TableNBullet"/>
            </w:pPr>
            <w:r>
              <w:t>Prescribed appropriate medications</w:t>
            </w:r>
          </w:p>
          <w:p w14:paraId="24CC0CEF" w14:textId="6187C467" w:rsidR="00E245A6" w:rsidRPr="00483021" w:rsidRDefault="00E245A6" w:rsidP="003E3445">
            <w:pPr>
              <w:pStyle w:val="TableNBullet"/>
            </w:pPr>
            <w:r w:rsidRPr="00483021">
              <w:t>Delive</w:t>
            </w:r>
            <w:r w:rsidR="00EA1716">
              <w:t>red</w:t>
            </w:r>
            <w:r w:rsidRPr="00483021">
              <w:t xml:space="preserve"> personalised care </w:t>
            </w:r>
          </w:p>
          <w:p w14:paraId="4318F521" w14:textId="410950AF" w:rsidR="00E245A6" w:rsidRPr="00483021" w:rsidRDefault="00E245A6" w:rsidP="003E3445">
            <w:pPr>
              <w:pStyle w:val="TableNBullet"/>
            </w:pPr>
            <w:r w:rsidRPr="00483021">
              <w:t>Provid</w:t>
            </w:r>
            <w:r w:rsidR="00EA1716">
              <w:t>ed</w:t>
            </w:r>
            <w:r>
              <w:t xml:space="preserve"> </w:t>
            </w:r>
            <w:r w:rsidRPr="00483021">
              <w:t>continuity of care between hospital and home</w:t>
            </w:r>
          </w:p>
          <w:p w14:paraId="793FFEAD" w14:textId="66F86000" w:rsidR="00446A97" w:rsidRPr="00483021" w:rsidRDefault="00E245A6" w:rsidP="003E3445">
            <w:pPr>
              <w:pStyle w:val="TableNBullet"/>
            </w:pPr>
            <w:r w:rsidRPr="00483021">
              <w:t>Provi</w:t>
            </w:r>
            <w:r w:rsidR="00EA1716">
              <w:t>ded</w:t>
            </w:r>
            <w:r w:rsidRPr="00483021">
              <w:t xml:space="preserve"> advice and support to patients and their loved ones (including care for physical, </w:t>
            </w:r>
            <w:proofErr w:type="gramStart"/>
            <w:r w:rsidRPr="00483021">
              <w:t>psychological</w:t>
            </w:r>
            <w:proofErr w:type="gramEnd"/>
            <w:r w:rsidRPr="00483021">
              <w:t xml:space="preserve"> and spiritual needs).</w:t>
            </w:r>
          </w:p>
        </w:tc>
        <w:tc>
          <w:tcPr>
            <w:tcW w:w="3402" w:type="dxa"/>
          </w:tcPr>
          <w:p w14:paraId="271A2B69" w14:textId="77777777" w:rsidR="00446A97" w:rsidRPr="00483021" w:rsidRDefault="00446A97" w:rsidP="00712515">
            <w:pPr>
              <w:pStyle w:val="TableNText"/>
            </w:pPr>
            <w:r w:rsidRPr="00483021">
              <w:t>No formal evaluation or review identified.</w:t>
            </w:r>
          </w:p>
        </w:tc>
      </w:tr>
      <w:tr w:rsidR="009A77B3" w:rsidRPr="00483021" w14:paraId="7C0B86BC" w14:textId="77777777" w:rsidTr="007C1934">
        <w:tc>
          <w:tcPr>
            <w:tcW w:w="1425" w:type="dxa"/>
          </w:tcPr>
          <w:p w14:paraId="3D858E8A" w14:textId="6BED1550" w:rsidR="00C01359" w:rsidRDefault="00C01359" w:rsidP="005F337E">
            <w:pPr>
              <w:pStyle w:val="TableNText"/>
            </w:pPr>
            <w:r w:rsidRPr="00C01359">
              <w:lastRenderedPageBreak/>
              <w:t>REACH Aged Care in the South (REACH)</w:t>
            </w:r>
            <w:r w:rsidR="00922C44">
              <w:rPr>
                <w:rStyle w:val="FootnoteReference"/>
              </w:rPr>
              <w:footnoteReference w:id="191"/>
            </w:r>
          </w:p>
          <w:p w14:paraId="43EFCD47" w14:textId="3EA43B59" w:rsidR="00C5520B" w:rsidRPr="002C740A" w:rsidRDefault="00C5520B" w:rsidP="005F337E">
            <w:pPr>
              <w:pStyle w:val="TableNText"/>
              <w:rPr>
                <w:b/>
              </w:rPr>
            </w:pPr>
            <w:r w:rsidRPr="002C740A">
              <w:rPr>
                <w:b/>
              </w:rPr>
              <w:t>SA</w:t>
            </w:r>
          </w:p>
        </w:tc>
        <w:tc>
          <w:tcPr>
            <w:tcW w:w="1365" w:type="dxa"/>
          </w:tcPr>
          <w:p w14:paraId="61A2F86E" w14:textId="21C56881" w:rsidR="009A77B3" w:rsidRPr="00395C99" w:rsidRDefault="00D9745B" w:rsidP="005F337E">
            <w:pPr>
              <w:pStyle w:val="TableNText"/>
            </w:pPr>
            <w:r>
              <w:t>Shared care</w:t>
            </w:r>
          </w:p>
        </w:tc>
        <w:tc>
          <w:tcPr>
            <w:tcW w:w="2645" w:type="dxa"/>
          </w:tcPr>
          <w:p w14:paraId="4421736B" w14:textId="19EDBD53" w:rsidR="009A77B3" w:rsidRPr="005B150C" w:rsidRDefault="00166F52" w:rsidP="002C740A">
            <w:pPr>
              <w:rPr>
                <w:szCs w:val="17"/>
              </w:rPr>
            </w:pPr>
            <w:r w:rsidRPr="002C740A">
              <w:rPr>
                <w:sz w:val="17"/>
                <w:szCs w:val="17"/>
              </w:rPr>
              <w:t xml:space="preserve">A program </w:t>
            </w:r>
            <w:r w:rsidR="00FF2FA9" w:rsidRPr="002C740A">
              <w:rPr>
                <w:sz w:val="17"/>
                <w:szCs w:val="17"/>
              </w:rPr>
              <w:t xml:space="preserve">where GPs </w:t>
            </w:r>
            <w:r w:rsidR="00982A3D" w:rsidRPr="002C740A">
              <w:rPr>
                <w:sz w:val="17"/>
                <w:szCs w:val="17"/>
              </w:rPr>
              <w:t xml:space="preserve">worked with facilities to assist </w:t>
            </w:r>
            <w:r w:rsidR="00554F48">
              <w:rPr>
                <w:sz w:val="17"/>
                <w:szCs w:val="17"/>
              </w:rPr>
              <w:t xml:space="preserve">with residents’ urgent needs and ongoing medical services. </w:t>
            </w:r>
          </w:p>
        </w:tc>
        <w:tc>
          <w:tcPr>
            <w:tcW w:w="352" w:type="dxa"/>
          </w:tcPr>
          <w:p w14:paraId="5255B972" w14:textId="77777777" w:rsidR="009A77B3" w:rsidRPr="00483021" w:rsidRDefault="009A77B3" w:rsidP="00F5607B">
            <w:pPr>
              <w:pStyle w:val="TableNText"/>
            </w:pPr>
          </w:p>
        </w:tc>
        <w:tc>
          <w:tcPr>
            <w:tcW w:w="5071" w:type="dxa"/>
          </w:tcPr>
          <w:p w14:paraId="5769CEA5" w14:textId="77777777" w:rsidR="009A77B3" w:rsidRDefault="00A372C5" w:rsidP="003E3445">
            <w:pPr>
              <w:pStyle w:val="TableNBullet"/>
            </w:pPr>
            <w:r>
              <w:t xml:space="preserve">Provided urgent assessment for residents’ whose usual GP was unavailable </w:t>
            </w:r>
          </w:p>
          <w:p w14:paraId="67FC9965" w14:textId="77777777" w:rsidR="00A372C5" w:rsidRDefault="00A372C5" w:rsidP="003E3445">
            <w:pPr>
              <w:pStyle w:val="TableNBullet"/>
            </w:pPr>
            <w:r>
              <w:t xml:space="preserve">Provided ongoing medical services to RACF patients </w:t>
            </w:r>
          </w:p>
          <w:p w14:paraId="01D8F04D" w14:textId="77777777" w:rsidR="00A372C5" w:rsidRDefault="00A372C5" w:rsidP="003E3445">
            <w:pPr>
              <w:pStyle w:val="TableNBullet"/>
            </w:pPr>
            <w:r>
              <w:t xml:space="preserve">Assisted with facilities clinical governance </w:t>
            </w:r>
          </w:p>
          <w:p w14:paraId="3DB821A2" w14:textId="7D0612A4" w:rsidR="00495431" w:rsidRDefault="00495431" w:rsidP="003E3445">
            <w:pPr>
              <w:pStyle w:val="TableNBullet"/>
            </w:pPr>
            <w:r>
              <w:t>Provided education and training and participation in Medical Advisory Committe</w:t>
            </w:r>
            <w:r w:rsidR="008F09EA">
              <w:t>e</w:t>
            </w:r>
          </w:p>
        </w:tc>
        <w:tc>
          <w:tcPr>
            <w:tcW w:w="3402" w:type="dxa"/>
          </w:tcPr>
          <w:p w14:paraId="2E53BD02" w14:textId="5FE897FC" w:rsidR="0075779B" w:rsidRDefault="00381BB2" w:rsidP="00712515">
            <w:pPr>
              <w:pStyle w:val="TableNText"/>
            </w:pPr>
            <w:r>
              <w:t xml:space="preserve">Evaluation </w:t>
            </w:r>
            <w:proofErr w:type="gramStart"/>
            <w:r>
              <w:t>conducted.</w:t>
            </w:r>
            <w:r w:rsidR="00871680">
              <w:t>.</w:t>
            </w:r>
            <w:proofErr w:type="gramEnd"/>
          </w:p>
          <w:p w14:paraId="4ED51208" w14:textId="77777777" w:rsidR="0075779B" w:rsidRDefault="0075779B" w:rsidP="00712515">
            <w:pPr>
              <w:pStyle w:val="TableNText"/>
            </w:pPr>
            <w:r>
              <w:t>Results:</w:t>
            </w:r>
          </w:p>
          <w:p w14:paraId="1D259C44" w14:textId="5563C0D1" w:rsidR="00CC7B37" w:rsidRDefault="00CC7B37" w:rsidP="0075779B">
            <w:pPr>
              <w:pStyle w:val="TableExpBullet0"/>
            </w:pPr>
            <w:r>
              <w:t>111 GPs as practitioners for 750 patients within 6 pilot RACFs</w:t>
            </w:r>
          </w:p>
          <w:p w14:paraId="25116109" w14:textId="368B681B" w:rsidR="0075779B" w:rsidRDefault="007815D2" w:rsidP="0075779B">
            <w:pPr>
              <w:pStyle w:val="TableExpBullet0"/>
            </w:pPr>
            <w:r>
              <w:t>Redu</w:t>
            </w:r>
            <w:r w:rsidR="00501A3B">
              <w:t xml:space="preserve">ction of unnecessary emergency department transfers within the first 12 months </w:t>
            </w:r>
          </w:p>
          <w:p w14:paraId="11146452" w14:textId="1AE71F80" w:rsidR="00501A3B" w:rsidRDefault="00501A3B" w:rsidP="002C740A">
            <w:pPr>
              <w:pStyle w:val="TableExpBullet0"/>
            </w:pPr>
            <w:r>
              <w:t>Inconclusive economic evaluation</w:t>
            </w:r>
          </w:p>
          <w:p w14:paraId="5BEF07CF" w14:textId="19811B6B" w:rsidR="009A77B3" w:rsidRPr="00483021" w:rsidRDefault="00871680" w:rsidP="00712515">
            <w:pPr>
              <w:pStyle w:val="TableNText"/>
            </w:pPr>
            <w:r>
              <w:t xml:space="preserve"> The program was closed in 2014</w:t>
            </w:r>
            <w:r w:rsidR="00536F0D">
              <w:t xml:space="preserve"> because of changes to government funding and subsequent changes to the </w:t>
            </w:r>
            <w:r w:rsidR="003B1219">
              <w:t>REACH</w:t>
            </w:r>
            <w:r w:rsidR="00536F0D">
              <w:t xml:space="preserve"> business model.</w:t>
            </w:r>
          </w:p>
        </w:tc>
      </w:tr>
      <w:tr w:rsidR="00D420A5" w:rsidRPr="00483021" w14:paraId="13357865" w14:textId="77777777" w:rsidTr="007C1934">
        <w:tc>
          <w:tcPr>
            <w:tcW w:w="1425" w:type="dxa"/>
          </w:tcPr>
          <w:p w14:paraId="535F403B" w14:textId="77777777" w:rsidR="00D420A5" w:rsidRDefault="00921541" w:rsidP="005F337E">
            <w:pPr>
              <w:pStyle w:val="TableNText"/>
            </w:pPr>
            <w:r>
              <w:t>BUPA Model of Care</w:t>
            </w:r>
            <w:r w:rsidR="00194DAC">
              <w:rPr>
                <w:rStyle w:val="FootnoteReference"/>
              </w:rPr>
              <w:footnoteReference w:id="192"/>
            </w:r>
          </w:p>
          <w:p w14:paraId="0FCA4814" w14:textId="53E74CF8" w:rsidR="00194DAC" w:rsidRPr="002C740A" w:rsidRDefault="005511B1" w:rsidP="005F337E">
            <w:pPr>
              <w:pStyle w:val="TableNText"/>
              <w:rPr>
                <w:b/>
              </w:rPr>
            </w:pPr>
            <w:r w:rsidRPr="002C740A">
              <w:rPr>
                <w:b/>
              </w:rPr>
              <w:t>Various jurisdictions</w:t>
            </w:r>
          </w:p>
        </w:tc>
        <w:tc>
          <w:tcPr>
            <w:tcW w:w="1365" w:type="dxa"/>
          </w:tcPr>
          <w:p w14:paraId="5E3BEE5F" w14:textId="0A4C14A5" w:rsidR="00D420A5" w:rsidRDefault="00921541" w:rsidP="005F337E">
            <w:pPr>
              <w:pStyle w:val="TableNText"/>
            </w:pPr>
            <w:r>
              <w:t>Integrated care</w:t>
            </w:r>
          </w:p>
        </w:tc>
        <w:tc>
          <w:tcPr>
            <w:tcW w:w="2645" w:type="dxa"/>
          </w:tcPr>
          <w:p w14:paraId="3C349AD0" w14:textId="564BB83A" w:rsidR="00D420A5" w:rsidRPr="00D420A5" w:rsidRDefault="00921541" w:rsidP="00861D3F">
            <w:pPr>
              <w:rPr>
                <w:sz w:val="17"/>
                <w:szCs w:val="17"/>
              </w:rPr>
            </w:pPr>
            <w:r>
              <w:rPr>
                <w:sz w:val="17"/>
                <w:szCs w:val="17"/>
              </w:rPr>
              <w:t>A program wher</w:t>
            </w:r>
            <w:r w:rsidR="00C50DD5">
              <w:rPr>
                <w:sz w:val="17"/>
                <w:szCs w:val="17"/>
              </w:rPr>
              <w:t xml:space="preserve">e GPs </w:t>
            </w:r>
            <w:r w:rsidR="00936482">
              <w:rPr>
                <w:sz w:val="17"/>
                <w:szCs w:val="17"/>
              </w:rPr>
              <w:t>deliver preventative healthcare and immediate medical treatment in residential aged care facilities.</w:t>
            </w:r>
          </w:p>
        </w:tc>
        <w:tc>
          <w:tcPr>
            <w:tcW w:w="352" w:type="dxa"/>
          </w:tcPr>
          <w:p w14:paraId="4923F168" w14:textId="77777777" w:rsidR="00D420A5" w:rsidRPr="00483021" w:rsidRDefault="00D420A5" w:rsidP="00F5607B">
            <w:pPr>
              <w:pStyle w:val="TableNText"/>
            </w:pPr>
          </w:p>
        </w:tc>
        <w:tc>
          <w:tcPr>
            <w:tcW w:w="5071" w:type="dxa"/>
          </w:tcPr>
          <w:p w14:paraId="66162392" w14:textId="2FC6FBC4" w:rsidR="00D420A5" w:rsidRDefault="007D5848" w:rsidP="003E3445">
            <w:pPr>
              <w:pStyle w:val="TableNBullet"/>
            </w:pPr>
            <w:r>
              <w:t xml:space="preserve">Provided individual </w:t>
            </w:r>
            <w:r w:rsidR="007B5552">
              <w:t>services</w:t>
            </w:r>
            <w:r>
              <w:t xml:space="preserve"> in RACFs</w:t>
            </w:r>
            <w:r w:rsidR="005B19C3">
              <w:t>, i</w:t>
            </w:r>
            <w:r w:rsidR="007B5552">
              <w:t>ncluding delivery of palliative care</w:t>
            </w:r>
          </w:p>
          <w:p w14:paraId="02F10671" w14:textId="4A63163A" w:rsidR="007D5848" w:rsidRDefault="007B5552" w:rsidP="003E3445">
            <w:pPr>
              <w:pStyle w:val="TableNBullet"/>
            </w:pPr>
            <w:r>
              <w:t xml:space="preserve">Trained and educated GPs as required </w:t>
            </w:r>
          </w:p>
        </w:tc>
        <w:tc>
          <w:tcPr>
            <w:tcW w:w="3402" w:type="dxa"/>
          </w:tcPr>
          <w:p w14:paraId="52B73A5E" w14:textId="77777777" w:rsidR="00D420A5" w:rsidRDefault="009F626C" w:rsidP="00712515">
            <w:pPr>
              <w:pStyle w:val="TableNText"/>
            </w:pPr>
            <w:r>
              <w:t>Evaluation conducted.</w:t>
            </w:r>
          </w:p>
          <w:p w14:paraId="4A694BB3" w14:textId="77777777" w:rsidR="009F626C" w:rsidRDefault="009F626C" w:rsidP="00712515">
            <w:pPr>
              <w:pStyle w:val="TableNText"/>
            </w:pPr>
            <w:r>
              <w:t>Results:</w:t>
            </w:r>
          </w:p>
          <w:p w14:paraId="752CFBF1" w14:textId="77777777" w:rsidR="009F626C" w:rsidRDefault="000D35F0" w:rsidP="000D35F0">
            <w:pPr>
              <w:pStyle w:val="TableExpBullet0"/>
            </w:pPr>
            <w:r>
              <w:t xml:space="preserve">Unplanned hospital transfers reduced by half </w:t>
            </w:r>
          </w:p>
          <w:p w14:paraId="7390C07D" w14:textId="7505875B" w:rsidR="000D35F0" w:rsidRDefault="000D35F0" w:rsidP="002C740A">
            <w:pPr>
              <w:pStyle w:val="TableExpBullet0"/>
            </w:pPr>
            <w:r>
              <w:t>Initial indications that this approach is saving</w:t>
            </w:r>
            <w:r w:rsidR="00FF5B44">
              <w:t xml:space="preserve"> acute care</w:t>
            </w:r>
            <w:r>
              <w:t xml:space="preserve"> $500,000 per care home annually in unplanned </w:t>
            </w:r>
            <w:r w:rsidR="00FF5B44">
              <w:t>transfers</w:t>
            </w:r>
          </w:p>
        </w:tc>
      </w:tr>
      <w:tr w:rsidR="00446A97" w:rsidRPr="00483021" w14:paraId="0928F526" w14:textId="77777777" w:rsidTr="007C1934">
        <w:tc>
          <w:tcPr>
            <w:tcW w:w="1425" w:type="dxa"/>
            <w:shd w:val="clear" w:color="auto" w:fill="EDEDE8" w:themeFill="accent5"/>
          </w:tcPr>
          <w:p w14:paraId="48BEEA1B" w14:textId="77777777" w:rsidR="00446A97" w:rsidRPr="00483021" w:rsidRDefault="00446A97" w:rsidP="007C1934">
            <w:pPr>
              <w:rPr>
                <w:rFonts w:cs="Calibri"/>
                <w:sz w:val="16"/>
                <w:szCs w:val="16"/>
              </w:rPr>
            </w:pPr>
            <w:r w:rsidRPr="00483021">
              <w:rPr>
                <w:rFonts w:cs="Calibri"/>
                <w:sz w:val="16"/>
                <w:szCs w:val="16"/>
              </w:rPr>
              <w:t>INTERNATIONAL</w:t>
            </w:r>
          </w:p>
        </w:tc>
        <w:tc>
          <w:tcPr>
            <w:tcW w:w="1365" w:type="dxa"/>
            <w:shd w:val="clear" w:color="auto" w:fill="EDEDE8" w:themeFill="accent5"/>
          </w:tcPr>
          <w:p w14:paraId="5F27D810" w14:textId="77777777" w:rsidR="00446A97" w:rsidRPr="00395C99" w:rsidRDefault="00446A97" w:rsidP="007C1934">
            <w:pPr>
              <w:rPr>
                <w:rFonts w:cs="Calibri"/>
                <w:sz w:val="16"/>
                <w:szCs w:val="16"/>
              </w:rPr>
            </w:pPr>
          </w:p>
        </w:tc>
        <w:tc>
          <w:tcPr>
            <w:tcW w:w="2645" w:type="dxa"/>
            <w:shd w:val="clear" w:color="auto" w:fill="EDEDE8" w:themeFill="accent5"/>
          </w:tcPr>
          <w:p w14:paraId="1698B7E1" w14:textId="77777777" w:rsidR="00446A97" w:rsidRPr="00395C99" w:rsidRDefault="00446A97" w:rsidP="00F5607B">
            <w:pPr>
              <w:pStyle w:val="TableNText"/>
            </w:pPr>
          </w:p>
        </w:tc>
        <w:tc>
          <w:tcPr>
            <w:tcW w:w="352" w:type="dxa"/>
            <w:shd w:val="clear" w:color="auto" w:fill="EDEDE8" w:themeFill="accent5"/>
          </w:tcPr>
          <w:p w14:paraId="7BD2F2F3" w14:textId="77777777" w:rsidR="00446A97" w:rsidRPr="00483021" w:rsidRDefault="00446A97" w:rsidP="00F5607B">
            <w:pPr>
              <w:pStyle w:val="TableNText"/>
            </w:pPr>
          </w:p>
        </w:tc>
        <w:tc>
          <w:tcPr>
            <w:tcW w:w="5071" w:type="dxa"/>
            <w:shd w:val="clear" w:color="auto" w:fill="EDEDE8" w:themeFill="accent5"/>
          </w:tcPr>
          <w:p w14:paraId="66BF47AA" w14:textId="77777777" w:rsidR="00446A97" w:rsidRPr="00483021" w:rsidRDefault="00446A97" w:rsidP="00F538C8">
            <w:pPr>
              <w:pStyle w:val="TableNBullet"/>
              <w:numPr>
                <w:ilvl w:val="0"/>
                <w:numId w:val="0"/>
              </w:numPr>
              <w:ind w:left="227"/>
            </w:pPr>
          </w:p>
        </w:tc>
        <w:tc>
          <w:tcPr>
            <w:tcW w:w="3402" w:type="dxa"/>
            <w:shd w:val="clear" w:color="auto" w:fill="EDEDE8" w:themeFill="accent5"/>
          </w:tcPr>
          <w:p w14:paraId="532D3A78" w14:textId="77777777" w:rsidR="00446A97" w:rsidRPr="00483021" w:rsidRDefault="00446A97" w:rsidP="007C1934">
            <w:pPr>
              <w:rPr>
                <w:rFonts w:cs="Calibri"/>
                <w:sz w:val="16"/>
                <w:szCs w:val="16"/>
              </w:rPr>
            </w:pPr>
          </w:p>
        </w:tc>
      </w:tr>
      <w:tr w:rsidR="006D127A" w:rsidRPr="00483021" w14:paraId="06711734" w14:textId="77777777" w:rsidTr="00446A97">
        <w:tc>
          <w:tcPr>
            <w:tcW w:w="1425" w:type="dxa"/>
          </w:tcPr>
          <w:p w14:paraId="03516755" w14:textId="77777777" w:rsidR="006D127A" w:rsidRPr="00483021" w:rsidRDefault="006D127A" w:rsidP="003E3445">
            <w:pPr>
              <w:pStyle w:val="TableNText"/>
              <w:rPr>
                <w:b/>
              </w:rPr>
            </w:pPr>
            <w:r w:rsidRPr="00483021">
              <w:t>Residential Aged Care Integration Program (RACIP)</w:t>
            </w:r>
            <w:r w:rsidRPr="00483021">
              <w:rPr>
                <w:rStyle w:val="FootnoteReference"/>
                <w:rFonts w:cs="Calibri"/>
                <w:sz w:val="16"/>
                <w:szCs w:val="16"/>
              </w:rPr>
              <w:footnoteReference w:id="193"/>
            </w:r>
            <w:r w:rsidRPr="00483021">
              <w:br/>
            </w:r>
            <w:r w:rsidRPr="00483021">
              <w:lastRenderedPageBreak/>
              <w:br/>
            </w:r>
            <w:r w:rsidRPr="00483021">
              <w:rPr>
                <w:b/>
              </w:rPr>
              <w:t>New Zealand</w:t>
            </w:r>
          </w:p>
        </w:tc>
        <w:tc>
          <w:tcPr>
            <w:tcW w:w="1365" w:type="dxa"/>
          </w:tcPr>
          <w:p w14:paraId="64F5E804" w14:textId="43AB2C2C" w:rsidR="006D127A" w:rsidRPr="00395C99" w:rsidRDefault="001D7FFC" w:rsidP="003E3445">
            <w:pPr>
              <w:pStyle w:val="TableNText"/>
            </w:pPr>
            <w:r>
              <w:lastRenderedPageBreak/>
              <w:t>Specialist o</w:t>
            </w:r>
            <w:r w:rsidR="006D127A" w:rsidRPr="00395C99">
              <w:t>utreach service</w:t>
            </w:r>
          </w:p>
        </w:tc>
        <w:tc>
          <w:tcPr>
            <w:tcW w:w="2997" w:type="dxa"/>
            <w:gridSpan w:val="2"/>
          </w:tcPr>
          <w:p w14:paraId="5A30F4D9" w14:textId="29D476D2" w:rsidR="006D127A" w:rsidRPr="00483021" w:rsidRDefault="006D127A" w:rsidP="003E3445">
            <w:pPr>
              <w:pStyle w:val="TableNText"/>
            </w:pPr>
            <w:r w:rsidRPr="00483021">
              <w:t xml:space="preserve">RACIP is a quality improvement intervention to support residential aged care staff and includes on-site support, education, clinical </w:t>
            </w:r>
            <w:proofErr w:type="gramStart"/>
            <w:r w:rsidRPr="00483021">
              <w:t>coaching</w:t>
            </w:r>
            <w:proofErr w:type="gramEnd"/>
            <w:r w:rsidRPr="00483021">
              <w:t xml:space="preserve"> and care coordination provided by </w:t>
            </w:r>
            <w:r w:rsidRPr="00483021">
              <w:lastRenderedPageBreak/>
              <w:t>gerontology nurse specialists</w:t>
            </w:r>
            <w:r w:rsidR="00012192">
              <w:t xml:space="preserve"> </w:t>
            </w:r>
            <w:r w:rsidRPr="00483021">
              <w:t>(GNSs) employed by a large district health board.</w:t>
            </w:r>
          </w:p>
        </w:tc>
        <w:tc>
          <w:tcPr>
            <w:tcW w:w="5071" w:type="dxa"/>
          </w:tcPr>
          <w:p w14:paraId="232E06F2" w14:textId="53A35C8E" w:rsidR="006D127A" w:rsidRPr="00483021" w:rsidRDefault="00EB38B3" w:rsidP="003E3445">
            <w:pPr>
              <w:pStyle w:val="TableNBullet"/>
            </w:pPr>
            <w:r>
              <w:lastRenderedPageBreak/>
              <w:t>Provided e</w:t>
            </w:r>
            <w:r w:rsidR="006D127A" w:rsidRPr="00483021">
              <w:t>ducation and clinical coaching</w:t>
            </w:r>
            <w:r w:rsidR="00012192">
              <w:t xml:space="preserve"> through education sessions and access to gerontology clinical coaching</w:t>
            </w:r>
          </w:p>
          <w:p w14:paraId="0806FA23" w14:textId="0513C3B1" w:rsidR="006D127A" w:rsidRPr="00483021" w:rsidRDefault="00012192" w:rsidP="003E3445">
            <w:pPr>
              <w:pStyle w:val="TableNBullet"/>
            </w:pPr>
            <w:r>
              <w:t xml:space="preserve">Developed a </w:t>
            </w:r>
            <w:r w:rsidR="006D127A" w:rsidRPr="00483021">
              <w:t>collaborative relationship between GN</w:t>
            </w:r>
            <w:r w:rsidR="006E31B0">
              <w:t>Ss</w:t>
            </w:r>
            <w:r w:rsidR="006D127A" w:rsidRPr="00483021">
              <w:t xml:space="preserve"> and facility staff</w:t>
            </w:r>
          </w:p>
          <w:p w14:paraId="138049C3" w14:textId="763A23DF" w:rsidR="006D127A" w:rsidRPr="00483021" w:rsidRDefault="00012192" w:rsidP="003E3445">
            <w:pPr>
              <w:pStyle w:val="TableNBullet"/>
            </w:pPr>
            <w:r>
              <w:lastRenderedPageBreak/>
              <w:t>Established quality initiatives and indicators (e.g. RN Care guides</w:t>
            </w:r>
          </w:p>
          <w:p w14:paraId="6D6A45A5" w14:textId="2D12E641" w:rsidR="006D127A" w:rsidRPr="00483021" w:rsidRDefault="00012192" w:rsidP="003E3445">
            <w:pPr>
              <w:pStyle w:val="TableNBullet"/>
            </w:pPr>
            <w:r>
              <w:t>Improved</w:t>
            </w:r>
            <w:r w:rsidR="006D127A">
              <w:t xml:space="preserve"> c</w:t>
            </w:r>
            <w:r w:rsidR="006D127A" w:rsidRPr="00483021">
              <w:t>are coordination for high-risk residents</w:t>
            </w:r>
          </w:p>
          <w:p w14:paraId="0C2B189B" w14:textId="08DF56ED" w:rsidR="006D127A" w:rsidRPr="00483021" w:rsidRDefault="00012192" w:rsidP="003E3445">
            <w:pPr>
              <w:pStyle w:val="TableNBullet"/>
            </w:pPr>
            <w:r>
              <w:t xml:space="preserve">Provided access to a network of gerontology specialists, e.g. </w:t>
            </w:r>
            <w:r w:rsidR="006D127A" w:rsidRPr="00483021">
              <w:t xml:space="preserve">with secondary care Older Adult Specialists </w:t>
            </w:r>
            <w:r w:rsidR="006D127A">
              <w:t>and</w:t>
            </w:r>
            <w:r w:rsidR="006D127A" w:rsidRPr="00483021">
              <w:t xml:space="preserve"> primary and secondary care services</w:t>
            </w:r>
            <w:r w:rsidR="00307DF9">
              <w:t>.</w:t>
            </w:r>
          </w:p>
        </w:tc>
        <w:tc>
          <w:tcPr>
            <w:tcW w:w="3402" w:type="dxa"/>
          </w:tcPr>
          <w:p w14:paraId="6C5BA256" w14:textId="77777777" w:rsidR="006D127A" w:rsidRPr="00483021" w:rsidRDefault="006D127A" w:rsidP="00712515">
            <w:pPr>
              <w:pStyle w:val="TableNText"/>
            </w:pPr>
            <w:r w:rsidRPr="00483021">
              <w:lastRenderedPageBreak/>
              <w:t>Randomised control trial. Formal evaluation conducted.</w:t>
            </w:r>
          </w:p>
          <w:p w14:paraId="6DDA28FF" w14:textId="50978945" w:rsidR="002D5B22" w:rsidRPr="00483021" w:rsidRDefault="002D5B22" w:rsidP="00712515">
            <w:pPr>
              <w:pStyle w:val="TableNText"/>
            </w:pPr>
            <w:r>
              <w:t>Results:</w:t>
            </w:r>
          </w:p>
          <w:p w14:paraId="126FA7A5" w14:textId="5EB7C3D9" w:rsidR="006D127A" w:rsidRPr="00483021" w:rsidRDefault="006D127A" w:rsidP="00712515">
            <w:pPr>
              <w:pStyle w:val="TableNBullet"/>
            </w:pPr>
            <w:r w:rsidRPr="00483021">
              <w:lastRenderedPageBreak/>
              <w:t>The hospitalization rate after the intervention increased 59% for the comparison group and 16% for the intervention group</w:t>
            </w:r>
            <w:r>
              <w:t xml:space="preserve"> </w:t>
            </w:r>
          </w:p>
          <w:p w14:paraId="607F15B8" w14:textId="653584D1" w:rsidR="006D127A" w:rsidRPr="00483021" w:rsidRDefault="006D127A" w:rsidP="00712515">
            <w:pPr>
              <w:pStyle w:val="TableNBullet"/>
            </w:pPr>
            <w:r w:rsidRPr="00483021">
              <w:t>Significantly lower rate change for those admitted for medical reasons for the intervention group (13% increase)</w:t>
            </w:r>
            <w:r w:rsidR="00465DDE">
              <w:t xml:space="preserve"> </w:t>
            </w:r>
            <w:r w:rsidRPr="00483021">
              <w:t>than the comparison group (69% increase).</w:t>
            </w:r>
          </w:p>
        </w:tc>
      </w:tr>
      <w:tr w:rsidR="006D127A" w:rsidRPr="00483021" w14:paraId="687E9C0B" w14:textId="77777777" w:rsidTr="00446A97">
        <w:tc>
          <w:tcPr>
            <w:tcW w:w="1425" w:type="dxa"/>
          </w:tcPr>
          <w:p w14:paraId="3B93D3D3" w14:textId="77777777" w:rsidR="006D127A" w:rsidRPr="00483021" w:rsidRDefault="006D127A" w:rsidP="003E3445">
            <w:pPr>
              <w:pStyle w:val="TableNText"/>
            </w:pPr>
            <w:r w:rsidRPr="00483021">
              <w:lastRenderedPageBreak/>
              <w:t>Aged Residential Care Health Utilisation Study (ARCHUS)</w:t>
            </w:r>
            <w:r w:rsidRPr="00483021">
              <w:rPr>
                <w:rStyle w:val="FootnoteReference"/>
                <w:rFonts w:cs="Calibri"/>
                <w:sz w:val="16"/>
                <w:szCs w:val="16"/>
              </w:rPr>
              <w:footnoteReference w:id="194"/>
            </w:r>
          </w:p>
          <w:p w14:paraId="31320664" w14:textId="77777777" w:rsidR="006D127A" w:rsidRPr="00483021" w:rsidRDefault="006D127A" w:rsidP="003E3445">
            <w:pPr>
              <w:pStyle w:val="TableNText"/>
              <w:rPr>
                <w:b/>
              </w:rPr>
            </w:pPr>
            <w:r w:rsidRPr="00483021">
              <w:rPr>
                <w:b/>
              </w:rPr>
              <w:t>New Zealand</w:t>
            </w:r>
          </w:p>
        </w:tc>
        <w:tc>
          <w:tcPr>
            <w:tcW w:w="1365" w:type="dxa"/>
          </w:tcPr>
          <w:p w14:paraId="672C01C4" w14:textId="77777777" w:rsidR="006D127A" w:rsidRPr="00483021" w:rsidRDefault="006D127A" w:rsidP="003E3445">
            <w:pPr>
              <w:pStyle w:val="TableNText"/>
            </w:pPr>
            <w:r w:rsidRPr="00483021">
              <w:t>Case management</w:t>
            </w:r>
          </w:p>
        </w:tc>
        <w:tc>
          <w:tcPr>
            <w:tcW w:w="2997" w:type="dxa"/>
            <w:gridSpan w:val="2"/>
          </w:tcPr>
          <w:p w14:paraId="00BF5523" w14:textId="2E708D25" w:rsidR="006D127A" w:rsidRPr="00483021" w:rsidRDefault="006D127A" w:rsidP="003E3445">
            <w:pPr>
              <w:pStyle w:val="TableNText"/>
            </w:pPr>
            <w:r w:rsidRPr="00483021">
              <w:t xml:space="preserve">A complex multi-disciplinary team intervention in long-term care facilities. A </w:t>
            </w:r>
            <w:r w:rsidR="00BA12C5">
              <w:t>GNS</w:t>
            </w:r>
            <w:r w:rsidRPr="00483021">
              <w:t xml:space="preserve"> conducted baseline facility needs assessment and quality indicator benchmarking. A </w:t>
            </w:r>
            <w:proofErr w:type="gramStart"/>
            <w:r w:rsidRPr="00483021">
              <w:t>multi-disciplinary team (MDT) meetings</w:t>
            </w:r>
            <w:proofErr w:type="gramEnd"/>
            <w:r w:rsidRPr="00483021">
              <w:t xml:space="preserve"> were held involving a geriatrician, facility GP, pharmacist, GNS and senior nursing staff.</w:t>
            </w:r>
          </w:p>
        </w:tc>
        <w:tc>
          <w:tcPr>
            <w:tcW w:w="5071" w:type="dxa"/>
          </w:tcPr>
          <w:p w14:paraId="4731E1F4" w14:textId="36458715" w:rsidR="006D127A" w:rsidRPr="00483021" w:rsidRDefault="00EB38B3" w:rsidP="003E3445">
            <w:pPr>
              <w:pStyle w:val="TableNBullet"/>
            </w:pPr>
            <w:r>
              <w:t>I</w:t>
            </w:r>
            <w:r w:rsidR="006D127A" w:rsidRPr="00483021">
              <w:t>mproved integration of RAC</w:t>
            </w:r>
            <w:r w:rsidR="00EF6082">
              <w:t>F</w:t>
            </w:r>
            <w:r w:rsidR="006D127A" w:rsidRPr="00483021">
              <w:t xml:space="preserve"> with geriatricians and with emergency/acute services</w:t>
            </w:r>
          </w:p>
          <w:p w14:paraId="5FB616FF" w14:textId="143D29AB" w:rsidR="006D127A" w:rsidRPr="00483021" w:rsidRDefault="00EB38B3" w:rsidP="003E3445">
            <w:pPr>
              <w:pStyle w:val="TableNBullet"/>
            </w:pPr>
            <w:r>
              <w:t>Educated RACF</w:t>
            </w:r>
            <w:r w:rsidR="006D127A">
              <w:t xml:space="preserve"> staff</w:t>
            </w:r>
            <w:r w:rsidR="006D127A" w:rsidRPr="00483021">
              <w:t xml:space="preserve"> to increase their use of research and current guidelines</w:t>
            </w:r>
          </w:p>
          <w:p w14:paraId="679D1345" w14:textId="245C126A" w:rsidR="006D127A" w:rsidRPr="00483021" w:rsidRDefault="00EB38B3" w:rsidP="003E3445">
            <w:pPr>
              <w:pStyle w:val="TableNBullet"/>
            </w:pPr>
            <w:r>
              <w:t>I</w:t>
            </w:r>
            <w:r w:rsidR="006D127A" w:rsidRPr="00483021">
              <w:t>mproved RAC</w:t>
            </w:r>
            <w:r w:rsidR="00EF6082">
              <w:t>F</w:t>
            </w:r>
            <w:r w:rsidR="006D127A" w:rsidRPr="00483021">
              <w:t xml:space="preserve"> palliative care practices</w:t>
            </w:r>
          </w:p>
          <w:p w14:paraId="0FF927B8" w14:textId="5D62F1BD" w:rsidR="006D127A" w:rsidRPr="00483021" w:rsidRDefault="00EB38B3" w:rsidP="003E3445">
            <w:pPr>
              <w:pStyle w:val="TableNBullet"/>
            </w:pPr>
            <w:r>
              <w:t xml:space="preserve">Provided </w:t>
            </w:r>
            <w:r w:rsidR="006D127A" w:rsidRPr="00483021">
              <w:t>alternative residential aged care models to target care for high risk groups, e.g. those with end-stage dementia</w:t>
            </w:r>
            <w:r w:rsidR="008F19E5">
              <w:t>.</w:t>
            </w:r>
          </w:p>
        </w:tc>
        <w:tc>
          <w:tcPr>
            <w:tcW w:w="3402" w:type="dxa"/>
          </w:tcPr>
          <w:p w14:paraId="647575AA" w14:textId="6155A293" w:rsidR="006D127A" w:rsidRPr="00483021" w:rsidRDefault="002032AB" w:rsidP="00712515">
            <w:pPr>
              <w:pStyle w:val="TableNText"/>
            </w:pPr>
            <w:r>
              <w:t>Formal e</w:t>
            </w:r>
            <w:r w:rsidR="006D127A" w:rsidRPr="00483021">
              <w:t xml:space="preserve">valuation </w:t>
            </w:r>
            <w:r>
              <w:t>conducted.</w:t>
            </w:r>
          </w:p>
          <w:p w14:paraId="292032A0" w14:textId="7E5ABE2A" w:rsidR="002032AB" w:rsidRPr="00483021" w:rsidRDefault="002032AB" w:rsidP="00712515">
            <w:pPr>
              <w:pStyle w:val="TableNText"/>
            </w:pPr>
            <w:r>
              <w:t>Results:</w:t>
            </w:r>
          </w:p>
          <w:p w14:paraId="092FE0F7" w14:textId="77777777" w:rsidR="006D127A" w:rsidRPr="00483021" w:rsidRDefault="006D127A" w:rsidP="00712515">
            <w:pPr>
              <w:pStyle w:val="TableNBullet"/>
            </w:pPr>
            <w:r w:rsidRPr="00483021">
              <w:t>The intervention did not impact overall rates of acute hospitalisations or mortality (previously published)</w:t>
            </w:r>
          </w:p>
          <w:p w14:paraId="0CD60DEB" w14:textId="65A57DD7" w:rsidR="006D127A" w:rsidRPr="00483021" w:rsidRDefault="006D127A" w:rsidP="00712515">
            <w:pPr>
              <w:pStyle w:val="TableNBullet"/>
            </w:pPr>
            <w:r w:rsidRPr="00483021">
              <w:t>Intervention resulted in fewer ‘big five’ admissions with no significant difference in the rate of other acute admissions</w:t>
            </w:r>
          </w:p>
          <w:p w14:paraId="0AE0ADF7" w14:textId="18D99C24" w:rsidR="006D127A" w:rsidRPr="00483021" w:rsidRDefault="006D127A" w:rsidP="00712515">
            <w:pPr>
              <w:pStyle w:val="TableNBullet"/>
            </w:pPr>
            <w:r w:rsidRPr="00483021">
              <w:t>The intervention group were 34.7% less likely to have a ‘big five’ acute admission than controls</w:t>
            </w:r>
            <w:r w:rsidR="00730A87">
              <w:t>.</w:t>
            </w:r>
          </w:p>
        </w:tc>
      </w:tr>
      <w:tr w:rsidR="007752C5" w:rsidRPr="00483021" w14:paraId="6C12878A" w14:textId="77777777" w:rsidTr="00446A97">
        <w:tc>
          <w:tcPr>
            <w:tcW w:w="1425" w:type="dxa"/>
          </w:tcPr>
          <w:p w14:paraId="0D2758EC" w14:textId="77777777" w:rsidR="007752C5" w:rsidRPr="00483021" w:rsidRDefault="007752C5" w:rsidP="003E3445">
            <w:pPr>
              <w:pStyle w:val="TableNText"/>
            </w:pPr>
            <w:r w:rsidRPr="00483021">
              <w:t>Gold Standard Framework (GSF)</w:t>
            </w:r>
            <w:r w:rsidRPr="00483021">
              <w:rPr>
                <w:rStyle w:val="FootnoteReference"/>
                <w:rFonts w:cs="Calibri"/>
                <w:sz w:val="16"/>
                <w:szCs w:val="16"/>
              </w:rPr>
              <w:footnoteReference w:id="195"/>
            </w:r>
          </w:p>
          <w:p w14:paraId="398B0BD5" w14:textId="77777777" w:rsidR="007752C5" w:rsidRPr="00483021" w:rsidRDefault="007752C5" w:rsidP="003E3445">
            <w:pPr>
              <w:pStyle w:val="TableNText"/>
              <w:rPr>
                <w:b/>
              </w:rPr>
            </w:pPr>
            <w:r w:rsidRPr="00483021">
              <w:rPr>
                <w:b/>
              </w:rPr>
              <w:t>United Kingdom</w:t>
            </w:r>
          </w:p>
        </w:tc>
        <w:tc>
          <w:tcPr>
            <w:tcW w:w="1365" w:type="dxa"/>
          </w:tcPr>
          <w:p w14:paraId="2651C9C4" w14:textId="77777777" w:rsidR="007752C5" w:rsidRPr="00395C99" w:rsidRDefault="007752C5" w:rsidP="003E3445">
            <w:pPr>
              <w:pStyle w:val="TableNText"/>
            </w:pPr>
            <w:r w:rsidRPr="00395C99">
              <w:t>Case management</w:t>
            </w:r>
          </w:p>
        </w:tc>
        <w:tc>
          <w:tcPr>
            <w:tcW w:w="2997" w:type="dxa"/>
            <w:gridSpan w:val="2"/>
          </w:tcPr>
          <w:p w14:paraId="280790C1" w14:textId="085DC73B" w:rsidR="007752C5" w:rsidRPr="00483021" w:rsidRDefault="007752C5" w:rsidP="003E3445">
            <w:pPr>
              <w:pStyle w:val="TableNText"/>
            </w:pPr>
            <w:r w:rsidRPr="00483021">
              <w:t xml:space="preserve">A model of end-of-life care, in nursing homes in England. The GSF helps practitioners to identify individuals in need of supportive end-of-life care, to assess their needs, symptoms, </w:t>
            </w:r>
            <w:proofErr w:type="gramStart"/>
            <w:r w:rsidRPr="00483021">
              <w:t>preferences</w:t>
            </w:r>
            <w:proofErr w:type="gramEnd"/>
            <w:r w:rsidRPr="00483021">
              <w:t xml:space="preserve"> and other concerns important to them.</w:t>
            </w:r>
          </w:p>
        </w:tc>
        <w:tc>
          <w:tcPr>
            <w:tcW w:w="5071" w:type="dxa"/>
          </w:tcPr>
          <w:p w14:paraId="4548FFB3" w14:textId="305B1274" w:rsidR="007752C5" w:rsidRPr="00483021" w:rsidRDefault="00EB38B3" w:rsidP="003E3445">
            <w:pPr>
              <w:pStyle w:val="TableNBullet"/>
            </w:pPr>
            <w:r>
              <w:t>Increased</w:t>
            </w:r>
            <w:r w:rsidR="007752C5" w:rsidRPr="00483021">
              <w:t xml:space="preserve"> discussion with residents and families about care towards the end-of-life</w:t>
            </w:r>
          </w:p>
          <w:p w14:paraId="1C8649BA" w14:textId="77777777" w:rsidR="007752C5" w:rsidRPr="00483021" w:rsidRDefault="007752C5" w:rsidP="003E3445">
            <w:pPr>
              <w:pStyle w:val="TableNBullet"/>
            </w:pPr>
            <w:r w:rsidRPr="00483021">
              <w:t>Improved communication with GP out-of-hours services</w:t>
            </w:r>
          </w:p>
          <w:p w14:paraId="66C713EC" w14:textId="51B1EB03" w:rsidR="007752C5" w:rsidRPr="00483021" w:rsidRDefault="007752C5" w:rsidP="003E3445">
            <w:pPr>
              <w:pStyle w:val="TableNBullet"/>
            </w:pPr>
            <w:r w:rsidRPr="00483021">
              <w:t>Introduc</w:t>
            </w:r>
            <w:r w:rsidR="003E3445">
              <w:t>ed</w:t>
            </w:r>
            <w:r w:rsidRPr="00483021">
              <w:t xml:space="preserve"> procedures for anticipatory medication and greater staff confidence in caring for people at the end-of-life</w:t>
            </w:r>
            <w:r w:rsidR="00057366">
              <w:t>.</w:t>
            </w:r>
          </w:p>
        </w:tc>
        <w:tc>
          <w:tcPr>
            <w:tcW w:w="3402" w:type="dxa"/>
          </w:tcPr>
          <w:p w14:paraId="7E543D24" w14:textId="2EAE7DA6" w:rsidR="007752C5" w:rsidRPr="00483021" w:rsidRDefault="00A91631" w:rsidP="00712515">
            <w:pPr>
              <w:pStyle w:val="TableNText"/>
            </w:pPr>
            <w:r>
              <w:t>Formal evaluation conducted.</w:t>
            </w:r>
          </w:p>
          <w:p w14:paraId="4AF75348" w14:textId="35C3A418" w:rsidR="00A91631" w:rsidRPr="00483021" w:rsidRDefault="00A91631" w:rsidP="00712515">
            <w:pPr>
              <w:pStyle w:val="TableNText"/>
            </w:pPr>
            <w:r>
              <w:t>Results:</w:t>
            </w:r>
          </w:p>
          <w:p w14:paraId="00BA8A50" w14:textId="5C43E046" w:rsidR="007752C5" w:rsidRPr="00483021" w:rsidRDefault="007752C5" w:rsidP="00712515">
            <w:pPr>
              <w:pStyle w:val="TableNBullet"/>
            </w:pPr>
            <w:r w:rsidRPr="00483021">
              <w:t>The programme resulted in improved processes for delivering end-of-life care</w:t>
            </w:r>
          </w:p>
          <w:p w14:paraId="0F58D8D6" w14:textId="589A097F" w:rsidR="007752C5" w:rsidRPr="00483021" w:rsidRDefault="007752C5" w:rsidP="00712515">
            <w:pPr>
              <w:pStyle w:val="TableNBullet"/>
            </w:pPr>
            <w:r w:rsidRPr="00483021">
              <w:t xml:space="preserve">At follow-up, there were significant changes in the proportions of homes </w:t>
            </w:r>
            <w:r w:rsidRPr="00483021">
              <w:lastRenderedPageBreak/>
              <w:t xml:space="preserve">that had systems for identifying residents in need of end-of-life care, had care </w:t>
            </w:r>
            <w:proofErr w:type="gramStart"/>
            <w:r w:rsidRPr="00483021">
              <w:t>coordinators</w:t>
            </w:r>
            <w:proofErr w:type="gramEnd"/>
            <w:r w:rsidRPr="00483021">
              <w:t xml:space="preserve"> and were</w:t>
            </w:r>
            <w:r w:rsidR="00E646B6" w:rsidRPr="00483021">
              <w:t xml:space="preserve"> </w:t>
            </w:r>
            <w:r w:rsidRPr="00483021">
              <w:t>routinely undertaking advance care planning</w:t>
            </w:r>
          </w:p>
          <w:p w14:paraId="5E833EF1" w14:textId="286B3D28" w:rsidR="007752C5" w:rsidRPr="00483021" w:rsidRDefault="007752C5" w:rsidP="00712515">
            <w:pPr>
              <w:pStyle w:val="TableNBullet"/>
            </w:pPr>
            <w:r w:rsidRPr="00483021">
              <w:t>Minimal change in the proportion of homes undertaking discussions about preferred place of care, however these were high at baseline.</w:t>
            </w:r>
          </w:p>
        </w:tc>
      </w:tr>
      <w:tr w:rsidR="001D7FFC" w:rsidRPr="00483021" w14:paraId="5EAAED09" w14:textId="77777777" w:rsidTr="00446A97">
        <w:tc>
          <w:tcPr>
            <w:tcW w:w="1425" w:type="dxa"/>
          </w:tcPr>
          <w:p w14:paraId="1DE6B584" w14:textId="77777777" w:rsidR="001D7FFC" w:rsidRPr="00483021" w:rsidRDefault="001D7FFC" w:rsidP="003E3445">
            <w:pPr>
              <w:pStyle w:val="TableNText"/>
              <w:rPr>
                <w:b/>
              </w:rPr>
            </w:pPr>
            <w:r w:rsidRPr="00483021">
              <w:lastRenderedPageBreak/>
              <w:t>The Supportive and Palliative Care Indicators Tool (SPICT)</w:t>
            </w:r>
            <w:r w:rsidRPr="00483021">
              <w:rPr>
                <w:rStyle w:val="FootnoteReference"/>
                <w:rFonts w:cs="Calibri"/>
                <w:sz w:val="16"/>
                <w:szCs w:val="16"/>
              </w:rPr>
              <w:footnoteReference w:id="196"/>
            </w:r>
            <w:r w:rsidRPr="00483021">
              <w:br/>
            </w:r>
            <w:r w:rsidRPr="00483021">
              <w:br/>
            </w:r>
            <w:r w:rsidRPr="00483021">
              <w:rPr>
                <w:b/>
              </w:rPr>
              <w:t>United Kingdom</w:t>
            </w:r>
          </w:p>
        </w:tc>
        <w:tc>
          <w:tcPr>
            <w:tcW w:w="1365" w:type="dxa"/>
          </w:tcPr>
          <w:p w14:paraId="36CE5083" w14:textId="06859AB7" w:rsidR="001D7FFC" w:rsidRPr="00395C99" w:rsidRDefault="00BE7ABB" w:rsidP="003E3445">
            <w:pPr>
              <w:pStyle w:val="TableNText"/>
            </w:pPr>
            <w:r>
              <w:t xml:space="preserve">Capability </w:t>
            </w:r>
            <w:r w:rsidR="00445BDC">
              <w:t>building</w:t>
            </w:r>
          </w:p>
        </w:tc>
        <w:tc>
          <w:tcPr>
            <w:tcW w:w="2997" w:type="dxa"/>
            <w:gridSpan w:val="2"/>
          </w:tcPr>
          <w:p w14:paraId="4E280FF0" w14:textId="6604B696" w:rsidR="001D7FFC" w:rsidRPr="00DA15FF" w:rsidRDefault="001D7FFC" w:rsidP="003E3445">
            <w:pPr>
              <w:pStyle w:val="TableNText"/>
            </w:pPr>
            <w:r w:rsidRPr="00DA15FF">
              <w:t>SPICT is designed to provide practical, evidence-informed guidance to help clinicians working in primary and secondary care recognise when their patients might be at risk of dying and likely to benefit from supportive and palliative care in parallel with appropriate ongoing management of their advanced conditions</w:t>
            </w:r>
            <w:r w:rsidR="00DA15FF" w:rsidRPr="00DA15FF">
              <w:t>.</w:t>
            </w:r>
          </w:p>
        </w:tc>
        <w:tc>
          <w:tcPr>
            <w:tcW w:w="5071" w:type="dxa"/>
          </w:tcPr>
          <w:p w14:paraId="71F85016" w14:textId="7E49CAA5" w:rsidR="001D7FFC" w:rsidRPr="00483021" w:rsidRDefault="005C6A68" w:rsidP="003E3445">
            <w:pPr>
              <w:pStyle w:val="TableNBullet"/>
            </w:pPr>
            <w:r>
              <w:t>Identified</w:t>
            </w:r>
            <w:r w:rsidR="001D7FFC" w:rsidRPr="00483021">
              <w:t xml:space="preserve"> patients with multiple unmet needs who would benefit from needs assessment</w:t>
            </w:r>
            <w:r w:rsidR="00EF6082">
              <w:t xml:space="preserve"> and advance care planning</w:t>
            </w:r>
          </w:p>
          <w:p w14:paraId="5E255D64" w14:textId="6FF02595" w:rsidR="001D7FFC" w:rsidRPr="00483021" w:rsidRDefault="005C6A68" w:rsidP="003E3445">
            <w:pPr>
              <w:pStyle w:val="TableNBullet"/>
            </w:pPr>
            <w:r>
              <w:t>Provided</w:t>
            </w:r>
            <w:r w:rsidR="001D7FFC" w:rsidRPr="00483021">
              <w:t xml:space="preserve"> clear indicators which clinicians can use to initiate conversations with patients and families </w:t>
            </w:r>
          </w:p>
          <w:p w14:paraId="5A7CB9D7" w14:textId="2EFAF059" w:rsidR="001D7FFC" w:rsidRPr="00483021" w:rsidRDefault="005C6A68" w:rsidP="003E3445">
            <w:pPr>
              <w:pStyle w:val="TableNBullet"/>
            </w:pPr>
            <w:r>
              <w:t>Promoted</w:t>
            </w:r>
            <w:r w:rsidR="001D7FFC" w:rsidRPr="00483021">
              <w:t xml:space="preserve"> effective communication and coordination between primary and secondary care teams</w:t>
            </w:r>
            <w:r w:rsidR="00F74F84">
              <w:t>.</w:t>
            </w:r>
          </w:p>
        </w:tc>
        <w:tc>
          <w:tcPr>
            <w:tcW w:w="3402" w:type="dxa"/>
          </w:tcPr>
          <w:p w14:paraId="696F0678" w14:textId="77777777" w:rsidR="00A91631" w:rsidRDefault="00A91631" w:rsidP="00B75F5E">
            <w:pPr>
              <w:pStyle w:val="TableNText"/>
            </w:pPr>
            <w:r>
              <w:t>Formal evaluation conducted.</w:t>
            </w:r>
          </w:p>
          <w:p w14:paraId="63580C33" w14:textId="77777777" w:rsidR="00A91631" w:rsidRPr="00483021" w:rsidRDefault="00A91631" w:rsidP="00B75F5E">
            <w:pPr>
              <w:pStyle w:val="TableNText"/>
            </w:pPr>
            <w:r>
              <w:t>Results:</w:t>
            </w:r>
          </w:p>
          <w:p w14:paraId="553085B6" w14:textId="51C2AFC5" w:rsidR="001D7FFC" w:rsidRPr="00483021" w:rsidRDefault="001D7FFC" w:rsidP="00B75F5E">
            <w:pPr>
              <w:pStyle w:val="TableNBullet"/>
            </w:pPr>
            <w:r w:rsidRPr="00483021">
              <w:t xml:space="preserve">Patients who died had significantly more unplanned admissions, persistent </w:t>
            </w:r>
            <w:proofErr w:type="gramStart"/>
            <w:r w:rsidRPr="00483021">
              <w:t>symptoms</w:t>
            </w:r>
            <w:proofErr w:type="gramEnd"/>
            <w:r w:rsidRPr="00483021">
              <w:t xml:space="preserve"> and increased care needs</w:t>
            </w:r>
          </w:p>
          <w:p w14:paraId="418677B3" w14:textId="77777777" w:rsidR="001D7FFC" w:rsidRPr="00483021" w:rsidRDefault="001D7FFC" w:rsidP="00B75F5E">
            <w:pPr>
              <w:pStyle w:val="TableNBullet"/>
            </w:pPr>
            <w:r w:rsidRPr="00483021">
              <w:t>By 12 months, 62 (48%) of the identified patients had died. 69% of them died in hospital, having spent 22% of their last 6 months there.</w:t>
            </w:r>
          </w:p>
        </w:tc>
      </w:tr>
      <w:tr w:rsidR="001D7FFC" w:rsidRPr="00483021" w14:paraId="61A9185F" w14:textId="77777777" w:rsidTr="002340DE">
        <w:tc>
          <w:tcPr>
            <w:tcW w:w="1425" w:type="dxa"/>
          </w:tcPr>
          <w:p w14:paraId="54068706" w14:textId="0011C678" w:rsidR="001D7FFC" w:rsidRPr="00483021" w:rsidRDefault="001D7FFC" w:rsidP="003E3445">
            <w:pPr>
              <w:pStyle w:val="TableNText"/>
            </w:pPr>
            <w:r w:rsidRPr="00483021">
              <w:t>Palliative Care Mobile Unit</w:t>
            </w:r>
            <w:r w:rsidRPr="00483021">
              <w:rPr>
                <w:rStyle w:val="FootnoteReference"/>
                <w:rFonts w:cs="Calibri"/>
                <w:sz w:val="16"/>
                <w:szCs w:val="16"/>
              </w:rPr>
              <w:footnoteReference w:id="197"/>
            </w:r>
          </w:p>
          <w:p w14:paraId="50601EAA" w14:textId="4EB1CD4D" w:rsidR="001D7FFC" w:rsidRPr="00483021" w:rsidRDefault="001D7FFC" w:rsidP="003E3445">
            <w:pPr>
              <w:pStyle w:val="TableNText"/>
              <w:rPr>
                <w:b/>
              </w:rPr>
            </w:pPr>
            <w:r w:rsidRPr="00483021">
              <w:rPr>
                <w:b/>
              </w:rPr>
              <w:t xml:space="preserve">Canada </w:t>
            </w:r>
          </w:p>
        </w:tc>
        <w:tc>
          <w:tcPr>
            <w:tcW w:w="1365" w:type="dxa"/>
          </w:tcPr>
          <w:p w14:paraId="12852F69" w14:textId="32031FEE" w:rsidR="001D7FFC" w:rsidRPr="00395C99" w:rsidRDefault="001D7FFC" w:rsidP="003E3445">
            <w:pPr>
              <w:pStyle w:val="TableNText"/>
            </w:pPr>
            <w:r w:rsidRPr="00395C99">
              <w:t>Specialist in-reach services</w:t>
            </w:r>
          </w:p>
        </w:tc>
        <w:tc>
          <w:tcPr>
            <w:tcW w:w="2997" w:type="dxa"/>
            <w:gridSpan w:val="2"/>
          </w:tcPr>
          <w:p w14:paraId="1CB379E0" w14:textId="3E0AB7D9" w:rsidR="001D7FFC" w:rsidRPr="00DA15FF" w:rsidRDefault="001D7FFC" w:rsidP="003E3445">
            <w:pPr>
              <w:pStyle w:val="TableNText"/>
            </w:pPr>
            <w:r w:rsidRPr="00DA15FF">
              <w:t>A palliative care mobile unit to provide care to residents at end of life.</w:t>
            </w:r>
            <w:r w:rsidR="00781F48" w:rsidRPr="00DA15FF">
              <w:t xml:space="preserve"> Unit contained palliative care specialists (GP and/or Nurse) to identify palliative care needs at the residential facility.</w:t>
            </w:r>
          </w:p>
        </w:tc>
        <w:tc>
          <w:tcPr>
            <w:tcW w:w="5071" w:type="dxa"/>
          </w:tcPr>
          <w:p w14:paraId="79BA5FDD" w14:textId="1EC9252A" w:rsidR="001D7FFC" w:rsidRPr="00483021" w:rsidRDefault="005C6A68" w:rsidP="003E3445">
            <w:pPr>
              <w:pStyle w:val="TableNBullet"/>
            </w:pPr>
            <w:r>
              <w:t>F</w:t>
            </w:r>
            <w:r w:rsidR="001D7FFC" w:rsidRPr="00483021">
              <w:t xml:space="preserve">amilies and medical teams </w:t>
            </w:r>
            <w:r>
              <w:t xml:space="preserve">supported </w:t>
            </w:r>
            <w:r w:rsidR="001D7FFC" w:rsidRPr="00483021">
              <w:t xml:space="preserve">to manage end-of-life symptoms and psychological suffering </w:t>
            </w:r>
          </w:p>
          <w:p w14:paraId="2C574804" w14:textId="469A5C8F" w:rsidR="001D7FFC" w:rsidRPr="00483021" w:rsidRDefault="005C6A68" w:rsidP="003E3445">
            <w:pPr>
              <w:pStyle w:val="TableNBullet"/>
            </w:pPr>
            <w:r>
              <w:t>Avoid</w:t>
            </w:r>
            <w:r w:rsidR="003E3445">
              <w:t>ed</w:t>
            </w:r>
            <w:r w:rsidR="001D7FFC" w:rsidRPr="00483021">
              <w:t xml:space="preserve"> unnecessary hospitalizations</w:t>
            </w:r>
            <w:r w:rsidR="009D2489">
              <w:t>.</w:t>
            </w:r>
          </w:p>
        </w:tc>
        <w:tc>
          <w:tcPr>
            <w:tcW w:w="3402" w:type="dxa"/>
          </w:tcPr>
          <w:p w14:paraId="2B72796D" w14:textId="22BF121F" w:rsidR="001D7FFC" w:rsidRPr="00483021" w:rsidRDefault="001D7FFC" w:rsidP="00B75F5E">
            <w:pPr>
              <w:pStyle w:val="TableNText"/>
            </w:pPr>
            <w:r w:rsidRPr="00483021">
              <w:t>No formal evaluation or review identified.</w:t>
            </w:r>
          </w:p>
        </w:tc>
      </w:tr>
      <w:tr w:rsidR="00CF0ABB" w:rsidRPr="00483021" w14:paraId="64CC9736" w14:textId="77777777" w:rsidTr="002340DE">
        <w:tc>
          <w:tcPr>
            <w:tcW w:w="1425" w:type="dxa"/>
          </w:tcPr>
          <w:p w14:paraId="1F0CC3BA" w14:textId="117A3BA3" w:rsidR="00CF0ABB" w:rsidRPr="00483021" w:rsidRDefault="00FB75ED" w:rsidP="003E3445">
            <w:pPr>
              <w:pStyle w:val="TableNText"/>
            </w:pPr>
            <w:r w:rsidRPr="00483021">
              <w:lastRenderedPageBreak/>
              <w:t>Palliative Care Leadership Teams</w:t>
            </w:r>
            <w:r w:rsidR="00B86533" w:rsidRPr="00483021">
              <w:t xml:space="preserve"> (PCLT)</w:t>
            </w:r>
            <w:r w:rsidR="00151A6A" w:rsidRPr="00483021">
              <w:rPr>
                <w:rStyle w:val="FootnoteReference"/>
                <w:rFonts w:cs="Calibri"/>
                <w:sz w:val="16"/>
                <w:szCs w:val="16"/>
              </w:rPr>
              <w:footnoteReference w:id="198"/>
            </w:r>
          </w:p>
          <w:p w14:paraId="14B6FBC6" w14:textId="5A4B9D73" w:rsidR="00FB75ED" w:rsidRPr="00483021" w:rsidRDefault="00FB75ED" w:rsidP="003E3445">
            <w:pPr>
              <w:pStyle w:val="TableNText"/>
              <w:rPr>
                <w:b/>
              </w:rPr>
            </w:pPr>
            <w:r w:rsidRPr="00483021">
              <w:rPr>
                <w:b/>
              </w:rPr>
              <w:t>United States</w:t>
            </w:r>
          </w:p>
        </w:tc>
        <w:tc>
          <w:tcPr>
            <w:tcW w:w="1365" w:type="dxa"/>
          </w:tcPr>
          <w:p w14:paraId="4AE59FCA" w14:textId="679FAFB2" w:rsidR="00CF0ABB" w:rsidRPr="00395C99" w:rsidRDefault="00AC2182" w:rsidP="003E3445">
            <w:pPr>
              <w:pStyle w:val="TableNText"/>
            </w:pPr>
            <w:r>
              <w:t>Capability building</w:t>
            </w:r>
          </w:p>
        </w:tc>
        <w:tc>
          <w:tcPr>
            <w:tcW w:w="2997" w:type="dxa"/>
            <w:gridSpan w:val="2"/>
          </w:tcPr>
          <w:p w14:paraId="662FDF73" w14:textId="1C2D588A" w:rsidR="00CF0ABB" w:rsidRPr="00DA15FF" w:rsidRDefault="00B86533" w:rsidP="003E3445">
            <w:pPr>
              <w:pStyle w:val="TableNText"/>
            </w:pPr>
            <w:r w:rsidRPr="00DA15FF">
              <w:t>PCLT included recruitment and training of Palliative Care Leadership Teams in each facility, followed by six technical assistance meetings for team members. Hospice providers delivered six educational sessions for all nursing home staff using a structured curriculum.</w:t>
            </w:r>
          </w:p>
        </w:tc>
        <w:tc>
          <w:tcPr>
            <w:tcW w:w="5071" w:type="dxa"/>
          </w:tcPr>
          <w:p w14:paraId="09856E41" w14:textId="77777777" w:rsidR="00AE4B31" w:rsidRPr="00483021" w:rsidRDefault="00DE5433" w:rsidP="003E3445">
            <w:pPr>
              <w:pStyle w:val="TableNBullet"/>
            </w:pPr>
            <w:r w:rsidRPr="00483021">
              <w:t xml:space="preserve">Increased hospice </w:t>
            </w:r>
            <w:r w:rsidR="00AE4B31" w:rsidRPr="00483021">
              <w:t>enrolment</w:t>
            </w:r>
          </w:p>
          <w:p w14:paraId="46B777A0" w14:textId="77777777" w:rsidR="00AE4B31" w:rsidRPr="00483021" w:rsidRDefault="00AE4B31" w:rsidP="003E3445">
            <w:pPr>
              <w:pStyle w:val="TableNBullet"/>
            </w:pPr>
            <w:r w:rsidRPr="00483021">
              <w:t xml:space="preserve">Improved </w:t>
            </w:r>
            <w:r w:rsidR="00DE5433" w:rsidRPr="00483021">
              <w:t>pain assessment</w:t>
            </w:r>
            <w:r w:rsidRPr="00483021">
              <w:t xml:space="preserve"> and</w:t>
            </w:r>
            <w:r w:rsidR="00DE5433" w:rsidRPr="00483021">
              <w:t xml:space="preserve"> nonpharmacologic pain treatment</w:t>
            </w:r>
          </w:p>
          <w:p w14:paraId="559C1B2A" w14:textId="341FF68D" w:rsidR="00CF0ABB" w:rsidRPr="00483021" w:rsidRDefault="00AE4B31" w:rsidP="003E3445">
            <w:pPr>
              <w:pStyle w:val="TableNBullet"/>
            </w:pPr>
            <w:r w:rsidRPr="00483021">
              <w:t>Increased</w:t>
            </w:r>
            <w:r w:rsidR="00DE5433" w:rsidRPr="00483021">
              <w:t xml:space="preserve"> advance care planning discussions.</w:t>
            </w:r>
          </w:p>
        </w:tc>
        <w:tc>
          <w:tcPr>
            <w:tcW w:w="3402" w:type="dxa"/>
          </w:tcPr>
          <w:p w14:paraId="60CAF2AC" w14:textId="6066438B" w:rsidR="00CF0ABB" w:rsidRPr="00483021" w:rsidRDefault="00F65819" w:rsidP="00B75F5E">
            <w:pPr>
              <w:pStyle w:val="TableNText"/>
            </w:pPr>
            <w:r w:rsidRPr="00483021">
              <w:t>No formal evaluation or review identified.</w:t>
            </w:r>
          </w:p>
        </w:tc>
      </w:tr>
      <w:tr w:rsidR="00F65819" w:rsidRPr="00483021" w14:paraId="02ED3065" w14:textId="77777777" w:rsidTr="002340DE">
        <w:tc>
          <w:tcPr>
            <w:tcW w:w="1425" w:type="dxa"/>
          </w:tcPr>
          <w:p w14:paraId="28B7E928" w14:textId="7E31D342" w:rsidR="00F65819" w:rsidRPr="00483021" w:rsidRDefault="00011B8A" w:rsidP="003E3445">
            <w:pPr>
              <w:pStyle w:val="TableNText"/>
            </w:pPr>
            <w:r w:rsidRPr="00483021">
              <w:t>Social workers to enhance advance care planning</w:t>
            </w:r>
            <w:r w:rsidRPr="00483021">
              <w:rPr>
                <w:rStyle w:val="FootnoteReference"/>
                <w:rFonts w:cs="Calibri"/>
                <w:sz w:val="16"/>
                <w:szCs w:val="16"/>
              </w:rPr>
              <w:footnoteReference w:id="199"/>
            </w:r>
          </w:p>
          <w:p w14:paraId="3129B4D5" w14:textId="2CF99765" w:rsidR="00011B8A" w:rsidRPr="00483021" w:rsidRDefault="00011B8A" w:rsidP="003E3445">
            <w:pPr>
              <w:pStyle w:val="TableNText"/>
              <w:rPr>
                <w:b/>
              </w:rPr>
            </w:pPr>
            <w:r w:rsidRPr="00483021">
              <w:rPr>
                <w:b/>
              </w:rPr>
              <w:t>United States</w:t>
            </w:r>
          </w:p>
        </w:tc>
        <w:tc>
          <w:tcPr>
            <w:tcW w:w="1365" w:type="dxa"/>
          </w:tcPr>
          <w:p w14:paraId="280B2CAB" w14:textId="60A58465" w:rsidR="00F65819" w:rsidRDefault="0083030F" w:rsidP="003E3445">
            <w:pPr>
              <w:pStyle w:val="TableNText"/>
            </w:pPr>
            <w:r>
              <w:t>Specialist in-reach services</w:t>
            </w:r>
          </w:p>
        </w:tc>
        <w:tc>
          <w:tcPr>
            <w:tcW w:w="2997" w:type="dxa"/>
            <w:gridSpan w:val="2"/>
          </w:tcPr>
          <w:p w14:paraId="2CF76955" w14:textId="47BF57AA" w:rsidR="002916A7" w:rsidRPr="00483021" w:rsidRDefault="0083030F" w:rsidP="003E3445">
            <w:pPr>
              <w:pStyle w:val="TableNText"/>
            </w:pPr>
            <w:r w:rsidRPr="00483021">
              <w:t>Nursing home social workers were given a baseline education in advance care planning that incorporated small-group workshops and role play/practice sessions for intervention social workers</w:t>
            </w:r>
            <w:r w:rsidR="002916A7" w:rsidRPr="00483021">
              <w:t xml:space="preserve">. Social workers than continued care planning with residents of nursing homes, discussing goals of care at team meetings and </w:t>
            </w:r>
            <w:r w:rsidRPr="00483021">
              <w:t>‘‘flagg</w:t>
            </w:r>
            <w:r w:rsidR="002916A7" w:rsidRPr="00483021">
              <w:t>ed</w:t>
            </w:r>
            <w:r w:rsidRPr="00483021">
              <w:t>’’ advance directives on nursing home charts</w:t>
            </w:r>
            <w:r w:rsidR="002916A7" w:rsidRPr="00483021">
              <w:t>.</w:t>
            </w:r>
          </w:p>
          <w:p w14:paraId="4FBD5511" w14:textId="2262F3E6" w:rsidR="00F65819" w:rsidRPr="00483021" w:rsidRDefault="00F65819" w:rsidP="003E3445">
            <w:pPr>
              <w:pStyle w:val="TableNText"/>
            </w:pPr>
          </w:p>
        </w:tc>
        <w:tc>
          <w:tcPr>
            <w:tcW w:w="5071" w:type="dxa"/>
          </w:tcPr>
          <w:p w14:paraId="6B77FC54" w14:textId="4864C149" w:rsidR="00F65819" w:rsidRPr="00483021" w:rsidRDefault="00CE503E" w:rsidP="003E3445">
            <w:pPr>
              <w:pStyle w:val="TableNBullet"/>
            </w:pPr>
            <w:r w:rsidRPr="00483021">
              <w:t xml:space="preserve">Improved </w:t>
            </w:r>
            <w:r w:rsidR="000D68F1" w:rsidRPr="00483021">
              <w:t xml:space="preserve">documentation of and </w:t>
            </w:r>
            <w:r w:rsidR="00CD44B3" w:rsidRPr="00483021">
              <w:t>adherence to</w:t>
            </w:r>
            <w:r w:rsidR="00CB6BE2" w:rsidRPr="00483021">
              <w:t xml:space="preserve"> residents’</w:t>
            </w:r>
            <w:r w:rsidR="00CD44B3" w:rsidRPr="00483021">
              <w:t xml:space="preserve"> preferred </w:t>
            </w:r>
            <w:r w:rsidR="00FA4B25" w:rsidRPr="00483021">
              <w:t>resuscitation</w:t>
            </w:r>
            <w:r w:rsidR="00CD44B3" w:rsidRPr="00483021">
              <w:t xml:space="preserve"> orders and other medical interventions </w:t>
            </w:r>
          </w:p>
          <w:p w14:paraId="2D7548D1" w14:textId="399D9347" w:rsidR="000D68F1" w:rsidRPr="00483021" w:rsidRDefault="00E5308F" w:rsidP="003E3445">
            <w:pPr>
              <w:pStyle w:val="TableNBullet"/>
            </w:pPr>
            <w:r>
              <w:t>Provided i</w:t>
            </w:r>
            <w:r w:rsidR="00FA4B25" w:rsidRPr="00483021">
              <w:t xml:space="preserve">ndirect capability uplift of nursing home staff </w:t>
            </w:r>
            <w:r w:rsidR="007B6D96" w:rsidRPr="00483021">
              <w:t xml:space="preserve">to </w:t>
            </w:r>
            <w:r w:rsidR="009F40D9" w:rsidRPr="00483021">
              <w:t xml:space="preserve">end-of-life needs (e.g. </w:t>
            </w:r>
            <w:r w:rsidR="00C36B2A" w:rsidRPr="00483021">
              <w:t>advance care planning) during team</w:t>
            </w:r>
            <w:r w:rsidR="00FA4B25" w:rsidRPr="00483021">
              <w:t xml:space="preserve"> meeting</w:t>
            </w:r>
            <w:r w:rsidR="00A7508B">
              <w:t>s</w:t>
            </w:r>
            <w:r w:rsidR="00E47AD9">
              <w:t>.</w:t>
            </w:r>
          </w:p>
        </w:tc>
        <w:tc>
          <w:tcPr>
            <w:tcW w:w="3402" w:type="dxa"/>
          </w:tcPr>
          <w:p w14:paraId="7177973B" w14:textId="69233281" w:rsidR="00A91631" w:rsidRDefault="006A4EE5" w:rsidP="00B75F5E">
            <w:pPr>
              <w:pStyle w:val="TableNText"/>
            </w:pPr>
            <w:r w:rsidRPr="00483021">
              <w:t xml:space="preserve">Randomised controlled trial </w:t>
            </w:r>
            <w:r w:rsidR="00A91631">
              <w:t>design. Internal review conducted.</w:t>
            </w:r>
          </w:p>
          <w:p w14:paraId="33CEBE2B" w14:textId="76F772F2" w:rsidR="00F65819" w:rsidRPr="00483021" w:rsidRDefault="00A91631" w:rsidP="00B75F5E">
            <w:pPr>
              <w:pStyle w:val="TableNText"/>
            </w:pPr>
            <w:r>
              <w:t>Results</w:t>
            </w:r>
            <w:r w:rsidR="006A4EE5" w:rsidRPr="00483021">
              <w:t>:</w:t>
            </w:r>
          </w:p>
          <w:p w14:paraId="543C961C" w14:textId="2F1B2AEB" w:rsidR="007C1934" w:rsidRPr="00B75F5E" w:rsidRDefault="007C1934" w:rsidP="00B75F5E">
            <w:pPr>
              <w:pStyle w:val="TableNBullet"/>
            </w:pPr>
            <w:r w:rsidRPr="00B75F5E">
              <w:t xml:space="preserve">Intervention </w:t>
            </w:r>
            <w:r w:rsidR="00400414" w:rsidRPr="00B75F5E">
              <w:t xml:space="preserve">residents </w:t>
            </w:r>
            <w:r w:rsidRPr="00B75F5E">
              <w:t>more likely than the</w:t>
            </w:r>
            <w:r w:rsidR="00400414" w:rsidRPr="00B75F5E">
              <w:t xml:space="preserve"> control group to have their preferences</w:t>
            </w:r>
            <w:r w:rsidRPr="00B75F5E">
              <w:t xml:space="preserve"> </w:t>
            </w:r>
            <w:r w:rsidR="00400414" w:rsidRPr="00B75F5E">
              <w:t>regarding cardiopulmonary resuscitation (40% vs</w:t>
            </w:r>
            <w:r w:rsidRPr="00B75F5E">
              <w:t xml:space="preserve"> </w:t>
            </w:r>
            <w:r w:rsidR="00400414" w:rsidRPr="00B75F5E">
              <w:t>20%, P5.005), artificial nutrition and hydration (47% vs</w:t>
            </w:r>
            <w:r w:rsidRPr="00B75F5E">
              <w:t xml:space="preserve"> </w:t>
            </w:r>
            <w:r w:rsidR="00400414" w:rsidRPr="00B75F5E">
              <w:t>9%, Po.01), intravenous antibiotics (44% vs 9%, Po.01)</w:t>
            </w:r>
            <w:r w:rsidRPr="00B75F5E">
              <w:t xml:space="preserve"> </w:t>
            </w:r>
            <w:r w:rsidR="00400414" w:rsidRPr="00B75F5E">
              <w:t>and hospitalization (49% vs 16%, Po.01) documented in</w:t>
            </w:r>
            <w:r w:rsidRPr="00B75F5E">
              <w:t xml:space="preserve"> </w:t>
            </w:r>
            <w:r w:rsidR="00400414" w:rsidRPr="00B75F5E">
              <w:t>the nursing home chart</w:t>
            </w:r>
          </w:p>
          <w:p w14:paraId="07773306" w14:textId="0BA7913F" w:rsidR="006A4EE5" w:rsidRPr="00483021" w:rsidRDefault="00400414" w:rsidP="00B75F5E">
            <w:pPr>
              <w:pStyle w:val="TableNBullet"/>
            </w:pPr>
            <w:r w:rsidRPr="00B75F5E">
              <w:t>Control residents were significantly</w:t>
            </w:r>
            <w:r w:rsidR="007C1934" w:rsidRPr="00B75F5E">
              <w:t xml:space="preserve"> </w:t>
            </w:r>
            <w:r w:rsidRPr="00B75F5E">
              <w:t>more likely than intervention residents to receive treatments</w:t>
            </w:r>
            <w:r w:rsidR="007C1934" w:rsidRPr="00B75F5E">
              <w:t xml:space="preserve"> </w:t>
            </w:r>
            <w:r w:rsidRPr="00B75F5E">
              <w:t>discordant with their prior stated wishes.</w:t>
            </w:r>
            <w:r w:rsidRPr="00483021">
              <w:t xml:space="preserve"> </w:t>
            </w:r>
          </w:p>
        </w:tc>
      </w:tr>
    </w:tbl>
    <w:p w14:paraId="36691332" w14:textId="77777777" w:rsidR="00DB082D" w:rsidRPr="00483021" w:rsidRDefault="00DB082D" w:rsidP="00446A97">
      <w:pPr>
        <w:rPr>
          <w:rFonts w:cs="Calibri"/>
          <w:sz w:val="16"/>
          <w:szCs w:val="16"/>
          <w:lang w:eastAsia="en-AU"/>
        </w:rPr>
      </w:pPr>
    </w:p>
    <w:p w14:paraId="6175F897" w14:textId="77777777" w:rsidR="00DB082D" w:rsidRDefault="00DB082D">
      <w:pPr>
        <w:spacing w:after="160"/>
        <w:rPr>
          <w:lang w:eastAsia="en-AU"/>
        </w:rPr>
      </w:pPr>
      <w:r>
        <w:rPr>
          <w:lang w:eastAsia="en-AU"/>
        </w:rPr>
        <w:br w:type="page"/>
      </w:r>
    </w:p>
    <w:p w14:paraId="79BD3083" w14:textId="6FAF1C10" w:rsidR="00446A97" w:rsidRDefault="00DB082D" w:rsidP="008A4F06">
      <w:pPr>
        <w:pStyle w:val="xAppendixLevel1"/>
      </w:pPr>
      <w:bookmarkStart w:id="86" w:name="_Ref51253141"/>
      <w:bookmarkStart w:id="87" w:name="_Toc51571051"/>
      <w:bookmarkStart w:id="88" w:name="_Toc82767274"/>
      <w:r>
        <w:lastRenderedPageBreak/>
        <w:t>Funding and delivery arrangements</w:t>
      </w:r>
      <w:bookmarkEnd w:id="86"/>
      <w:bookmarkEnd w:id="87"/>
      <w:bookmarkEnd w:id="88"/>
    </w:p>
    <w:p w14:paraId="5A035E09" w14:textId="2E47C9DD" w:rsidR="00DB082D" w:rsidRDefault="00DB082D" w:rsidP="00DB082D">
      <w:pPr>
        <w:rPr>
          <w:lang w:eastAsia="en-AU"/>
        </w:rPr>
      </w:pPr>
      <w:r>
        <w:rPr>
          <w:lang w:eastAsia="en-AU"/>
        </w:rPr>
        <w:t>This appendix contains a detailed pathway of Commonwealth and State/Territory funding and delivery arrangements</w:t>
      </w:r>
      <w:r w:rsidR="00CF603E">
        <w:rPr>
          <w:lang w:eastAsia="en-AU"/>
        </w:rPr>
        <w:t xml:space="preserve"> (</w:t>
      </w:r>
      <w:r w:rsidR="001979DC">
        <w:rPr>
          <w:lang w:eastAsia="en-AU"/>
        </w:rPr>
        <w:t xml:space="preserve">see </w:t>
      </w:r>
      <w:r w:rsidR="00CF603E">
        <w:rPr>
          <w:lang w:eastAsia="en-AU"/>
        </w:rPr>
        <w:fldChar w:fldCharType="begin"/>
      </w:r>
      <w:r w:rsidR="00CF603E">
        <w:rPr>
          <w:lang w:eastAsia="en-AU"/>
        </w:rPr>
        <w:instrText xml:space="preserve"> REF _Ref51253006 \h </w:instrText>
      </w:r>
      <w:r w:rsidR="00CF603E">
        <w:rPr>
          <w:lang w:eastAsia="en-AU"/>
        </w:rPr>
      </w:r>
      <w:r w:rsidR="00CF603E">
        <w:rPr>
          <w:lang w:eastAsia="en-AU"/>
        </w:rPr>
        <w:fldChar w:fldCharType="separate"/>
      </w:r>
      <w:r w:rsidR="000E59E1">
        <w:t xml:space="preserve">Figure </w:t>
      </w:r>
      <w:r w:rsidR="000E59E1">
        <w:rPr>
          <w:noProof/>
        </w:rPr>
        <w:t>11</w:t>
      </w:r>
      <w:r w:rsidR="00CF603E">
        <w:rPr>
          <w:lang w:eastAsia="en-AU"/>
        </w:rPr>
        <w:fldChar w:fldCharType="end"/>
      </w:r>
      <w:r w:rsidR="00CF603E">
        <w:rPr>
          <w:lang w:eastAsia="en-AU"/>
        </w:rPr>
        <w:t>).</w:t>
      </w:r>
    </w:p>
    <w:p w14:paraId="0A2893B5" w14:textId="6CF6E59A" w:rsidR="00CF603E" w:rsidRDefault="00CF603E" w:rsidP="00CF603E">
      <w:pPr>
        <w:pStyle w:val="Caption"/>
      </w:pPr>
      <w:bookmarkStart w:id="89" w:name="_Ref51253006"/>
      <w:r>
        <w:t xml:space="preserve">Figure </w:t>
      </w:r>
      <w:r>
        <w:fldChar w:fldCharType="begin"/>
      </w:r>
      <w:r>
        <w:instrText xml:space="preserve"> SEQ Figure \* ARABIC </w:instrText>
      </w:r>
      <w:r>
        <w:fldChar w:fldCharType="separate"/>
      </w:r>
      <w:r w:rsidR="000E59E1">
        <w:rPr>
          <w:noProof/>
        </w:rPr>
        <w:t>11</w:t>
      </w:r>
      <w:r>
        <w:fldChar w:fldCharType="end"/>
      </w:r>
      <w:bookmarkEnd w:id="89"/>
      <w:r>
        <w:t xml:space="preserve"> | Pathways for joint funding and delivery arrangements</w:t>
      </w:r>
    </w:p>
    <w:p w14:paraId="6C3F0F90" w14:textId="1445DFFB" w:rsidR="00A150C2" w:rsidRPr="00695215" w:rsidRDefault="3C033CBA" w:rsidP="00D31A21">
      <w:pPr>
        <w:rPr>
          <w:lang w:eastAsia="en-AU"/>
        </w:rPr>
      </w:pPr>
      <w:r>
        <w:rPr>
          <w:noProof/>
        </w:rPr>
        <w:drawing>
          <wp:inline distT="0" distB="0" distL="0" distR="0" wp14:anchorId="2C5E164F" wp14:editId="723045D8">
            <wp:extent cx="7248526" cy="4243076"/>
            <wp:effectExtent l="0" t="0" r="0" b="5080"/>
            <wp:docPr id="26" name="Picture 26" descr="Figure 11 displays the pathway of Commonwealth and State/Territory funding and delivery arrangements&#10;&#10;The Commonwealth and State/Territory joint funding is split into Commonwealth Own-Purpose Expenses other payments. The funding for RACFS comes under other payments and are payments made directly to States and Territories. Payments are also made through the States/Territories to the National partnership payment to Project Agre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Figure 11 displays the pathway of Commonwealth and State/Territory funding and delivery arrangements&#10;&#10;The Commonwealth and State/Territory joint funding is split into Commonwealth Own-Purpose Expenses other payments. The funding for RACFS comes under other payments and are payments made directly to States and Territories. Payments are also made through the States/Territories to the National partnership payment to Project Agreements."/>
                    <pic:cNvPicPr/>
                  </pic:nvPicPr>
                  <pic:blipFill>
                    <a:blip r:embed="rId35">
                      <a:extLst>
                        <a:ext uri="{28A0092B-C50C-407E-A947-70E740481C1C}">
                          <a14:useLocalDpi xmlns:a14="http://schemas.microsoft.com/office/drawing/2010/main" val="0"/>
                        </a:ext>
                      </a:extLst>
                    </a:blip>
                    <a:stretch>
                      <a:fillRect/>
                    </a:stretch>
                  </pic:blipFill>
                  <pic:spPr>
                    <a:xfrm>
                      <a:off x="0" y="0"/>
                      <a:ext cx="7248526" cy="4243076"/>
                    </a:xfrm>
                    <a:prstGeom prst="rect">
                      <a:avLst/>
                    </a:prstGeom>
                  </pic:spPr>
                </pic:pic>
              </a:graphicData>
            </a:graphic>
          </wp:inline>
        </w:drawing>
      </w:r>
    </w:p>
    <w:p w14:paraId="0077E553" w14:textId="2D907AE4" w:rsidR="00695215" w:rsidRDefault="00344C7E" w:rsidP="00931D97">
      <w:pPr>
        <w:pStyle w:val="xAppendixLevel1"/>
        <w:spacing w:after="560"/>
      </w:pPr>
      <w:bookmarkStart w:id="90" w:name="_Ref51338100"/>
      <w:bookmarkStart w:id="91" w:name="_Toc51571052"/>
      <w:bookmarkStart w:id="92" w:name="_Toc82767275"/>
      <w:r>
        <w:lastRenderedPageBreak/>
        <w:t>National Partnership</w:t>
      </w:r>
      <w:r w:rsidR="00003A52">
        <w:t xml:space="preserve"> Agreements</w:t>
      </w:r>
      <w:r>
        <w:t xml:space="preserve"> and Project Agreements</w:t>
      </w:r>
      <w:bookmarkEnd w:id="90"/>
      <w:bookmarkEnd w:id="91"/>
      <w:bookmarkEnd w:id="92"/>
    </w:p>
    <w:p w14:paraId="313B9F53" w14:textId="37C17526" w:rsidR="00344C7E" w:rsidRDefault="00344C7E" w:rsidP="00337265">
      <w:pPr>
        <w:spacing w:after="60" w:line="257" w:lineRule="auto"/>
        <w:rPr>
          <w:lang w:eastAsia="en-AU"/>
        </w:rPr>
      </w:pPr>
      <w:r>
        <w:rPr>
          <w:lang w:eastAsia="en-AU"/>
        </w:rPr>
        <w:t xml:space="preserve">This appendix contains an indexing of the </w:t>
      </w:r>
      <w:r w:rsidR="00DE6782">
        <w:rPr>
          <w:lang w:eastAsia="en-AU"/>
        </w:rPr>
        <w:t>C</w:t>
      </w:r>
      <w:r>
        <w:rPr>
          <w:lang w:eastAsia="en-AU"/>
        </w:rPr>
        <w:t xml:space="preserve">ouncil on Federal Financial Relations </w:t>
      </w:r>
      <w:r w:rsidR="00404CC0">
        <w:rPr>
          <w:lang w:eastAsia="en-AU"/>
        </w:rPr>
        <w:t>active</w:t>
      </w:r>
      <w:r w:rsidR="004A52A3">
        <w:rPr>
          <w:lang w:eastAsia="en-AU"/>
        </w:rPr>
        <w:t xml:space="preserve"> National Partnerships </w:t>
      </w:r>
      <w:r w:rsidR="005A7AEB">
        <w:rPr>
          <w:lang w:eastAsia="en-AU"/>
        </w:rPr>
        <w:t xml:space="preserve">(NPA) </w:t>
      </w:r>
      <w:r w:rsidR="004A52A3">
        <w:rPr>
          <w:lang w:eastAsia="en-AU"/>
        </w:rPr>
        <w:t>and Project Agreements</w:t>
      </w:r>
      <w:r w:rsidR="005A7AEB">
        <w:rPr>
          <w:lang w:eastAsia="en-AU"/>
        </w:rPr>
        <w:t xml:space="preserve"> (PA)</w:t>
      </w:r>
      <w:r w:rsidR="00BE77FA">
        <w:rPr>
          <w:lang w:eastAsia="en-AU"/>
        </w:rPr>
        <w:t xml:space="preserve"> (</w:t>
      </w:r>
      <w:r w:rsidR="001979DC">
        <w:rPr>
          <w:lang w:eastAsia="en-AU"/>
        </w:rPr>
        <w:t xml:space="preserve">see </w:t>
      </w:r>
      <w:r w:rsidR="00BE77FA">
        <w:rPr>
          <w:lang w:eastAsia="en-AU"/>
        </w:rPr>
        <w:fldChar w:fldCharType="begin"/>
      </w:r>
      <w:r w:rsidR="00BE77FA">
        <w:rPr>
          <w:lang w:eastAsia="en-AU"/>
        </w:rPr>
        <w:instrText xml:space="preserve"> REF _Ref51338340 \h </w:instrText>
      </w:r>
      <w:r w:rsidR="00BE77FA">
        <w:rPr>
          <w:lang w:eastAsia="en-AU"/>
        </w:rPr>
      </w:r>
      <w:r w:rsidR="00BE77FA">
        <w:rPr>
          <w:lang w:eastAsia="en-AU"/>
        </w:rPr>
        <w:fldChar w:fldCharType="separate"/>
      </w:r>
      <w:r w:rsidR="000E59E1">
        <w:t xml:space="preserve">Table </w:t>
      </w:r>
      <w:r w:rsidR="000E59E1">
        <w:rPr>
          <w:noProof/>
        </w:rPr>
        <w:t>7</w:t>
      </w:r>
      <w:r w:rsidR="00BE77FA">
        <w:rPr>
          <w:lang w:eastAsia="en-AU"/>
        </w:rPr>
        <w:fldChar w:fldCharType="end"/>
      </w:r>
      <w:r w:rsidR="00BE77FA">
        <w:rPr>
          <w:lang w:eastAsia="en-AU"/>
        </w:rPr>
        <w:t>)</w:t>
      </w:r>
      <w:r w:rsidR="004A52A3">
        <w:rPr>
          <w:lang w:eastAsia="en-AU"/>
        </w:rPr>
        <w:t>.</w:t>
      </w:r>
      <w:r w:rsidR="003E42E1">
        <w:rPr>
          <w:rStyle w:val="FootnoteReference"/>
          <w:lang w:eastAsia="en-AU"/>
        </w:rPr>
        <w:footnoteReference w:id="200"/>
      </w:r>
    </w:p>
    <w:p w14:paraId="68F86282" w14:textId="143D5124" w:rsidR="00BE77FA" w:rsidRDefault="00BE77FA" w:rsidP="00337265">
      <w:pPr>
        <w:pStyle w:val="Caption"/>
        <w:spacing w:before="180" w:line="257" w:lineRule="auto"/>
      </w:pPr>
      <w:bookmarkStart w:id="93" w:name="_Ref51338340"/>
      <w:r>
        <w:t xml:space="preserve">Table </w:t>
      </w:r>
      <w:r>
        <w:fldChar w:fldCharType="begin"/>
      </w:r>
      <w:r>
        <w:instrText xml:space="preserve"> SEQ Table \* ARABIC </w:instrText>
      </w:r>
      <w:r>
        <w:fldChar w:fldCharType="separate"/>
      </w:r>
      <w:r w:rsidR="000E59E1">
        <w:rPr>
          <w:noProof/>
        </w:rPr>
        <w:t>7</w:t>
      </w:r>
      <w:r>
        <w:fldChar w:fldCharType="end"/>
      </w:r>
      <w:bookmarkEnd w:id="93"/>
      <w:r>
        <w:t xml:space="preserve"> | Overview of current NPAs and PAs</w:t>
      </w:r>
    </w:p>
    <w:tbl>
      <w:tblPr>
        <w:tblStyle w:val="TableGrid"/>
        <w:tblW w:w="5000" w:type="pct"/>
        <w:tblLook w:val="04A0" w:firstRow="1" w:lastRow="0" w:firstColumn="1" w:lastColumn="0" w:noHBand="0" w:noVBand="1"/>
        <w:tblCaption w:val="Overview of the the current National Partnerships (NPAs) and Project Agreements (PAs)"/>
        <w:tblDescription w:val="In the health sector, there are 14 active NPAs and 50 active PAs. &#10;In education, there are 4 active NPAs and 2 active PAs.&#10;In the skills and workforce development sector, there is 1 active NPA and 5 active PAs. &#10;The community services sector has 3 active NPAs and 4 active PAs.&#10;The affordable housing sector has 3 active NPAs and 1 active PA.&#10;Infrastructure has 1 active NPA and 9 active PAs. &#10;Environment has 8 active NPAs and 28 active PAs.&#10;The contingent payments sectors has a total of 0 active NPAs and PAs. &#10;Other sectors have 3 active NPAs and 12 active PAs.  "/>
      </w:tblPr>
      <w:tblGrid>
        <w:gridCol w:w="5829"/>
        <w:gridCol w:w="2391"/>
        <w:gridCol w:w="2393"/>
        <w:gridCol w:w="3107"/>
      </w:tblGrid>
      <w:tr w:rsidR="0097291C" w14:paraId="109CAC5F" w14:textId="77777777" w:rsidTr="22C19DAE">
        <w:trPr>
          <w:cnfStyle w:val="100000000000" w:firstRow="1" w:lastRow="0" w:firstColumn="0" w:lastColumn="0" w:oddVBand="0" w:evenVBand="0" w:oddHBand="0" w:evenHBand="0" w:firstRowFirstColumn="0" w:firstRowLastColumn="0" w:lastRowFirstColumn="0" w:lastRowLastColumn="0"/>
        </w:trPr>
        <w:tc>
          <w:tcPr>
            <w:tcW w:w="3469" w:type="dxa"/>
            <w:shd w:val="clear" w:color="auto" w:fill="00264D" w:themeFill="background2"/>
          </w:tcPr>
          <w:p w14:paraId="03BACFC3" w14:textId="19120849" w:rsidR="005A7AEB" w:rsidRPr="00931D97" w:rsidRDefault="005A7AEB" w:rsidP="005251B6">
            <w:pPr>
              <w:pStyle w:val="TableNheader"/>
              <w:rPr>
                <w:b w:val="0"/>
                <w:color w:val="FFFFFF" w:themeColor="background1"/>
              </w:rPr>
            </w:pPr>
            <w:r w:rsidRPr="00931D97">
              <w:rPr>
                <w:b w:val="0"/>
                <w:color w:val="FFFFFF" w:themeColor="background1"/>
              </w:rPr>
              <w:t>Sector</w:t>
            </w:r>
          </w:p>
        </w:tc>
        <w:tc>
          <w:tcPr>
            <w:tcW w:w="1423" w:type="dxa"/>
            <w:shd w:val="clear" w:color="auto" w:fill="00264D" w:themeFill="background2"/>
          </w:tcPr>
          <w:p w14:paraId="30C129BB" w14:textId="345B9F54" w:rsidR="005A7AEB" w:rsidRPr="00931D97" w:rsidRDefault="008F4A56" w:rsidP="005251B6">
            <w:pPr>
              <w:pStyle w:val="TableNheader"/>
              <w:rPr>
                <w:b w:val="0"/>
                <w:color w:val="FFFFFF" w:themeColor="background1"/>
              </w:rPr>
            </w:pPr>
            <w:r w:rsidRPr="00931D97">
              <w:rPr>
                <w:b w:val="0"/>
                <w:color w:val="FFFFFF" w:themeColor="background1"/>
              </w:rPr>
              <w:t>Number of active NPAs</w:t>
            </w:r>
          </w:p>
        </w:tc>
        <w:tc>
          <w:tcPr>
            <w:tcW w:w="1424" w:type="dxa"/>
            <w:shd w:val="clear" w:color="auto" w:fill="00264D" w:themeFill="background2"/>
          </w:tcPr>
          <w:p w14:paraId="7D6AC61E" w14:textId="68109C82" w:rsidR="005A7AEB" w:rsidRPr="00931D97" w:rsidRDefault="008F4A56" w:rsidP="005251B6">
            <w:pPr>
              <w:pStyle w:val="TableNheader"/>
              <w:rPr>
                <w:b w:val="0"/>
                <w:color w:val="FFFFFF" w:themeColor="background1"/>
              </w:rPr>
            </w:pPr>
            <w:r w:rsidRPr="00931D97">
              <w:rPr>
                <w:b w:val="0"/>
                <w:color w:val="FFFFFF" w:themeColor="background1"/>
              </w:rPr>
              <w:t>Number of active PAs</w:t>
            </w:r>
          </w:p>
        </w:tc>
        <w:tc>
          <w:tcPr>
            <w:tcW w:w="1849" w:type="dxa"/>
            <w:shd w:val="clear" w:color="auto" w:fill="00264D" w:themeFill="background2"/>
          </w:tcPr>
          <w:p w14:paraId="043F6F47" w14:textId="0A3F37E7" w:rsidR="005A7AEB" w:rsidRPr="00931D97" w:rsidRDefault="008F4A56" w:rsidP="005251B6">
            <w:pPr>
              <w:pStyle w:val="TableNheader"/>
              <w:rPr>
                <w:b w:val="0"/>
                <w:color w:val="FFFFFF" w:themeColor="background1"/>
              </w:rPr>
            </w:pPr>
            <w:r w:rsidRPr="00931D97">
              <w:rPr>
                <w:b w:val="0"/>
                <w:color w:val="FFFFFF" w:themeColor="background1"/>
              </w:rPr>
              <w:t>Total number of active NPAs and PAs</w:t>
            </w:r>
          </w:p>
        </w:tc>
      </w:tr>
      <w:tr w:rsidR="005A7AEB" w14:paraId="76859456" w14:textId="77777777" w:rsidTr="22C19DAE">
        <w:tc>
          <w:tcPr>
            <w:tcW w:w="3469" w:type="dxa"/>
          </w:tcPr>
          <w:p w14:paraId="658D671D" w14:textId="761B14F2" w:rsidR="005A7AEB" w:rsidRPr="00C829B1" w:rsidRDefault="005A7AEB" w:rsidP="00931D97">
            <w:pPr>
              <w:pStyle w:val="TableNText"/>
              <w:spacing w:before="40" w:after="40" w:line="257" w:lineRule="auto"/>
            </w:pPr>
            <w:r w:rsidRPr="00C829B1">
              <w:t>Health</w:t>
            </w:r>
          </w:p>
        </w:tc>
        <w:tc>
          <w:tcPr>
            <w:tcW w:w="1423" w:type="dxa"/>
          </w:tcPr>
          <w:p w14:paraId="7CB9C2FC" w14:textId="6F0D7020" w:rsidR="005A7AEB" w:rsidRPr="00C829B1" w:rsidRDefault="005A7AEB" w:rsidP="00931D97">
            <w:pPr>
              <w:pStyle w:val="TableNText"/>
              <w:spacing w:before="40" w:after="40" w:line="257" w:lineRule="auto"/>
            </w:pPr>
            <w:r w:rsidRPr="00C829B1">
              <w:t>14</w:t>
            </w:r>
          </w:p>
        </w:tc>
        <w:tc>
          <w:tcPr>
            <w:tcW w:w="1424" w:type="dxa"/>
          </w:tcPr>
          <w:p w14:paraId="7D7A3C9F" w14:textId="40D4736B" w:rsidR="005A7AEB" w:rsidRPr="00C829B1" w:rsidRDefault="005A7AEB" w:rsidP="00931D97">
            <w:pPr>
              <w:pStyle w:val="TableNText"/>
              <w:spacing w:before="40" w:after="40" w:line="257" w:lineRule="auto"/>
            </w:pPr>
            <w:r w:rsidRPr="00C829B1">
              <w:t>50</w:t>
            </w:r>
          </w:p>
        </w:tc>
        <w:tc>
          <w:tcPr>
            <w:tcW w:w="1849" w:type="dxa"/>
          </w:tcPr>
          <w:p w14:paraId="5574A25C" w14:textId="2E89D609" w:rsidR="005A7AEB" w:rsidRPr="00C829B1" w:rsidRDefault="005A7AEB" w:rsidP="00931D97">
            <w:pPr>
              <w:pStyle w:val="TableNText"/>
              <w:spacing w:before="40" w:after="40" w:line="257" w:lineRule="auto"/>
            </w:pPr>
            <w:r w:rsidRPr="00C829B1">
              <w:t>64</w:t>
            </w:r>
          </w:p>
        </w:tc>
      </w:tr>
      <w:tr w:rsidR="005A7AEB" w14:paraId="555FA983" w14:textId="77777777" w:rsidTr="22C19DAE">
        <w:tc>
          <w:tcPr>
            <w:tcW w:w="3469" w:type="dxa"/>
          </w:tcPr>
          <w:p w14:paraId="7D989D2D" w14:textId="35208DE8" w:rsidR="005A7AEB" w:rsidRPr="00C829B1" w:rsidRDefault="005A7AEB" w:rsidP="00931D97">
            <w:pPr>
              <w:pStyle w:val="TableNText"/>
              <w:spacing w:before="40" w:after="40" w:line="257" w:lineRule="auto"/>
            </w:pPr>
            <w:r w:rsidRPr="00C829B1">
              <w:t>Education</w:t>
            </w:r>
          </w:p>
        </w:tc>
        <w:tc>
          <w:tcPr>
            <w:tcW w:w="1423" w:type="dxa"/>
          </w:tcPr>
          <w:p w14:paraId="62D2C3F4" w14:textId="3CF0D865" w:rsidR="005A7AEB" w:rsidRPr="00C829B1" w:rsidRDefault="005A7AEB" w:rsidP="00931D97">
            <w:pPr>
              <w:pStyle w:val="TableNText"/>
              <w:spacing w:before="40" w:after="40" w:line="257" w:lineRule="auto"/>
            </w:pPr>
            <w:r w:rsidRPr="00C829B1">
              <w:t>4</w:t>
            </w:r>
          </w:p>
        </w:tc>
        <w:tc>
          <w:tcPr>
            <w:tcW w:w="1424" w:type="dxa"/>
          </w:tcPr>
          <w:p w14:paraId="4AB4442D" w14:textId="7EAA6FBB" w:rsidR="005A7AEB" w:rsidRPr="00C829B1" w:rsidRDefault="005A7AEB" w:rsidP="00931D97">
            <w:pPr>
              <w:pStyle w:val="TableNText"/>
              <w:spacing w:before="40" w:after="40" w:line="257" w:lineRule="auto"/>
            </w:pPr>
            <w:r w:rsidRPr="00C829B1">
              <w:t>2</w:t>
            </w:r>
          </w:p>
        </w:tc>
        <w:tc>
          <w:tcPr>
            <w:tcW w:w="1849" w:type="dxa"/>
          </w:tcPr>
          <w:p w14:paraId="00A858B4" w14:textId="6B8D5F5A" w:rsidR="005A7AEB" w:rsidRPr="00C829B1" w:rsidRDefault="005A7AEB" w:rsidP="00931D97">
            <w:pPr>
              <w:pStyle w:val="TableNText"/>
              <w:spacing w:before="40" w:after="40" w:line="257" w:lineRule="auto"/>
            </w:pPr>
            <w:r w:rsidRPr="00C829B1">
              <w:t>6</w:t>
            </w:r>
          </w:p>
        </w:tc>
      </w:tr>
      <w:tr w:rsidR="005A7AEB" w14:paraId="123EC1C1" w14:textId="77777777" w:rsidTr="22C19DAE">
        <w:tc>
          <w:tcPr>
            <w:tcW w:w="3469" w:type="dxa"/>
          </w:tcPr>
          <w:p w14:paraId="51F6E24D" w14:textId="547A1080" w:rsidR="005A7AEB" w:rsidRPr="00C829B1" w:rsidRDefault="005A7AEB" w:rsidP="00931D97">
            <w:pPr>
              <w:pStyle w:val="TableNText"/>
              <w:spacing w:before="40" w:after="40" w:line="257" w:lineRule="auto"/>
            </w:pPr>
            <w:r w:rsidRPr="00C829B1">
              <w:t>Skills</w:t>
            </w:r>
            <w:r w:rsidR="003E42E1" w:rsidRPr="00C829B1">
              <w:t xml:space="preserve"> and Workforce Development</w:t>
            </w:r>
          </w:p>
        </w:tc>
        <w:tc>
          <w:tcPr>
            <w:tcW w:w="1423" w:type="dxa"/>
          </w:tcPr>
          <w:p w14:paraId="075495DE" w14:textId="0C2F1E1D" w:rsidR="005A7AEB" w:rsidRPr="00C829B1" w:rsidRDefault="005A7AEB" w:rsidP="00931D97">
            <w:pPr>
              <w:pStyle w:val="TableNText"/>
              <w:spacing w:before="40" w:after="40" w:line="257" w:lineRule="auto"/>
            </w:pPr>
            <w:r w:rsidRPr="00C829B1">
              <w:t>1</w:t>
            </w:r>
          </w:p>
        </w:tc>
        <w:tc>
          <w:tcPr>
            <w:tcW w:w="1424" w:type="dxa"/>
          </w:tcPr>
          <w:p w14:paraId="53061CB8" w14:textId="06A2F6A9" w:rsidR="005A7AEB" w:rsidRPr="00C829B1" w:rsidRDefault="005A7AEB" w:rsidP="00931D97">
            <w:pPr>
              <w:pStyle w:val="TableNText"/>
              <w:spacing w:before="40" w:after="40" w:line="257" w:lineRule="auto"/>
            </w:pPr>
            <w:r w:rsidRPr="00C829B1">
              <w:t>5</w:t>
            </w:r>
          </w:p>
        </w:tc>
        <w:tc>
          <w:tcPr>
            <w:tcW w:w="1849" w:type="dxa"/>
          </w:tcPr>
          <w:p w14:paraId="2C88AC17" w14:textId="34DD66BF" w:rsidR="005A7AEB" w:rsidRPr="00C829B1" w:rsidRDefault="005A7AEB" w:rsidP="00931D97">
            <w:pPr>
              <w:pStyle w:val="TableNText"/>
              <w:spacing w:before="40" w:after="40" w:line="257" w:lineRule="auto"/>
            </w:pPr>
            <w:r w:rsidRPr="00C829B1">
              <w:t>6</w:t>
            </w:r>
          </w:p>
        </w:tc>
      </w:tr>
      <w:tr w:rsidR="005A7AEB" w14:paraId="4E21896A" w14:textId="77777777" w:rsidTr="22C19DAE">
        <w:tc>
          <w:tcPr>
            <w:tcW w:w="3469" w:type="dxa"/>
          </w:tcPr>
          <w:p w14:paraId="0C9BC2F6" w14:textId="230A565C" w:rsidR="005A7AEB" w:rsidRPr="00C829B1" w:rsidRDefault="00997A3E" w:rsidP="00931D97">
            <w:pPr>
              <w:pStyle w:val="TableNText"/>
              <w:spacing w:before="40" w:after="40" w:line="257" w:lineRule="auto"/>
            </w:pPr>
            <w:r w:rsidRPr="00C829B1">
              <w:t>Community Services</w:t>
            </w:r>
          </w:p>
        </w:tc>
        <w:tc>
          <w:tcPr>
            <w:tcW w:w="1423" w:type="dxa"/>
          </w:tcPr>
          <w:p w14:paraId="4E931389" w14:textId="520BABAF" w:rsidR="005A7AEB" w:rsidRPr="00C829B1" w:rsidRDefault="00782735" w:rsidP="00931D97">
            <w:pPr>
              <w:pStyle w:val="TableNText"/>
              <w:spacing w:before="40" w:after="40" w:line="257" w:lineRule="auto"/>
            </w:pPr>
            <w:r w:rsidRPr="00C829B1">
              <w:t>3</w:t>
            </w:r>
          </w:p>
        </w:tc>
        <w:tc>
          <w:tcPr>
            <w:tcW w:w="1424" w:type="dxa"/>
          </w:tcPr>
          <w:p w14:paraId="7B614323" w14:textId="24C64479" w:rsidR="005A7AEB" w:rsidRPr="00C829B1" w:rsidRDefault="00782735" w:rsidP="00931D97">
            <w:pPr>
              <w:pStyle w:val="TableNText"/>
              <w:spacing w:before="40" w:after="40" w:line="257" w:lineRule="auto"/>
            </w:pPr>
            <w:r w:rsidRPr="00C829B1">
              <w:t>4</w:t>
            </w:r>
          </w:p>
        </w:tc>
        <w:tc>
          <w:tcPr>
            <w:tcW w:w="1849" w:type="dxa"/>
          </w:tcPr>
          <w:p w14:paraId="5D5983C8" w14:textId="653D9F03" w:rsidR="005A7AEB" w:rsidRPr="00C829B1" w:rsidRDefault="00782735" w:rsidP="00931D97">
            <w:pPr>
              <w:pStyle w:val="TableNText"/>
              <w:spacing w:before="40" w:after="40" w:line="257" w:lineRule="auto"/>
            </w:pPr>
            <w:r w:rsidRPr="00C829B1">
              <w:t>7</w:t>
            </w:r>
          </w:p>
        </w:tc>
      </w:tr>
      <w:tr w:rsidR="005A7AEB" w14:paraId="1787A39E" w14:textId="77777777" w:rsidTr="22C19DAE">
        <w:tc>
          <w:tcPr>
            <w:tcW w:w="3469" w:type="dxa"/>
          </w:tcPr>
          <w:p w14:paraId="77A187B6" w14:textId="5A42CD16" w:rsidR="005A7AEB" w:rsidRPr="00C829B1" w:rsidRDefault="00782735" w:rsidP="00931D97">
            <w:pPr>
              <w:pStyle w:val="TableNText"/>
              <w:spacing w:before="40" w:after="40" w:line="257" w:lineRule="auto"/>
            </w:pPr>
            <w:r w:rsidRPr="00C829B1">
              <w:t>Affordable Housing</w:t>
            </w:r>
          </w:p>
        </w:tc>
        <w:tc>
          <w:tcPr>
            <w:tcW w:w="1423" w:type="dxa"/>
          </w:tcPr>
          <w:p w14:paraId="0AE05A04" w14:textId="4FC2BE73" w:rsidR="005A7AEB" w:rsidRPr="00C829B1" w:rsidRDefault="00782735" w:rsidP="00931D97">
            <w:pPr>
              <w:pStyle w:val="TableNText"/>
              <w:spacing w:before="40" w:after="40" w:line="257" w:lineRule="auto"/>
            </w:pPr>
            <w:r w:rsidRPr="00C829B1">
              <w:t>3</w:t>
            </w:r>
          </w:p>
        </w:tc>
        <w:tc>
          <w:tcPr>
            <w:tcW w:w="1424" w:type="dxa"/>
          </w:tcPr>
          <w:p w14:paraId="5BE9F988" w14:textId="7D112C79" w:rsidR="005A7AEB" w:rsidRPr="00C829B1" w:rsidRDefault="00782735" w:rsidP="00931D97">
            <w:pPr>
              <w:pStyle w:val="TableNText"/>
              <w:spacing w:before="40" w:after="40" w:line="257" w:lineRule="auto"/>
            </w:pPr>
            <w:r w:rsidRPr="00C829B1">
              <w:t>1</w:t>
            </w:r>
          </w:p>
        </w:tc>
        <w:tc>
          <w:tcPr>
            <w:tcW w:w="1849" w:type="dxa"/>
          </w:tcPr>
          <w:p w14:paraId="3A16CB72" w14:textId="72660C7B" w:rsidR="005A7AEB" w:rsidRPr="00C829B1" w:rsidRDefault="00D82C79" w:rsidP="00931D97">
            <w:pPr>
              <w:pStyle w:val="TableNText"/>
              <w:spacing w:before="40" w:after="40" w:line="257" w:lineRule="auto"/>
            </w:pPr>
            <w:r w:rsidRPr="00C829B1">
              <w:t>4</w:t>
            </w:r>
          </w:p>
        </w:tc>
      </w:tr>
      <w:tr w:rsidR="005A7AEB" w14:paraId="1264E678" w14:textId="77777777" w:rsidTr="22C19DAE">
        <w:tc>
          <w:tcPr>
            <w:tcW w:w="3469" w:type="dxa"/>
          </w:tcPr>
          <w:p w14:paraId="499C97A6" w14:textId="2F5770CB" w:rsidR="005A7AEB" w:rsidRPr="00C829B1" w:rsidRDefault="00782735" w:rsidP="00931D97">
            <w:pPr>
              <w:pStyle w:val="TableNText"/>
              <w:spacing w:before="40" w:after="40" w:line="257" w:lineRule="auto"/>
            </w:pPr>
            <w:r w:rsidRPr="00C829B1">
              <w:t>Infrastructure</w:t>
            </w:r>
          </w:p>
        </w:tc>
        <w:tc>
          <w:tcPr>
            <w:tcW w:w="1423" w:type="dxa"/>
          </w:tcPr>
          <w:p w14:paraId="17729E70" w14:textId="16DE6892" w:rsidR="005A7AEB" w:rsidRPr="00C829B1" w:rsidRDefault="00A80529" w:rsidP="00931D97">
            <w:pPr>
              <w:pStyle w:val="TableNText"/>
              <w:spacing w:before="40" w:after="40" w:line="257" w:lineRule="auto"/>
            </w:pPr>
            <w:r w:rsidRPr="00C829B1">
              <w:t>1</w:t>
            </w:r>
          </w:p>
        </w:tc>
        <w:tc>
          <w:tcPr>
            <w:tcW w:w="1424" w:type="dxa"/>
          </w:tcPr>
          <w:p w14:paraId="2334EE14" w14:textId="6D5E6C8C" w:rsidR="005A7AEB" w:rsidRPr="00C829B1" w:rsidRDefault="00A80529" w:rsidP="00931D97">
            <w:pPr>
              <w:pStyle w:val="TableNText"/>
              <w:spacing w:before="40" w:after="40" w:line="257" w:lineRule="auto"/>
            </w:pPr>
            <w:r w:rsidRPr="00C829B1">
              <w:t>9</w:t>
            </w:r>
          </w:p>
        </w:tc>
        <w:tc>
          <w:tcPr>
            <w:tcW w:w="1849" w:type="dxa"/>
          </w:tcPr>
          <w:p w14:paraId="409E425E" w14:textId="2891291E" w:rsidR="005A7AEB" w:rsidRPr="00C829B1" w:rsidRDefault="00A80529" w:rsidP="00931D97">
            <w:pPr>
              <w:pStyle w:val="TableNText"/>
              <w:spacing w:before="40" w:after="40" w:line="257" w:lineRule="auto"/>
            </w:pPr>
            <w:r w:rsidRPr="00C829B1">
              <w:t>10</w:t>
            </w:r>
          </w:p>
        </w:tc>
      </w:tr>
      <w:tr w:rsidR="005A7AEB" w14:paraId="7CCE179F" w14:textId="77777777" w:rsidTr="22C19DAE">
        <w:tc>
          <w:tcPr>
            <w:tcW w:w="3469" w:type="dxa"/>
          </w:tcPr>
          <w:p w14:paraId="43EA46A9" w14:textId="1ACD1EC4" w:rsidR="005A7AEB" w:rsidRPr="00C829B1" w:rsidRDefault="00A80529" w:rsidP="00931D97">
            <w:pPr>
              <w:pStyle w:val="TableNText"/>
              <w:spacing w:before="40" w:after="40" w:line="257" w:lineRule="auto"/>
            </w:pPr>
            <w:r w:rsidRPr="00C829B1">
              <w:t>Environment</w:t>
            </w:r>
          </w:p>
        </w:tc>
        <w:tc>
          <w:tcPr>
            <w:tcW w:w="1423" w:type="dxa"/>
          </w:tcPr>
          <w:p w14:paraId="0DA59CA9" w14:textId="4A21F6F5" w:rsidR="005A7AEB" w:rsidRPr="00C829B1" w:rsidRDefault="00A80529" w:rsidP="00931D97">
            <w:pPr>
              <w:pStyle w:val="TableNText"/>
              <w:spacing w:before="40" w:after="40" w:line="257" w:lineRule="auto"/>
            </w:pPr>
            <w:r w:rsidRPr="00C829B1">
              <w:t>8</w:t>
            </w:r>
          </w:p>
        </w:tc>
        <w:tc>
          <w:tcPr>
            <w:tcW w:w="1424" w:type="dxa"/>
          </w:tcPr>
          <w:p w14:paraId="2577BC03" w14:textId="2697C002" w:rsidR="005A7AEB" w:rsidRPr="00C829B1" w:rsidRDefault="00A80529" w:rsidP="00931D97">
            <w:pPr>
              <w:pStyle w:val="TableNText"/>
              <w:spacing w:before="40" w:after="40" w:line="257" w:lineRule="auto"/>
            </w:pPr>
            <w:r w:rsidRPr="00C829B1">
              <w:t>28</w:t>
            </w:r>
          </w:p>
        </w:tc>
        <w:tc>
          <w:tcPr>
            <w:tcW w:w="1849" w:type="dxa"/>
          </w:tcPr>
          <w:p w14:paraId="7D7496E7" w14:textId="756AFD43" w:rsidR="005A7AEB" w:rsidRPr="00C829B1" w:rsidRDefault="00A80529" w:rsidP="00931D97">
            <w:pPr>
              <w:pStyle w:val="TableNText"/>
              <w:spacing w:before="40" w:after="40" w:line="257" w:lineRule="auto"/>
            </w:pPr>
            <w:r w:rsidRPr="00C829B1">
              <w:t>36</w:t>
            </w:r>
          </w:p>
        </w:tc>
      </w:tr>
      <w:tr w:rsidR="00A80529" w14:paraId="4BD24C93" w14:textId="77777777" w:rsidTr="22C19DAE">
        <w:tc>
          <w:tcPr>
            <w:tcW w:w="3469" w:type="dxa"/>
          </w:tcPr>
          <w:p w14:paraId="46E302E8" w14:textId="1790E4B7" w:rsidR="00A80529" w:rsidRPr="00C829B1" w:rsidRDefault="00BD5CBF" w:rsidP="00931D97">
            <w:pPr>
              <w:pStyle w:val="TableNText"/>
              <w:spacing w:before="40" w:after="40" w:line="257" w:lineRule="auto"/>
            </w:pPr>
            <w:r w:rsidRPr="00C829B1">
              <w:t>Contingent Payments</w:t>
            </w:r>
          </w:p>
        </w:tc>
        <w:tc>
          <w:tcPr>
            <w:tcW w:w="1423" w:type="dxa"/>
          </w:tcPr>
          <w:p w14:paraId="0DF34C6F" w14:textId="2CA2F29D" w:rsidR="00A80529" w:rsidRPr="00C829B1" w:rsidRDefault="00BD5CBF" w:rsidP="00931D97">
            <w:pPr>
              <w:pStyle w:val="TableNText"/>
              <w:spacing w:before="40" w:after="40" w:line="257" w:lineRule="auto"/>
            </w:pPr>
            <w:r w:rsidRPr="00C829B1">
              <w:t>0</w:t>
            </w:r>
          </w:p>
        </w:tc>
        <w:tc>
          <w:tcPr>
            <w:tcW w:w="1424" w:type="dxa"/>
          </w:tcPr>
          <w:p w14:paraId="49C8031C" w14:textId="02422903" w:rsidR="00A80529" w:rsidRPr="00C829B1" w:rsidRDefault="00BD5CBF" w:rsidP="00931D97">
            <w:pPr>
              <w:pStyle w:val="TableNText"/>
              <w:spacing w:before="40" w:after="40" w:line="257" w:lineRule="auto"/>
            </w:pPr>
            <w:r w:rsidRPr="00C829B1">
              <w:t>0</w:t>
            </w:r>
          </w:p>
        </w:tc>
        <w:tc>
          <w:tcPr>
            <w:tcW w:w="1849" w:type="dxa"/>
          </w:tcPr>
          <w:p w14:paraId="192C1946" w14:textId="3F2BFF81" w:rsidR="00A80529" w:rsidRPr="00C829B1" w:rsidRDefault="00BD5CBF" w:rsidP="00931D97">
            <w:pPr>
              <w:pStyle w:val="TableNText"/>
              <w:spacing w:before="40" w:after="40" w:line="257" w:lineRule="auto"/>
            </w:pPr>
            <w:r w:rsidRPr="00C829B1">
              <w:t>0</w:t>
            </w:r>
          </w:p>
        </w:tc>
      </w:tr>
      <w:tr w:rsidR="00BD5CBF" w14:paraId="1909D955" w14:textId="77777777" w:rsidTr="22C19DAE">
        <w:tc>
          <w:tcPr>
            <w:tcW w:w="3469" w:type="dxa"/>
          </w:tcPr>
          <w:p w14:paraId="4B63408E" w14:textId="5F9547BA" w:rsidR="00BD5CBF" w:rsidRPr="00C829B1" w:rsidRDefault="001B4ADC" w:rsidP="00931D97">
            <w:pPr>
              <w:pStyle w:val="TableNText"/>
              <w:spacing w:before="40" w:after="40" w:line="257" w:lineRule="auto"/>
            </w:pPr>
            <w:r w:rsidRPr="00C829B1">
              <w:t>Other</w:t>
            </w:r>
          </w:p>
        </w:tc>
        <w:tc>
          <w:tcPr>
            <w:tcW w:w="1423" w:type="dxa"/>
          </w:tcPr>
          <w:p w14:paraId="39B066D2" w14:textId="7CED8BE6" w:rsidR="00BD5CBF" w:rsidRPr="00C829B1" w:rsidRDefault="001B4ADC" w:rsidP="00931D97">
            <w:pPr>
              <w:pStyle w:val="TableNText"/>
              <w:spacing w:before="40" w:after="40" w:line="257" w:lineRule="auto"/>
            </w:pPr>
            <w:r w:rsidRPr="00C829B1">
              <w:t>3</w:t>
            </w:r>
          </w:p>
        </w:tc>
        <w:tc>
          <w:tcPr>
            <w:tcW w:w="1424" w:type="dxa"/>
          </w:tcPr>
          <w:p w14:paraId="3F655AF5" w14:textId="31EB6588" w:rsidR="00BD5CBF" w:rsidRPr="00C829B1" w:rsidRDefault="001B4ADC" w:rsidP="00931D97">
            <w:pPr>
              <w:pStyle w:val="TableNText"/>
              <w:spacing w:before="40" w:after="40" w:line="257" w:lineRule="auto"/>
            </w:pPr>
            <w:r w:rsidRPr="00C829B1">
              <w:t>12</w:t>
            </w:r>
          </w:p>
        </w:tc>
        <w:tc>
          <w:tcPr>
            <w:tcW w:w="1849" w:type="dxa"/>
          </w:tcPr>
          <w:p w14:paraId="2E5F4C96" w14:textId="3B849C1A" w:rsidR="00BD5CBF" w:rsidRPr="00C829B1" w:rsidRDefault="001B4ADC" w:rsidP="00931D97">
            <w:pPr>
              <w:pStyle w:val="TableNText"/>
              <w:spacing w:before="40" w:after="40" w:line="257" w:lineRule="auto"/>
            </w:pPr>
            <w:r w:rsidRPr="00C829B1">
              <w:t>15</w:t>
            </w:r>
          </w:p>
        </w:tc>
      </w:tr>
    </w:tbl>
    <w:p w14:paraId="16F25139" w14:textId="57391FAF" w:rsidR="00695215" w:rsidRPr="00C829B1" w:rsidRDefault="00695215" w:rsidP="00695215">
      <w:pPr>
        <w:rPr>
          <w:sz w:val="2"/>
          <w:szCs w:val="2"/>
          <w:lang w:eastAsia="en-AU"/>
        </w:rPr>
      </w:pPr>
    </w:p>
    <w:sectPr w:rsidR="00695215" w:rsidRPr="00C829B1" w:rsidSect="00AD22D0">
      <w:pgSz w:w="16839" w:h="11907" w:orient="landscape" w:code="9"/>
      <w:pgMar w:top="1559" w:right="1418" w:bottom="1418"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785A83" w14:textId="77777777" w:rsidR="002F21A9" w:rsidRDefault="002F21A9" w:rsidP="00302076">
      <w:pPr>
        <w:spacing w:after="0"/>
      </w:pPr>
      <w:r>
        <w:separator/>
      </w:r>
    </w:p>
    <w:p w14:paraId="36352902" w14:textId="77777777" w:rsidR="002F21A9" w:rsidRDefault="002F21A9"/>
  </w:endnote>
  <w:endnote w:type="continuationSeparator" w:id="0">
    <w:p w14:paraId="48F706B1" w14:textId="77777777" w:rsidR="002F21A9" w:rsidRDefault="002F21A9" w:rsidP="00302076">
      <w:pPr>
        <w:spacing w:after="0"/>
      </w:pPr>
      <w:r>
        <w:continuationSeparator/>
      </w:r>
    </w:p>
    <w:p w14:paraId="47C892C9" w14:textId="77777777" w:rsidR="002F21A9" w:rsidRDefault="002F21A9"/>
  </w:endnote>
  <w:endnote w:type="continuationNotice" w:id="1">
    <w:p w14:paraId="3926605C" w14:textId="77777777" w:rsidR="002F21A9" w:rsidRDefault="002F21A9">
      <w:pPr>
        <w:spacing w:after="0"/>
      </w:pPr>
    </w:p>
    <w:p w14:paraId="104B8EF4" w14:textId="77777777" w:rsidR="002F21A9" w:rsidRDefault="002F21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Unicode MS">
    <w:altName w:val="Arial"/>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PMincho">
    <w:charset w:val="80"/>
    <w:family w:val="roman"/>
    <w:pitch w:val="variable"/>
    <w:sig w:usb0="E00002FF" w:usb1="6AC7FDFB" w:usb2="08000012" w:usb3="00000000" w:csb0="0002009F" w:csb1="00000000"/>
  </w:font>
  <w:font w:name="Inter Bold">
    <w:altName w:val="Calibri"/>
    <w:charset w:val="00"/>
    <w:family w:val="auto"/>
    <w:pitch w:val="variable"/>
    <w:sig w:usb0="E0000AFF" w:usb1="5200A1FF" w:usb2="00000021" w:usb3="00000000" w:csb0="0000019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Light">
    <w:charset w:val="00"/>
    <w:family w:val="swiss"/>
    <w:pitch w:val="variable"/>
    <w:sig w:usb0="600002F7" w:usb1="02000001" w:usb2="00000000" w:usb3="00000000" w:csb0="0000019F"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Sitka Subheading">
    <w:panose1 w:val="02000505000000020004"/>
    <w:charset w:val="00"/>
    <w:family w:val="auto"/>
    <w:pitch w:val="variable"/>
    <w:sig w:usb0="A00002EF" w:usb1="4000204B" w:usb2="00000000" w:usb3="00000000" w:csb0="0000019F" w:csb1="00000000"/>
  </w:font>
  <w:font w:name="Sitka Heading">
    <w:panose1 w:val="02000505000000020004"/>
    <w:charset w:val="00"/>
    <w:family w:val="auto"/>
    <w:pitch w:val="variable"/>
    <w:sig w:usb0="A00002EF" w:usb1="4000204B" w:usb2="00000000" w:usb3="00000000" w:csb0="0000019F" w:csb1="00000000"/>
  </w:font>
  <w:font w:name="@SimSun">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02F189" w14:textId="427AC781" w:rsidR="00E844D4" w:rsidRPr="00FD4AB1" w:rsidRDefault="00E844D4" w:rsidP="00FD4AB1">
    <w:pPr>
      <w:pStyle w:val="Footer"/>
      <w:rPr>
        <w:rFonts w:ascii="Arial Unicode MS" w:hAnsi="Arial Unicode MS" w:cs="Cambria Math"/>
        <w:b/>
      </w:rPr>
    </w:pPr>
    <w:r>
      <w:rPr>
        <w:color w:val="808080" w:themeColor="background1" w:themeShade="80"/>
        <w:szCs w:val="15"/>
        <w:lang w:eastAsia="en-AU"/>
      </w:rPr>
      <w:t xml:space="preserve">Nous Group | </w:t>
    </w:r>
    <w:sdt>
      <w:sdtPr>
        <w:rPr>
          <w:color w:val="808080" w:themeColor="background1" w:themeShade="80"/>
          <w:szCs w:val="15"/>
          <w:lang w:eastAsia="en-AU"/>
        </w:rPr>
        <w:alias w:val="Title"/>
        <w:id w:val="961310453"/>
        <w:dataBinding w:prefixMappings="xmlns:ns0='http://purl.org/dc/elements/1.1/' xmlns:ns1='http://schemas.openxmlformats.org/package/2006/metadata/core-properties' " w:xpath="/ns1:coreProperties[1]/ns0:title[1]" w:storeItemID="{6C3C8BC8-F283-45AE-878A-BAB7291924A1}"/>
        <w:text/>
      </w:sdtPr>
      <w:sdtEndPr/>
      <w:sdtContent>
        <w:r w:rsidR="009164D2">
          <w:rPr>
            <w:color w:val="808080" w:themeColor="background1" w:themeShade="80"/>
            <w:szCs w:val="15"/>
            <w:lang w:eastAsia="en-AU"/>
          </w:rPr>
          <w:t>Literature Review Summary Report -  National Evaluation of the Comprehensive Palliative Care in Aged Care Measure</w:t>
        </w:r>
      </w:sdtContent>
    </w:sdt>
    <w:r>
      <w:rPr>
        <w:color w:val="808080" w:themeColor="background1" w:themeShade="80"/>
        <w:szCs w:val="15"/>
        <w:lang w:eastAsia="en-AU"/>
      </w:rPr>
      <w:t xml:space="preserve"> | </w:t>
    </w:r>
    <w:r w:rsidRPr="00FD4AB1">
      <w:rPr>
        <w:rFonts w:ascii="Arial Unicode MS" w:hAnsi="Arial Unicode MS" w:cs="Cambria Math"/>
        <w:color w:val="A5A5A5"/>
      </w:rPr>
      <w:ptab w:relativeTo="margin" w:alignment="right" w:leader="none"/>
    </w:r>
    <w:r w:rsidRPr="00FD4AB1">
      <w:rPr>
        <w:rFonts w:cs="Calibri"/>
        <w:color w:val="A5A5A5"/>
      </w:rPr>
      <w:t xml:space="preserve">| </w:t>
    </w:r>
    <w:r w:rsidRPr="003B464C">
      <w:rPr>
        <w:rFonts w:cs="Calibri"/>
        <w:b/>
        <w:color w:val="A5A5A5"/>
        <w:sz w:val="16"/>
        <w:szCs w:val="16"/>
      </w:rPr>
      <w:fldChar w:fldCharType="begin"/>
    </w:r>
    <w:r w:rsidRPr="003B464C">
      <w:rPr>
        <w:rFonts w:cs="Calibri"/>
        <w:color w:val="A5A5A5"/>
        <w:sz w:val="16"/>
        <w:szCs w:val="16"/>
      </w:rPr>
      <w:instrText xml:space="preserve"> PAGE  \* roman  \* MERGEFORMAT </w:instrText>
    </w:r>
    <w:r w:rsidRPr="003B464C">
      <w:rPr>
        <w:rFonts w:cs="Calibri"/>
        <w:b/>
        <w:color w:val="A5A5A5"/>
        <w:sz w:val="16"/>
        <w:szCs w:val="16"/>
      </w:rPr>
      <w:fldChar w:fldCharType="separate"/>
    </w:r>
    <w:proofErr w:type="spellStart"/>
    <w:r w:rsidRPr="00F75386">
      <w:rPr>
        <w:rFonts w:cs="Calibri"/>
        <w:b/>
        <w:color w:val="A5A5A5"/>
        <w:sz w:val="16"/>
        <w:szCs w:val="16"/>
      </w:rPr>
      <w:t>i</w:t>
    </w:r>
    <w:proofErr w:type="spellEnd"/>
    <w:r w:rsidRPr="003B464C">
      <w:rPr>
        <w:rFonts w:cs="Calibri"/>
        <w:b/>
        <w:color w:val="A5A5A5"/>
        <w:sz w:val="16"/>
        <w:szCs w:val="16"/>
      </w:rPr>
      <w:fldChar w:fldCharType="end"/>
    </w:r>
    <w:r w:rsidRPr="003B464C">
      <w:rPr>
        <w:rFonts w:cs="Calibri"/>
        <w:color w:val="A5A5A5"/>
        <w:sz w:val="16"/>
        <w:szCs w:val="16"/>
      </w:rPr>
      <w:t xml:space="preserve"> </w:t>
    </w:r>
    <w:r w:rsidRPr="00FD4AB1">
      <w:rPr>
        <w:rFonts w:cs="Calibri"/>
        <w:color w:val="A5A5A5"/>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603B3C" w14:textId="46DABD57" w:rsidR="00E844D4" w:rsidRPr="00160BCC" w:rsidRDefault="00E844D4">
    <w:pPr>
      <w:pStyle w:val="Footer"/>
      <w:rPr>
        <w:rFonts w:ascii="Arial Unicode MS" w:hAnsi="Arial Unicode MS" w:cs="Cambria Math"/>
        <w:b/>
      </w:rPr>
    </w:pPr>
    <w:r>
      <w:rPr>
        <w:color w:val="808080" w:themeColor="background1" w:themeShade="80"/>
        <w:szCs w:val="15"/>
        <w:lang w:eastAsia="en-AU"/>
      </w:rPr>
      <w:t xml:space="preserve">Nous Group | </w:t>
    </w:r>
    <w:sdt>
      <w:sdtPr>
        <w:rPr>
          <w:color w:val="808080" w:themeColor="background1" w:themeShade="80"/>
          <w:szCs w:val="15"/>
          <w:lang w:eastAsia="en-AU"/>
        </w:rPr>
        <w:alias w:val="Title"/>
        <w:id w:val="-2087987449"/>
        <w:dataBinding w:prefixMappings="xmlns:ns0='http://purl.org/dc/elements/1.1/' xmlns:ns1='http://schemas.openxmlformats.org/package/2006/metadata/core-properties' " w:xpath="/ns1:coreProperties[1]/ns0:title[1]" w:storeItemID="{6C3C8BC8-F283-45AE-878A-BAB7291924A1}"/>
        <w:text/>
      </w:sdtPr>
      <w:sdtEndPr/>
      <w:sdtContent>
        <w:r w:rsidR="009164D2">
          <w:rPr>
            <w:color w:val="808080" w:themeColor="background1" w:themeShade="80"/>
            <w:szCs w:val="15"/>
            <w:lang w:eastAsia="en-AU"/>
          </w:rPr>
          <w:t>Literature Review Summary Report -  National Evaluation of the Comprehensive Palliative Care in Aged Care Measure</w:t>
        </w:r>
      </w:sdtContent>
    </w:sdt>
    <w:r>
      <w:rPr>
        <w:color w:val="808080" w:themeColor="background1" w:themeShade="80"/>
        <w:szCs w:val="15"/>
        <w:lang w:eastAsia="en-AU"/>
      </w:rPr>
      <w:t xml:space="preserve"> | </w:t>
    </w:r>
    <w:sdt>
      <w:sdtPr>
        <w:rPr>
          <w:color w:val="808080" w:themeColor="background1" w:themeShade="80"/>
          <w:szCs w:val="15"/>
          <w:lang w:eastAsia="en-AU"/>
        </w:rPr>
        <w:alias w:val="Publish Date"/>
        <w:id w:val="-1956476106"/>
        <w:dataBinding w:prefixMappings="xmlns:ns0='http://schemas.microsoft.com/office/2006/coverPageProps' " w:xpath="/ns0:CoverPageProperties[1]/ns0:PublishDate[1]" w:storeItemID="{55AF091B-3C7A-41E3-B477-F2FDAA23CFDA}"/>
        <w:date w:fullDate="2020-11-30T00:00:00Z">
          <w:dateFormat w:val="d MMMM yyyy"/>
          <w:lid w:val="en-AU"/>
          <w:storeMappedDataAs w:val="dateTime"/>
          <w:calendar w:val="gregorian"/>
        </w:date>
      </w:sdtPr>
      <w:sdtEndPr/>
      <w:sdtContent>
        <w:r w:rsidR="00FE58E5">
          <w:rPr>
            <w:color w:val="808080" w:themeColor="background1" w:themeShade="80"/>
            <w:szCs w:val="15"/>
            <w:lang w:eastAsia="en-AU"/>
          </w:rPr>
          <w:t>30 November 2020</w:t>
        </w:r>
      </w:sdtContent>
    </w:sdt>
    <w:r w:rsidRPr="00FD4AB1">
      <w:rPr>
        <w:rFonts w:ascii="Arial Unicode MS" w:hAnsi="Arial Unicode MS" w:cs="Cambria Math"/>
        <w:color w:val="A5A5A5"/>
      </w:rPr>
      <w:ptab w:relativeTo="margin" w:alignment="right" w:leader="none"/>
    </w:r>
    <w:r w:rsidRPr="00076505">
      <w:rPr>
        <w:rFonts w:cs="Calibri"/>
        <w:color w:val="808080" w:themeColor="background1" w:themeShade="80"/>
      </w:rPr>
      <w:t>|</w:t>
    </w:r>
    <w:r w:rsidRPr="00076505">
      <w:rPr>
        <w:rFonts w:ascii="Arial Unicode MS" w:hAnsi="Arial Unicode MS" w:cs="Cambria Math"/>
        <w:color w:val="808080" w:themeColor="background1" w:themeShade="80"/>
      </w:rPr>
      <w:t xml:space="preserve"> </w:t>
    </w:r>
    <w:r>
      <w:rPr>
        <w:rFonts w:ascii="Arial Unicode MS" w:hAnsi="Arial Unicode MS" w:cs="Cambria Math"/>
        <w:b/>
        <w:color w:val="808080" w:themeColor="background1" w:themeShade="80"/>
      </w:rPr>
      <w:fldChar w:fldCharType="begin"/>
    </w:r>
    <w:r>
      <w:rPr>
        <w:rFonts w:ascii="Arial Unicode MS" w:hAnsi="Arial Unicode MS" w:cs="Cambria Math"/>
        <w:b/>
        <w:color w:val="808080" w:themeColor="background1" w:themeShade="80"/>
      </w:rPr>
      <w:instrText xml:space="preserve"> PAGE  \* roman  \* MERGEFORMAT </w:instrText>
    </w:r>
    <w:r>
      <w:rPr>
        <w:rFonts w:ascii="Arial Unicode MS" w:hAnsi="Arial Unicode MS" w:cs="Cambria Math"/>
        <w:b/>
        <w:color w:val="808080" w:themeColor="background1" w:themeShade="80"/>
      </w:rPr>
      <w:fldChar w:fldCharType="separate"/>
    </w:r>
    <w:r w:rsidR="00882B8D">
      <w:rPr>
        <w:rFonts w:ascii="Arial Unicode MS" w:hAnsi="Arial Unicode MS" w:cs="Cambria Math"/>
        <w:b/>
        <w:noProof/>
        <w:color w:val="808080" w:themeColor="background1" w:themeShade="80"/>
      </w:rPr>
      <w:t>ii</w:t>
    </w:r>
    <w:r>
      <w:rPr>
        <w:rFonts w:ascii="Arial Unicode MS" w:hAnsi="Arial Unicode MS" w:cs="Cambria Math"/>
        <w:b/>
        <w:color w:val="808080" w:themeColor="background1" w:themeShade="80"/>
      </w:rPr>
      <w:fldChar w:fldCharType="end"/>
    </w:r>
    <w:r w:rsidRPr="00076505">
      <w:rPr>
        <w:rFonts w:ascii="Arial Unicode MS" w:hAnsi="Arial Unicode MS" w:cs="Cambria Math"/>
        <w:color w:val="808080" w:themeColor="background1" w:themeShade="80"/>
      </w:rPr>
      <w:t xml:space="preserve"> </w:t>
    </w:r>
    <w:r w:rsidRPr="00076505">
      <w:rPr>
        <w:rFonts w:cs="Calibri"/>
        <w:color w:val="808080" w:themeColor="background1" w:themeShade="80"/>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603B3E" w14:textId="6F227034" w:rsidR="00E844D4" w:rsidRPr="00774F4F" w:rsidRDefault="00E844D4">
    <w:pPr>
      <w:pStyle w:val="Footer"/>
      <w:rPr>
        <w:rFonts w:ascii="Arial Unicode MS" w:hAnsi="Arial Unicode MS" w:cs="Cambria Math"/>
        <w:b/>
      </w:rPr>
    </w:pPr>
    <w:r>
      <w:rPr>
        <w:color w:val="808080" w:themeColor="background1" w:themeShade="80"/>
        <w:szCs w:val="15"/>
        <w:lang w:eastAsia="en-AU"/>
      </w:rPr>
      <w:t xml:space="preserve">Nous Group | </w:t>
    </w:r>
    <w:sdt>
      <w:sdtPr>
        <w:rPr>
          <w:color w:val="808080" w:themeColor="background1" w:themeShade="80"/>
          <w:szCs w:val="15"/>
          <w:lang w:eastAsia="en-AU"/>
        </w:rPr>
        <w:alias w:val="Title"/>
        <w:id w:val="1135522452"/>
        <w:dataBinding w:prefixMappings="xmlns:ns0='http://purl.org/dc/elements/1.1/' xmlns:ns1='http://schemas.openxmlformats.org/package/2006/metadata/core-properties' " w:xpath="/ns1:coreProperties[1]/ns0:title[1]" w:storeItemID="{6C3C8BC8-F283-45AE-878A-BAB7291924A1}"/>
        <w:text/>
      </w:sdtPr>
      <w:sdtEndPr/>
      <w:sdtContent>
        <w:r w:rsidR="009164D2">
          <w:rPr>
            <w:color w:val="808080" w:themeColor="background1" w:themeShade="80"/>
            <w:szCs w:val="15"/>
            <w:lang w:eastAsia="en-AU"/>
          </w:rPr>
          <w:t>Literature Review Summary Report -  National Evaluation of the Comprehensive Palliative Care in Aged Care Measure</w:t>
        </w:r>
      </w:sdtContent>
    </w:sdt>
    <w:r>
      <w:rPr>
        <w:color w:val="808080" w:themeColor="background1" w:themeShade="80"/>
        <w:szCs w:val="15"/>
        <w:lang w:eastAsia="en-AU"/>
      </w:rPr>
      <w:t xml:space="preserve"> | </w:t>
    </w:r>
    <w:sdt>
      <w:sdtPr>
        <w:rPr>
          <w:color w:val="808080" w:themeColor="background1" w:themeShade="80"/>
          <w:szCs w:val="15"/>
          <w:lang w:eastAsia="en-AU"/>
        </w:rPr>
        <w:alias w:val="Publish Date"/>
        <w:id w:val="1277762111"/>
        <w:dataBinding w:prefixMappings="xmlns:ns0='http://schemas.microsoft.com/office/2006/coverPageProps' " w:xpath="/ns0:CoverPageProperties[1]/ns0:PublishDate[1]" w:storeItemID="{55AF091B-3C7A-41E3-B477-F2FDAA23CFDA}"/>
        <w:date w:fullDate="2020-11-30T00:00:00Z">
          <w:dateFormat w:val="d MMMM yyyy"/>
          <w:lid w:val="en-AU"/>
          <w:storeMappedDataAs w:val="dateTime"/>
          <w:calendar w:val="gregorian"/>
        </w:date>
      </w:sdtPr>
      <w:sdtEndPr/>
      <w:sdtContent>
        <w:r w:rsidR="00FE58E5">
          <w:rPr>
            <w:color w:val="808080" w:themeColor="background1" w:themeShade="80"/>
            <w:szCs w:val="15"/>
            <w:lang w:eastAsia="en-AU"/>
          </w:rPr>
          <w:t>30 November 2020</w:t>
        </w:r>
      </w:sdtContent>
    </w:sdt>
    <w:r w:rsidRPr="00FD4AB1">
      <w:rPr>
        <w:rFonts w:ascii="Arial Unicode MS" w:hAnsi="Arial Unicode MS" w:cs="Cambria Math"/>
        <w:color w:val="A5A5A5"/>
      </w:rPr>
      <w:ptab w:relativeTo="margin" w:alignment="right" w:leader="none"/>
    </w:r>
    <w:r w:rsidRPr="00076505">
      <w:rPr>
        <w:rFonts w:cs="Calibri"/>
        <w:color w:val="808080" w:themeColor="background1" w:themeShade="80"/>
      </w:rPr>
      <w:t>|</w:t>
    </w:r>
    <w:r w:rsidRPr="00076505">
      <w:rPr>
        <w:rFonts w:ascii="Arial Unicode MS" w:hAnsi="Arial Unicode MS" w:cs="Cambria Math"/>
        <w:color w:val="808080" w:themeColor="background1" w:themeShade="80"/>
      </w:rPr>
      <w:t xml:space="preserve"> </w:t>
    </w:r>
    <w:r w:rsidRPr="00076505">
      <w:rPr>
        <w:rFonts w:ascii="Arial Unicode MS" w:hAnsi="Arial Unicode MS" w:cs="Cambria Math"/>
        <w:b/>
        <w:color w:val="808080" w:themeColor="background1" w:themeShade="80"/>
      </w:rPr>
      <w:fldChar w:fldCharType="begin"/>
    </w:r>
    <w:r w:rsidRPr="00076505">
      <w:rPr>
        <w:rFonts w:ascii="Arial Unicode MS" w:hAnsi="Arial Unicode MS" w:cs="Cambria Math"/>
        <w:color w:val="808080" w:themeColor="background1" w:themeShade="80"/>
      </w:rPr>
      <w:instrText xml:space="preserve"> PAGE  \* roman  \* MERGEFORMAT </w:instrText>
    </w:r>
    <w:r w:rsidRPr="00076505">
      <w:rPr>
        <w:rFonts w:ascii="Arial Unicode MS" w:hAnsi="Arial Unicode MS" w:cs="Cambria Math"/>
        <w:b/>
        <w:color w:val="808080" w:themeColor="background1" w:themeShade="80"/>
      </w:rPr>
      <w:fldChar w:fldCharType="separate"/>
    </w:r>
    <w:r w:rsidR="00882B8D">
      <w:rPr>
        <w:rFonts w:ascii="Arial Unicode MS" w:hAnsi="Arial Unicode MS" w:cs="Cambria Math"/>
        <w:noProof/>
        <w:color w:val="808080" w:themeColor="background1" w:themeShade="80"/>
      </w:rPr>
      <w:t>i</w:t>
    </w:r>
    <w:r w:rsidRPr="00076505">
      <w:rPr>
        <w:rFonts w:ascii="Arial Unicode MS" w:hAnsi="Arial Unicode MS" w:cs="Cambria Math"/>
        <w:b/>
        <w:color w:val="808080" w:themeColor="background1" w:themeShade="80"/>
      </w:rPr>
      <w:fldChar w:fldCharType="end"/>
    </w:r>
    <w:r w:rsidRPr="00076505">
      <w:rPr>
        <w:rFonts w:ascii="Arial Unicode MS" w:hAnsi="Arial Unicode MS" w:cs="Cambria Math"/>
        <w:color w:val="808080" w:themeColor="background1" w:themeShade="80"/>
      </w:rPr>
      <w:t xml:space="preserve"> </w:t>
    </w:r>
    <w:r w:rsidRPr="00076505">
      <w:rPr>
        <w:rFonts w:cs="Calibri"/>
        <w:color w:val="808080" w:themeColor="background1" w:themeShade="80"/>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B8E92A" w14:textId="3ABDF044" w:rsidR="00E844D4" w:rsidRPr="00160BCC" w:rsidRDefault="00E844D4">
    <w:pPr>
      <w:pStyle w:val="Footer"/>
      <w:rPr>
        <w:rFonts w:ascii="Arial Unicode MS" w:hAnsi="Arial Unicode MS" w:cs="Cambria Math"/>
        <w:b/>
      </w:rPr>
    </w:pPr>
    <w:r>
      <w:rPr>
        <w:color w:val="808080" w:themeColor="background1" w:themeShade="80"/>
        <w:szCs w:val="15"/>
        <w:lang w:eastAsia="en-AU"/>
      </w:rPr>
      <w:t xml:space="preserve">Nous Group | </w:t>
    </w:r>
    <w:sdt>
      <w:sdtPr>
        <w:rPr>
          <w:color w:val="808080" w:themeColor="background1" w:themeShade="80"/>
          <w:szCs w:val="15"/>
          <w:lang w:eastAsia="en-AU"/>
        </w:rPr>
        <w:alias w:val="Title"/>
        <w:id w:val="-1931811128"/>
        <w:dataBinding w:prefixMappings="xmlns:ns0='http://purl.org/dc/elements/1.1/' xmlns:ns1='http://schemas.openxmlformats.org/package/2006/metadata/core-properties' " w:xpath="/ns1:coreProperties[1]/ns0:title[1]" w:storeItemID="{6C3C8BC8-F283-45AE-878A-BAB7291924A1}"/>
        <w:text/>
      </w:sdtPr>
      <w:sdtEndPr/>
      <w:sdtContent>
        <w:r w:rsidR="009164D2">
          <w:rPr>
            <w:color w:val="808080" w:themeColor="background1" w:themeShade="80"/>
            <w:szCs w:val="15"/>
            <w:lang w:eastAsia="en-AU"/>
          </w:rPr>
          <w:t>Literature Review Summary Report -  National Evaluation of the Comprehensive Palliative Care in Aged Care Measure</w:t>
        </w:r>
      </w:sdtContent>
    </w:sdt>
    <w:r>
      <w:rPr>
        <w:color w:val="808080" w:themeColor="background1" w:themeShade="80"/>
        <w:szCs w:val="15"/>
        <w:lang w:eastAsia="en-AU"/>
      </w:rPr>
      <w:t xml:space="preserve"> | </w:t>
    </w:r>
    <w:r w:rsidR="00EF3F67">
      <w:rPr>
        <w:color w:val="808080" w:themeColor="background1" w:themeShade="80"/>
        <w:szCs w:val="15"/>
        <w:lang w:eastAsia="en-AU"/>
      </w:rPr>
      <w:t>30 November 2020</w:t>
    </w:r>
    <w:r w:rsidRPr="00FD4AB1">
      <w:rPr>
        <w:rFonts w:ascii="Arial Unicode MS" w:hAnsi="Arial Unicode MS" w:cs="Cambria Math"/>
        <w:color w:val="A5A5A5"/>
      </w:rPr>
      <w:ptab w:relativeTo="margin" w:alignment="right" w:leader="none"/>
    </w:r>
    <w:r w:rsidRPr="00076505">
      <w:rPr>
        <w:rFonts w:cs="Calibri"/>
        <w:color w:val="808080" w:themeColor="background1" w:themeShade="80"/>
      </w:rPr>
      <w:t>|</w:t>
    </w:r>
    <w:r w:rsidRPr="00076505">
      <w:rPr>
        <w:rFonts w:ascii="Arial Unicode MS" w:hAnsi="Arial Unicode MS" w:cs="Cambria Math"/>
        <w:color w:val="808080" w:themeColor="background1" w:themeShade="80"/>
      </w:rPr>
      <w:t xml:space="preserve"> </w:t>
    </w:r>
    <w:r>
      <w:rPr>
        <w:rFonts w:ascii="Arial Unicode MS" w:hAnsi="Arial Unicode MS" w:cs="Cambria Math"/>
        <w:b/>
        <w:color w:val="808080" w:themeColor="background1" w:themeShade="80"/>
      </w:rPr>
      <w:fldChar w:fldCharType="begin"/>
    </w:r>
    <w:r>
      <w:rPr>
        <w:rFonts w:ascii="Arial Unicode MS" w:hAnsi="Arial Unicode MS" w:cs="Cambria Math"/>
        <w:b/>
        <w:color w:val="808080" w:themeColor="background1" w:themeShade="80"/>
      </w:rPr>
      <w:instrText xml:space="preserve"> PAGE  \* Arabic  \* MERGEFORMAT </w:instrText>
    </w:r>
    <w:r>
      <w:rPr>
        <w:rFonts w:ascii="Arial Unicode MS" w:hAnsi="Arial Unicode MS" w:cs="Cambria Math"/>
        <w:b/>
        <w:color w:val="808080" w:themeColor="background1" w:themeShade="80"/>
      </w:rPr>
      <w:fldChar w:fldCharType="separate"/>
    </w:r>
    <w:r w:rsidR="00882B8D">
      <w:rPr>
        <w:rFonts w:ascii="Arial Unicode MS" w:hAnsi="Arial Unicode MS" w:cs="Cambria Math"/>
        <w:b/>
        <w:noProof/>
        <w:color w:val="808080" w:themeColor="background1" w:themeShade="80"/>
      </w:rPr>
      <w:t>13</w:t>
    </w:r>
    <w:r>
      <w:rPr>
        <w:rFonts w:ascii="Arial Unicode MS" w:hAnsi="Arial Unicode MS" w:cs="Cambria Math"/>
        <w:b/>
        <w:color w:val="808080" w:themeColor="background1" w:themeShade="80"/>
      </w:rPr>
      <w:fldChar w:fldCharType="end"/>
    </w:r>
    <w:r w:rsidRPr="00076505">
      <w:rPr>
        <w:rFonts w:ascii="Arial Unicode MS" w:hAnsi="Arial Unicode MS" w:cs="Cambria Math"/>
        <w:color w:val="808080" w:themeColor="background1" w:themeShade="80"/>
      </w:rPr>
      <w:t xml:space="preserve"> </w:t>
    </w:r>
    <w:r w:rsidRPr="00076505">
      <w:rPr>
        <w:rFonts w:cs="Calibri"/>
        <w:color w:val="808080" w:themeColor="background1" w:themeShade="8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B77D59" w14:textId="77777777" w:rsidR="002F21A9" w:rsidRDefault="002F21A9" w:rsidP="00302076">
      <w:pPr>
        <w:spacing w:after="0"/>
      </w:pPr>
      <w:r>
        <w:separator/>
      </w:r>
    </w:p>
    <w:p w14:paraId="53507C66" w14:textId="77777777" w:rsidR="002F21A9" w:rsidRDefault="002F21A9"/>
  </w:footnote>
  <w:footnote w:type="continuationSeparator" w:id="0">
    <w:p w14:paraId="7B677667" w14:textId="77777777" w:rsidR="002F21A9" w:rsidRDefault="002F21A9" w:rsidP="00302076">
      <w:pPr>
        <w:spacing w:after="0"/>
      </w:pPr>
      <w:r>
        <w:continuationSeparator/>
      </w:r>
    </w:p>
    <w:p w14:paraId="4B364B99" w14:textId="77777777" w:rsidR="002F21A9" w:rsidRDefault="002F21A9"/>
  </w:footnote>
  <w:footnote w:type="continuationNotice" w:id="1">
    <w:p w14:paraId="5DF9B6AA" w14:textId="77777777" w:rsidR="002F21A9" w:rsidRDefault="002F21A9">
      <w:pPr>
        <w:spacing w:after="0"/>
      </w:pPr>
    </w:p>
    <w:p w14:paraId="4FE18261" w14:textId="77777777" w:rsidR="002F21A9" w:rsidRDefault="002F21A9"/>
  </w:footnote>
  <w:footnote w:id="2">
    <w:p w14:paraId="1117AF6E" w14:textId="225DC9DC" w:rsidR="00390411" w:rsidRDefault="00390411">
      <w:pPr>
        <w:pStyle w:val="FootnoteText"/>
      </w:pPr>
      <w:r>
        <w:rPr>
          <w:rStyle w:val="FootnoteReference"/>
        </w:rPr>
        <w:footnoteRef/>
      </w:r>
      <w:r>
        <w:t xml:space="preserve"> </w:t>
      </w:r>
      <w:r w:rsidR="00E663A2">
        <w:t>Information from the Department of Health indicates that this is a recognised key area, with work currently underway to address challenges for RACF residents accessing health services</w:t>
      </w:r>
      <w:r w:rsidR="00F56A46">
        <w:t xml:space="preserve"> (as at November 2020)</w:t>
      </w:r>
      <w:r w:rsidR="00E663A2">
        <w:t>.</w:t>
      </w:r>
    </w:p>
  </w:footnote>
  <w:footnote w:id="3">
    <w:p w14:paraId="19337F2A" w14:textId="77777777" w:rsidR="00E844D4" w:rsidRDefault="00E844D4" w:rsidP="00A947FA">
      <w:pPr>
        <w:pStyle w:val="FootnoteText"/>
      </w:pPr>
      <w:r>
        <w:rPr>
          <w:rStyle w:val="FootnoteReference"/>
        </w:rPr>
        <w:footnoteRef/>
      </w:r>
      <w:r>
        <w:t xml:space="preserve"> </w:t>
      </w:r>
      <w:r w:rsidRPr="0002230E">
        <w:t>Palliative Care Australia, "Palliative Care 2030." 2019.</w:t>
      </w:r>
    </w:p>
  </w:footnote>
  <w:footnote w:id="4">
    <w:p w14:paraId="67A21F2F" w14:textId="77777777" w:rsidR="00E844D4" w:rsidRDefault="00E844D4" w:rsidP="00A947FA">
      <w:pPr>
        <w:pStyle w:val="FootnoteText"/>
      </w:pPr>
      <w:r>
        <w:rPr>
          <w:rStyle w:val="FootnoteReference"/>
        </w:rPr>
        <w:footnoteRef/>
      </w:r>
      <w:r>
        <w:t xml:space="preserve"> </w:t>
      </w:r>
      <w:r w:rsidRPr="00695215">
        <w:rPr>
          <w:rStyle w:val="FooterChar"/>
        </w:rPr>
        <w:t xml:space="preserve">World Health Organisation, </w:t>
      </w:r>
      <w:r>
        <w:rPr>
          <w:rStyle w:val="FooterChar"/>
        </w:rPr>
        <w:t>“</w:t>
      </w:r>
      <w:r w:rsidRPr="00695215">
        <w:rPr>
          <w:rStyle w:val="FooterChar"/>
        </w:rPr>
        <w:t>WHO Definition of Palliative Care</w:t>
      </w:r>
      <w:r>
        <w:rPr>
          <w:rStyle w:val="FooterChar"/>
        </w:rPr>
        <w:t xml:space="preserve">” </w:t>
      </w:r>
      <w:r w:rsidRPr="00695215">
        <w:rPr>
          <w:rStyle w:val="FooterChar"/>
        </w:rPr>
        <w:t>2018</w:t>
      </w:r>
      <w:r>
        <w:rPr>
          <w:rStyle w:val="FooterChar"/>
        </w:rPr>
        <w:t>.</w:t>
      </w:r>
    </w:p>
  </w:footnote>
  <w:footnote w:id="5">
    <w:p w14:paraId="50D6CB95" w14:textId="3445BCBF" w:rsidR="00416972" w:rsidRDefault="00416972">
      <w:pPr>
        <w:pStyle w:val="FootnoteText"/>
      </w:pPr>
      <w:r>
        <w:rPr>
          <w:rStyle w:val="FootnoteReference"/>
        </w:rPr>
        <w:footnoteRef/>
      </w:r>
      <w:r>
        <w:t xml:space="preserve"> Australian Government Department of Health, “National Palliative Care Strategy 2018”, 2018.</w:t>
      </w:r>
    </w:p>
  </w:footnote>
  <w:footnote w:id="6">
    <w:p w14:paraId="72460DF2" w14:textId="0D0B8812" w:rsidR="00730B87" w:rsidRDefault="00730B87">
      <w:pPr>
        <w:pStyle w:val="FootnoteText"/>
      </w:pPr>
      <w:r>
        <w:rPr>
          <w:rStyle w:val="FootnoteReference"/>
        </w:rPr>
        <w:footnoteRef/>
      </w:r>
      <w:r>
        <w:t xml:space="preserve"> Palliative Care Australia, “What is Palliative Care?”, Date unknown.</w:t>
      </w:r>
    </w:p>
  </w:footnote>
  <w:footnote w:id="7">
    <w:p w14:paraId="414D31C6" w14:textId="77A27A75" w:rsidR="003D5721" w:rsidRDefault="003D5721">
      <w:pPr>
        <w:pStyle w:val="FootnoteText"/>
      </w:pPr>
      <w:r>
        <w:rPr>
          <w:rStyle w:val="FootnoteReference"/>
        </w:rPr>
        <w:footnoteRef/>
      </w:r>
      <w:r>
        <w:t xml:space="preserve"> Palliative Care Outcomes Collaboration, “Palliative Care Outcomes Collaboration”, date unknown.</w:t>
      </w:r>
    </w:p>
  </w:footnote>
  <w:footnote w:id="8">
    <w:p w14:paraId="047BCE47" w14:textId="5FB22A70" w:rsidR="0075323A" w:rsidRDefault="0075323A">
      <w:pPr>
        <w:pStyle w:val="FootnoteText"/>
      </w:pPr>
      <w:r>
        <w:rPr>
          <w:rStyle w:val="FootnoteReference"/>
        </w:rPr>
        <w:footnoteRef/>
      </w:r>
      <w:r>
        <w:t xml:space="preserve"> Palliative Care Australi</w:t>
      </w:r>
      <w:r w:rsidR="00CF7357">
        <w:t>a</w:t>
      </w:r>
      <w:r>
        <w:t>, “National Palliative Care Standards”, 2018.</w:t>
      </w:r>
    </w:p>
  </w:footnote>
  <w:footnote w:id="9">
    <w:p w14:paraId="5BBD2C60" w14:textId="7B6C2DA3" w:rsidR="00B65732" w:rsidRDefault="00B65732">
      <w:pPr>
        <w:pStyle w:val="FootnoteText"/>
      </w:pPr>
      <w:r>
        <w:rPr>
          <w:rStyle w:val="FootnoteReference"/>
        </w:rPr>
        <w:footnoteRef/>
      </w:r>
      <w:r>
        <w:t xml:space="preserve"> Palliative Care Australia, “What is Palliative Care?”, </w:t>
      </w:r>
      <w:r w:rsidR="00D6672A">
        <w:t>Date unknown.</w:t>
      </w:r>
    </w:p>
  </w:footnote>
  <w:footnote w:id="10">
    <w:p w14:paraId="58A770D2" w14:textId="58844915" w:rsidR="008D02CB" w:rsidRDefault="008D02CB">
      <w:pPr>
        <w:pStyle w:val="FootnoteText"/>
      </w:pPr>
      <w:r>
        <w:rPr>
          <w:rStyle w:val="FootnoteReference"/>
        </w:rPr>
        <w:footnoteRef/>
      </w:r>
      <w:r>
        <w:t xml:space="preserve"> Palliative Care Outcomes Collaboration, “Palliative Care Outcomes Collaboration”, date unknown.</w:t>
      </w:r>
    </w:p>
  </w:footnote>
  <w:footnote w:id="11">
    <w:p w14:paraId="51933F5D" w14:textId="6E8284FB" w:rsidR="00E844D4" w:rsidRDefault="00E844D4" w:rsidP="00A947FA">
      <w:pPr>
        <w:pStyle w:val="FootnoteText"/>
      </w:pPr>
      <w:r>
        <w:rPr>
          <w:rStyle w:val="FootnoteReference"/>
        </w:rPr>
        <w:footnoteRef/>
      </w:r>
      <w:r>
        <w:t xml:space="preserve"> Department of Health, “What is palliative care?” 2019</w:t>
      </w:r>
      <w:r w:rsidR="00DB7FC6">
        <w:t>.</w:t>
      </w:r>
    </w:p>
  </w:footnote>
  <w:footnote w:id="12">
    <w:p w14:paraId="18F2C534" w14:textId="77777777" w:rsidR="00E844D4" w:rsidRDefault="00E844D4" w:rsidP="00A947FA">
      <w:pPr>
        <w:pStyle w:val="FootnoteText"/>
      </w:pPr>
      <w:r>
        <w:rPr>
          <w:rStyle w:val="FootnoteReference"/>
        </w:rPr>
        <w:footnoteRef/>
      </w:r>
      <w:r>
        <w:t xml:space="preserve"> </w:t>
      </w:r>
      <w:r w:rsidRPr="004E0F16">
        <w:t>Grattan Institute, "Dying Well." 2014.</w:t>
      </w:r>
    </w:p>
  </w:footnote>
  <w:footnote w:id="13">
    <w:p w14:paraId="34841D61" w14:textId="77777777" w:rsidR="00E844D4" w:rsidRDefault="00E844D4" w:rsidP="00A947FA">
      <w:pPr>
        <w:pStyle w:val="FootnoteText"/>
      </w:pPr>
      <w:r>
        <w:rPr>
          <w:rStyle w:val="FootnoteReference"/>
        </w:rPr>
        <w:footnoteRef/>
      </w:r>
      <w:r>
        <w:t xml:space="preserve"> </w:t>
      </w:r>
      <w:r w:rsidRPr="0002230E">
        <w:t>Palliative Care Australia, "Palliative Care 2030." 2019.</w:t>
      </w:r>
    </w:p>
  </w:footnote>
  <w:footnote w:id="14">
    <w:p w14:paraId="4B67E2A3" w14:textId="77777777" w:rsidR="00E844D4" w:rsidRDefault="00E844D4" w:rsidP="00A947FA">
      <w:pPr>
        <w:pStyle w:val="FootnoteText"/>
      </w:pPr>
      <w:r>
        <w:rPr>
          <w:rStyle w:val="FootnoteReference"/>
        </w:rPr>
        <w:footnoteRef/>
      </w:r>
      <w:r>
        <w:t xml:space="preserve"> </w:t>
      </w:r>
      <w:r w:rsidRPr="0053280B">
        <w:t>Highet, G, Crawford, D, Murray, S, Boyd, K, "Development and evaluation of the Supportive and Palliative Care Indicators Tool (SPICT): a mixed-methods study," British Medical Journal. 2018.</w:t>
      </w:r>
    </w:p>
  </w:footnote>
  <w:footnote w:id="15">
    <w:p w14:paraId="6B6E5D3B" w14:textId="77777777" w:rsidR="00E844D4" w:rsidRDefault="00E844D4" w:rsidP="00A947FA">
      <w:pPr>
        <w:pStyle w:val="FootnoteText"/>
      </w:pPr>
      <w:r>
        <w:rPr>
          <w:rStyle w:val="FootnoteReference"/>
        </w:rPr>
        <w:footnoteRef/>
      </w:r>
      <w:r>
        <w:t xml:space="preserve"> </w:t>
      </w:r>
      <w:r w:rsidRPr="00570015">
        <w:t>Liu, W-M, Koerner, J, Lawrence, L et al., 'Improved Quality of Death and Dying in Care Homes: A Palliative Care Stepped Wedge Randomized Control Trial in Australia,' The American Geriatrics Society. 2019.</w:t>
      </w:r>
    </w:p>
  </w:footnote>
  <w:footnote w:id="16">
    <w:p w14:paraId="2E7E201D" w14:textId="66CD59FE" w:rsidR="00030150" w:rsidRDefault="00030150">
      <w:pPr>
        <w:pStyle w:val="FootnoteText"/>
      </w:pPr>
      <w:r>
        <w:rPr>
          <w:rStyle w:val="FootnoteReference"/>
        </w:rPr>
        <w:footnoteRef/>
      </w:r>
      <w:r>
        <w:t xml:space="preserve"> </w:t>
      </w:r>
      <w:r w:rsidR="00B7320B">
        <w:t>Australian Government Department of Health, “National Palliative Care Strategy 2018”, 2018.</w:t>
      </w:r>
    </w:p>
  </w:footnote>
  <w:footnote w:id="17">
    <w:p w14:paraId="61D0F923" w14:textId="0E3E1DBB" w:rsidR="009D232B" w:rsidRDefault="009D232B">
      <w:pPr>
        <w:pStyle w:val="FootnoteText"/>
      </w:pPr>
      <w:r>
        <w:rPr>
          <w:rStyle w:val="FootnoteReference"/>
        </w:rPr>
        <w:footnoteRef/>
      </w:r>
      <w:r>
        <w:t xml:space="preserve"> </w:t>
      </w:r>
      <w:r w:rsidR="00B539CB">
        <w:t>Ibid</w:t>
      </w:r>
    </w:p>
  </w:footnote>
  <w:footnote w:id="18">
    <w:p w14:paraId="0CB1ECF0" w14:textId="7869CE37" w:rsidR="0088622E" w:rsidRDefault="0088622E">
      <w:pPr>
        <w:pStyle w:val="FootnoteText"/>
      </w:pPr>
      <w:r>
        <w:rPr>
          <w:rStyle w:val="FootnoteReference"/>
        </w:rPr>
        <w:footnoteRef/>
      </w:r>
      <w:r>
        <w:t xml:space="preserve"> </w:t>
      </w:r>
      <w:r w:rsidR="00407004">
        <w:t>Aged Care Quality and Safety Commission, “Guidance and resources for providers to support the Aged Care Quality Standards”. 2019</w:t>
      </w:r>
      <w:r w:rsidR="00F161A6">
        <w:t>.</w:t>
      </w:r>
    </w:p>
  </w:footnote>
  <w:footnote w:id="19">
    <w:p w14:paraId="71C9FABA" w14:textId="0D94D324" w:rsidR="00E844D4" w:rsidRDefault="00E844D4" w:rsidP="00F04A45">
      <w:pPr>
        <w:pStyle w:val="FootnoteText"/>
      </w:pPr>
      <w:r>
        <w:rPr>
          <w:rStyle w:val="FootnoteReference"/>
        </w:rPr>
        <w:footnoteRef/>
      </w:r>
      <w:r>
        <w:t xml:space="preserve"> Palliative Care Australia, “Principles for palliative and end-of-life care in residential aged care”. 2017. Note that for consistency in this report, references to consumers have been changed to residents.</w:t>
      </w:r>
    </w:p>
  </w:footnote>
  <w:footnote w:id="20">
    <w:p w14:paraId="3A8D0496" w14:textId="0C560D15" w:rsidR="00E844D4" w:rsidRDefault="00E844D4">
      <w:pPr>
        <w:pStyle w:val="FootnoteText"/>
      </w:pPr>
      <w:r>
        <w:rPr>
          <w:rStyle w:val="FootnoteReference"/>
        </w:rPr>
        <w:footnoteRef/>
      </w:r>
      <w:r>
        <w:t xml:space="preserve"> Department of Health, “Advance care planning”, 2019.</w:t>
      </w:r>
    </w:p>
  </w:footnote>
  <w:footnote w:id="21">
    <w:p w14:paraId="6490FE84" w14:textId="77777777" w:rsidR="00E844D4" w:rsidRDefault="00E844D4" w:rsidP="00A947FA">
      <w:pPr>
        <w:pStyle w:val="FootnoteText"/>
      </w:pPr>
      <w:r>
        <w:rPr>
          <w:rStyle w:val="FootnoteReference"/>
        </w:rPr>
        <w:footnoteRef/>
      </w:r>
      <w:r>
        <w:t xml:space="preserve"> </w:t>
      </w:r>
      <w:r w:rsidRPr="00E1698E">
        <w:t>Chapman, M, Johnston, N, Lovell, C, et al., "Avoiding costly hospitalisation at end of life: findings from a specialist palliative care pilot in residential care for older adults," British Medical Journal. 2015.</w:t>
      </w:r>
    </w:p>
  </w:footnote>
  <w:footnote w:id="22">
    <w:p w14:paraId="60AD7C0C" w14:textId="5C409A59" w:rsidR="00E844D4" w:rsidRDefault="00E844D4" w:rsidP="002520AA">
      <w:pPr>
        <w:pStyle w:val="FootnoteText"/>
      </w:pPr>
      <w:r>
        <w:rPr>
          <w:rStyle w:val="FootnoteReference"/>
        </w:rPr>
        <w:footnoteRef/>
      </w:r>
      <w:r>
        <w:t xml:space="preserve"> University of Wollongong Australia, “Palliative Care Outcomes Collaboration”, 2020.</w:t>
      </w:r>
    </w:p>
  </w:footnote>
  <w:footnote w:id="23">
    <w:p w14:paraId="7A7CC59A" w14:textId="00C7CED2" w:rsidR="00E844D4" w:rsidRDefault="00E844D4" w:rsidP="002520AA">
      <w:pPr>
        <w:pStyle w:val="FootnoteText"/>
      </w:pPr>
      <w:r>
        <w:rPr>
          <w:rStyle w:val="FootnoteReference"/>
        </w:rPr>
        <w:footnoteRef/>
      </w:r>
      <w:r>
        <w:t xml:space="preserve"> University of Wollongong Australia, “Assessment forms”, 2020.</w:t>
      </w:r>
    </w:p>
  </w:footnote>
  <w:footnote w:id="24">
    <w:p w14:paraId="2980F668" w14:textId="77777777" w:rsidR="00E844D4" w:rsidRDefault="00E844D4">
      <w:pPr>
        <w:pStyle w:val="FootnoteText"/>
      </w:pPr>
      <w:r>
        <w:rPr>
          <w:rStyle w:val="FootnoteReference"/>
        </w:rPr>
        <w:footnoteRef/>
      </w:r>
      <w:r>
        <w:t xml:space="preserve"> </w:t>
      </w:r>
      <w:r w:rsidRPr="00695215">
        <w:t>Department of Health, "National Palliative Care Strategy." 2018.</w:t>
      </w:r>
    </w:p>
  </w:footnote>
  <w:footnote w:id="25">
    <w:p w14:paraId="7E4312F0" w14:textId="77777777" w:rsidR="00E844D4" w:rsidRDefault="00E844D4">
      <w:pPr>
        <w:pStyle w:val="FootnoteText"/>
      </w:pPr>
      <w:r>
        <w:rPr>
          <w:rStyle w:val="FootnoteReference"/>
        </w:rPr>
        <w:footnoteRef/>
      </w:r>
      <w:r>
        <w:t xml:space="preserve"> </w:t>
      </w:r>
      <w:r w:rsidRPr="00895E82">
        <w:t>KPMG &amp; Palliative Care Australia, "Investing to save." 2020.</w:t>
      </w:r>
    </w:p>
  </w:footnote>
  <w:footnote w:id="26">
    <w:p w14:paraId="6E3A721A" w14:textId="77777777" w:rsidR="00E844D4" w:rsidRDefault="00E844D4">
      <w:pPr>
        <w:pStyle w:val="FootnoteText"/>
      </w:pPr>
      <w:r>
        <w:rPr>
          <w:rStyle w:val="FootnoteReference"/>
        </w:rPr>
        <w:footnoteRef/>
      </w:r>
      <w:r>
        <w:t xml:space="preserve"> </w:t>
      </w:r>
      <w:r w:rsidRPr="000F3B81">
        <w:t>Carlson, M, Lim, B, Meier, D, "Strategies and innovative models for delivering palliative care in nursing homes," Journal of American Medical Directors Association 12(2): 91-98. 2011.</w:t>
      </w:r>
    </w:p>
  </w:footnote>
  <w:footnote w:id="27">
    <w:p w14:paraId="53384575" w14:textId="77777777" w:rsidR="00E844D4" w:rsidRDefault="00E844D4">
      <w:pPr>
        <w:pStyle w:val="FootnoteText"/>
      </w:pPr>
      <w:r>
        <w:rPr>
          <w:rStyle w:val="FootnoteReference"/>
        </w:rPr>
        <w:footnoteRef/>
      </w:r>
      <w:r>
        <w:t xml:space="preserve"> </w:t>
      </w:r>
      <w:r w:rsidRPr="00DF66CA">
        <w:t>Luckett, T, Phillips, J, Agar, M et al., "Elements of effective palliative care models: a rapid review," BioMed Central, 14(36). 2014.</w:t>
      </w:r>
    </w:p>
  </w:footnote>
  <w:footnote w:id="28">
    <w:p w14:paraId="37EE4D4A" w14:textId="77777777" w:rsidR="00294DBD" w:rsidRDefault="00294DBD" w:rsidP="00294DBD">
      <w:pPr>
        <w:pStyle w:val="FootnoteText"/>
      </w:pPr>
      <w:r>
        <w:rPr>
          <w:rStyle w:val="FootnoteReference"/>
        </w:rPr>
        <w:footnoteRef/>
      </w:r>
      <w:r>
        <w:t xml:space="preserve"> </w:t>
      </w:r>
      <w:r w:rsidRPr="005E6FC5">
        <w:t>Chapman, M, Johnston, N, Lovell, C, et al., "Avoiding costly hospitalisation at end of life: findings from a specialist palliative care pilot in residential care for older adults," British Medical Journal. 2015.</w:t>
      </w:r>
    </w:p>
  </w:footnote>
  <w:footnote w:id="29">
    <w:p w14:paraId="4C17EF0B" w14:textId="77777777" w:rsidR="00294DBD" w:rsidRDefault="00294DBD" w:rsidP="00294DBD">
      <w:pPr>
        <w:pStyle w:val="FootnoteText"/>
      </w:pPr>
      <w:r>
        <w:rPr>
          <w:rStyle w:val="FootnoteReference"/>
        </w:rPr>
        <w:footnoteRef/>
      </w:r>
      <w:r>
        <w:t xml:space="preserve"> Dementia Australia, “Dementia statistics”, 2020.</w:t>
      </w:r>
    </w:p>
  </w:footnote>
  <w:footnote w:id="30">
    <w:p w14:paraId="4D3A46B2" w14:textId="77777777" w:rsidR="00294DBD" w:rsidRDefault="00294DBD" w:rsidP="00294DBD">
      <w:pPr>
        <w:pStyle w:val="FootnoteText"/>
      </w:pPr>
      <w:r>
        <w:rPr>
          <w:rStyle w:val="FootnoteReference"/>
        </w:rPr>
        <w:footnoteRef/>
      </w:r>
      <w:r>
        <w:t xml:space="preserve"> Alzheimer’s Australia, “Quality Dementia Care: Practice in residential aged care facilities for all staff”, 2007.</w:t>
      </w:r>
    </w:p>
  </w:footnote>
  <w:footnote w:id="31">
    <w:p w14:paraId="4FB7025D" w14:textId="77777777" w:rsidR="00294DBD" w:rsidRDefault="00294DBD" w:rsidP="00294DBD">
      <w:pPr>
        <w:pStyle w:val="FootnoteText"/>
      </w:pPr>
      <w:r>
        <w:rPr>
          <w:rStyle w:val="FootnoteReference"/>
        </w:rPr>
        <w:footnoteRef/>
      </w:r>
      <w:r>
        <w:t xml:space="preserve"> Royal Commission into Aged Care Quality and Safety, “Interim Report Volume 1.” 2019.</w:t>
      </w:r>
    </w:p>
  </w:footnote>
  <w:footnote w:id="32">
    <w:p w14:paraId="3AE2929C" w14:textId="77777777" w:rsidR="00294DBD" w:rsidRDefault="00294DBD" w:rsidP="00294DBD">
      <w:pPr>
        <w:pStyle w:val="FootnoteText"/>
      </w:pPr>
      <w:r>
        <w:rPr>
          <w:rStyle w:val="FootnoteReference"/>
        </w:rPr>
        <w:footnoteRef/>
      </w:r>
      <w:r>
        <w:t xml:space="preserve"> Ibid.</w:t>
      </w:r>
    </w:p>
  </w:footnote>
  <w:footnote w:id="33">
    <w:p w14:paraId="211F48EF" w14:textId="77777777" w:rsidR="00294DBD" w:rsidRDefault="00294DBD" w:rsidP="00294DBD">
      <w:pPr>
        <w:pStyle w:val="FootnoteText"/>
      </w:pPr>
      <w:r>
        <w:rPr>
          <w:rStyle w:val="FootnoteReference"/>
        </w:rPr>
        <w:footnoteRef/>
      </w:r>
      <w:r>
        <w:t xml:space="preserve"> Ibid.</w:t>
      </w:r>
    </w:p>
  </w:footnote>
  <w:footnote w:id="34">
    <w:p w14:paraId="30CD76A4" w14:textId="77777777" w:rsidR="00E844D4" w:rsidRDefault="00E844D4" w:rsidP="00A14048">
      <w:pPr>
        <w:pStyle w:val="FootnoteText"/>
      </w:pPr>
      <w:r>
        <w:rPr>
          <w:rStyle w:val="FootnoteReference"/>
        </w:rPr>
        <w:footnoteRef/>
      </w:r>
      <w:r>
        <w:t xml:space="preserve"> </w:t>
      </w:r>
      <w:r w:rsidRPr="006D619C">
        <w:t>Nous Group, "Stocktake and analysis of activities at the interface between the aged care, health and disability systems." 2020.</w:t>
      </w:r>
    </w:p>
  </w:footnote>
  <w:footnote w:id="35">
    <w:p w14:paraId="554D42F3" w14:textId="77777777" w:rsidR="00E844D4" w:rsidRDefault="00E844D4" w:rsidP="00BF4F65">
      <w:pPr>
        <w:pStyle w:val="FootnoteText"/>
      </w:pPr>
      <w:r>
        <w:rPr>
          <w:rStyle w:val="FootnoteReference"/>
        </w:rPr>
        <w:footnoteRef/>
      </w:r>
      <w:r>
        <w:t xml:space="preserve"> </w:t>
      </w:r>
      <w:r w:rsidRPr="00A206BE">
        <w:t>Johnston, N, Lovell, C, Liu-, W-M, et al., "Normalising and planning for death in residential care: findings from a qualitative focus group study of a specialist palliative care intervention," British Medical Journal. 2016.</w:t>
      </w:r>
    </w:p>
  </w:footnote>
  <w:footnote w:id="36">
    <w:p w14:paraId="100E4829" w14:textId="77777777" w:rsidR="00E844D4" w:rsidRDefault="00E844D4">
      <w:pPr>
        <w:pStyle w:val="FootnoteText"/>
      </w:pPr>
      <w:r>
        <w:rPr>
          <w:rStyle w:val="FootnoteReference"/>
        </w:rPr>
        <w:footnoteRef/>
      </w:r>
      <w:r>
        <w:t xml:space="preserve"> Palliative Care Australia, “Principles for palliative and end-of-life care in residential aged care”. 2017.</w:t>
      </w:r>
    </w:p>
  </w:footnote>
  <w:footnote w:id="37">
    <w:p w14:paraId="749D26C6" w14:textId="2AF2E3C6" w:rsidR="00E844D4" w:rsidRDefault="00E844D4">
      <w:pPr>
        <w:pStyle w:val="FootnoteText"/>
      </w:pPr>
      <w:r>
        <w:rPr>
          <w:rStyle w:val="FootnoteReference"/>
        </w:rPr>
        <w:footnoteRef/>
      </w:r>
      <w:r>
        <w:t xml:space="preserve"> </w:t>
      </w:r>
      <w:r w:rsidRPr="004E7B89">
        <w:t>Royal Commission into Aged Care Quality and Safety, "Canberra Hearing - Interfaces between the aged care and the health care systems." 2019.</w:t>
      </w:r>
    </w:p>
  </w:footnote>
  <w:footnote w:id="38">
    <w:p w14:paraId="0EF3053E" w14:textId="77777777" w:rsidR="00E844D4" w:rsidRDefault="00E844D4" w:rsidP="00A14048">
      <w:pPr>
        <w:pStyle w:val="FootnoteText"/>
      </w:pPr>
      <w:r>
        <w:rPr>
          <w:rStyle w:val="FootnoteReference"/>
        </w:rPr>
        <w:footnoteRef/>
      </w:r>
      <w:r>
        <w:t xml:space="preserve"> </w:t>
      </w:r>
      <w:r w:rsidRPr="00895E82">
        <w:t>KPMG &amp; Palliative Care Australia, "Investing to save." 2020.</w:t>
      </w:r>
    </w:p>
  </w:footnote>
  <w:footnote w:id="39">
    <w:p w14:paraId="1C1CE5C8" w14:textId="77777777" w:rsidR="00E844D4" w:rsidRDefault="00E844D4">
      <w:pPr>
        <w:pStyle w:val="FootnoteText"/>
      </w:pPr>
      <w:r>
        <w:rPr>
          <w:rStyle w:val="FootnoteReference"/>
        </w:rPr>
        <w:footnoteRef/>
      </w:r>
      <w:r>
        <w:t xml:space="preserve"> Palliative Care Australia, “Principles for palliative and end-of-life care in residential aged care”. 2017.</w:t>
      </w:r>
    </w:p>
  </w:footnote>
  <w:footnote w:id="40">
    <w:p w14:paraId="5EF0ECDB" w14:textId="55BAF7F8" w:rsidR="00E844D4" w:rsidRDefault="00E844D4">
      <w:pPr>
        <w:pStyle w:val="FootnoteText"/>
      </w:pPr>
      <w:r>
        <w:rPr>
          <w:rStyle w:val="FootnoteReference"/>
        </w:rPr>
        <w:footnoteRef/>
      </w:r>
      <w:r>
        <w:t xml:space="preserve"> Royal Commission into Aged Care Quality and Safety, “Interim report: Neglect, Volume 2”, 2019.</w:t>
      </w:r>
    </w:p>
  </w:footnote>
  <w:footnote w:id="41">
    <w:p w14:paraId="1F9E0FFB" w14:textId="2E067F62" w:rsidR="00E844D4" w:rsidRDefault="00E844D4">
      <w:pPr>
        <w:pStyle w:val="FootnoteText"/>
      </w:pPr>
      <w:r>
        <w:rPr>
          <w:rStyle w:val="FootnoteReference"/>
        </w:rPr>
        <w:footnoteRef/>
      </w:r>
      <w:r>
        <w:t xml:space="preserve"> This may also include staff that are not involved in personal care but interact with residents such as wardspeople, cleaners and cooks.</w:t>
      </w:r>
    </w:p>
  </w:footnote>
  <w:footnote w:id="42">
    <w:p w14:paraId="1BA7DD5C" w14:textId="03FA5EB7" w:rsidR="00E844D4" w:rsidRDefault="00E844D4">
      <w:pPr>
        <w:pStyle w:val="FootnoteText"/>
      </w:pPr>
      <w:r>
        <w:rPr>
          <w:rStyle w:val="FootnoteReference"/>
        </w:rPr>
        <w:footnoteRef/>
      </w:r>
      <w:r>
        <w:t xml:space="preserve"> Australian Institute of Health and Welfare, “Australia’s aged care workforce”. 2017.</w:t>
      </w:r>
    </w:p>
  </w:footnote>
  <w:footnote w:id="43">
    <w:p w14:paraId="79784C11" w14:textId="37105518" w:rsidR="00E844D4" w:rsidRDefault="00E844D4">
      <w:pPr>
        <w:pStyle w:val="FootnoteText"/>
      </w:pPr>
      <w:r>
        <w:rPr>
          <w:rStyle w:val="FootnoteReference"/>
        </w:rPr>
        <w:footnoteRef/>
      </w:r>
      <w:r>
        <w:t xml:space="preserve"> Productivity Commission, “Caring for older Australians, Report No. 53, Final Inquiry Report”, 2011.</w:t>
      </w:r>
    </w:p>
  </w:footnote>
  <w:footnote w:id="44">
    <w:p w14:paraId="11E3D2A3" w14:textId="77777777" w:rsidR="00E844D4" w:rsidRDefault="00E844D4" w:rsidP="00CD176C">
      <w:pPr>
        <w:pStyle w:val="FootnoteText"/>
      </w:pPr>
      <w:r>
        <w:rPr>
          <w:rStyle w:val="FootnoteReference"/>
        </w:rPr>
        <w:footnoteRef/>
      </w:r>
      <w:r>
        <w:t xml:space="preserve"> </w:t>
      </w:r>
      <w:r w:rsidRPr="00D21DFF">
        <w:t>Lane, H, Philip, J, "Managing expectations: Providing palliative care in aged care facilities," Australasian Journal on Ageing. 2015.</w:t>
      </w:r>
    </w:p>
  </w:footnote>
  <w:footnote w:id="45">
    <w:p w14:paraId="6C14843D" w14:textId="77777777" w:rsidR="00E844D4" w:rsidRDefault="00E844D4">
      <w:pPr>
        <w:pStyle w:val="FootnoteText"/>
      </w:pPr>
      <w:r>
        <w:rPr>
          <w:rStyle w:val="FootnoteReference"/>
        </w:rPr>
        <w:footnoteRef/>
      </w:r>
      <w:r>
        <w:t xml:space="preserve"> </w:t>
      </w:r>
      <w:r w:rsidRPr="00953896">
        <w:t>Forbat, L, Johnston, N, Mitchell, I, 'Defining ‘specialist palliative care’: findings from a Delphi study of clinicians,' Australian Health Review. 2019.</w:t>
      </w:r>
    </w:p>
  </w:footnote>
  <w:footnote w:id="46">
    <w:p w14:paraId="6A220DDF" w14:textId="77777777" w:rsidR="00E844D4" w:rsidRPr="00B0001B" w:rsidRDefault="00E844D4">
      <w:pPr>
        <w:pStyle w:val="FootnoteText"/>
        <w:rPr>
          <w:b/>
          <w:bCs/>
        </w:rPr>
      </w:pPr>
      <w:r>
        <w:rPr>
          <w:rStyle w:val="FootnoteReference"/>
        </w:rPr>
        <w:footnoteRef/>
      </w:r>
      <w:r>
        <w:t xml:space="preserve"> </w:t>
      </w:r>
      <w:r w:rsidRPr="00B0001B">
        <w:t>Whittaker, E, Kernohan, W, Hasson, F, et al., "Palliative care in nursing homes: exploring care assistants' knowledge," International Journal of Older People Nursing 2: 36-44. 2007.</w:t>
      </w:r>
    </w:p>
  </w:footnote>
  <w:footnote w:id="47">
    <w:p w14:paraId="377B0BA3" w14:textId="77777777" w:rsidR="00E844D4" w:rsidRDefault="00E844D4">
      <w:pPr>
        <w:pStyle w:val="FootnoteText"/>
      </w:pPr>
      <w:r>
        <w:rPr>
          <w:rStyle w:val="FootnoteReference"/>
        </w:rPr>
        <w:footnoteRef/>
      </w:r>
      <w:r>
        <w:t xml:space="preserve"> </w:t>
      </w:r>
      <w:r w:rsidRPr="008A57A9">
        <w:t>Carlson, M, Lim, B, Meier, D, "Strategies and innovative models for delivering palliative care in nursing homes," Journal of American Medical Directors Association 12(2): 91-98. 2011.</w:t>
      </w:r>
    </w:p>
  </w:footnote>
  <w:footnote w:id="48">
    <w:p w14:paraId="067A4E13" w14:textId="77777777" w:rsidR="00E844D4" w:rsidRDefault="00E844D4">
      <w:pPr>
        <w:pStyle w:val="FootnoteText"/>
      </w:pPr>
      <w:r>
        <w:rPr>
          <w:rStyle w:val="FootnoteReference"/>
        </w:rPr>
        <w:footnoteRef/>
      </w:r>
      <w:r>
        <w:t xml:space="preserve"> </w:t>
      </w:r>
      <w:r w:rsidRPr="00B302B7">
        <w:t>Chapman, M, Johnston, N, Lovell, C, et al., "Avoiding costly hospitalisation at end of life: findings from a specialist palliative care pilot in residential care for older adults," British Medical Journal. 2015.</w:t>
      </w:r>
    </w:p>
  </w:footnote>
  <w:footnote w:id="49">
    <w:p w14:paraId="1D11EAEC" w14:textId="77777777" w:rsidR="00E844D4" w:rsidRDefault="00E844D4">
      <w:pPr>
        <w:pStyle w:val="FootnoteText"/>
      </w:pPr>
      <w:r>
        <w:rPr>
          <w:rStyle w:val="FootnoteReference"/>
        </w:rPr>
        <w:footnoteRef/>
      </w:r>
      <w:r>
        <w:t xml:space="preserve"> </w:t>
      </w:r>
      <w:r w:rsidRPr="003669D1">
        <w:t>Palliative Care Australia, "Palliative Care 2030." 2019.</w:t>
      </w:r>
    </w:p>
  </w:footnote>
  <w:footnote w:id="50">
    <w:p w14:paraId="536E262B" w14:textId="77777777" w:rsidR="00E844D4" w:rsidRDefault="00E844D4">
      <w:pPr>
        <w:pStyle w:val="FootnoteText"/>
      </w:pPr>
      <w:r>
        <w:rPr>
          <w:rStyle w:val="FootnoteReference"/>
        </w:rPr>
        <w:footnoteRef/>
      </w:r>
      <w:r>
        <w:t xml:space="preserve"> </w:t>
      </w:r>
      <w:r w:rsidRPr="00AC42F0">
        <w:t>Forbat, L, Chapman, M, Lovell, C, et al., 'Improving specialist palliative care in residential care for older people: a checklist to guide practice,' Supportive and Palliative Care. 2017.</w:t>
      </w:r>
    </w:p>
  </w:footnote>
  <w:footnote w:id="51">
    <w:p w14:paraId="43BB0F92" w14:textId="77777777" w:rsidR="00E844D4" w:rsidRDefault="00E844D4" w:rsidP="00D541EE">
      <w:pPr>
        <w:pStyle w:val="FootnoteText"/>
      </w:pPr>
      <w:r w:rsidRPr="001B3ECD">
        <w:rPr>
          <w:rStyle w:val="FootnoteReference"/>
        </w:rPr>
        <w:footnoteRef/>
      </w:r>
      <w:r w:rsidRPr="001B3ECD">
        <w:t xml:space="preserve"> </w:t>
      </w:r>
      <w:r w:rsidRPr="001B3ECD">
        <w:rPr>
          <w:lang w:eastAsia="en-AU"/>
        </w:rPr>
        <w:t>Aged Care Workforce Strategy Taskforce, "Health and Aged Care Interface Technical Advisory Group." 2018.</w:t>
      </w:r>
    </w:p>
  </w:footnote>
  <w:footnote w:id="52">
    <w:p w14:paraId="7A51269B" w14:textId="77777777" w:rsidR="00E844D4" w:rsidRDefault="00E844D4">
      <w:pPr>
        <w:pStyle w:val="FootnoteText"/>
      </w:pPr>
      <w:r>
        <w:rPr>
          <w:rStyle w:val="FootnoteReference"/>
        </w:rPr>
        <w:footnoteRef/>
      </w:r>
      <w:r>
        <w:t xml:space="preserve"> </w:t>
      </w:r>
      <w:r w:rsidRPr="00B1068C">
        <w:t>Lane, H, Philip, J, "Managing expectations: Providing palliative care in aged care facilities," Australasian Journal on Ageing. 2015.</w:t>
      </w:r>
    </w:p>
  </w:footnote>
  <w:footnote w:id="53">
    <w:p w14:paraId="21EC9487" w14:textId="5083B848" w:rsidR="00333604" w:rsidRPr="00333604" w:rsidRDefault="001C7438" w:rsidP="00333604">
      <w:pPr>
        <w:pStyle w:val="FootnoteText"/>
      </w:pPr>
      <w:r>
        <w:rPr>
          <w:rStyle w:val="FootnoteReference"/>
        </w:rPr>
        <w:footnoteRef/>
      </w:r>
      <w:r>
        <w:t xml:space="preserve"> </w:t>
      </w:r>
      <w:r w:rsidR="005D681B">
        <w:t>Booth R et</w:t>
      </w:r>
      <w:r w:rsidR="006C09BB">
        <w:t xml:space="preserve"> al, “Workplace training practices in the residential aged care sectoe”, </w:t>
      </w:r>
      <w:r w:rsidR="005D681B">
        <w:t>National Vocational Education and Training Research</w:t>
      </w:r>
      <w:r w:rsidR="006C09BB">
        <w:t>. 2005.</w:t>
      </w:r>
    </w:p>
  </w:footnote>
  <w:footnote w:id="54">
    <w:p w14:paraId="3250919A" w14:textId="47DD292F" w:rsidR="00E844D4" w:rsidRDefault="00E844D4">
      <w:pPr>
        <w:pStyle w:val="FootnoteText"/>
      </w:pPr>
      <w:r>
        <w:rPr>
          <w:rStyle w:val="FootnoteReference"/>
        </w:rPr>
        <w:footnoteRef/>
      </w:r>
      <w:r>
        <w:t xml:space="preserve"> Parliament of Australia, “Future of Australia’s aged care sector workforce Chapter 3: Attracting, training, and retaining aged care workers”, 2017.</w:t>
      </w:r>
    </w:p>
  </w:footnote>
  <w:footnote w:id="55">
    <w:p w14:paraId="3B41E57A" w14:textId="4196944B" w:rsidR="00E844D4" w:rsidRDefault="00E844D4">
      <w:pPr>
        <w:pStyle w:val="FootnoteText"/>
      </w:pPr>
      <w:r>
        <w:rPr>
          <w:rStyle w:val="FootnoteReference"/>
        </w:rPr>
        <w:footnoteRef/>
      </w:r>
      <w:r>
        <w:t xml:space="preserve"> Royal Commission into Aged Care Quality and Safety, “Interim report: Neglect, Volume 2”, 2019.</w:t>
      </w:r>
    </w:p>
  </w:footnote>
  <w:footnote w:id="56">
    <w:p w14:paraId="4B3DB452" w14:textId="0870FA86" w:rsidR="00E844D4" w:rsidRDefault="00E844D4">
      <w:pPr>
        <w:pStyle w:val="FootnoteText"/>
      </w:pPr>
      <w:r>
        <w:rPr>
          <w:rStyle w:val="FootnoteReference"/>
        </w:rPr>
        <w:footnoteRef/>
      </w:r>
      <w:r>
        <w:t xml:space="preserve"> </w:t>
      </w:r>
      <w:r w:rsidRPr="002832E0">
        <w:t>Palliative Care Australia, "Palliative Care 2030." 2019.</w:t>
      </w:r>
    </w:p>
  </w:footnote>
  <w:footnote w:id="57">
    <w:p w14:paraId="7C9FC4F0" w14:textId="48C3D192" w:rsidR="00E844D4" w:rsidRDefault="00E844D4">
      <w:pPr>
        <w:pStyle w:val="FootnoteText"/>
      </w:pPr>
      <w:r>
        <w:rPr>
          <w:rStyle w:val="FootnoteReference"/>
        </w:rPr>
        <w:footnoteRef/>
      </w:r>
      <w:r>
        <w:t xml:space="preserve"> World Health Organization, “Palliative Care”, 2020.</w:t>
      </w:r>
    </w:p>
  </w:footnote>
  <w:footnote w:id="58">
    <w:p w14:paraId="19989E05" w14:textId="1B4B9D17" w:rsidR="00E844D4" w:rsidRDefault="00E844D4">
      <w:pPr>
        <w:pStyle w:val="FootnoteText"/>
      </w:pPr>
      <w:r>
        <w:rPr>
          <w:rStyle w:val="FootnoteReference"/>
        </w:rPr>
        <w:footnoteRef/>
      </w:r>
      <w:r>
        <w:t xml:space="preserve"> Palliative Care Australia, “Background report to the palliative care service development guidelines”, 2018.</w:t>
      </w:r>
    </w:p>
  </w:footnote>
  <w:footnote w:id="59">
    <w:p w14:paraId="15F8CC20" w14:textId="4AC6A436" w:rsidR="00E844D4" w:rsidRDefault="00E844D4">
      <w:pPr>
        <w:pStyle w:val="FootnoteText"/>
      </w:pPr>
      <w:r>
        <w:rPr>
          <w:rStyle w:val="FootnoteReference"/>
        </w:rPr>
        <w:footnoteRef/>
      </w:r>
      <w:r>
        <w:t xml:space="preserve"> Ibid.</w:t>
      </w:r>
    </w:p>
  </w:footnote>
  <w:footnote w:id="60">
    <w:p w14:paraId="16430EF5" w14:textId="77777777" w:rsidR="00E844D4" w:rsidRDefault="00E844D4">
      <w:pPr>
        <w:pStyle w:val="FootnoteText"/>
      </w:pPr>
      <w:r>
        <w:rPr>
          <w:rStyle w:val="FootnoteReference"/>
        </w:rPr>
        <w:footnoteRef/>
      </w:r>
      <w:r>
        <w:t xml:space="preserve"> </w:t>
      </w:r>
      <w:r w:rsidRPr="00D43A31">
        <w:t>Productivity Commission, "Introducing competition and informed user choice into human services: Reforms to human services. Chapter 3: End-of-life care in Australia." 2017.</w:t>
      </w:r>
    </w:p>
  </w:footnote>
  <w:footnote w:id="61">
    <w:p w14:paraId="189BDFB5" w14:textId="7A965BCB" w:rsidR="00E844D4" w:rsidRDefault="00E844D4">
      <w:pPr>
        <w:pStyle w:val="FootnoteText"/>
      </w:pPr>
      <w:r>
        <w:rPr>
          <w:rStyle w:val="FootnoteReference"/>
        </w:rPr>
        <w:footnoteRef/>
      </w:r>
      <w:r>
        <w:t xml:space="preserve"> </w:t>
      </w:r>
      <w:r w:rsidRPr="006D619C">
        <w:t>Nous Group, "Stocktake and analysis of activities at the interface between the aged care, health and disability systems." 2020.</w:t>
      </w:r>
    </w:p>
  </w:footnote>
  <w:footnote w:id="62">
    <w:p w14:paraId="25A19037" w14:textId="7EF3FB3C" w:rsidR="00E844D4" w:rsidRDefault="00E844D4" w:rsidP="004C3B8C">
      <w:pPr>
        <w:pStyle w:val="FootnoteText"/>
      </w:pPr>
      <w:r>
        <w:rPr>
          <w:rStyle w:val="FootnoteReference"/>
        </w:rPr>
        <w:footnoteRef/>
      </w:r>
      <w:r>
        <w:t xml:space="preserve"> </w:t>
      </w:r>
      <w:r w:rsidRPr="00D43A31">
        <w:t>Productivity Commission, "Introducing competition and informed user choice into human services: Reforms to human services. Chapter 3: End-of-life care in Australia." 2017.</w:t>
      </w:r>
    </w:p>
  </w:footnote>
  <w:footnote w:id="63">
    <w:p w14:paraId="42266532" w14:textId="77777777" w:rsidR="00E844D4" w:rsidRDefault="00E844D4">
      <w:pPr>
        <w:pStyle w:val="FootnoteText"/>
      </w:pPr>
      <w:r>
        <w:rPr>
          <w:rStyle w:val="FootnoteReference"/>
        </w:rPr>
        <w:footnoteRef/>
      </w:r>
      <w:r>
        <w:t xml:space="preserve"> Palliative Care Australia, “Submission to the Productivity Commission Future of Australia’s aged care sector workforce”, 2016.</w:t>
      </w:r>
    </w:p>
  </w:footnote>
  <w:footnote w:id="64">
    <w:p w14:paraId="5605197C" w14:textId="77777777" w:rsidR="00E844D4" w:rsidRDefault="00E844D4" w:rsidP="00C6073E">
      <w:pPr>
        <w:pStyle w:val="FootnoteText"/>
      </w:pPr>
      <w:r>
        <w:rPr>
          <w:rStyle w:val="FootnoteReference"/>
        </w:rPr>
        <w:footnoteRef/>
      </w:r>
      <w:r>
        <w:t xml:space="preserve"> </w:t>
      </w:r>
      <w:r w:rsidRPr="00D43A31">
        <w:t>Productivity Commission, "Introducing competition and informed user choice into human services: Reforms to human services. Chapter 3: End-of-life care in Australia." 2017.</w:t>
      </w:r>
    </w:p>
  </w:footnote>
  <w:footnote w:id="65">
    <w:p w14:paraId="38D00C5D" w14:textId="43F75EBD" w:rsidR="00E844D4" w:rsidRDefault="00E844D4">
      <w:pPr>
        <w:pStyle w:val="FootnoteText"/>
      </w:pPr>
      <w:r>
        <w:rPr>
          <w:rStyle w:val="FootnoteReference"/>
        </w:rPr>
        <w:footnoteRef/>
      </w:r>
      <w:r>
        <w:t xml:space="preserve"> </w:t>
      </w:r>
      <w:r w:rsidRPr="00DA516B">
        <w:t xml:space="preserve">Royal Commission into Aged Care Quality and Safety, “Interim report: Volume </w:t>
      </w:r>
      <w:r>
        <w:t>1</w:t>
      </w:r>
      <w:r w:rsidRPr="00DA516B">
        <w:t>”, 2019</w:t>
      </w:r>
      <w:r>
        <w:t>.</w:t>
      </w:r>
    </w:p>
  </w:footnote>
  <w:footnote w:id="66">
    <w:p w14:paraId="1CAFA096" w14:textId="77777777" w:rsidR="00E844D4" w:rsidRDefault="00E844D4">
      <w:pPr>
        <w:pStyle w:val="FootnoteText"/>
      </w:pPr>
      <w:r>
        <w:rPr>
          <w:rStyle w:val="FootnoteReference"/>
        </w:rPr>
        <w:footnoteRef/>
      </w:r>
      <w:r>
        <w:t xml:space="preserve"> </w:t>
      </w:r>
      <w:r w:rsidRPr="00D92D07">
        <w:t>Highet, G, Crawford, D, Murray, S, Boyd, K, "Development and evaluation of the Supportive and Palliative Care Indicators Tool (SPICT): a mixed-methods study," British Medical Journal. 2018.</w:t>
      </w:r>
    </w:p>
  </w:footnote>
  <w:footnote w:id="67">
    <w:p w14:paraId="18B05B9C" w14:textId="77777777" w:rsidR="00E844D4" w:rsidRDefault="00E844D4">
      <w:pPr>
        <w:pStyle w:val="FootnoteText"/>
      </w:pPr>
      <w:r>
        <w:rPr>
          <w:rStyle w:val="FootnoteReference"/>
        </w:rPr>
        <w:footnoteRef/>
      </w:r>
      <w:r>
        <w:t xml:space="preserve"> </w:t>
      </w:r>
      <w:r w:rsidRPr="006135A6">
        <w:t>Lane, H, Philip, J, "Managing expectations: Providing palliative care in aged care facilities," Australasian Journal on Ageing. 2015.</w:t>
      </w:r>
    </w:p>
  </w:footnote>
  <w:footnote w:id="68">
    <w:p w14:paraId="40B71D3B" w14:textId="77777777" w:rsidR="00E844D4" w:rsidRDefault="00E844D4" w:rsidP="004269FD">
      <w:pPr>
        <w:pStyle w:val="FootnoteText"/>
      </w:pPr>
      <w:r>
        <w:rPr>
          <w:rStyle w:val="FootnoteReference"/>
        </w:rPr>
        <w:footnoteRef/>
      </w:r>
      <w:r>
        <w:t xml:space="preserve"> </w:t>
      </w:r>
      <w:r w:rsidRPr="00D43A31">
        <w:t>Productivity Commission, "Introducing competition and informed user choice into human services: Reforms to human services. Chapter 3: End-of-life care in Australia." 2017.</w:t>
      </w:r>
    </w:p>
  </w:footnote>
  <w:footnote w:id="69">
    <w:p w14:paraId="4BE924B1" w14:textId="77777777" w:rsidR="00E844D4" w:rsidRDefault="00E844D4">
      <w:pPr>
        <w:pStyle w:val="FootnoteText"/>
      </w:pPr>
      <w:r>
        <w:rPr>
          <w:rStyle w:val="FootnoteReference"/>
        </w:rPr>
        <w:footnoteRef/>
      </w:r>
      <w:r>
        <w:t xml:space="preserve"> </w:t>
      </w:r>
      <w:r w:rsidRPr="00794540">
        <w:t>Lane, H, Philip, J, "Managing expectations: Providing palliative care in aged care facilities," Australasian Journal on Ageing. 2015.</w:t>
      </w:r>
    </w:p>
  </w:footnote>
  <w:footnote w:id="70">
    <w:p w14:paraId="4A318659" w14:textId="5641BA43" w:rsidR="00E844D4" w:rsidRDefault="00E844D4">
      <w:pPr>
        <w:pStyle w:val="FootnoteText"/>
      </w:pPr>
      <w:r>
        <w:rPr>
          <w:rStyle w:val="FootnoteReference"/>
        </w:rPr>
        <w:footnoteRef/>
      </w:r>
      <w:r>
        <w:t xml:space="preserve"> </w:t>
      </w:r>
      <w:r w:rsidR="00747A53" w:rsidRPr="00794540">
        <w:t>Lane, H, Philip, J, "Managing expectations: Providing palliative care in aged care facilities," Australasian Journal on Ageing. 2015</w:t>
      </w:r>
      <w:r w:rsidRPr="00794540">
        <w:t>.</w:t>
      </w:r>
    </w:p>
  </w:footnote>
  <w:footnote w:id="71">
    <w:p w14:paraId="68FBDB52" w14:textId="132AC05A" w:rsidR="00E844D4" w:rsidRPr="001B3ECD" w:rsidRDefault="00E844D4">
      <w:pPr>
        <w:pStyle w:val="FootnoteText"/>
      </w:pPr>
      <w:r>
        <w:rPr>
          <w:rStyle w:val="FootnoteReference"/>
        </w:rPr>
        <w:footnoteRef/>
      </w:r>
      <w:r>
        <w:t xml:space="preserve"> </w:t>
      </w:r>
      <w:r w:rsidRPr="002507A8">
        <w:t xml:space="preserve">Palliative Care Australia, "Response to the Royal Commission into Aged Care Quality and Safety consultation paper - Aged care </w:t>
      </w:r>
      <w:r w:rsidRPr="001B3ECD">
        <w:t>program redesign: services for the future." 2019.</w:t>
      </w:r>
    </w:p>
  </w:footnote>
  <w:footnote w:id="72">
    <w:p w14:paraId="2119D493" w14:textId="33E50550" w:rsidR="00E844D4" w:rsidRDefault="00E844D4" w:rsidP="00B445AF">
      <w:pPr>
        <w:pStyle w:val="FootnoteText"/>
      </w:pPr>
      <w:r>
        <w:rPr>
          <w:rStyle w:val="FootnoteReference"/>
        </w:rPr>
        <w:footnoteRef/>
      </w:r>
      <w:r>
        <w:t xml:space="preserve"> </w:t>
      </w:r>
      <w:r w:rsidRPr="00215D31">
        <w:t>Brazil, K, Bedard, M, Krueger, P, et al., "Barriers to providing palliative care in long-term care facilities. “Canadian Family Physician, 52. 2006.</w:t>
      </w:r>
    </w:p>
  </w:footnote>
  <w:footnote w:id="73">
    <w:p w14:paraId="1ED7100D" w14:textId="16D626FB" w:rsidR="00E844D4" w:rsidRDefault="00E844D4">
      <w:pPr>
        <w:pStyle w:val="FootnoteText"/>
      </w:pPr>
      <w:r>
        <w:rPr>
          <w:rStyle w:val="FootnoteReference"/>
        </w:rPr>
        <w:footnoteRef/>
      </w:r>
      <w:r>
        <w:t xml:space="preserve"> </w:t>
      </w:r>
      <w:r w:rsidRPr="00DA516B">
        <w:t xml:space="preserve">Royal Commission into Aged Care Quality and Safety, “Interim report: Volume </w:t>
      </w:r>
      <w:r>
        <w:t>3</w:t>
      </w:r>
      <w:r w:rsidRPr="00DA516B">
        <w:t>”, 2019</w:t>
      </w:r>
      <w:r>
        <w:t>.</w:t>
      </w:r>
    </w:p>
  </w:footnote>
  <w:footnote w:id="74">
    <w:p w14:paraId="76FCC193" w14:textId="77777777" w:rsidR="00E844D4" w:rsidRDefault="00E844D4">
      <w:pPr>
        <w:pStyle w:val="FootnoteText"/>
      </w:pPr>
      <w:r>
        <w:rPr>
          <w:rStyle w:val="FootnoteReference"/>
        </w:rPr>
        <w:footnoteRef/>
      </w:r>
      <w:r>
        <w:t xml:space="preserve"> Parliament of Australia, “Future of Australia’s aged care sector workforce”, 2017.</w:t>
      </w:r>
    </w:p>
  </w:footnote>
  <w:footnote w:id="75">
    <w:p w14:paraId="416CE9A5" w14:textId="30A21CF0" w:rsidR="00E844D4" w:rsidRDefault="00E844D4" w:rsidP="00741C43">
      <w:pPr>
        <w:pStyle w:val="FootnoteText"/>
      </w:pPr>
      <w:r>
        <w:rPr>
          <w:rStyle w:val="FootnoteReference"/>
        </w:rPr>
        <w:footnoteRef/>
      </w:r>
      <w:r>
        <w:t xml:space="preserve"> Royal Commission into Aged Care Quality and Safety, “Interim report: Volume 1”, 2019.</w:t>
      </w:r>
    </w:p>
  </w:footnote>
  <w:footnote w:id="76">
    <w:p w14:paraId="190DA469" w14:textId="77777777" w:rsidR="00E844D4" w:rsidRDefault="00E844D4" w:rsidP="0093446F">
      <w:pPr>
        <w:pStyle w:val="FootnoteText"/>
      </w:pPr>
      <w:r>
        <w:rPr>
          <w:rStyle w:val="FootnoteReference"/>
        </w:rPr>
        <w:footnoteRef/>
      </w:r>
      <w:r>
        <w:t xml:space="preserve"> </w:t>
      </w:r>
      <w:r w:rsidRPr="00611AAF">
        <w:t>Luckett, T, Phillips, J, Agar, M et al., "Elements of effective palliative care models: a rapid review," BioMed Central, 14(36). 2014.</w:t>
      </w:r>
    </w:p>
  </w:footnote>
  <w:footnote w:id="77">
    <w:p w14:paraId="3B690C3D" w14:textId="77777777" w:rsidR="00E844D4" w:rsidRDefault="00E844D4" w:rsidP="0093446F">
      <w:pPr>
        <w:pStyle w:val="FootnoteText"/>
      </w:pPr>
      <w:r>
        <w:rPr>
          <w:rStyle w:val="FootnoteReference"/>
        </w:rPr>
        <w:footnoteRef/>
      </w:r>
      <w:r>
        <w:t xml:space="preserve"> </w:t>
      </w:r>
      <w:r w:rsidRPr="00E068E8">
        <w:t>Chapman, M, Johnston, N, Lovell, C, et al., "Avoiding costly hospitalisation at end of life: findings from a specialist palliative care pilot in residential care for older adults," British Medical Journal. 2015.</w:t>
      </w:r>
    </w:p>
  </w:footnote>
  <w:footnote w:id="78">
    <w:p w14:paraId="4C18129D" w14:textId="594A3601" w:rsidR="00E844D4" w:rsidRPr="00CE1CB1" w:rsidRDefault="00E844D4" w:rsidP="00290277">
      <w:pPr>
        <w:pStyle w:val="FootnoteText"/>
      </w:pPr>
      <w:r>
        <w:rPr>
          <w:rStyle w:val="FootnoteReference"/>
        </w:rPr>
        <w:footnoteRef/>
      </w:r>
      <w:r>
        <w:t xml:space="preserve"> NSW Agency for Clinical Innovation, “Process Flow Chart for developing a Model of Care (MoC).” 2013.</w:t>
      </w:r>
    </w:p>
  </w:footnote>
  <w:footnote w:id="79">
    <w:p w14:paraId="6309EB3B" w14:textId="6FED37C0" w:rsidR="0004647C" w:rsidRDefault="0004647C">
      <w:pPr>
        <w:pStyle w:val="FootnoteText"/>
      </w:pPr>
      <w:r>
        <w:rPr>
          <w:rStyle w:val="FootnoteReference"/>
        </w:rPr>
        <w:footnoteRef/>
      </w:r>
      <w:r>
        <w:t xml:space="preserve"> </w:t>
      </w:r>
      <w:r w:rsidRPr="00611AAF">
        <w:t>Luckett, T, Phillips, J, Agar, M et al., "Elements of effective palliative care models: a rapid review," BioMed Central, 14(36). 2014.</w:t>
      </w:r>
    </w:p>
  </w:footnote>
  <w:footnote w:id="80">
    <w:p w14:paraId="48DE2723" w14:textId="7D799F84" w:rsidR="00E844D4" w:rsidRDefault="00E844D4" w:rsidP="008B202D">
      <w:pPr>
        <w:pStyle w:val="FootnoteText"/>
      </w:pPr>
      <w:r>
        <w:rPr>
          <w:rStyle w:val="FootnoteReference"/>
        </w:rPr>
        <w:footnoteRef/>
      </w:r>
      <w:r>
        <w:t xml:space="preserve"> </w:t>
      </w:r>
      <w:r w:rsidR="00747A53">
        <w:t>Ibid</w:t>
      </w:r>
    </w:p>
  </w:footnote>
  <w:footnote w:id="81">
    <w:p w14:paraId="7778E2F9" w14:textId="77777777" w:rsidR="00E844D4" w:rsidRDefault="00E844D4" w:rsidP="00EA5E95">
      <w:pPr>
        <w:pStyle w:val="FootnoteText"/>
      </w:pPr>
      <w:r>
        <w:rPr>
          <w:rStyle w:val="FootnoteReference"/>
        </w:rPr>
        <w:footnoteRef/>
      </w:r>
      <w:r>
        <w:t xml:space="preserve"> </w:t>
      </w:r>
      <w:r w:rsidRPr="00E068E8">
        <w:t>Chapman, M, Johnston, N, Lovell, C, et al., "Avoiding costly hospitalisation at end of life: findings from a specialist palliative care pilot in residential care for older adults," British Medical Journal. 2015.</w:t>
      </w:r>
    </w:p>
  </w:footnote>
  <w:footnote w:id="82">
    <w:p w14:paraId="2446A433" w14:textId="502B0F8C" w:rsidR="00E844D4" w:rsidRDefault="00E844D4">
      <w:pPr>
        <w:pStyle w:val="FootnoteText"/>
      </w:pPr>
      <w:r>
        <w:rPr>
          <w:rStyle w:val="FootnoteReference"/>
        </w:rPr>
        <w:footnoteRef/>
      </w:r>
      <w:r>
        <w:t xml:space="preserve"> </w:t>
      </w:r>
      <w:r w:rsidRPr="00515439">
        <w:t>Luckett, T, Phillips, J, Agar, M et al., "Elements of effective palliative care models: a rapid review," BioMed Central, 14(36). 2014.</w:t>
      </w:r>
    </w:p>
  </w:footnote>
  <w:footnote w:id="83">
    <w:p w14:paraId="6253EFB9" w14:textId="640D161F" w:rsidR="00E844D4" w:rsidRDefault="00E844D4">
      <w:pPr>
        <w:pStyle w:val="FootnoteText"/>
      </w:pPr>
      <w:r>
        <w:rPr>
          <w:rStyle w:val="FootnoteReference"/>
        </w:rPr>
        <w:footnoteRef/>
      </w:r>
      <w:r>
        <w:t xml:space="preserve"> Ibid.</w:t>
      </w:r>
    </w:p>
  </w:footnote>
  <w:footnote w:id="84">
    <w:p w14:paraId="2111BCA6" w14:textId="4F43AADC" w:rsidR="00E844D4" w:rsidRDefault="00E844D4">
      <w:pPr>
        <w:pStyle w:val="FootnoteText"/>
      </w:pPr>
      <w:r>
        <w:rPr>
          <w:rStyle w:val="FootnoteReference"/>
        </w:rPr>
        <w:footnoteRef/>
      </w:r>
      <w:r>
        <w:t xml:space="preserve"> </w:t>
      </w:r>
      <w:r w:rsidR="00747A53">
        <w:t>Ibid</w:t>
      </w:r>
    </w:p>
  </w:footnote>
  <w:footnote w:id="85">
    <w:p w14:paraId="4582C4AB" w14:textId="77777777" w:rsidR="00EA754D" w:rsidRPr="00FB3544" w:rsidRDefault="00EA754D" w:rsidP="00EA754D">
      <w:pPr>
        <w:pStyle w:val="FootnoteText"/>
      </w:pPr>
      <w:r>
        <w:rPr>
          <w:rStyle w:val="FootnoteReference"/>
        </w:rPr>
        <w:footnoteRef/>
      </w:r>
      <w:r>
        <w:t xml:space="preserve"> Carter. H et al., “Incidence, duration, and cost of futile treatment in end-of-lief hospital admissions to three Australian public-sector tertiary hospitals: a retrospective multicentre cohort study. </w:t>
      </w:r>
      <w:r>
        <w:rPr>
          <w:i/>
          <w:iCs/>
        </w:rPr>
        <w:t>BMJ Open</w:t>
      </w:r>
      <w:r>
        <w:t>, 7(10). 2017.</w:t>
      </w:r>
    </w:p>
  </w:footnote>
  <w:footnote w:id="86">
    <w:p w14:paraId="5AD0A5F0" w14:textId="77777777" w:rsidR="003B1973" w:rsidRDefault="003B1973" w:rsidP="003B1973">
      <w:pPr>
        <w:pStyle w:val="FootnoteText"/>
      </w:pPr>
      <w:r w:rsidRPr="00A819A4">
        <w:rPr>
          <w:rStyle w:val="FootnoteReference"/>
        </w:rPr>
        <w:footnoteRef/>
      </w:r>
      <w:r w:rsidRPr="00A819A4">
        <w:t xml:space="preserve"> Australian Institute of Health and Welfare</w:t>
      </w:r>
      <w:r>
        <w:t>, “</w:t>
      </w:r>
      <w:r w:rsidRPr="00A819A4">
        <w:t>Palliative care for people living in residential aged care</w:t>
      </w:r>
      <w:r>
        <w:t xml:space="preserve">.” 2018. </w:t>
      </w:r>
    </w:p>
  </w:footnote>
  <w:footnote w:id="87">
    <w:p w14:paraId="3CC283A5" w14:textId="77777777" w:rsidR="00C207D7" w:rsidRDefault="00C207D7" w:rsidP="00C207D7">
      <w:pPr>
        <w:pStyle w:val="FootnoteText"/>
      </w:pPr>
      <w:r>
        <w:rPr>
          <w:rStyle w:val="FootnoteReference"/>
        </w:rPr>
        <w:footnoteRef/>
      </w:r>
      <w:r>
        <w:t xml:space="preserve"> University of Wollongong Australia, “Palliative Care Outcomes Collaboration”, 2020.</w:t>
      </w:r>
    </w:p>
  </w:footnote>
  <w:footnote w:id="88">
    <w:p w14:paraId="228B4950" w14:textId="77777777" w:rsidR="00CB2B4C" w:rsidRDefault="00CB2B4C" w:rsidP="00CB2B4C">
      <w:pPr>
        <w:pStyle w:val="FootnoteText"/>
      </w:pPr>
      <w:r>
        <w:rPr>
          <w:rStyle w:val="FootnoteReference"/>
        </w:rPr>
        <w:footnoteRef/>
      </w:r>
      <w:r>
        <w:t xml:space="preserve"> KPMG, Palliative Care Australia, “The economics of increased investment in palliative care in Australia.” 2020.</w:t>
      </w:r>
    </w:p>
  </w:footnote>
  <w:footnote w:id="89">
    <w:p w14:paraId="07A1BB9F" w14:textId="0D25D2BF" w:rsidR="009A231F" w:rsidRDefault="009A231F" w:rsidP="009A231F">
      <w:pPr>
        <w:pStyle w:val="FootnoteText"/>
      </w:pPr>
      <w:r>
        <w:rPr>
          <w:rStyle w:val="FootnoteReference"/>
        </w:rPr>
        <w:footnoteRef/>
      </w:r>
      <w:r>
        <w:t xml:space="preserve"> </w:t>
      </w:r>
      <w:r w:rsidR="00747A53">
        <w:t>Ibid</w:t>
      </w:r>
    </w:p>
  </w:footnote>
  <w:footnote w:id="90">
    <w:p w14:paraId="5DD58F21" w14:textId="169BFEF3" w:rsidR="00E844D4" w:rsidRDefault="00E844D4">
      <w:pPr>
        <w:pStyle w:val="FootnoteText"/>
      </w:pPr>
      <w:r>
        <w:rPr>
          <w:rStyle w:val="FootnoteReference"/>
        </w:rPr>
        <w:footnoteRef/>
      </w:r>
      <w:r>
        <w:t xml:space="preserve"> </w:t>
      </w:r>
      <w:r w:rsidRPr="00611AAF">
        <w:t>Luckett, T, Phillips, J, Agar, M et al., "Elements of effective palliative care models: a rapid review," BioMed Central, 14(36). 2014.</w:t>
      </w:r>
    </w:p>
  </w:footnote>
  <w:footnote w:id="91">
    <w:p w14:paraId="5CD8C8FC" w14:textId="77777777" w:rsidR="00E844D4" w:rsidRDefault="00E844D4">
      <w:pPr>
        <w:pStyle w:val="FootnoteText"/>
      </w:pPr>
      <w:r>
        <w:rPr>
          <w:rStyle w:val="FootnoteReference"/>
        </w:rPr>
        <w:footnoteRef/>
      </w:r>
      <w:r>
        <w:t xml:space="preserve"> </w:t>
      </w:r>
      <w:r w:rsidRPr="001D41FB">
        <w:t>Chapman, M, Johnston, N, Lovell, C, et al., "Avoiding costly hospitalisation at end of life: findings from a specialist palliative care pilot in residential care for older adults," British Medical Journal. 2015.</w:t>
      </w:r>
      <w:r>
        <w:t xml:space="preserve">; </w:t>
      </w:r>
      <w:r w:rsidRPr="001D41FB">
        <w:t>Johnston, N, Lovell, C, Liu-, W-M, et al., "Normalising and planning for death in residential care: findings from a qualitative focus group study of a specialist palliative care intervention," British Medical Journal. 2016.</w:t>
      </w:r>
    </w:p>
  </w:footnote>
  <w:footnote w:id="92">
    <w:p w14:paraId="40F34719" w14:textId="77777777" w:rsidR="00E844D4" w:rsidRDefault="00E844D4" w:rsidP="00446A97">
      <w:pPr>
        <w:pStyle w:val="FootnoteText"/>
      </w:pPr>
      <w:r>
        <w:rPr>
          <w:rStyle w:val="FootnoteReference"/>
        </w:rPr>
        <w:footnoteRef/>
      </w:r>
      <w:r>
        <w:t xml:space="preserve"> </w:t>
      </w:r>
      <w:r w:rsidRPr="00093798">
        <w:t>Crotty, M, Halbert, J, Rowett, D, et al., "An outreach geriatric medication advisory service in residential aged care: a randomised controlled trial of case conferencing," British Geriatrics Society, 33(6). 2004.</w:t>
      </w:r>
    </w:p>
  </w:footnote>
  <w:footnote w:id="93">
    <w:p w14:paraId="2260348F" w14:textId="77777777" w:rsidR="00E844D4" w:rsidRDefault="00E844D4" w:rsidP="00446A97">
      <w:pPr>
        <w:pStyle w:val="FootnoteText"/>
      </w:pPr>
      <w:r>
        <w:rPr>
          <w:rStyle w:val="FootnoteReference"/>
        </w:rPr>
        <w:footnoteRef/>
      </w:r>
      <w:r>
        <w:t xml:space="preserve"> NSW Agency for Clinical Innovation, “ACI Clinical Innovation Program – Specialised geriatric outreach for residential aged care.” 2014.</w:t>
      </w:r>
    </w:p>
  </w:footnote>
  <w:footnote w:id="94">
    <w:p w14:paraId="7366559B" w14:textId="37985098" w:rsidR="00E844D4" w:rsidRDefault="00E844D4" w:rsidP="00446A97">
      <w:pPr>
        <w:pStyle w:val="FootnoteText"/>
      </w:pPr>
      <w:r>
        <w:rPr>
          <w:rStyle w:val="FootnoteReference"/>
        </w:rPr>
        <w:footnoteRef/>
      </w:r>
      <w:r>
        <w:t xml:space="preserve"> </w:t>
      </w:r>
      <w:r w:rsidR="00747A53">
        <w:t>Ibid</w:t>
      </w:r>
    </w:p>
  </w:footnote>
  <w:footnote w:id="95">
    <w:p w14:paraId="61CAEB3C" w14:textId="77777777" w:rsidR="00E844D4" w:rsidRDefault="00E844D4" w:rsidP="00446A97">
      <w:pPr>
        <w:pStyle w:val="FootnoteText"/>
      </w:pPr>
      <w:r>
        <w:rPr>
          <w:rStyle w:val="FootnoteReference"/>
        </w:rPr>
        <w:footnoteRef/>
      </w:r>
      <w:r>
        <w:t xml:space="preserve"> </w:t>
      </w:r>
      <w:r w:rsidRPr="001D41FB">
        <w:t>Belfrage, M, Chiminello, C, Cooper, D, et al., "Pushing the envelope: clinical handover from the aged-care home to the emergency department." 2009.</w:t>
      </w:r>
    </w:p>
  </w:footnote>
  <w:footnote w:id="96">
    <w:p w14:paraId="10DD2A52" w14:textId="6D3FE0E2" w:rsidR="009173F6" w:rsidRDefault="009173F6">
      <w:pPr>
        <w:pStyle w:val="FootnoteText"/>
      </w:pPr>
      <w:r>
        <w:rPr>
          <w:rStyle w:val="FootnoteReference"/>
        </w:rPr>
        <w:footnoteRef/>
      </w:r>
      <w:r>
        <w:t xml:space="preserve"> Reed, R, “Models of general practitioner services in residential aged care facilities.” Australian Family Physician. 2015.</w:t>
      </w:r>
    </w:p>
  </w:footnote>
  <w:footnote w:id="97">
    <w:p w14:paraId="6D4FA437" w14:textId="30A7507C" w:rsidR="00E844D4" w:rsidRDefault="00E844D4">
      <w:pPr>
        <w:pStyle w:val="FootnoteText"/>
      </w:pPr>
      <w:r>
        <w:rPr>
          <w:rStyle w:val="FootnoteReference"/>
        </w:rPr>
        <w:footnoteRef/>
      </w:r>
      <w:r>
        <w:t xml:space="preserve"> I</w:t>
      </w:r>
      <w:r w:rsidRPr="00D53CA5">
        <w:t>nternational models of care identified were observed to use varying definitions of palliative and end-of-life care.</w:t>
      </w:r>
    </w:p>
  </w:footnote>
  <w:footnote w:id="98">
    <w:p w14:paraId="1DF98A33" w14:textId="77777777" w:rsidR="00E844D4" w:rsidRDefault="00E844D4" w:rsidP="00CD1718">
      <w:pPr>
        <w:pStyle w:val="FootnoteText"/>
      </w:pPr>
      <w:r>
        <w:rPr>
          <w:rStyle w:val="FootnoteReference"/>
        </w:rPr>
        <w:footnoteRef/>
      </w:r>
      <w:r>
        <w:t xml:space="preserve"> </w:t>
      </w:r>
      <w:r w:rsidRPr="00611AAF">
        <w:t>Luckett, T, Phillips, J, Agar, M et al., "Elements of effective palliative care models: a rapid review," BioMed Central, 14(36). 2014.</w:t>
      </w:r>
    </w:p>
  </w:footnote>
  <w:footnote w:id="99">
    <w:p w14:paraId="33ABB96A" w14:textId="77777777" w:rsidR="00E844D4" w:rsidRDefault="00E844D4" w:rsidP="00446A97">
      <w:pPr>
        <w:pStyle w:val="FootnoteText"/>
      </w:pPr>
      <w:r>
        <w:rPr>
          <w:rStyle w:val="FootnoteReference"/>
        </w:rPr>
        <w:footnoteRef/>
      </w:r>
      <w:r>
        <w:t xml:space="preserve"> </w:t>
      </w:r>
      <w:r w:rsidRPr="00AD0AD0">
        <w:t>Boyd, M, Armstrong, D, Parker, J, et al., "Do Gerontology Nurse Specialists Make a Difference in Hospitalization of Long-Term Care Residents? Results of a Randomized Comparison Trial." American Geriatrics Society. 2014.</w:t>
      </w:r>
    </w:p>
  </w:footnote>
  <w:footnote w:id="100">
    <w:p w14:paraId="02B7610F" w14:textId="6577C1D4" w:rsidR="00E844D4" w:rsidRDefault="00E844D4" w:rsidP="00446A97">
      <w:pPr>
        <w:pStyle w:val="FootnoteText"/>
      </w:pPr>
      <w:r>
        <w:rPr>
          <w:rStyle w:val="FootnoteReference"/>
        </w:rPr>
        <w:footnoteRef/>
      </w:r>
      <w:r>
        <w:t xml:space="preserve"> Foster, S, Boyd, M, Broad, J, et al., “Aged Residential Care Health Utilisation Study (ARCHUS): a randomised controlled trial to reduce acute hospitalisations from residential aged care,” BMC Geriatrics, 12. 2012.; Connolly, M, Broad, J, Boyd, M, et al., “The ‘Big Five’. Hypothesis generation: a multidisciplinary intervention package reduces disease-specific hospitalisations from long-term care: a post hoc analysis of the ARCHUS cluster-randomised controlled trial,’ Age and Ageing, 45: 415-420. 2016.</w:t>
      </w:r>
    </w:p>
  </w:footnote>
  <w:footnote w:id="101">
    <w:p w14:paraId="456EFE18" w14:textId="77777777" w:rsidR="00E844D4" w:rsidRDefault="00E844D4" w:rsidP="00446A97">
      <w:pPr>
        <w:pStyle w:val="FootnoteText"/>
      </w:pPr>
      <w:r>
        <w:rPr>
          <w:rStyle w:val="FootnoteReference"/>
        </w:rPr>
        <w:footnoteRef/>
      </w:r>
      <w:r>
        <w:t xml:space="preserve"> </w:t>
      </w:r>
      <w:r w:rsidRPr="008D2614">
        <w:t>Badger, F, Clifford, C, Hewison, A, &amp; Thomas, K, "An evaluation of the implementation of a programme to improve end-of-life care in nursing homes," Palliative Medicine, 23. 2009.</w:t>
      </w:r>
    </w:p>
  </w:footnote>
  <w:footnote w:id="102">
    <w:p w14:paraId="2D47557A" w14:textId="77777777" w:rsidR="00E844D4" w:rsidRDefault="00E844D4" w:rsidP="00446A97">
      <w:pPr>
        <w:pStyle w:val="FootnoteText"/>
      </w:pPr>
      <w:r>
        <w:rPr>
          <w:rStyle w:val="FootnoteReference"/>
        </w:rPr>
        <w:footnoteRef/>
      </w:r>
      <w:r>
        <w:t xml:space="preserve"> </w:t>
      </w:r>
      <w:r w:rsidRPr="00310449">
        <w:t>Highet, G, Crawford, D, Murray, S, Boyd, K, "Development and evaluation of the Supportive and Palliative Care Indicators Tool (SPICT): a mixed-methods study," British Medical Journal. 2018.</w:t>
      </w:r>
    </w:p>
  </w:footnote>
  <w:footnote w:id="103">
    <w:p w14:paraId="321266EE" w14:textId="77777777" w:rsidR="00E844D4" w:rsidRPr="00011B8A" w:rsidRDefault="00E844D4">
      <w:pPr>
        <w:pStyle w:val="FootnoteText"/>
      </w:pPr>
      <w:r>
        <w:rPr>
          <w:rStyle w:val="FootnoteReference"/>
        </w:rPr>
        <w:footnoteRef/>
      </w:r>
      <w:r>
        <w:t xml:space="preserve"> Morrison, R, Chichin, E, Carter, J, </w:t>
      </w:r>
      <w:r>
        <w:rPr>
          <w:i/>
          <w:iCs/>
        </w:rPr>
        <w:t xml:space="preserve">et al., </w:t>
      </w:r>
      <w:r>
        <w:t>‘The effect of a social work intervention to enhance advance care planning documentation in the nursing home,’ American Geriatrics Society, 52: 290-294. 2005.</w:t>
      </w:r>
    </w:p>
  </w:footnote>
  <w:footnote w:id="104">
    <w:p w14:paraId="6A17AD36" w14:textId="77777777" w:rsidR="00E844D4" w:rsidRDefault="00E844D4" w:rsidP="00366F57">
      <w:pPr>
        <w:pStyle w:val="FootnoteText"/>
      </w:pPr>
      <w:r>
        <w:rPr>
          <w:rStyle w:val="FootnoteReference"/>
        </w:rPr>
        <w:footnoteRef/>
      </w:r>
      <w:r>
        <w:t xml:space="preserve"> </w:t>
      </w:r>
      <w:r w:rsidRPr="00AD0AD0">
        <w:t>Boyd, M, Armstrong, D, Parker, J, et al., "Do Gerontology Nurse Specialists Make a Difference in Hospitalization of Long-Term Care Residents? Results of a Randomized Comparison Trial." American Geriatrics Society. 2014.</w:t>
      </w:r>
    </w:p>
  </w:footnote>
  <w:footnote w:id="105">
    <w:p w14:paraId="449EC49F" w14:textId="77777777" w:rsidR="00E844D4" w:rsidRDefault="00E844D4" w:rsidP="00610740">
      <w:pPr>
        <w:pStyle w:val="FootnoteText"/>
      </w:pPr>
      <w:r>
        <w:rPr>
          <w:rStyle w:val="FootnoteReference"/>
        </w:rPr>
        <w:footnoteRef/>
      </w:r>
      <w:r>
        <w:t xml:space="preserve"> </w:t>
      </w:r>
      <w:r w:rsidRPr="00695215">
        <w:t>Department of Health, "National Palliative Care Strategy." 2018.</w:t>
      </w:r>
    </w:p>
  </w:footnote>
  <w:footnote w:id="106">
    <w:p w14:paraId="10EAE8FD" w14:textId="7684D832" w:rsidR="00E844D4" w:rsidRDefault="00E844D4">
      <w:pPr>
        <w:pStyle w:val="FootnoteText"/>
      </w:pPr>
      <w:r>
        <w:rPr>
          <w:rStyle w:val="FootnoteReference"/>
        </w:rPr>
        <w:footnoteRef/>
      </w:r>
      <w:r>
        <w:t xml:space="preserve"> </w:t>
      </w:r>
      <w:r w:rsidRPr="006739B9">
        <w:t>Amadoru, S, Rayner, J, Joseph, R, et al., "Factors influencing decision-making processes for unwell residents in residential aged care: Hospital transfer or Residential InReach referral?" Australasian Journal on Ageing, 37 (2). 2016.</w:t>
      </w:r>
    </w:p>
  </w:footnote>
  <w:footnote w:id="107">
    <w:p w14:paraId="64423F6C" w14:textId="788EF52A" w:rsidR="00E844D4" w:rsidRDefault="00E844D4" w:rsidP="00902707">
      <w:pPr>
        <w:pStyle w:val="FootnoteText"/>
      </w:pPr>
      <w:r>
        <w:rPr>
          <w:rStyle w:val="FootnoteReference"/>
        </w:rPr>
        <w:footnoteRef/>
      </w:r>
      <w:r>
        <w:t xml:space="preserve"> </w:t>
      </w:r>
      <w:r w:rsidRPr="00AD0AD0">
        <w:t>Boyd, M, Armstrong, D, Parker, J, et al., "Do Gerontology Nurse Specialists Make a Difference in Hospitalization of Long-Term Care Residents? Results of a Randomized Comparison Trial." American Geriatrics Society. 2014.</w:t>
      </w:r>
    </w:p>
  </w:footnote>
  <w:footnote w:id="108">
    <w:p w14:paraId="2B2872F2" w14:textId="719F675F" w:rsidR="00E844D4" w:rsidRDefault="00E844D4" w:rsidP="00C56695">
      <w:pPr>
        <w:pStyle w:val="FootnoteText"/>
      </w:pPr>
      <w:r>
        <w:rPr>
          <w:rStyle w:val="FootnoteReference"/>
        </w:rPr>
        <w:footnoteRef/>
      </w:r>
      <w:r>
        <w:t xml:space="preserve"> </w:t>
      </w:r>
      <w:r w:rsidRPr="00695215">
        <w:t>Department of Health, "National Palliative Care Strategy." 2018.</w:t>
      </w:r>
    </w:p>
  </w:footnote>
  <w:footnote w:id="109">
    <w:p w14:paraId="5274C85E" w14:textId="3F9AE55E" w:rsidR="00E844D4" w:rsidRDefault="00E844D4" w:rsidP="002965CC">
      <w:pPr>
        <w:pStyle w:val="FootnoteText"/>
      </w:pPr>
      <w:r>
        <w:rPr>
          <w:rStyle w:val="FootnoteReference"/>
        </w:rPr>
        <w:footnoteRef/>
      </w:r>
      <w:r>
        <w:t xml:space="preserve"> </w:t>
      </w:r>
      <w:r w:rsidRPr="00C0244A">
        <w:t>Hibbert, P, Wiles, L, Cameron, I, et al., "CareTrack Aged: The appropriateness of care delivered to Australians living in residential aged care facilities: a study protocol," British Medical Journal. 2019.</w:t>
      </w:r>
    </w:p>
  </w:footnote>
  <w:footnote w:id="110">
    <w:p w14:paraId="1616A8B1" w14:textId="77777777" w:rsidR="00E844D4" w:rsidRDefault="00E844D4" w:rsidP="008C2086">
      <w:pPr>
        <w:pStyle w:val="FootnoteText"/>
      </w:pPr>
      <w:r>
        <w:rPr>
          <w:rStyle w:val="FootnoteReference"/>
        </w:rPr>
        <w:footnoteRef/>
      </w:r>
      <w:r>
        <w:t xml:space="preserve"> </w:t>
      </w:r>
      <w:r w:rsidRPr="00611AAF">
        <w:t>Luckett, T, Phillips, J, Agar, M et al., "Elements of effective palliative care models: a rapid review," BioMed Central, 14(36). 2014.</w:t>
      </w:r>
      <w:r>
        <w:t xml:space="preserve">; </w:t>
      </w:r>
      <w:r w:rsidRPr="00E1698E">
        <w:t>Chapman, M, Johnston, N, Lovell, C, et al., "Avoiding costly hospitalisation at end of life: findings from a specialist palliative care pilot in residential care for older adults," British Medical Journal. 2015.</w:t>
      </w:r>
    </w:p>
  </w:footnote>
  <w:footnote w:id="111">
    <w:p w14:paraId="27485066" w14:textId="77777777" w:rsidR="00E844D4" w:rsidRDefault="00E844D4" w:rsidP="008801FA">
      <w:pPr>
        <w:pStyle w:val="FootnoteText"/>
      </w:pPr>
      <w:r>
        <w:rPr>
          <w:rStyle w:val="FootnoteReference"/>
        </w:rPr>
        <w:footnoteRef/>
      </w:r>
      <w:r>
        <w:t xml:space="preserve"> </w:t>
      </w:r>
      <w:r w:rsidRPr="00E1698E">
        <w:t>Chapman, M, Johnston, N, Lovell, C, et al., "Avoiding costly hospitalisation at end of life: findings from a specialist palliative care pilot in residential care for older adults," British Medical Journal. 2015.</w:t>
      </w:r>
    </w:p>
  </w:footnote>
  <w:footnote w:id="112">
    <w:p w14:paraId="15736D59" w14:textId="77777777" w:rsidR="00E844D4" w:rsidRDefault="00E844D4" w:rsidP="00582976">
      <w:pPr>
        <w:pStyle w:val="FootnoteText"/>
      </w:pPr>
      <w:r>
        <w:rPr>
          <w:rStyle w:val="FootnoteReference"/>
        </w:rPr>
        <w:footnoteRef/>
      </w:r>
      <w:r>
        <w:t xml:space="preserve"> </w:t>
      </w:r>
      <w:r w:rsidRPr="00A206BE">
        <w:t>Johnston, N, Lovell, C, Liu-, W-M, et al., "Normalising and planning for death in residential care: findings from a qualitative focus group study of a specialist palliative care intervention," British Medical Journal. 2016.</w:t>
      </w:r>
    </w:p>
  </w:footnote>
  <w:footnote w:id="113">
    <w:p w14:paraId="6849DF51" w14:textId="13D3F110" w:rsidR="00E844D4" w:rsidRDefault="00E844D4" w:rsidP="00DF4540">
      <w:pPr>
        <w:pStyle w:val="FootnoteText"/>
      </w:pPr>
      <w:r>
        <w:rPr>
          <w:rStyle w:val="FootnoteReference"/>
        </w:rPr>
        <w:footnoteRef/>
      </w:r>
      <w:r>
        <w:t xml:space="preserve"> </w:t>
      </w:r>
      <w:r w:rsidRPr="006D619C">
        <w:t>Nous Group, "Stocktake and analysis of activities at the interface between the aged care, health and disability systems." 2020.</w:t>
      </w:r>
    </w:p>
  </w:footnote>
  <w:footnote w:id="114">
    <w:p w14:paraId="186FD7A0" w14:textId="77777777" w:rsidR="00DC39CA" w:rsidRDefault="00DC39CA" w:rsidP="00DC39CA">
      <w:pPr>
        <w:pStyle w:val="FootnoteText"/>
      </w:pPr>
      <w:r>
        <w:rPr>
          <w:rStyle w:val="FootnoteReference"/>
        </w:rPr>
        <w:footnoteRef/>
      </w:r>
      <w:r>
        <w:t xml:space="preserve"> Productivity Commission, ‘5 year productivity review: Commonwealth-State relations.’ 2017.</w:t>
      </w:r>
    </w:p>
  </w:footnote>
  <w:footnote w:id="115">
    <w:p w14:paraId="0904C702" w14:textId="1CAD82E5" w:rsidR="00E844D4" w:rsidRDefault="00E844D4">
      <w:pPr>
        <w:pStyle w:val="FootnoteText"/>
      </w:pPr>
      <w:r>
        <w:rPr>
          <w:rStyle w:val="FootnoteReference"/>
        </w:rPr>
        <w:footnoteRef/>
      </w:r>
      <w:r>
        <w:t xml:space="preserve"> Northern Territory, ‘Guidance document on Commonwealth funding agreements.’</w:t>
      </w:r>
    </w:p>
  </w:footnote>
  <w:footnote w:id="116">
    <w:p w14:paraId="02030F58" w14:textId="495EC31E" w:rsidR="00E844D4" w:rsidRDefault="00E844D4">
      <w:pPr>
        <w:pStyle w:val="FootnoteText"/>
      </w:pPr>
      <w:r>
        <w:rPr>
          <w:rStyle w:val="FootnoteReference"/>
        </w:rPr>
        <w:footnoteRef/>
      </w:r>
      <w:r>
        <w:t xml:space="preserve"> Productivity Commission, ‘5 year productivity review: Commonwealth-State relations.’ 2017.</w:t>
      </w:r>
    </w:p>
  </w:footnote>
  <w:footnote w:id="117">
    <w:p w14:paraId="340C7FC4" w14:textId="6BB87B68" w:rsidR="00E844D4" w:rsidRDefault="00E844D4">
      <w:pPr>
        <w:pStyle w:val="FootnoteText"/>
      </w:pPr>
      <w:r>
        <w:rPr>
          <w:rStyle w:val="FootnoteReference"/>
        </w:rPr>
        <w:footnoteRef/>
      </w:r>
      <w:r>
        <w:t xml:space="preserve"> </w:t>
      </w:r>
      <w:r w:rsidR="00747A53">
        <w:t>Ibid.</w:t>
      </w:r>
    </w:p>
  </w:footnote>
  <w:footnote w:id="118">
    <w:p w14:paraId="07329B85" w14:textId="66AE7F21" w:rsidR="00E844D4" w:rsidRDefault="00E844D4">
      <w:pPr>
        <w:pStyle w:val="FootnoteText"/>
      </w:pPr>
      <w:r>
        <w:rPr>
          <w:rStyle w:val="FootnoteReference"/>
        </w:rPr>
        <w:footnoteRef/>
      </w:r>
      <w:r>
        <w:t xml:space="preserve"> Council on Federal Financial Relations, ‘Agreements.’ Website. Date unknown.</w:t>
      </w:r>
    </w:p>
  </w:footnote>
  <w:footnote w:id="119">
    <w:p w14:paraId="3A34D2A3" w14:textId="77777777" w:rsidR="00E844D4" w:rsidRDefault="00E844D4" w:rsidP="00016D9E">
      <w:pPr>
        <w:pStyle w:val="FootnoteText"/>
      </w:pPr>
      <w:r>
        <w:rPr>
          <w:rStyle w:val="FootnoteReference"/>
        </w:rPr>
        <w:footnoteRef/>
      </w:r>
      <w:r>
        <w:t xml:space="preserve"> Duckett, Stephen, “Aligning policy objectives and payment design in palliative care.” BMC Palliative Care (17). 2018.</w:t>
      </w:r>
    </w:p>
  </w:footnote>
  <w:footnote w:id="120">
    <w:p w14:paraId="3AD5E311" w14:textId="41DBB6E2" w:rsidR="00E844D4" w:rsidRDefault="00E844D4">
      <w:pPr>
        <w:pStyle w:val="FootnoteText"/>
      </w:pPr>
      <w:r>
        <w:rPr>
          <w:rStyle w:val="FootnoteReference"/>
        </w:rPr>
        <w:footnoteRef/>
      </w:r>
      <w:r>
        <w:t xml:space="preserve"> Productivity Commission, ‘5 year productivity review: Commonwealth-State relations.’ 2017.</w:t>
      </w:r>
    </w:p>
  </w:footnote>
  <w:footnote w:id="121">
    <w:p w14:paraId="77C6F75D" w14:textId="77777777" w:rsidR="00E844D4" w:rsidRDefault="00E844D4" w:rsidP="00B07DE8">
      <w:pPr>
        <w:pStyle w:val="FootnoteText"/>
      </w:pPr>
      <w:r>
        <w:rPr>
          <w:rStyle w:val="FootnoteReference"/>
        </w:rPr>
        <w:footnoteRef/>
      </w:r>
      <w:r>
        <w:t xml:space="preserve"> Australian Centre for Health Research and TPG International, ‘Structural Barriers to Reform of the Australian Health and Public Hospital System,’ 2010.</w:t>
      </w:r>
    </w:p>
  </w:footnote>
  <w:footnote w:id="122">
    <w:p w14:paraId="5B9A05D1" w14:textId="047589C5" w:rsidR="00E844D4" w:rsidRDefault="00E844D4">
      <w:pPr>
        <w:pStyle w:val="FootnoteText"/>
      </w:pPr>
      <w:r>
        <w:rPr>
          <w:rStyle w:val="FootnoteReference"/>
        </w:rPr>
        <w:footnoteRef/>
      </w:r>
      <w:r>
        <w:t xml:space="preserve"> Productivity Commission, ‘5 year productivity review: Commonwealth-State relations.’ 2017.</w:t>
      </w:r>
    </w:p>
  </w:footnote>
  <w:footnote w:id="123">
    <w:p w14:paraId="5E030C4B" w14:textId="09DB5A0C" w:rsidR="00E844D4" w:rsidRDefault="00E844D4">
      <w:pPr>
        <w:pStyle w:val="FootnoteText"/>
      </w:pPr>
      <w:r>
        <w:rPr>
          <w:rStyle w:val="FootnoteReference"/>
        </w:rPr>
        <w:footnoteRef/>
      </w:r>
      <w:r>
        <w:t xml:space="preserve"> Ibid.</w:t>
      </w:r>
    </w:p>
  </w:footnote>
  <w:footnote w:id="124">
    <w:p w14:paraId="7F391010" w14:textId="2CAA18E6" w:rsidR="00E844D4" w:rsidRDefault="00E844D4">
      <w:pPr>
        <w:pStyle w:val="FootnoteText"/>
      </w:pPr>
      <w:r>
        <w:rPr>
          <w:rStyle w:val="FootnoteReference"/>
        </w:rPr>
        <w:footnoteRef/>
      </w:r>
      <w:r>
        <w:t xml:space="preserve"> Deeble Institute for Health Policy Research, “Funds pooling in Australia: could alliance contracting hold the key?” 2018.</w:t>
      </w:r>
    </w:p>
  </w:footnote>
  <w:footnote w:id="125">
    <w:p w14:paraId="2A62045F" w14:textId="77777777" w:rsidR="00E844D4" w:rsidRDefault="00E844D4" w:rsidP="008D2EF0">
      <w:pPr>
        <w:pStyle w:val="FootnoteText"/>
      </w:pPr>
      <w:r>
        <w:rPr>
          <w:rStyle w:val="FootnoteReference"/>
        </w:rPr>
        <w:footnoteRef/>
      </w:r>
      <w:r>
        <w:t xml:space="preserve"> Productivity Commission, “Mental Health – interim report.” 2020.</w:t>
      </w:r>
    </w:p>
  </w:footnote>
  <w:footnote w:id="126">
    <w:p w14:paraId="1178D415" w14:textId="4DE362BE" w:rsidR="00E844D4" w:rsidRDefault="00E844D4">
      <w:pPr>
        <w:pStyle w:val="FootnoteText"/>
      </w:pPr>
      <w:r>
        <w:rPr>
          <w:rStyle w:val="FootnoteReference"/>
        </w:rPr>
        <w:footnoteRef/>
      </w:r>
      <w:r>
        <w:t xml:space="preserve"> Deeble Institute for Health Policy Research, “Funds pooling in Australia: could alliance contracting hold the key?” 2018.</w:t>
      </w:r>
    </w:p>
  </w:footnote>
  <w:footnote w:id="127">
    <w:p w14:paraId="0F67C033" w14:textId="30ED7146" w:rsidR="00E844D4" w:rsidRDefault="00E844D4" w:rsidP="00C366BD">
      <w:pPr>
        <w:pStyle w:val="FootnoteText"/>
      </w:pPr>
      <w:r>
        <w:rPr>
          <w:rStyle w:val="FootnoteReference"/>
        </w:rPr>
        <w:footnoteRef/>
      </w:r>
      <w:r>
        <w:t xml:space="preserve"> Mason A, Goddard M, Weatherly H and Chalkley M, “Integrating funds for health and social care: an evidence review.” Journal of Health Services Research &amp; Policy, 20 (3): 177-188. 2015.</w:t>
      </w:r>
    </w:p>
  </w:footnote>
  <w:footnote w:id="128">
    <w:p w14:paraId="411AAF44" w14:textId="78BE42D4" w:rsidR="00E844D4" w:rsidRDefault="00E844D4">
      <w:pPr>
        <w:pStyle w:val="FootnoteText"/>
      </w:pPr>
      <w:r>
        <w:rPr>
          <w:rStyle w:val="FootnoteReference"/>
        </w:rPr>
        <w:footnoteRef/>
      </w:r>
      <w:r>
        <w:t xml:space="preserve"> National Mental Health Commission, “Contributing Lives, Thriving Communities: Review of Mental Health Programs and Services.” 2014.; Primary Health Network Advisory Panel on Mental Health, “Report on the PHN Advisory Panel on Mental Health.” 2019.</w:t>
      </w:r>
    </w:p>
  </w:footnote>
  <w:footnote w:id="129">
    <w:p w14:paraId="20E2A848" w14:textId="77777777" w:rsidR="00E844D4" w:rsidRDefault="00E844D4" w:rsidP="00766020">
      <w:pPr>
        <w:pStyle w:val="FootnoteText"/>
      </w:pPr>
      <w:r>
        <w:rPr>
          <w:rStyle w:val="FootnoteReference"/>
        </w:rPr>
        <w:footnoteRef/>
      </w:r>
      <w:r>
        <w:t xml:space="preserve"> Primary Health Network Advisory Panel on Mental Health, “Report on the PHN Advisory Panel on Mental Health.” 2019.</w:t>
      </w:r>
    </w:p>
  </w:footnote>
  <w:footnote w:id="130">
    <w:p w14:paraId="15B95200" w14:textId="77777777" w:rsidR="00592AE2" w:rsidRDefault="00592AE2" w:rsidP="00592AE2">
      <w:pPr>
        <w:pStyle w:val="FootnoteText"/>
      </w:pPr>
      <w:r>
        <w:rPr>
          <w:rStyle w:val="FootnoteReference"/>
        </w:rPr>
        <w:footnoteRef/>
      </w:r>
      <w:r>
        <w:t xml:space="preserve"> Productivity Commission, “Mental Health.”</w:t>
      </w:r>
    </w:p>
  </w:footnote>
  <w:footnote w:id="131">
    <w:p w14:paraId="08B568E0" w14:textId="1C822DE6" w:rsidR="00E844D4" w:rsidRDefault="00E844D4">
      <w:pPr>
        <w:pStyle w:val="FootnoteText"/>
      </w:pPr>
      <w:r>
        <w:rPr>
          <w:rStyle w:val="FootnoteReference"/>
        </w:rPr>
        <w:footnoteRef/>
      </w:r>
      <w:r>
        <w:t xml:space="preserve"> Ibid.</w:t>
      </w:r>
    </w:p>
  </w:footnote>
  <w:footnote w:id="132">
    <w:p w14:paraId="1D607003" w14:textId="12385742" w:rsidR="00E844D4" w:rsidRDefault="00E844D4">
      <w:pPr>
        <w:pStyle w:val="FootnoteText"/>
      </w:pPr>
      <w:r>
        <w:rPr>
          <w:rStyle w:val="FootnoteReference"/>
        </w:rPr>
        <w:footnoteRef/>
      </w:r>
      <w:r>
        <w:t xml:space="preserve"> </w:t>
      </w:r>
      <w:r w:rsidRPr="008424FC">
        <w:t>Nous Group, "Stocktake and analysis of activities at the interface between the aged care, health and disability systems." 2020.</w:t>
      </w:r>
    </w:p>
  </w:footnote>
  <w:footnote w:id="133">
    <w:p w14:paraId="3B6ABC72" w14:textId="3D11A11E" w:rsidR="00E844D4" w:rsidRDefault="00E844D4">
      <w:pPr>
        <w:pStyle w:val="FootnoteText"/>
      </w:pPr>
      <w:r>
        <w:rPr>
          <w:rStyle w:val="FootnoteReference"/>
        </w:rPr>
        <w:footnoteRef/>
      </w:r>
      <w:r>
        <w:t xml:space="preserve"> Productivity Commission, ‘National Agreement for Skills and Workforce Development Review.’ 2020; Productivity Commission</w:t>
      </w:r>
      <w:r w:rsidRPr="001C6AF0">
        <w:t>, ‘</w:t>
      </w:r>
      <w:r>
        <w:t xml:space="preserve">National </w:t>
      </w:r>
      <w:r w:rsidRPr="001C6AF0">
        <w:t xml:space="preserve">Disability Agreement </w:t>
      </w:r>
      <w:r>
        <w:t>Review</w:t>
      </w:r>
      <w:r w:rsidRPr="001C6AF0">
        <w:t>.’ 2019</w:t>
      </w:r>
      <w:r>
        <w:t>.</w:t>
      </w:r>
    </w:p>
  </w:footnote>
  <w:footnote w:id="134">
    <w:p w14:paraId="0A1B4C49" w14:textId="685ECACC" w:rsidR="00E844D4" w:rsidRDefault="00E844D4" w:rsidP="004F13B1">
      <w:pPr>
        <w:pStyle w:val="FootnoteText"/>
      </w:pPr>
      <w:r>
        <w:rPr>
          <w:rStyle w:val="FootnoteReference"/>
        </w:rPr>
        <w:footnoteRef/>
      </w:r>
      <w:r>
        <w:t xml:space="preserve"> Council of Australian Governments, “National Partnership Agreement supporting national mental health reform.’ 2011.</w:t>
      </w:r>
    </w:p>
  </w:footnote>
  <w:footnote w:id="135">
    <w:p w14:paraId="379B91E2" w14:textId="09CD46ED" w:rsidR="00E844D4" w:rsidRDefault="00E844D4">
      <w:pPr>
        <w:pStyle w:val="FootnoteText"/>
      </w:pPr>
      <w:r>
        <w:rPr>
          <w:rStyle w:val="FootnoteReference"/>
        </w:rPr>
        <w:footnoteRef/>
      </w:r>
      <w:r>
        <w:t xml:space="preserve"> Productivity Commission, “Mental Health – interim report.” 2020.</w:t>
      </w:r>
    </w:p>
  </w:footnote>
  <w:footnote w:id="136">
    <w:p w14:paraId="49475FE1" w14:textId="482792E5" w:rsidR="00E844D4" w:rsidRDefault="00E844D4">
      <w:pPr>
        <w:pStyle w:val="FootnoteText"/>
      </w:pPr>
      <w:r>
        <w:rPr>
          <w:rStyle w:val="FootnoteReference"/>
        </w:rPr>
        <w:footnoteRef/>
      </w:r>
      <w:r>
        <w:t xml:space="preserve"> Productivity Commission, ‘5 year productivity review: Commonwealth-State relations.’ 2017.</w:t>
      </w:r>
    </w:p>
  </w:footnote>
  <w:footnote w:id="137">
    <w:p w14:paraId="4AF7FFD5" w14:textId="0F90F02A" w:rsidR="00E844D4" w:rsidRDefault="00E844D4">
      <w:pPr>
        <w:pStyle w:val="FootnoteText"/>
      </w:pPr>
      <w:r>
        <w:rPr>
          <w:rStyle w:val="FootnoteReference"/>
        </w:rPr>
        <w:footnoteRef/>
      </w:r>
      <w:r>
        <w:t xml:space="preserve"> Duckett, Stephen, “Aligning policy objectives and payment design in palliative care.” BMC Palliative Care (17). 2018.</w:t>
      </w:r>
    </w:p>
  </w:footnote>
  <w:footnote w:id="138">
    <w:p w14:paraId="5C016CF9" w14:textId="110531E1" w:rsidR="00E844D4" w:rsidRDefault="00E844D4">
      <w:pPr>
        <w:pStyle w:val="FootnoteText"/>
      </w:pPr>
      <w:r>
        <w:rPr>
          <w:rStyle w:val="FootnoteReference"/>
        </w:rPr>
        <w:footnoteRef/>
      </w:r>
      <w:r>
        <w:t xml:space="preserve"> </w:t>
      </w:r>
      <w:r w:rsidRPr="0003582B">
        <w:t>Kimberly</w:t>
      </w:r>
      <w:r>
        <w:t>,</w:t>
      </w:r>
      <w:r w:rsidRPr="0003582B">
        <w:t xml:space="preserve"> JR, de Pouvourville</w:t>
      </w:r>
      <w:r>
        <w:t>,</w:t>
      </w:r>
      <w:r w:rsidRPr="0003582B">
        <w:t xml:space="preserve"> G, D'Aunno</w:t>
      </w:r>
      <w:r>
        <w:t>,</w:t>
      </w:r>
      <w:r w:rsidRPr="0003582B">
        <w:t xml:space="preserve"> T. </w:t>
      </w:r>
      <w:r>
        <w:t>“</w:t>
      </w:r>
      <w:r w:rsidRPr="0003582B">
        <w:t>The Globalization of Managerial Innovation in Health Care.</w:t>
      </w:r>
      <w:r>
        <w:t>”</w:t>
      </w:r>
      <w:r w:rsidRPr="0003582B">
        <w:t xml:space="preserve"> 2008.</w:t>
      </w:r>
    </w:p>
  </w:footnote>
  <w:footnote w:id="139">
    <w:p w14:paraId="572C3B52" w14:textId="796C07E8" w:rsidR="00E844D4" w:rsidRDefault="00E844D4">
      <w:pPr>
        <w:pStyle w:val="FootnoteText"/>
      </w:pPr>
      <w:r>
        <w:rPr>
          <w:rStyle w:val="FootnoteReference"/>
        </w:rPr>
        <w:footnoteRef/>
      </w:r>
      <w:r>
        <w:t xml:space="preserve"> </w:t>
      </w:r>
      <w:r w:rsidRPr="000A46A6">
        <w:t>Bernheim</w:t>
      </w:r>
      <w:r>
        <w:t>,</w:t>
      </w:r>
      <w:r w:rsidRPr="000A46A6">
        <w:t xml:space="preserve"> JL, Distelmans</w:t>
      </w:r>
      <w:r>
        <w:t>,</w:t>
      </w:r>
      <w:r w:rsidRPr="000A46A6">
        <w:t xml:space="preserve"> W, Mullie</w:t>
      </w:r>
      <w:r>
        <w:t>,</w:t>
      </w:r>
      <w:r w:rsidRPr="000A46A6">
        <w:t xml:space="preserve"> A, Ashby</w:t>
      </w:r>
      <w:r>
        <w:t>,</w:t>
      </w:r>
      <w:r w:rsidRPr="000A46A6">
        <w:t xml:space="preserve"> MA. </w:t>
      </w:r>
      <w:r>
        <w:t>“</w:t>
      </w:r>
      <w:r w:rsidRPr="000A46A6">
        <w:t>Questions and Answers on the Belgian Model of Integral End-of-Life Care: Experiment? Prototype?</w:t>
      </w:r>
      <w:r>
        <w:t>”</w:t>
      </w:r>
      <w:r w:rsidRPr="000A46A6">
        <w:t xml:space="preserve"> Journal of Bioethical Inquiry</w:t>
      </w:r>
      <w:r>
        <w:t xml:space="preserve">, </w:t>
      </w:r>
      <w:r w:rsidRPr="000A46A6">
        <w:t>11(4):507–29.</w:t>
      </w:r>
      <w:r>
        <w:t xml:space="preserve"> 2014.</w:t>
      </w:r>
    </w:p>
  </w:footnote>
  <w:footnote w:id="140">
    <w:p w14:paraId="0B5786A9" w14:textId="432A9B83" w:rsidR="00E844D4" w:rsidRDefault="00E844D4">
      <w:pPr>
        <w:pStyle w:val="FootnoteText"/>
      </w:pPr>
      <w:r>
        <w:rPr>
          <w:rStyle w:val="FootnoteReference"/>
        </w:rPr>
        <w:footnoteRef/>
      </w:r>
      <w:r>
        <w:t xml:space="preserve"> </w:t>
      </w:r>
      <w:r w:rsidRPr="00E66634">
        <w:t>Srivastava</w:t>
      </w:r>
      <w:r>
        <w:t>,</w:t>
      </w:r>
      <w:r w:rsidRPr="00E66634">
        <w:t xml:space="preserve"> D, Mueller</w:t>
      </w:r>
      <w:r>
        <w:t>,</w:t>
      </w:r>
      <w:r w:rsidRPr="00E66634">
        <w:t xml:space="preserve"> M, Hewlett</w:t>
      </w:r>
      <w:r>
        <w:t>,</w:t>
      </w:r>
      <w:r w:rsidRPr="00E66634">
        <w:t xml:space="preserve"> E</w:t>
      </w:r>
      <w:r>
        <w:t>,</w:t>
      </w:r>
      <w:r w:rsidRPr="00E66634">
        <w:t xml:space="preserve"> </w:t>
      </w:r>
      <w:r>
        <w:t>“</w:t>
      </w:r>
      <w:r w:rsidRPr="00E66634">
        <w:t>Better Ways to Pay for Health Care.</w:t>
      </w:r>
      <w:r>
        <w:t>”</w:t>
      </w:r>
      <w:r w:rsidRPr="00E66634">
        <w:t xml:space="preserve"> OECD</w:t>
      </w:r>
      <w:r>
        <w:t>.</w:t>
      </w:r>
      <w:r w:rsidRPr="00E66634">
        <w:t xml:space="preserve"> 2016.</w:t>
      </w:r>
    </w:p>
  </w:footnote>
  <w:footnote w:id="141">
    <w:p w14:paraId="0FF2BAFD" w14:textId="1272E0B3" w:rsidR="00E844D4" w:rsidRDefault="00E844D4">
      <w:pPr>
        <w:pStyle w:val="FootnoteText"/>
      </w:pPr>
      <w:r>
        <w:rPr>
          <w:rStyle w:val="FootnoteReference"/>
        </w:rPr>
        <w:footnoteRef/>
      </w:r>
      <w:r>
        <w:t xml:space="preserve"> </w:t>
      </w:r>
      <w:r w:rsidRPr="00F86400">
        <w:t>Orlovic</w:t>
      </w:r>
      <w:r>
        <w:t>,</w:t>
      </w:r>
      <w:r w:rsidRPr="00F86400">
        <w:t xml:space="preserve"> M, Marti</w:t>
      </w:r>
      <w:r>
        <w:t>,</w:t>
      </w:r>
      <w:r w:rsidRPr="00F86400">
        <w:t xml:space="preserve"> J, Mossialos</w:t>
      </w:r>
      <w:r>
        <w:t>,</w:t>
      </w:r>
      <w:r w:rsidRPr="00F86400">
        <w:t xml:space="preserve"> E</w:t>
      </w:r>
      <w:r>
        <w:t>,</w:t>
      </w:r>
      <w:r w:rsidRPr="00F86400">
        <w:t xml:space="preserve"> </w:t>
      </w:r>
      <w:r>
        <w:t>“</w:t>
      </w:r>
      <w:r w:rsidRPr="00F86400">
        <w:t>Analysis Of End-Of-Life Care, Out-Of-Pocket Spending, And Place Of Death In 16 European Countries And Israel.</w:t>
      </w:r>
      <w:r>
        <w:t>”</w:t>
      </w:r>
      <w:r w:rsidRPr="00F86400">
        <w:t xml:space="preserve"> Health Aff</w:t>
      </w:r>
      <w:r>
        <w:t>iliated, 36(7).</w:t>
      </w:r>
      <w:r w:rsidRPr="00F86400">
        <w:t xml:space="preserve"> 2017.</w:t>
      </w:r>
    </w:p>
  </w:footnote>
  <w:footnote w:id="142">
    <w:p w14:paraId="05F7DF79" w14:textId="68EEFF02" w:rsidR="00E844D4" w:rsidRDefault="00E844D4">
      <w:pPr>
        <w:pStyle w:val="FootnoteText"/>
      </w:pPr>
      <w:r>
        <w:rPr>
          <w:rStyle w:val="FootnoteReference"/>
        </w:rPr>
        <w:footnoteRef/>
      </w:r>
      <w:r>
        <w:t xml:space="preserve"> </w:t>
      </w:r>
      <w:r w:rsidRPr="00CD73D4">
        <w:t>Hurley</w:t>
      </w:r>
      <w:r>
        <w:t>,</w:t>
      </w:r>
      <w:r w:rsidRPr="00CD73D4">
        <w:t xml:space="preserve"> J</w:t>
      </w:r>
      <w:r>
        <w:t>,</w:t>
      </w:r>
      <w:r w:rsidRPr="00CD73D4">
        <w:t xml:space="preserve"> </w:t>
      </w:r>
      <w:r>
        <w:t>“</w:t>
      </w:r>
      <w:r w:rsidRPr="00CD73D4">
        <w:t>Ethics, economics, and public financing of health care.</w:t>
      </w:r>
      <w:r>
        <w:t>”</w:t>
      </w:r>
      <w:r w:rsidRPr="00CD73D4">
        <w:t xml:space="preserve"> J Med Ethics</w:t>
      </w:r>
      <w:r>
        <w:t xml:space="preserve">, </w:t>
      </w:r>
      <w:r w:rsidRPr="00CD73D4">
        <w:t>;27(4):234–9.</w:t>
      </w:r>
      <w:r>
        <w:t xml:space="preserve"> 2001.</w:t>
      </w:r>
    </w:p>
  </w:footnote>
  <w:footnote w:id="143">
    <w:p w14:paraId="10C61A0D" w14:textId="7D8B6AAB" w:rsidR="00E844D4" w:rsidRPr="00A819A4" w:rsidRDefault="00E844D4" w:rsidP="00E00B46">
      <w:pPr>
        <w:pStyle w:val="Footer"/>
      </w:pPr>
      <w:r w:rsidRPr="00A819A4">
        <w:rPr>
          <w:rStyle w:val="FootnoteReference"/>
        </w:rPr>
        <w:footnoteRef/>
      </w:r>
      <w:r w:rsidRPr="00A819A4">
        <w:t xml:space="preserve"> Australian Institute of Health and Welfare</w:t>
      </w:r>
      <w:r>
        <w:t>, “</w:t>
      </w:r>
      <w:r w:rsidRPr="00A819A4">
        <w:t>Older Australia at a glance</w:t>
      </w:r>
      <w:r>
        <w:t>.” 2018.</w:t>
      </w:r>
    </w:p>
  </w:footnote>
  <w:footnote w:id="144">
    <w:p w14:paraId="1AE20BFD" w14:textId="6EA9DD4B" w:rsidR="00E844D4" w:rsidRDefault="00E844D4" w:rsidP="00E00B46">
      <w:pPr>
        <w:pStyle w:val="FootnoteText"/>
      </w:pPr>
      <w:r w:rsidRPr="00A819A4">
        <w:rPr>
          <w:rStyle w:val="FootnoteReference"/>
        </w:rPr>
        <w:footnoteRef/>
      </w:r>
      <w:r w:rsidRPr="00A819A4">
        <w:t xml:space="preserve"> Australian Institute of Health and Welfare</w:t>
      </w:r>
      <w:r>
        <w:t>, “</w:t>
      </w:r>
      <w:r w:rsidRPr="00A819A4">
        <w:t>Palliative care for people living in residential aged care</w:t>
      </w:r>
      <w:r>
        <w:t xml:space="preserve">.” 2018. </w:t>
      </w:r>
    </w:p>
  </w:footnote>
  <w:footnote w:id="145">
    <w:p w14:paraId="6CF2A347" w14:textId="08213287" w:rsidR="00E844D4" w:rsidRDefault="00E844D4" w:rsidP="00E00B46">
      <w:pPr>
        <w:pStyle w:val="FootnoteText"/>
      </w:pPr>
      <w:r>
        <w:rPr>
          <w:rStyle w:val="FootnoteReference"/>
        </w:rPr>
        <w:footnoteRef/>
      </w:r>
      <w:r>
        <w:t xml:space="preserve"> Ibid. </w:t>
      </w:r>
    </w:p>
  </w:footnote>
  <w:footnote w:id="146">
    <w:p w14:paraId="11CBB0DC" w14:textId="776324BC" w:rsidR="00E844D4" w:rsidRDefault="00E844D4">
      <w:pPr>
        <w:pStyle w:val="FootnoteText"/>
      </w:pPr>
      <w:r>
        <w:rPr>
          <w:rStyle w:val="FootnoteReference"/>
        </w:rPr>
        <w:footnoteRef/>
      </w:r>
      <w:r>
        <w:t xml:space="preserve"> </w:t>
      </w:r>
      <w:r w:rsidRPr="006568C3">
        <w:t>Productivity Commission, "Introducing competition and informed user choice into human services: Reforms to human services. Chapter 3: End-of-life care in Australia." 2017.</w:t>
      </w:r>
    </w:p>
  </w:footnote>
  <w:footnote w:id="147">
    <w:p w14:paraId="616ECF53" w14:textId="13D531D9" w:rsidR="00E844D4" w:rsidRDefault="00E844D4">
      <w:pPr>
        <w:pStyle w:val="FootnoteText"/>
      </w:pPr>
      <w:r>
        <w:rPr>
          <w:rStyle w:val="FootnoteReference"/>
        </w:rPr>
        <w:footnoteRef/>
      </w:r>
      <w:r>
        <w:t xml:space="preserve"> </w:t>
      </w:r>
      <w:r w:rsidRPr="002D1A6D">
        <w:t>Shahid, S, Taylor, E, Cheetham, S, et al., "Key features of palliative care service delivery to Indigenous peoples in Australia, New Zealand, Canada and the United States: a comprehensive review," BMC Palliative Care, 17(72). 2018.</w:t>
      </w:r>
    </w:p>
  </w:footnote>
  <w:footnote w:id="148">
    <w:p w14:paraId="2524FD62" w14:textId="39D5D0F9" w:rsidR="00E844D4" w:rsidRDefault="00E844D4" w:rsidP="00767939">
      <w:pPr>
        <w:pStyle w:val="FootnoteText"/>
      </w:pPr>
      <w:r>
        <w:rPr>
          <w:rStyle w:val="FootnoteReference"/>
        </w:rPr>
        <w:footnoteRef/>
      </w:r>
      <w:r>
        <w:t xml:space="preserve"> </w:t>
      </w:r>
      <w:r w:rsidRPr="00BA3B6A">
        <w:t>Royal Commission into Aged Care Quality and Safety, "Canberra Hearing - Interfaces between the aged care and the health care systems." 2019.</w:t>
      </w:r>
    </w:p>
  </w:footnote>
  <w:footnote w:id="149">
    <w:p w14:paraId="17196CC0" w14:textId="4A17A058" w:rsidR="00E844D4" w:rsidRDefault="00E844D4" w:rsidP="00767939">
      <w:pPr>
        <w:pStyle w:val="FootnoteText"/>
      </w:pPr>
      <w:r>
        <w:rPr>
          <w:rStyle w:val="FootnoteReference"/>
        </w:rPr>
        <w:footnoteRef/>
      </w:r>
      <w:r>
        <w:t xml:space="preserve"> Ibid.</w:t>
      </w:r>
    </w:p>
  </w:footnote>
  <w:footnote w:id="150">
    <w:p w14:paraId="456DB48D" w14:textId="43F22F69" w:rsidR="00E844D4" w:rsidRDefault="00E844D4" w:rsidP="00767939">
      <w:pPr>
        <w:pStyle w:val="FootnoteText"/>
      </w:pPr>
      <w:r>
        <w:rPr>
          <w:rStyle w:val="FootnoteReference"/>
        </w:rPr>
        <w:footnoteRef/>
      </w:r>
      <w:r>
        <w:t xml:space="preserve"> Arendts G, Howard K 2010, The interface between residential aged care and the emergency department: a systematic review, Age and Ageing 39:306-312.</w:t>
      </w:r>
    </w:p>
  </w:footnote>
  <w:footnote w:id="151">
    <w:p w14:paraId="5699BE12" w14:textId="386FE6F4" w:rsidR="00E844D4" w:rsidRDefault="00E844D4">
      <w:pPr>
        <w:pStyle w:val="FootnoteText"/>
      </w:pPr>
      <w:r>
        <w:rPr>
          <w:rStyle w:val="FootnoteReference"/>
        </w:rPr>
        <w:footnoteRef/>
      </w:r>
      <w:r>
        <w:t xml:space="preserve"> </w:t>
      </w:r>
      <w:r w:rsidRPr="004D3325">
        <w:t>Belfrage, M, Chiminello, C, Cooper, D, et al., "Pushing the envelope: clinical handover from the aged-care home to the emergency department." 2009.</w:t>
      </w:r>
    </w:p>
  </w:footnote>
  <w:footnote w:id="152">
    <w:p w14:paraId="1CB464E9" w14:textId="32E1B9D8" w:rsidR="00E844D4" w:rsidRDefault="00E844D4" w:rsidP="00767939">
      <w:pPr>
        <w:pStyle w:val="FootnoteText"/>
      </w:pPr>
      <w:r>
        <w:rPr>
          <w:rStyle w:val="FootnoteReference"/>
        </w:rPr>
        <w:footnoteRef/>
      </w:r>
      <w:r>
        <w:t xml:space="preserve"> </w:t>
      </w:r>
      <w:r w:rsidRPr="00E12592">
        <w:t>Grattan Institute, "Dying Well." 2014.</w:t>
      </w:r>
    </w:p>
  </w:footnote>
  <w:footnote w:id="153">
    <w:p w14:paraId="22CD478B" w14:textId="71BD373D" w:rsidR="00E844D4" w:rsidRDefault="00E844D4">
      <w:pPr>
        <w:pStyle w:val="FootnoteText"/>
      </w:pPr>
      <w:r>
        <w:rPr>
          <w:rStyle w:val="FootnoteReference"/>
        </w:rPr>
        <w:footnoteRef/>
      </w:r>
      <w:r>
        <w:t xml:space="preserve"> </w:t>
      </w:r>
      <w:r w:rsidRPr="00635D12">
        <w:t>Testa, L, Seah, R, Ludlow, K, et al., "Models of care that avoid or improve transitions to hospital services for residential aged care facility residents: An integrative review," Geriatric Nursing, 41:360-372. 2020.</w:t>
      </w:r>
    </w:p>
  </w:footnote>
  <w:footnote w:id="154">
    <w:p w14:paraId="4E9EEC21" w14:textId="77777777" w:rsidR="00EF7ED7" w:rsidRDefault="00EF7ED7" w:rsidP="00EF7ED7">
      <w:pPr>
        <w:pStyle w:val="FootnoteText"/>
      </w:pPr>
      <w:r>
        <w:rPr>
          <w:rStyle w:val="FootnoteReference"/>
        </w:rPr>
        <w:footnoteRef/>
      </w:r>
      <w:r>
        <w:t xml:space="preserve"> </w:t>
      </w:r>
      <w:r w:rsidRPr="004D3325">
        <w:t>Belfrage, M, Chiminello, C, Cooper, D, et al., "Pushing the envelope: clinical handover from the aged-care home to the emergency department." 2009.</w:t>
      </w:r>
    </w:p>
  </w:footnote>
  <w:footnote w:id="155">
    <w:p w14:paraId="4F8FF065" w14:textId="045E1213" w:rsidR="00E844D4" w:rsidRDefault="00E844D4" w:rsidP="00767939">
      <w:pPr>
        <w:pStyle w:val="FootnoteText"/>
      </w:pPr>
      <w:r>
        <w:rPr>
          <w:rStyle w:val="FootnoteReference"/>
        </w:rPr>
        <w:footnoteRef/>
      </w:r>
      <w:r>
        <w:t xml:space="preserve"> </w:t>
      </w:r>
      <w:r w:rsidRPr="00E12592">
        <w:t>Grattan Institute, "Dying Well." 2014.</w:t>
      </w:r>
    </w:p>
  </w:footnote>
  <w:footnote w:id="156">
    <w:p w14:paraId="24CF5937" w14:textId="3653B276" w:rsidR="00E844D4" w:rsidRDefault="00E844D4" w:rsidP="005045B8">
      <w:pPr>
        <w:pStyle w:val="FootnoteText"/>
      </w:pPr>
      <w:r>
        <w:rPr>
          <w:rStyle w:val="FootnoteReference"/>
        </w:rPr>
        <w:footnoteRef/>
      </w:r>
      <w:r>
        <w:t xml:space="preserve"> Royal Commission into Aged Care Quality and Safety, “Interim report: Neglect, Volume 2”, 2019.</w:t>
      </w:r>
    </w:p>
  </w:footnote>
  <w:footnote w:id="157">
    <w:p w14:paraId="0D3AC78D" w14:textId="6E5D52DC" w:rsidR="00E844D4" w:rsidRDefault="00E844D4" w:rsidP="00736B91">
      <w:pPr>
        <w:pStyle w:val="FootnoteText"/>
      </w:pPr>
      <w:r>
        <w:rPr>
          <w:rStyle w:val="FootnoteReference"/>
        </w:rPr>
        <w:footnoteRef/>
      </w:r>
      <w:r>
        <w:t xml:space="preserve"> </w:t>
      </w:r>
      <w:r w:rsidRPr="001373A7">
        <w:t>Department of Health, "National Palliative Care Strategy." 2018.</w:t>
      </w:r>
    </w:p>
  </w:footnote>
  <w:footnote w:id="158">
    <w:p w14:paraId="3E16ACFB" w14:textId="0802CF43" w:rsidR="00E844D4" w:rsidRDefault="00E844D4">
      <w:pPr>
        <w:pStyle w:val="FootnoteText"/>
      </w:pPr>
      <w:r>
        <w:rPr>
          <w:rStyle w:val="FootnoteReference"/>
        </w:rPr>
        <w:footnoteRef/>
      </w:r>
      <w:r>
        <w:t xml:space="preserve"> Palliative Care Australia, “Principles for palliative and end-of-life care in residential aged care”. 2017.</w:t>
      </w:r>
    </w:p>
  </w:footnote>
  <w:footnote w:id="159">
    <w:p w14:paraId="68976C25" w14:textId="1736E41A" w:rsidR="00E844D4" w:rsidRDefault="00E844D4" w:rsidP="00651468">
      <w:pPr>
        <w:pStyle w:val="FootnoteText"/>
      </w:pPr>
      <w:r>
        <w:rPr>
          <w:rStyle w:val="FootnoteReference"/>
        </w:rPr>
        <w:footnoteRef/>
      </w:r>
      <w:r>
        <w:t xml:space="preserve"> </w:t>
      </w:r>
      <w:r w:rsidRPr="00BA3B6A">
        <w:t>Royal Commission into Aged Care Quality and Safety, "Canberra Hearing - Interfaces between the aged care and the health care systems." 2019.</w:t>
      </w:r>
    </w:p>
  </w:footnote>
  <w:footnote w:id="160">
    <w:p w14:paraId="141CB24B" w14:textId="6B7E489E" w:rsidR="00E844D4" w:rsidRDefault="00E844D4" w:rsidP="00651468">
      <w:pPr>
        <w:pStyle w:val="FootnoteText"/>
      </w:pPr>
      <w:r>
        <w:rPr>
          <w:rStyle w:val="FootnoteReference"/>
        </w:rPr>
        <w:footnoteRef/>
      </w:r>
      <w:r>
        <w:t xml:space="preserve"> </w:t>
      </w:r>
      <w:r w:rsidRPr="00B83939">
        <w:t>Oliver-Baxter, J, Brown, L, Bywood, P, "Integrated care: What policies support and influence integration in health care in Australia?" 2013.</w:t>
      </w:r>
    </w:p>
  </w:footnote>
  <w:footnote w:id="161">
    <w:p w14:paraId="3FFD792E" w14:textId="701751FE" w:rsidR="00E844D4" w:rsidRDefault="00E844D4" w:rsidP="00C93B28">
      <w:pPr>
        <w:pStyle w:val="Footer"/>
      </w:pPr>
      <w:r>
        <w:rPr>
          <w:rStyle w:val="FootnoteReference"/>
        </w:rPr>
        <w:footnoteRef/>
      </w:r>
      <w:r>
        <w:t xml:space="preserve"> </w:t>
      </w:r>
      <w:r w:rsidRPr="006568C3">
        <w:t>Productivity Commission, "Introducing competition and informed user choice into human services: Reforms to human services. Chapter 3: End-of-life care in Australia." 2017.</w:t>
      </w:r>
    </w:p>
  </w:footnote>
  <w:footnote w:id="162">
    <w:p w14:paraId="32C578D4" w14:textId="1303EC10" w:rsidR="00E844D4" w:rsidRDefault="00E844D4" w:rsidP="00651468">
      <w:pPr>
        <w:pStyle w:val="FootnoteText"/>
      </w:pPr>
      <w:r>
        <w:rPr>
          <w:rStyle w:val="FootnoteReference"/>
        </w:rPr>
        <w:footnoteRef/>
      </w:r>
      <w:r>
        <w:t xml:space="preserve"> </w:t>
      </w:r>
      <w:r w:rsidRPr="00BA3B6A">
        <w:t xml:space="preserve">Royal Commission into Aged Care Quality and Safety, "Canberra Hearing </w:t>
      </w:r>
      <w:r>
        <w:t>–</w:t>
      </w:r>
      <w:r w:rsidRPr="00BA3B6A">
        <w:t xml:space="preserve"> </w:t>
      </w:r>
      <w:r>
        <w:t>Propositions under consideration by Counsel Assisting</w:t>
      </w:r>
      <w:r w:rsidRPr="00BA3B6A">
        <w:t>." 2019.</w:t>
      </w:r>
    </w:p>
  </w:footnote>
  <w:footnote w:id="163">
    <w:p w14:paraId="4540F0A3" w14:textId="38C1D4B4" w:rsidR="00E844D4" w:rsidRDefault="00E844D4">
      <w:pPr>
        <w:pStyle w:val="FootnoteText"/>
      </w:pPr>
      <w:r>
        <w:rPr>
          <w:rStyle w:val="FootnoteReference"/>
        </w:rPr>
        <w:footnoteRef/>
      </w:r>
      <w:r>
        <w:t xml:space="preserve"> PalliAged, “PA Toolkit Closure”, 2020.</w:t>
      </w:r>
    </w:p>
  </w:footnote>
  <w:footnote w:id="164">
    <w:p w14:paraId="31904995" w14:textId="7D64CF98" w:rsidR="00E844D4" w:rsidRDefault="00E844D4">
      <w:pPr>
        <w:pStyle w:val="FootnoteText"/>
      </w:pPr>
      <w:r>
        <w:rPr>
          <w:rStyle w:val="FootnoteReference"/>
        </w:rPr>
        <w:footnoteRef/>
      </w:r>
      <w:r>
        <w:t xml:space="preserve"> </w:t>
      </w:r>
      <w:r w:rsidRPr="008806BE">
        <w:t>Shahid, S, Taylor, E, Cheetham, S, et al., "Key features of palliative care service delivery to Indigenous peoples in Australia, New Zealand, Canada and the United States: a comprehensive review," BMC Palliative Care, 17(72). 2018.</w:t>
      </w:r>
    </w:p>
  </w:footnote>
  <w:footnote w:id="165">
    <w:p w14:paraId="07712006" w14:textId="7F09CEE9" w:rsidR="00E844D4" w:rsidRDefault="00E844D4">
      <w:pPr>
        <w:pStyle w:val="FootnoteText"/>
      </w:pPr>
      <w:r>
        <w:rPr>
          <w:rStyle w:val="FootnoteReference"/>
        </w:rPr>
        <w:footnoteRef/>
      </w:r>
      <w:r>
        <w:t xml:space="preserve"> ELDAC, “About the Project”, 2019.</w:t>
      </w:r>
    </w:p>
  </w:footnote>
  <w:footnote w:id="166">
    <w:p w14:paraId="6FDB0730" w14:textId="77777777" w:rsidR="00E844D4" w:rsidRPr="00F65060" w:rsidRDefault="00E844D4" w:rsidP="00937C31">
      <w:pPr>
        <w:spacing w:after="0" w:line="240" w:lineRule="auto"/>
        <w:rPr>
          <w:rFonts w:eastAsia="Courier New" w:cs="Calibri"/>
          <w:color w:val="FF0000"/>
          <w:sz w:val="15"/>
          <w:szCs w:val="15"/>
          <w:lang w:eastAsia="en-AU"/>
        </w:rPr>
      </w:pPr>
      <w:r w:rsidRPr="00F65060">
        <w:rPr>
          <w:rStyle w:val="FootnoteReference"/>
          <w:sz w:val="15"/>
          <w:szCs w:val="15"/>
        </w:rPr>
        <w:footnoteRef/>
      </w:r>
      <w:r w:rsidRPr="00F65060">
        <w:rPr>
          <w:sz w:val="15"/>
          <w:szCs w:val="15"/>
        </w:rPr>
        <w:t xml:space="preserve"> </w:t>
      </w:r>
      <w:r w:rsidRPr="00F65060">
        <w:rPr>
          <w:rFonts w:eastAsia="Courier New" w:cs="Calibri"/>
          <w:color w:val="000000"/>
          <w:sz w:val="15"/>
          <w:szCs w:val="15"/>
          <w:lang w:eastAsia="en-AU"/>
        </w:rPr>
        <w:t>Productivity Commission, "Introducing competition and informed user choice into human services: Reforms to human services. Chapter 3: End-of-life care in Australia." 2017.; HammondCare, “Reforms to Human Services submission.” 2017.</w:t>
      </w:r>
    </w:p>
  </w:footnote>
  <w:footnote w:id="167">
    <w:p w14:paraId="270F6A60" w14:textId="77777777" w:rsidR="00E844D4" w:rsidRDefault="00E844D4" w:rsidP="008D7844">
      <w:pPr>
        <w:pStyle w:val="FootnoteText"/>
      </w:pPr>
      <w:r>
        <w:rPr>
          <w:rStyle w:val="FootnoteReference"/>
        </w:rPr>
        <w:footnoteRef/>
      </w:r>
      <w:r>
        <w:t xml:space="preserve"> </w:t>
      </w:r>
      <w:r w:rsidRPr="001D41FB">
        <w:t>Belfrage, M, Chiminello, C, Cooper, D, et al., "Pushing the envelope: clinical handover from the aged-care home to the emergency department." 2009.</w:t>
      </w:r>
    </w:p>
  </w:footnote>
  <w:footnote w:id="168">
    <w:p w14:paraId="19A3987D" w14:textId="77777777" w:rsidR="00E844D4" w:rsidRDefault="00E844D4" w:rsidP="000929F9">
      <w:pPr>
        <w:pStyle w:val="FootnoteText"/>
      </w:pPr>
      <w:r>
        <w:rPr>
          <w:rStyle w:val="FootnoteReference"/>
        </w:rPr>
        <w:footnoteRef/>
      </w:r>
      <w:r>
        <w:t xml:space="preserve"> </w:t>
      </w:r>
      <w:r w:rsidRPr="001D41FB">
        <w:t>Chapman, M, Johnston, N, Lovell, C, et al., "Avoiding costly hospitalisation at end of life: findings from a specialist palliative care pilot in residential care for older adults," British Medical Journal. 2015.</w:t>
      </w:r>
      <w:r>
        <w:t xml:space="preserve">; </w:t>
      </w:r>
      <w:r w:rsidRPr="001D41FB">
        <w:t>Johnston, N, Lovell, C, Liu-, W-M, et al., "Normalising and planning for death in residential care: findings from a qualitative focus group study of a specialist palliative care intervention," British Medical Journal. 2016.</w:t>
      </w:r>
    </w:p>
  </w:footnote>
  <w:footnote w:id="169">
    <w:p w14:paraId="069983B6" w14:textId="77777777" w:rsidR="00E844D4" w:rsidRDefault="00E844D4" w:rsidP="00F93179">
      <w:pPr>
        <w:pStyle w:val="FootnoteText"/>
      </w:pPr>
      <w:r>
        <w:rPr>
          <w:rStyle w:val="FootnoteReference"/>
        </w:rPr>
        <w:footnoteRef/>
      </w:r>
      <w:r>
        <w:t xml:space="preserve"> </w:t>
      </w:r>
      <w:r w:rsidRPr="00093798">
        <w:t>Crotty, M, Halbert, J, Rowett, D, et al., "An outreach geriatric medication advisory service in residential aged care: a randomised controlled trial of case conferencing," British Geriatrics Society, 33(6). 2004.</w:t>
      </w:r>
    </w:p>
  </w:footnote>
  <w:footnote w:id="170">
    <w:p w14:paraId="73B46050" w14:textId="77777777" w:rsidR="00E844D4" w:rsidRDefault="00E844D4" w:rsidP="000929F9">
      <w:pPr>
        <w:pStyle w:val="FootnoteText"/>
      </w:pPr>
      <w:r>
        <w:rPr>
          <w:rStyle w:val="FootnoteReference"/>
        </w:rPr>
        <w:footnoteRef/>
      </w:r>
      <w:r>
        <w:t xml:space="preserve"> </w:t>
      </w:r>
      <w:r w:rsidRPr="001D41FB">
        <w:t>Belfrage, M, Chiminello, C, Cooper, D, et al., "Pushing the envelope: clinical handover from the aged-care home to the emergency department." 2009.</w:t>
      </w:r>
    </w:p>
  </w:footnote>
  <w:footnote w:id="171">
    <w:p w14:paraId="69DFBFD1" w14:textId="77777777" w:rsidR="00E844D4" w:rsidRDefault="00E844D4" w:rsidP="000929F9">
      <w:pPr>
        <w:pStyle w:val="FootnoteText"/>
      </w:pPr>
      <w:r>
        <w:rPr>
          <w:rStyle w:val="FootnoteReference"/>
        </w:rPr>
        <w:footnoteRef/>
      </w:r>
      <w:r>
        <w:t xml:space="preserve"> </w:t>
      </w:r>
      <w:r w:rsidRPr="0023076E">
        <w:t>Finn, J, Flicker, L, Mackenzie, E, et al., "Interface between residential aged care facilities and a teaching hospital emergency department in Western Australia," Medical Journal of Australia. 2006.</w:t>
      </w:r>
    </w:p>
  </w:footnote>
  <w:footnote w:id="172">
    <w:p w14:paraId="47CE9E5A" w14:textId="77777777" w:rsidR="00E844D4" w:rsidRDefault="00E844D4">
      <w:pPr>
        <w:pStyle w:val="FootnoteText"/>
      </w:pPr>
      <w:r>
        <w:rPr>
          <w:rStyle w:val="FootnoteReference"/>
        </w:rPr>
        <w:footnoteRef/>
      </w:r>
      <w:r>
        <w:t xml:space="preserve"> </w:t>
      </w:r>
      <w:r w:rsidRPr="000734DD">
        <w:t>Forbat, L, Chapman, M, Lovell, C, et al., 'Improving specialist palliative care in residential care for older people: a checklist to guide practice,' Supportive and Palliative Care. 2017.</w:t>
      </w:r>
    </w:p>
  </w:footnote>
  <w:footnote w:id="173">
    <w:p w14:paraId="5C9DABF9" w14:textId="77777777" w:rsidR="00E844D4" w:rsidRDefault="00E844D4">
      <w:pPr>
        <w:pStyle w:val="FootnoteText"/>
      </w:pPr>
      <w:r>
        <w:rPr>
          <w:rStyle w:val="FootnoteReference"/>
        </w:rPr>
        <w:footnoteRef/>
      </w:r>
      <w:r>
        <w:t xml:space="preserve"> KPMG, “Cost benefit analysis of nurse practitioner models of care, prepared for the Department of Health.” 2018.</w:t>
      </w:r>
    </w:p>
  </w:footnote>
  <w:footnote w:id="174">
    <w:p w14:paraId="27DB6206" w14:textId="77777777" w:rsidR="00E844D4" w:rsidRDefault="00E844D4">
      <w:pPr>
        <w:pStyle w:val="FootnoteText"/>
      </w:pPr>
      <w:r>
        <w:rPr>
          <w:rStyle w:val="FootnoteReference"/>
        </w:rPr>
        <w:footnoteRef/>
      </w:r>
      <w:r>
        <w:t xml:space="preserve"> Davey R. et al., “National Evaluation of the Nurse Practitioner — Aged Care Models of Practice Initiative: Summary of Findings", Centre for Research &amp; Action in Public Health, UC Health Research Institute. 2015.</w:t>
      </w:r>
    </w:p>
  </w:footnote>
  <w:footnote w:id="175">
    <w:p w14:paraId="264C4F9B" w14:textId="77777777" w:rsidR="00E844D4" w:rsidRDefault="00E844D4">
      <w:pPr>
        <w:pStyle w:val="FootnoteText"/>
      </w:pPr>
      <w:r>
        <w:rPr>
          <w:rStyle w:val="FootnoteReference"/>
        </w:rPr>
        <w:footnoteRef/>
      </w:r>
      <w:r>
        <w:t xml:space="preserve"> </w:t>
      </w:r>
      <w:r w:rsidRPr="00C2739B">
        <w:t>Aged Care Workforce Strategy Taskforce, "Health and Aged Care Interface Technical Advisory Group." 2018.</w:t>
      </w:r>
    </w:p>
  </w:footnote>
  <w:footnote w:id="176">
    <w:p w14:paraId="5C649414" w14:textId="7C9C0C9A" w:rsidR="00E844D4" w:rsidRDefault="00E844D4">
      <w:pPr>
        <w:pStyle w:val="FootnoteText"/>
      </w:pPr>
      <w:r>
        <w:rPr>
          <w:rStyle w:val="FootnoteReference"/>
        </w:rPr>
        <w:footnoteRef/>
      </w:r>
      <w:r>
        <w:t xml:space="preserve"> Royal Commission into Aged Care Quality and Safety, “Interim report: Neglect, Volume 2”, 2019.</w:t>
      </w:r>
    </w:p>
  </w:footnote>
  <w:footnote w:id="177">
    <w:p w14:paraId="7B3637E0" w14:textId="099C6C8E" w:rsidR="00E844D4" w:rsidRDefault="00E844D4">
      <w:pPr>
        <w:pStyle w:val="FootnoteText"/>
      </w:pPr>
      <w:r>
        <w:rPr>
          <w:rStyle w:val="FootnoteReference"/>
        </w:rPr>
        <w:footnoteRef/>
      </w:r>
      <w:r>
        <w:t xml:space="preserve"> Royal Commission into Aged Care Quality and Safety, “Interim report: Neglect, Volume 3”, 2019.</w:t>
      </w:r>
    </w:p>
  </w:footnote>
  <w:footnote w:id="178">
    <w:p w14:paraId="5896B577" w14:textId="77777777" w:rsidR="00E844D4" w:rsidRDefault="00E844D4" w:rsidP="000929F9">
      <w:pPr>
        <w:pStyle w:val="FootnoteText"/>
      </w:pPr>
      <w:r>
        <w:rPr>
          <w:rStyle w:val="FootnoteReference"/>
        </w:rPr>
        <w:footnoteRef/>
      </w:r>
      <w:r>
        <w:t xml:space="preserve"> </w:t>
      </w:r>
      <w:r w:rsidRPr="008424FC">
        <w:t>Nous Group, "Stocktake and analysis of activities at the interface between the aged care, health and disability systems." 2020.</w:t>
      </w:r>
    </w:p>
  </w:footnote>
  <w:footnote w:id="179">
    <w:p w14:paraId="5E545865" w14:textId="77777777" w:rsidR="00E844D4" w:rsidRDefault="00E844D4" w:rsidP="00446A97">
      <w:pPr>
        <w:pStyle w:val="FootnoteText"/>
      </w:pPr>
      <w:r>
        <w:rPr>
          <w:rStyle w:val="FootnoteReference"/>
        </w:rPr>
        <w:footnoteRef/>
      </w:r>
      <w:r>
        <w:t xml:space="preserve"> </w:t>
      </w:r>
      <w:r w:rsidRPr="001D41FB">
        <w:t>Chapman, M, Johnston, N, Lovell, C, et al., "Avoiding costly hospitalisation at end of life: findings from a specialist palliative care pilot in residential care for older adults," British Medical Journal. 2015.</w:t>
      </w:r>
      <w:r>
        <w:t xml:space="preserve">; </w:t>
      </w:r>
      <w:r w:rsidRPr="001D41FB">
        <w:t>Johnston, N, Lovell, C, Liu-, W-M, et al., "Normalising and planning for death in residential care: findings from a qualitative focus group study of a specialist palliative care intervention," British Medical Journal. 2016.</w:t>
      </w:r>
    </w:p>
  </w:footnote>
  <w:footnote w:id="180">
    <w:p w14:paraId="64D00AA2" w14:textId="680C31D2" w:rsidR="00E844D4" w:rsidRPr="00F65060" w:rsidRDefault="00E844D4" w:rsidP="005F337E">
      <w:pPr>
        <w:pStyle w:val="Footer"/>
        <w:rPr>
          <w:color w:val="FF0000"/>
          <w:lang w:eastAsia="en-AU"/>
        </w:rPr>
      </w:pPr>
      <w:r w:rsidRPr="00F65060">
        <w:rPr>
          <w:rStyle w:val="FootnoteReference"/>
          <w:szCs w:val="15"/>
        </w:rPr>
        <w:footnoteRef/>
      </w:r>
      <w:r w:rsidRPr="00F65060">
        <w:t xml:space="preserve"> </w:t>
      </w:r>
      <w:r w:rsidRPr="00F65060">
        <w:rPr>
          <w:lang w:eastAsia="en-AU"/>
        </w:rPr>
        <w:t>Productivity Commission, "Introducing competition and informed user choice into human services: Reforms to human services. Chapter 3: End-of-life care in Australia." 2017.; HammondCare, “Reforms to Human Services submission.” 2017.</w:t>
      </w:r>
    </w:p>
  </w:footnote>
  <w:footnote w:id="181">
    <w:p w14:paraId="1C34D0EE" w14:textId="7B8BD20B" w:rsidR="00E844D4" w:rsidRDefault="00E844D4" w:rsidP="00446A97">
      <w:pPr>
        <w:pStyle w:val="FootnoteText"/>
      </w:pPr>
      <w:r>
        <w:rPr>
          <w:rStyle w:val="FootnoteReference"/>
        </w:rPr>
        <w:footnoteRef/>
      </w:r>
      <w:r>
        <w:t xml:space="preserve"> NSW Agency for Clinical Innovation, “ACI Clinical Innovation Program – Specialised geriatric outreach for residential aged care.” 2014.</w:t>
      </w:r>
    </w:p>
  </w:footnote>
  <w:footnote w:id="182">
    <w:p w14:paraId="313FF967" w14:textId="77777777" w:rsidR="00E844D4" w:rsidRDefault="00E844D4" w:rsidP="00446A97">
      <w:pPr>
        <w:pStyle w:val="FootnoteText"/>
      </w:pPr>
      <w:r>
        <w:rPr>
          <w:rStyle w:val="FootnoteReference"/>
        </w:rPr>
        <w:footnoteRef/>
      </w:r>
      <w:r>
        <w:t xml:space="preserve"> </w:t>
      </w:r>
      <w:r w:rsidRPr="00093798">
        <w:t>Crotty, M, Halbert, J, Rowett, D, et al., "An outreach geriatric medication advisory service in residential aged care: a randomised controlled trial of case conferencing," British Geriatrics Society, 33(6). 2004.</w:t>
      </w:r>
    </w:p>
  </w:footnote>
  <w:footnote w:id="183">
    <w:p w14:paraId="7E4FAE12" w14:textId="77777777" w:rsidR="00E844D4" w:rsidRDefault="00E844D4" w:rsidP="00446A97">
      <w:pPr>
        <w:pStyle w:val="FootnoteText"/>
      </w:pPr>
      <w:r>
        <w:rPr>
          <w:rStyle w:val="FootnoteReference"/>
        </w:rPr>
        <w:footnoteRef/>
      </w:r>
      <w:r>
        <w:t xml:space="preserve"> </w:t>
      </w:r>
      <w:r w:rsidRPr="008806BE">
        <w:t>Shahid, S, Taylor, E, Cheetham, S, et al., "Key features of palliative care service delivery to Indigenous peoples in Australia, New Zealand, Canada and the United States: a comprehensive review," BMC Palliative Care, 17(72). 2018.</w:t>
      </w:r>
    </w:p>
  </w:footnote>
  <w:footnote w:id="184">
    <w:p w14:paraId="51D5D795" w14:textId="77777777" w:rsidR="00E844D4" w:rsidRDefault="00E844D4" w:rsidP="00446A97">
      <w:pPr>
        <w:pStyle w:val="FootnoteText"/>
      </w:pPr>
      <w:r>
        <w:rPr>
          <w:rStyle w:val="FootnoteReference"/>
        </w:rPr>
        <w:footnoteRef/>
      </w:r>
      <w:r>
        <w:t xml:space="preserve"> </w:t>
      </w:r>
      <w:r w:rsidRPr="006739B9">
        <w:t>Amadoru, S, Rayner, J, Joseph, R, et al., "Factors influencing decision-making processes for unwell residents in residential aged care: Hospital transfer or Residential InReach referral?" Australasian Journal on Ageing, 37 (2). 2016.</w:t>
      </w:r>
    </w:p>
  </w:footnote>
  <w:footnote w:id="185">
    <w:p w14:paraId="13BC5077" w14:textId="64E2500F" w:rsidR="00E844D4" w:rsidRDefault="00E844D4" w:rsidP="00446A97">
      <w:pPr>
        <w:pStyle w:val="FootnoteText"/>
      </w:pPr>
      <w:r>
        <w:rPr>
          <w:rStyle w:val="FootnoteReference"/>
        </w:rPr>
        <w:footnoteRef/>
      </w:r>
      <w:r>
        <w:t xml:space="preserve"> NSW Agency for Clinical Innovation, “ACI Clinical Innovation Program – Specialised geriatric outreach for residential aged care.” 2014.</w:t>
      </w:r>
    </w:p>
  </w:footnote>
  <w:footnote w:id="186">
    <w:p w14:paraId="3A6796D5" w14:textId="77777777" w:rsidR="00E844D4" w:rsidRDefault="00E844D4" w:rsidP="00446A97">
      <w:pPr>
        <w:pStyle w:val="FootnoteText"/>
      </w:pPr>
      <w:r>
        <w:rPr>
          <w:rStyle w:val="FootnoteReference"/>
        </w:rPr>
        <w:footnoteRef/>
      </w:r>
      <w:r>
        <w:t xml:space="preserve"> </w:t>
      </w:r>
      <w:r w:rsidRPr="001D41FB">
        <w:t>Belfrage, M, Chiminello, C, Cooper, D, et al., "Pushing the envelope: clinical handover from the aged-care home to the emergency department." 2009.</w:t>
      </w:r>
    </w:p>
  </w:footnote>
  <w:footnote w:id="187">
    <w:p w14:paraId="33124CA9" w14:textId="77777777" w:rsidR="00E844D4" w:rsidRDefault="00E844D4" w:rsidP="00446A97">
      <w:pPr>
        <w:pStyle w:val="FootnoteText"/>
      </w:pPr>
      <w:r>
        <w:rPr>
          <w:rStyle w:val="FootnoteReference"/>
        </w:rPr>
        <w:footnoteRef/>
      </w:r>
      <w:r>
        <w:t xml:space="preserve"> </w:t>
      </w:r>
      <w:r w:rsidRPr="00FA1A24">
        <w:t>Burkett, E, Scott, I, "CARE-PACT: a new paradigm of care for acutely unwell residents in aged care facilities," Australian Family Physician, 44(4). 2015.</w:t>
      </w:r>
    </w:p>
  </w:footnote>
  <w:footnote w:id="188">
    <w:p w14:paraId="6013BCB8" w14:textId="30D474C8" w:rsidR="00E844D4" w:rsidRDefault="00E844D4" w:rsidP="00446A97">
      <w:pPr>
        <w:pStyle w:val="FootnoteText"/>
      </w:pPr>
      <w:r>
        <w:rPr>
          <w:rStyle w:val="FootnoteReference"/>
        </w:rPr>
        <w:footnoteRef/>
      </w:r>
      <w:r>
        <w:t xml:space="preserve"> NSW Agency for Clinical Innovation, “ACI Clinical Innovation Program – Specialised geriatric outreach for residential aged care.” 2014.</w:t>
      </w:r>
    </w:p>
  </w:footnote>
  <w:footnote w:id="189">
    <w:p w14:paraId="703BCA10" w14:textId="46430E40" w:rsidR="00E844D4" w:rsidRDefault="00E844D4" w:rsidP="00446A97">
      <w:pPr>
        <w:pStyle w:val="FootnoteText"/>
      </w:pPr>
      <w:r>
        <w:rPr>
          <w:rStyle w:val="FootnoteReference"/>
        </w:rPr>
        <w:footnoteRef/>
      </w:r>
      <w:r>
        <w:t xml:space="preserve"> Ibid.</w:t>
      </w:r>
    </w:p>
  </w:footnote>
  <w:footnote w:id="190">
    <w:p w14:paraId="75AE0A7B" w14:textId="6BF8E0C8" w:rsidR="00E844D4" w:rsidRDefault="00E844D4">
      <w:pPr>
        <w:pStyle w:val="FootnoteText"/>
      </w:pPr>
      <w:r>
        <w:rPr>
          <w:rStyle w:val="FootnoteReference"/>
        </w:rPr>
        <w:footnoteRef/>
      </w:r>
      <w:r>
        <w:t xml:space="preserve"> </w:t>
      </w:r>
      <w:r w:rsidRPr="007F73D3">
        <w:t>Nous Group, "Stocktake and analysis of activities at the interface between the aged care, health and disability systems." 2020</w:t>
      </w:r>
      <w:r>
        <w:t>; St. Vincent’s Health Australia, “Palliative Care Nurse Practitioners.” 2019.</w:t>
      </w:r>
    </w:p>
  </w:footnote>
  <w:footnote w:id="191">
    <w:p w14:paraId="0157A0AB" w14:textId="70B62082" w:rsidR="00922C44" w:rsidRDefault="00922C44">
      <w:pPr>
        <w:pStyle w:val="FootnoteText"/>
      </w:pPr>
      <w:r>
        <w:rPr>
          <w:rStyle w:val="FootnoteReference"/>
        </w:rPr>
        <w:footnoteRef/>
      </w:r>
      <w:r>
        <w:t xml:space="preserve"> </w:t>
      </w:r>
      <w:r w:rsidR="00E0563D">
        <w:t>Reed, R, “Models of general practitioner services in residential aged care facilities.</w:t>
      </w:r>
      <w:r w:rsidR="00ED2CD3">
        <w:t>” Australian Family Physician. 2015.</w:t>
      </w:r>
    </w:p>
  </w:footnote>
  <w:footnote w:id="192">
    <w:p w14:paraId="73A29347" w14:textId="2F761E97" w:rsidR="00194DAC" w:rsidRDefault="00194DAC">
      <w:pPr>
        <w:pStyle w:val="FootnoteText"/>
      </w:pPr>
      <w:r>
        <w:rPr>
          <w:rStyle w:val="FootnoteReference"/>
        </w:rPr>
        <w:footnoteRef/>
      </w:r>
      <w:r>
        <w:t xml:space="preserve"> </w:t>
      </w:r>
      <w:r w:rsidR="00003A2B">
        <w:t>Ibid.</w:t>
      </w:r>
    </w:p>
  </w:footnote>
  <w:footnote w:id="193">
    <w:p w14:paraId="40C3C53E" w14:textId="77777777" w:rsidR="00E844D4" w:rsidRDefault="00E844D4" w:rsidP="00446A97">
      <w:pPr>
        <w:pStyle w:val="FootnoteText"/>
      </w:pPr>
      <w:r>
        <w:rPr>
          <w:rStyle w:val="FootnoteReference"/>
        </w:rPr>
        <w:footnoteRef/>
      </w:r>
      <w:r>
        <w:t xml:space="preserve"> </w:t>
      </w:r>
      <w:r w:rsidRPr="00AD0AD0">
        <w:t>Boyd, M, Armstrong, D, Parker, J, et al., "Do Gerontology Nurse Specialists Make a Difference in Hospitalization of Long-Term Care Residents? Results of a Randomized Comparison Trial." American Geriatrics Society. 2014.</w:t>
      </w:r>
    </w:p>
  </w:footnote>
  <w:footnote w:id="194">
    <w:p w14:paraId="3172B810" w14:textId="05453741" w:rsidR="00E844D4" w:rsidRDefault="00E844D4" w:rsidP="00446A97">
      <w:pPr>
        <w:pStyle w:val="FootnoteText"/>
      </w:pPr>
      <w:r>
        <w:rPr>
          <w:rStyle w:val="FootnoteReference"/>
        </w:rPr>
        <w:footnoteRef/>
      </w:r>
      <w:r>
        <w:t xml:space="preserve"> Foster, S, Boyd, M, Broad, J, et al., “Aged Residential Care Health Utilisation Study (ARCHUS): a randomised controlled trial to reduce acute hospitalisations from residential aged care,” </w:t>
      </w:r>
    </w:p>
  </w:footnote>
  <w:footnote w:id="195">
    <w:p w14:paraId="190BFDCE" w14:textId="77777777" w:rsidR="00E844D4" w:rsidRDefault="00E844D4" w:rsidP="00446A97">
      <w:pPr>
        <w:pStyle w:val="FootnoteText"/>
      </w:pPr>
      <w:r>
        <w:rPr>
          <w:rStyle w:val="FootnoteReference"/>
        </w:rPr>
        <w:footnoteRef/>
      </w:r>
      <w:r>
        <w:t xml:space="preserve"> </w:t>
      </w:r>
      <w:r w:rsidRPr="008D2614">
        <w:t>Badger, F, Clifford, C, Hewison, A, &amp; Thomas, K, "An evaluation of the implementation of a programme to improve end-of-life care in nursing homes," Palliative Medicine, 23. 2009.</w:t>
      </w:r>
    </w:p>
  </w:footnote>
  <w:footnote w:id="196">
    <w:p w14:paraId="7C147FF4" w14:textId="77777777" w:rsidR="00E844D4" w:rsidRDefault="00E844D4" w:rsidP="00446A97">
      <w:pPr>
        <w:pStyle w:val="FootnoteText"/>
      </w:pPr>
      <w:r>
        <w:rPr>
          <w:rStyle w:val="FootnoteReference"/>
        </w:rPr>
        <w:footnoteRef/>
      </w:r>
      <w:r>
        <w:t xml:space="preserve"> </w:t>
      </w:r>
      <w:r w:rsidRPr="00310449">
        <w:t>Highet, G, Crawford, D, Murray, S, Boyd, K, "Development and evaluation of the Supportive and Palliative Care Indicators Tool (SPICT): a mixed-methods study," British Medical Journal. 2018.</w:t>
      </w:r>
    </w:p>
  </w:footnote>
  <w:footnote w:id="197">
    <w:p w14:paraId="44F7A0D1" w14:textId="54FF1B2E" w:rsidR="00E844D4" w:rsidRPr="00CD5366" w:rsidRDefault="00E844D4">
      <w:pPr>
        <w:pStyle w:val="FootnoteText"/>
      </w:pPr>
      <w:r>
        <w:rPr>
          <w:rStyle w:val="FootnoteReference"/>
        </w:rPr>
        <w:footnoteRef/>
      </w:r>
      <w:r>
        <w:t xml:space="preserve"> Basson, B, Vassal, P, Richard, A, </w:t>
      </w:r>
      <w:r>
        <w:rPr>
          <w:i/>
          <w:iCs/>
        </w:rPr>
        <w:t xml:space="preserve">et al., </w:t>
      </w:r>
      <w:r>
        <w:t>“Role of a Palliative Care Mobile Unit in a nursing home,” Review Internationale De Soins Palliatifs, 17(2). 2002.</w:t>
      </w:r>
    </w:p>
  </w:footnote>
  <w:footnote w:id="198">
    <w:p w14:paraId="194EA4C0" w14:textId="37820132" w:rsidR="00E844D4" w:rsidRPr="00151A6A" w:rsidRDefault="00E844D4">
      <w:pPr>
        <w:pStyle w:val="FootnoteText"/>
        <w:rPr>
          <w:iCs/>
        </w:rPr>
      </w:pPr>
      <w:r>
        <w:rPr>
          <w:rStyle w:val="FootnoteReference"/>
        </w:rPr>
        <w:footnoteRef/>
      </w:r>
      <w:r>
        <w:t xml:space="preserve"> Hanson, L, Reynolds, K, Henderson, M, </w:t>
      </w:r>
      <w:r>
        <w:rPr>
          <w:i/>
        </w:rPr>
        <w:t>et al.,</w:t>
      </w:r>
      <w:r>
        <w:rPr>
          <w:iCs/>
        </w:rPr>
        <w:t xml:space="preserve"> “A quality improvement intervention to increase palliative care in nursing homes,” Journal of Palliative Medicine, 8(3). 2005.</w:t>
      </w:r>
    </w:p>
  </w:footnote>
  <w:footnote w:id="199">
    <w:p w14:paraId="58827573" w14:textId="559E7FD1" w:rsidR="00E844D4" w:rsidRPr="00011B8A" w:rsidRDefault="00E844D4">
      <w:pPr>
        <w:pStyle w:val="FootnoteText"/>
      </w:pPr>
      <w:r>
        <w:rPr>
          <w:rStyle w:val="FootnoteReference"/>
        </w:rPr>
        <w:footnoteRef/>
      </w:r>
      <w:r>
        <w:t xml:space="preserve"> Morrison, R, Chichin, E, Carter, J, </w:t>
      </w:r>
      <w:r>
        <w:rPr>
          <w:i/>
          <w:iCs/>
        </w:rPr>
        <w:t xml:space="preserve">et al., </w:t>
      </w:r>
      <w:r>
        <w:t>‘The effect of a social work intervention to enhance advance care planning documentation in the nursing home,’ American Geriatrics Society, 52: 290-294. 2005.</w:t>
      </w:r>
    </w:p>
  </w:footnote>
  <w:footnote w:id="200">
    <w:p w14:paraId="153BB4CC" w14:textId="31D49F9C" w:rsidR="00E844D4" w:rsidRDefault="00E844D4">
      <w:pPr>
        <w:pStyle w:val="FootnoteText"/>
      </w:pPr>
      <w:r>
        <w:rPr>
          <w:rStyle w:val="FootnoteReference"/>
        </w:rPr>
        <w:footnoteRef/>
      </w:r>
      <w:r>
        <w:t xml:space="preserve"> Council on Federal Financial Relations, ‘Agreements.’ Accessed 18 September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45972E" w14:textId="77777777" w:rsidR="00E844D4" w:rsidRDefault="00E844D4">
    <w:pPr>
      <w:pStyle w:val="Header"/>
    </w:pPr>
    <w:r>
      <w:rPr>
        <w:noProof/>
        <w:sz w:val="20"/>
        <w:szCs w:val="20"/>
        <w:lang w:eastAsia="en-AU"/>
      </w:rPr>
      <w:drawing>
        <wp:anchor distT="0" distB="0" distL="114300" distR="114300" simplePos="0" relativeHeight="251658243" behindDoc="0" locked="0" layoutInCell="1" allowOverlap="1" wp14:anchorId="374480AB" wp14:editId="5A08E547">
          <wp:simplePos x="0" y="0"/>
          <wp:positionH relativeFrom="page">
            <wp:posOffset>3337</wp:posOffset>
          </wp:positionH>
          <wp:positionV relativeFrom="page">
            <wp:posOffset>-6985</wp:posOffset>
          </wp:positionV>
          <wp:extent cx="7559749" cy="116958"/>
          <wp:effectExtent l="0" t="0" r="0" b="0"/>
          <wp:wrapNone/>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lue gradient line.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59749" cy="116958"/>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398210" w14:textId="77777777" w:rsidR="00E844D4" w:rsidRDefault="00E844D4" w:rsidP="00F75386">
    <w:pPr>
      <w:pStyle w:val="Header"/>
      <w:tabs>
        <w:tab w:val="clear" w:pos="4513"/>
        <w:tab w:val="clear" w:pos="9026"/>
        <w:tab w:val="left" w:pos="1758"/>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603B3B" w14:textId="2A96AA5E" w:rsidR="00E844D4" w:rsidRDefault="00E844D4">
    <w:r>
      <w:rPr>
        <w:noProof/>
        <w:sz w:val="20"/>
        <w:szCs w:val="20"/>
        <w:lang w:eastAsia="en-AU"/>
      </w:rPr>
      <w:drawing>
        <wp:anchor distT="0" distB="0" distL="114300" distR="114300" simplePos="0" relativeHeight="251658240" behindDoc="0" locked="0" layoutInCell="1" allowOverlap="1" wp14:anchorId="73603B44" wp14:editId="1502D86A">
          <wp:simplePos x="0" y="0"/>
          <wp:positionH relativeFrom="page">
            <wp:posOffset>-9525</wp:posOffset>
          </wp:positionH>
          <wp:positionV relativeFrom="page">
            <wp:posOffset>0</wp:posOffset>
          </wp:positionV>
          <wp:extent cx="10728000" cy="152400"/>
          <wp:effectExtent l="0" t="0" r="0" b="0"/>
          <wp:wrapNone/>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lue gradient line.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10728000" cy="15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603B3D" w14:textId="2F9FF023" w:rsidR="00E844D4" w:rsidRDefault="00E844D4" w:rsidP="00F75386">
    <w:pPr>
      <w:tabs>
        <w:tab w:val="left" w:pos="1758"/>
      </w:tabs>
    </w:pPr>
    <w:r>
      <w:rPr>
        <w:noProof/>
        <w:sz w:val="20"/>
        <w:szCs w:val="20"/>
        <w:lang w:eastAsia="en-AU"/>
      </w:rPr>
      <w:drawing>
        <wp:anchor distT="0" distB="0" distL="114300" distR="114300" simplePos="0" relativeHeight="251658242" behindDoc="0" locked="0" layoutInCell="1" allowOverlap="1" wp14:anchorId="73603B46" wp14:editId="73603B47">
          <wp:simplePos x="0" y="0"/>
          <wp:positionH relativeFrom="page">
            <wp:posOffset>-635</wp:posOffset>
          </wp:positionH>
          <wp:positionV relativeFrom="page">
            <wp:posOffset>0</wp:posOffset>
          </wp:positionV>
          <wp:extent cx="7560297" cy="113122"/>
          <wp:effectExtent l="0" t="0" r="3175" b="1270"/>
          <wp:wrapNone/>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lue gradient line.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60297" cy="113122"/>
                  </a:xfrm>
                  <a:prstGeom prst="rect">
                    <a:avLst/>
                  </a:prstGeom>
                </pic:spPr>
              </pic:pic>
            </a:graphicData>
          </a:graphic>
          <wp14:sizeRelH relativeFrom="margin">
            <wp14:pctWidth>0</wp14:pctWidth>
          </wp14:sizeRelH>
          <wp14:sizeRelV relativeFrom="margin">
            <wp14:pctHeight>0</wp14:pctHeight>
          </wp14:sizeRelV>
        </wp:anchor>
      </w:drawing>
    </w:r>
    <w:r>
      <w:rPr>
        <w:noProof/>
        <w:sz w:val="20"/>
        <w:szCs w:val="20"/>
        <w:lang w:eastAsia="en-AU"/>
      </w:rPr>
      <w:drawing>
        <wp:anchor distT="0" distB="0" distL="114300" distR="114300" simplePos="0" relativeHeight="251658241" behindDoc="0" locked="0" layoutInCell="1" allowOverlap="1" wp14:anchorId="73603B48" wp14:editId="73603B49">
          <wp:simplePos x="0" y="0"/>
          <wp:positionH relativeFrom="page">
            <wp:posOffset>7719060</wp:posOffset>
          </wp:positionH>
          <wp:positionV relativeFrom="page">
            <wp:posOffset>69660</wp:posOffset>
          </wp:positionV>
          <wp:extent cx="7559749" cy="116958"/>
          <wp:effectExtent l="0" t="0" r="0" b="0"/>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lue gradient line.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59749" cy="116958"/>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007B8F"/>
    <w:multiLevelType w:val="multilevel"/>
    <w:tmpl w:val="9CD6342C"/>
    <w:styleLink w:val="TableexpListnumberedmultilevel"/>
    <w:lvl w:ilvl="0">
      <w:start w:val="1"/>
      <w:numFmt w:val="decimal"/>
      <w:pStyle w:val="TableexpListnumbered"/>
      <w:lvlText w:val="%1."/>
      <w:lvlJc w:val="left"/>
      <w:pPr>
        <w:ind w:left="227" w:hanging="227"/>
      </w:pPr>
      <w:rPr>
        <w:rFonts w:ascii="Segoe UI" w:hAnsi="Segoe UI" w:hint="default"/>
        <w:b w:val="0"/>
        <w:i w:val="0"/>
        <w:sz w:val="16"/>
      </w:rPr>
    </w:lvl>
    <w:lvl w:ilvl="1">
      <w:start w:val="1"/>
      <w:numFmt w:val="lowerLetter"/>
      <w:lvlText w:val="%2."/>
      <w:lvlJc w:val="left"/>
      <w:pPr>
        <w:ind w:left="454" w:hanging="227"/>
      </w:pPr>
      <w:rPr>
        <w:rFonts w:ascii="Segoe UI" w:hAnsi="Segoe UI" w:hint="default"/>
        <w:sz w:val="16"/>
      </w:rPr>
    </w:lvl>
    <w:lvl w:ilvl="2">
      <w:start w:val="1"/>
      <w:numFmt w:val="lowerRoman"/>
      <w:lvlText w:val="%3."/>
      <w:lvlJc w:val="left"/>
      <w:pPr>
        <w:ind w:left="680" w:hanging="226"/>
      </w:pPr>
      <w:rPr>
        <w:rFonts w:ascii="Segoe UI" w:hAnsi="Segoe UI" w:hint="default"/>
        <w:sz w:val="16"/>
      </w:rPr>
    </w:lvl>
    <w:lvl w:ilvl="3">
      <w:start w:val="1"/>
      <w:numFmt w:val="decimal"/>
      <w:lvlText w:val="%4."/>
      <w:lvlJc w:val="left"/>
      <w:pPr>
        <w:ind w:left="5180" w:hanging="360"/>
      </w:pPr>
      <w:rPr>
        <w:rFonts w:hint="default"/>
      </w:rPr>
    </w:lvl>
    <w:lvl w:ilvl="4">
      <w:start w:val="1"/>
      <w:numFmt w:val="lowerLetter"/>
      <w:lvlText w:val="%5."/>
      <w:lvlJc w:val="left"/>
      <w:pPr>
        <w:ind w:left="5900" w:hanging="360"/>
      </w:pPr>
      <w:rPr>
        <w:rFonts w:hint="default"/>
      </w:rPr>
    </w:lvl>
    <w:lvl w:ilvl="5">
      <w:start w:val="1"/>
      <w:numFmt w:val="lowerRoman"/>
      <w:lvlText w:val="%6."/>
      <w:lvlJc w:val="right"/>
      <w:pPr>
        <w:ind w:left="6620" w:hanging="180"/>
      </w:pPr>
      <w:rPr>
        <w:rFonts w:hint="default"/>
      </w:rPr>
    </w:lvl>
    <w:lvl w:ilvl="6">
      <w:start w:val="1"/>
      <w:numFmt w:val="decimal"/>
      <w:lvlText w:val="%7."/>
      <w:lvlJc w:val="left"/>
      <w:pPr>
        <w:ind w:left="7340" w:hanging="360"/>
      </w:pPr>
      <w:rPr>
        <w:rFonts w:hint="default"/>
      </w:rPr>
    </w:lvl>
    <w:lvl w:ilvl="7">
      <w:start w:val="1"/>
      <w:numFmt w:val="lowerLetter"/>
      <w:lvlText w:val="%8."/>
      <w:lvlJc w:val="left"/>
      <w:pPr>
        <w:ind w:left="8060" w:hanging="360"/>
      </w:pPr>
      <w:rPr>
        <w:rFonts w:hint="default"/>
      </w:rPr>
    </w:lvl>
    <w:lvl w:ilvl="8">
      <w:start w:val="1"/>
      <w:numFmt w:val="lowerRoman"/>
      <w:lvlText w:val="%9."/>
      <w:lvlJc w:val="right"/>
      <w:pPr>
        <w:ind w:left="8780" w:hanging="180"/>
      </w:pPr>
      <w:rPr>
        <w:rFonts w:hint="default"/>
      </w:rPr>
    </w:lvl>
  </w:abstractNum>
  <w:abstractNum w:abstractNumId="1" w15:restartNumberingAfterBreak="0">
    <w:nsid w:val="089A31A2"/>
    <w:multiLevelType w:val="multilevel"/>
    <w:tmpl w:val="A004518A"/>
    <w:lvl w:ilvl="0">
      <w:start w:val="1"/>
      <w:numFmt w:val="decimal"/>
      <w:pStyle w:val="Heading1"/>
      <w:lvlText w:val="%1"/>
      <w:lvlJc w:val="left"/>
      <w:pPr>
        <w:ind w:left="360" w:hanging="360"/>
      </w:pPr>
      <w:rPr>
        <w:rFonts w:ascii="Segoe UI" w:hAnsi="Segoe UI" w:hint="default"/>
        <w:b/>
        <w:i w:val="0"/>
        <w:sz w:val="36"/>
        <w:szCs w:val="96"/>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 w15:restartNumberingAfterBreak="0">
    <w:nsid w:val="130E2EF9"/>
    <w:multiLevelType w:val="hybridMultilevel"/>
    <w:tmpl w:val="A132758A"/>
    <w:lvl w:ilvl="0" w:tplc="D408B966">
      <w:start w:val="1"/>
      <w:numFmt w:val="bullet"/>
      <w:pStyle w:val="TableExp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AA13D2D"/>
    <w:multiLevelType w:val="multilevel"/>
    <w:tmpl w:val="F2D8D162"/>
    <w:styleLink w:val="Listnumberedmultilevel"/>
    <w:lvl w:ilvl="0">
      <w:start w:val="1"/>
      <w:numFmt w:val="decimal"/>
      <w:pStyle w:val="Listnumbered"/>
      <w:lvlText w:val="%1."/>
      <w:lvlJc w:val="left"/>
      <w:pPr>
        <w:ind w:left="340" w:hanging="340"/>
      </w:pPr>
      <w:rPr>
        <w:rFonts w:ascii="Segoe UI" w:hAnsi="Segoe UI" w:hint="default"/>
        <w:b w:val="0"/>
        <w:i w:val="0"/>
        <w:sz w:val="19"/>
      </w:rPr>
    </w:lvl>
    <w:lvl w:ilvl="1">
      <w:start w:val="1"/>
      <w:numFmt w:val="lowerLetter"/>
      <w:lvlText w:val="%2."/>
      <w:lvlJc w:val="left"/>
      <w:pPr>
        <w:ind w:left="680" w:hanging="340"/>
      </w:pPr>
      <w:rPr>
        <w:rFonts w:ascii="Segoe UI" w:hAnsi="Segoe UI" w:hint="default"/>
        <w:sz w:val="20"/>
      </w:rPr>
    </w:lvl>
    <w:lvl w:ilvl="2">
      <w:start w:val="1"/>
      <w:numFmt w:val="lowerRoman"/>
      <w:lvlText w:val="%3."/>
      <w:lvlJc w:val="left"/>
      <w:pPr>
        <w:ind w:left="1021" w:hanging="341"/>
      </w:pPr>
      <w:rPr>
        <w:rFonts w:ascii="Segoe UI" w:hAnsi="Segoe UI" w:hint="default"/>
        <w:sz w:val="19"/>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4" w15:restartNumberingAfterBreak="0">
    <w:nsid w:val="21817F59"/>
    <w:multiLevelType w:val="hybridMultilevel"/>
    <w:tmpl w:val="17DCBED8"/>
    <w:lvl w:ilvl="0" w:tplc="6C2A29A6">
      <w:start w:val="3"/>
      <w:numFmt w:val="bullet"/>
      <w:lvlText w:val="-"/>
      <w:lvlJc w:val="left"/>
      <w:pPr>
        <w:ind w:left="720" w:hanging="360"/>
      </w:pPr>
      <w:rPr>
        <w:rFonts w:ascii="Segoe UI" w:eastAsiaTheme="minorHAns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3365F9B"/>
    <w:multiLevelType w:val="hybridMultilevel"/>
    <w:tmpl w:val="1C2653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7016417"/>
    <w:multiLevelType w:val="hybridMultilevel"/>
    <w:tmpl w:val="F22ACB78"/>
    <w:lvl w:ilvl="0" w:tplc="43B00E74">
      <w:numFmt w:val="bullet"/>
      <w:lvlText w:val="-"/>
      <w:lvlJc w:val="left"/>
      <w:pPr>
        <w:ind w:left="720" w:hanging="360"/>
      </w:pPr>
      <w:rPr>
        <w:rFonts w:ascii="Segoe UI" w:eastAsiaTheme="minorHAns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9D1413D"/>
    <w:multiLevelType w:val="multilevel"/>
    <w:tmpl w:val="CB6ED078"/>
    <w:lvl w:ilvl="0">
      <w:start w:val="1"/>
      <w:numFmt w:val="bullet"/>
      <w:pStyle w:val="TableNBullet"/>
      <w:lvlText w:val=""/>
      <w:lvlJc w:val="left"/>
      <w:pPr>
        <w:ind w:left="227" w:hanging="227"/>
      </w:pPr>
      <w:rPr>
        <w:rFonts w:ascii="Symbol" w:hAnsi="Symbol" w:hint="default"/>
        <w:color w:val="auto"/>
        <w:position w:val="4"/>
        <w:sz w:val="16"/>
      </w:rPr>
    </w:lvl>
    <w:lvl w:ilvl="1">
      <w:start w:val="1"/>
      <w:numFmt w:val="bullet"/>
      <w:lvlText w:val=""/>
      <w:lvlJc w:val="left"/>
      <w:pPr>
        <w:ind w:left="510" w:hanging="226"/>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8" w15:restartNumberingAfterBreak="0">
    <w:nsid w:val="428C2FDF"/>
    <w:multiLevelType w:val="hybridMultilevel"/>
    <w:tmpl w:val="F79E27E0"/>
    <w:lvl w:ilvl="0" w:tplc="370EA3D8">
      <w:start w:val="1"/>
      <w:numFmt w:val="bullet"/>
      <w:pStyle w:val="longformcalloutbullet"/>
      <w:lvlText w:val=""/>
      <w:lvlJc w:val="left"/>
      <w:pPr>
        <w:ind w:left="720" w:hanging="360"/>
      </w:pPr>
      <w:rPr>
        <w:rFonts w:ascii="Symbol" w:hAnsi="Symbol" w:hint="default"/>
        <w:color w:val="00264D" w:themeColor="background2"/>
        <w:sz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5632006"/>
    <w:multiLevelType w:val="hybridMultilevel"/>
    <w:tmpl w:val="A198F7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465A1E7C"/>
    <w:multiLevelType w:val="hybridMultilevel"/>
    <w:tmpl w:val="E25A33B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6F32306"/>
    <w:multiLevelType w:val="hybridMultilevel"/>
    <w:tmpl w:val="983CB776"/>
    <w:styleLink w:val="Bullets"/>
    <w:lvl w:ilvl="0" w:tplc="D2B85C30">
      <w:start w:val="1"/>
      <w:numFmt w:val="bullet"/>
      <w:lvlText w:val="-"/>
      <w:lvlJc w:val="left"/>
      <w:pPr>
        <w:ind w:left="150" w:hanging="15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A323E9C">
      <w:start w:val="1"/>
      <w:numFmt w:val="bullet"/>
      <w:lvlText w:val="-"/>
      <w:lvlJc w:val="left"/>
      <w:pPr>
        <w:ind w:left="750" w:hanging="15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2E87DA4">
      <w:start w:val="1"/>
      <w:numFmt w:val="bullet"/>
      <w:lvlText w:val="-"/>
      <w:lvlJc w:val="left"/>
      <w:pPr>
        <w:ind w:left="1350" w:hanging="15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B145564">
      <w:start w:val="1"/>
      <w:numFmt w:val="bullet"/>
      <w:lvlText w:val="-"/>
      <w:lvlJc w:val="left"/>
      <w:pPr>
        <w:ind w:left="1950" w:hanging="15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1F20D2E">
      <w:start w:val="1"/>
      <w:numFmt w:val="bullet"/>
      <w:lvlText w:val="-"/>
      <w:lvlJc w:val="left"/>
      <w:pPr>
        <w:ind w:left="2550" w:hanging="15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AA6D67C">
      <w:start w:val="1"/>
      <w:numFmt w:val="bullet"/>
      <w:lvlText w:val="-"/>
      <w:lvlJc w:val="left"/>
      <w:pPr>
        <w:ind w:left="3150" w:hanging="15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CE0F96A">
      <w:start w:val="1"/>
      <w:numFmt w:val="bullet"/>
      <w:lvlText w:val="-"/>
      <w:lvlJc w:val="left"/>
      <w:pPr>
        <w:ind w:left="3750" w:hanging="15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108E406">
      <w:start w:val="1"/>
      <w:numFmt w:val="bullet"/>
      <w:lvlText w:val="-"/>
      <w:lvlJc w:val="left"/>
      <w:pPr>
        <w:ind w:left="4350" w:hanging="15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9BA693A">
      <w:start w:val="1"/>
      <w:numFmt w:val="bullet"/>
      <w:lvlText w:val="-"/>
      <w:lvlJc w:val="left"/>
      <w:pPr>
        <w:ind w:left="4950" w:hanging="15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4AB30710"/>
    <w:multiLevelType w:val="hybridMultilevel"/>
    <w:tmpl w:val="7DA0F9D0"/>
    <w:lvl w:ilvl="0" w:tplc="50924516">
      <w:start w:val="1"/>
      <w:numFmt w:val="decimal"/>
      <w:pStyle w:val="longformcalloutnumber"/>
      <w:lvlText w:val="%1."/>
      <w:lvlJc w:val="left"/>
      <w:pPr>
        <w:ind w:left="720" w:hanging="360"/>
      </w:pPr>
      <w:rPr>
        <w:rFonts w:hint="default"/>
        <w:b w:val="0"/>
        <w:color w:val="00264D" w:themeColor="background2"/>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B1C3308"/>
    <w:multiLevelType w:val="multilevel"/>
    <w:tmpl w:val="D456A732"/>
    <w:lvl w:ilvl="0">
      <w:start w:val="1"/>
      <w:numFmt w:val="decimal"/>
      <w:pStyle w:val="TableNListNumbered"/>
      <w:lvlText w:val="%1."/>
      <w:lvlJc w:val="left"/>
      <w:pPr>
        <w:ind w:left="170" w:hanging="170"/>
      </w:pPr>
      <w:rPr>
        <w:rFonts w:hint="default"/>
        <w:color w:val="404040" w:themeColor="text1" w:themeTint="BF"/>
        <w:sz w:val="18"/>
      </w:rPr>
    </w:lvl>
    <w:lvl w:ilvl="1">
      <w:start w:val="1"/>
      <w:numFmt w:val="lowerLetter"/>
      <w:lvlText w:val="%2."/>
      <w:lvlJc w:val="left"/>
      <w:pPr>
        <w:ind w:left="340" w:hanging="170"/>
      </w:pPr>
      <w:rPr>
        <w:rFonts w:hint="default"/>
        <w:sz w:val="18"/>
      </w:rPr>
    </w:lvl>
    <w:lvl w:ilvl="2">
      <w:start w:val="1"/>
      <w:numFmt w:val="lowerRoman"/>
      <w:lvlText w:val="%3."/>
      <w:lvlJc w:val="left"/>
      <w:pPr>
        <w:ind w:left="510" w:hanging="170"/>
      </w:pPr>
      <w:rPr>
        <w:rFonts w:hint="default"/>
        <w:color w:val="404040" w:themeColor="text1" w:themeTint="BF"/>
        <w:sz w:val="18"/>
      </w:rPr>
    </w:lvl>
    <w:lvl w:ilvl="3">
      <w:start w:val="1"/>
      <w:numFmt w:val="lowerRoman"/>
      <w:lvlText w:val="%3.%4"/>
      <w:lvlJc w:val="left"/>
      <w:pPr>
        <w:ind w:left="680" w:hanging="170"/>
      </w:pPr>
      <w:rPr>
        <w:rFonts w:hint="default"/>
        <w:color w:val="404040" w:themeColor="text1" w:themeTint="BF"/>
        <w:sz w:val="18"/>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4" w15:restartNumberingAfterBreak="0">
    <w:nsid w:val="4B3D2157"/>
    <w:multiLevelType w:val="multilevel"/>
    <w:tmpl w:val="310876F2"/>
    <w:lvl w:ilvl="0">
      <w:start w:val="1"/>
      <w:numFmt w:val="decimal"/>
      <w:pStyle w:val="introductionlist"/>
      <w:lvlText w:val="%1."/>
      <w:lvlJc w:val="left"/>
      <w:pPr>
        <w:ind w:left="357" w:hanging="357"/>
      </w:pPr>
      <w:rPr>
        <w:rFonts w:hint="default"/>
        <w:b w:val="0"/>
      </w:rPr>
    </w:lvl>
    <w:lvl w:ilvl="1">
      <w:start w:val="1"/>
      <w:numFmt w:val="lowerLetter"/>
      <w:lvlText w:val="%2."/>
      <w:lvlJc w:val="left"/>
      <w:pPr>
        <w:ind w:left="720" w:hanging="363"/>
      </w:pPr>
      <w:rPr>
        <w:rFonts w:hint="default"/>
      </w:rPr>
    </w:lvl>
    <w:lvl w:ilvl="2">
      <w:start w:val="1"/>
      <w:numFmt w:val="lowerRoman"/>
      <w:lvlText w:val="%3."/>
      <w:lvlJc w:val="right"/>
      <w:pPr>
        <w:ind w:left="1077" w:hanging="3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52C231AF"/>
    <w:multiLevelType w:val="hybridMultilevel"/>
    <w:tmpl w:val="950206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4C55940"/>
    <w:multiLevelType w:val="multilevel"/>
    <w:tmpl w:val="D3261AAA"/>
    <w:lvl w:ilvl="0">
      <w:start w:val="1"/>
      <w:numFmt w:val="bullet"/>
      <w:pStyle w:val="intoductionbullet"/>
      <w:lvlText w:val=""/>
      <w:lvlJc w:val="left"/>
      <w:pPr>
        <w:ind w:left="357" w:hanging="357"/>
      </w:pPr>
      <w:rPr>
        <w:rFonts w:ascii="Symbol" w:hAnsi="Symbol" w:hint="default"/>
        <w:color w:val="00264D" w:themeColor="background2"/>
      </w:rPr>
    </w:lvl>
    <w:lvl w:ilvl="1">
      <w:start w:val="1"/>
      <w:numFmt w:val="bullet"/>
      <w:lvlText w:val=""/>
      <w:lvlJc w:val="left"/>
      <w:pPr>
        <w:ind w:left="720" w:hanging="363"/>
      </w:pPr>
      <w:rPr>
        <w:rFonts w:ascii="Symbol" w:hAnsi="Symbol" w:hint="default"/>
        <w:color w:val="00264D" w:themeColor="background2"/>
      </w:rPr>
    </w:lvl>
    <w:lvl w:ilvl="2">
      <w:start w:val="1"/>
      <w:numFmt w:val="bullet"/>
      <w:lvlText w:val=""/>
      <w:lvlJc w:val="left"/>
      <w:pPr>
        <w:ind w:left="1077" w:hanging="357"/>
      </w:pPr>
      <w:rPr>
        <w:rFonts w:ascii="Symbol" w:hAnsi="Symbol" w:hint="default"/>
        <w:color w:val="00264D" w:themeColor="background2"/>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8B030FE"/>
    <w:multiLevelType w:val="multilevel"/>
    <w:tmpl w:val="A40495DC"/>
    <w:styleLink w:val="TableNListnumberedmultilevel"/>
    <w:lvl w:ilvl="0">
      <w:start w:val="1"/>
      <w:numFmt w:val="decimal"/>
      <w:pStyle w:val="TableNListnumbered0"/>
      <w:lvlText w:val="%1."/>
      <w:lvlJc w:val="left"/>
      <w:pPr>
        <w:ind w:left="227" w:hanging="227"/>
      </w:pPr>
      <w:rPr>
        <w:rFonts w:ascii="Segoe UI" w:hAnsi="Segoe UI" w:hint="default"/>
        <w:b w:val="0"/>
        <w:i w:val="0"/>
        <w:sz w:val="17"/>
      </w:rPr>
    </w:lvl>
    <w:lvl w:ilvl="1">
      <w:start w:val="1"/>
      <w:numFmt w:val="lowerLetter"/>
      <w:lvlText w:val="%2."/>
      <w:lvlJc w:val="left"/>
      <w:pPr>
        <w:ind w:left="454" w:hanging="227"/>
      </w:pPr>
      <w:rPr>
        <w:rFonts w:ascii="Segoe UI" w:hAnsi="Segoe UI" w:hint="default"/>
        <w:b w:val="0"/>
        <w:i w:val="0"/>
        <w:sz w:val="17"/>
      </w:rPr>
    </w:lvl>
    <w:lvl w:ilvl="2">
      <w:start w:val="1"/>
      <w:numFmt w:val="lowerRoman"/>
      <w:lvlText w:val="%3."/>
      <w:lvlJc w:val="left"/>
      <w:pPr>
        <w:ind w:left="680" w:hanging="226"/>
      </w:pPr>
      <w:rPr>
        <w:rFonts w:ascii="Segoe UI" w:hAnsi="Segoe UI" w:hint="default"/>
        <w:b w:val="0"/>
        <w:i w:val="0"/>
        <w:sz w:val="17"/>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6D8F58FB"/>
    <w:multiLevelType w:val="hybridMultilevel"/>
    <w:tmpl w:val="9B00DE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1A16EBA"/>
    <w:multiLevelType w:val="multilevel"/>
    <w:tmpl w:val="2698E5C8"/>
    <w:lvl w:ilvl="0">
      <w:start w:val="1"/>
      <w:numFmt w:val="upperLetter"/>
      <w:pStyle w:val="xAppendixLevel1"/>
      <w:lvlText w:val="Appendix %1"/>
      <w:lvlJc w:val="left"/>
      <w:pPr>
        <w:ind w:left="2268" w:hanging="2268"/>
      </w:pPr>
      <w:rPr>
        <w:rFonts w:hint="default"/>
        <w:color w:val="00264D"/>
        <w:sz w:val="44"/>
        <w:szCs w:val="44"/>
      </w:rPr>
    </w:lvl>
    <w:lvl w:ilvl="1">
      <w:start w:val="1"/>
      <w:numFmt w:val="decimal"/>
      <w:pStyle w:val="xAppendixLevel2"/>
      <w:lvlText w:val="%1.%2"/>
      <w:lvlJc w:val="left"/>
      <w:pPr>
        <w:ind w:left="851" w:hanging="851"/>
      </w:pPr>
      <w:rPr>
        <w:rFonts w:hint="default"/>
        <w:color w:val="00264D"/>
        <w:sz w:val="34"/>
        <w:szCs w:val="34"/>
      </w:rPr>
    </w:lvl>
    <w:lvl w:ilvl="2">
      <w:start w:val="1"/>
      <w:numFmt w:val="decimal"/>
      <w:pStyle w:val="xAppendixLevel3"/>
      <w:lvlText w:val="%1.%2.%3"/>
      <w:lvlJc w:val="left"/>
      <w:pPr>
        <w:ind w:left="851" w:hanging="851"/>
      </w:pPr>
      <w:rPr>
        <w:rFonts w:hint="default"/>
        <w:color w:val="00264D"/>
        <w:sz w:val="28"/>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79B7218E"/>
    <w:multiLevelType w:val="multilevel"/>
    <w:tmpl w:val="114C1886"/>
    <w:lvl w:ilvl="0">
      <w:start w:val="1"/>
      <w:numFmt w:val="bullet"/>
      <w:pStyle w:val="Bullet"/>
      <w:lvlText w:val=""/>
      <w:lvlJc w:val="left"/>
      <w:pPr>
        <w:ind w:left="340" w:hanging="340"/>
      </w:pPr>
      <w:rPr>
        <w:rFonts w:ascii="Symbol" w:hAnsi="Symbol" w:hint="default"/>
        <w:sz w:val="16"/>
      </w:rPr>
    </w:lvl>
    <w:lvl w:ilvl="1">
      <w:start w:val="1"/>
      <w:numFmt w:val="bullet"/>
      <w:lvlText w:val=""/>
      <w:lvlJc w:val="left"/>
      <w:pPr>
        <w:ind w:left="680" w:hanging="340"/>
      </w:pPr>
      <w:rPr>
        <w:rFonts w:ascii="Symbol" w:hAnsi="Symbol" w:hint="default"/>
        <w:sz w:val="16"/>
      </w:rPr>
    </w:lvl>
    <w:lvl w:ilvl="2">
      <w:start w:val="1"/>
      <w:numFmt w:val="bullet"/>
      <w:lvlText w:val=""/>
      <w:lvlJc w:val="left"/>
      <w:pPr>
        <w:ind w:left="1021" w:hanging="341"/>
      </w:pPr>
      <w:rPr>
        <w:rFonts w:ascii="Symbol" w:hAnsi="Symbol" w:hint="default"/>
        <w:sz w:val="1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7D491A85"/>
    <w:multiLevelType w:val="hybridMultilevel"/>
    <w:tmpl w:val="41408872"/>
    <w:lvl w:ilvl="0" w:tplc="55949EC6">
      <w:start w:val="1"/>
      <w:numFmt w:val="bullet"/>
      <w:pStyle w:val="NormalBullet"/>
      <w:lvlText w:val=""/>
      <w:lvlJc w:val="left"/>
      <w:pPr>
        <w:tabs>
          <w:tab w:val="num" w:pos="1134"/>
        </w:tabs>
        <w:ind w:left="1134" w:hanging="567"/>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Symbol" w:hAnsi="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Symbol" w:hAnsi="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21"/>
  </w:num>
  <w:num w:numId="3">
    <w:abstractNumId w:val="11"/>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num>
  <w:num w:numId="6">
    <w:abstractNumId w:val="1"/>
  </w:num>
  <w:num w:numId="7">
    <w:abstractNumId w:val="16"/>
  </w:num>
  <w:num w:numId="8">
    <w:abstractNumId w:val="14"/>
  </w:num>
  <w:num w:numId="9">
    <w:abstractNumId w:val="3"/>
  </w:num>
  <w:num w:numId="10">
    <w:abstractNumId w:val="8"/>
  </w:num>
  <w:num w:numId="11">
    <w:abstractNumId w:val="12"/>
  </w:num>
  <w:num w:numId="12">
    <w:abstractNumId w:val="2"/>
  </w:num>
  <w:num w:numId="13">
    <w:abstractNumId w:val="0"/>
  </w:num>
  <w:num w:numId="14">
    <w:abstractNumId w:val="7"/>
  </w:num>
  <w:num w:numId="15">
    <w:abstractNumId w:val="17"/>
  </w:num>
  <w:num w:numId="16">
    <w:abstractNumId w:val="19"/>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num>
  <w:num w:numId="19">
    <w:abstractNumId w:val="18"/>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num>
  <w:num w:numId="22">
    <w:abstractNumId w:val="10"/>
  </w:num>
  <w:num w:numId="23">
    <w:abstractNumId w:val="5"/>
  </w:num>
  <w:num w:numId="24">
    <w:abstractNumId w:val="6"/>
  </w:num>
  <w:num w:numId="25">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7BD3"/>
    <w:rsid w:val="00000581"/>
    <w:rsid w:val="000007C3"/>
    <w:rsid w:val="00000952"/>
    <w:rsid w:val="0000158E"/>
    <w:rsid w:val="00001814"/>
    <w:rsid w:val="00001B6E"/>
    <w:rsid w:val="00001C3E"/>
    <w:rsid w:val="00001D2F"/>
    <w:rsid w:val="000023E8"/>
    <w:rsid w:val="000028A1"/>
    <w:rsid w:val="00002C01"/>
    <w:rsid w:val="0000361B"/>
    <w:rsid w:val="00003886"/>
    <w:rsid w:val="00003A2B"/>
    <w:rsid w:val="00003A52"/>
    <w:rsid w:val="00003CE9"/>
    <w:rsid w:val="00003DBD"/>
    <w:rsid w:val="000043DF"/>
    <w:rsid w:val="00004C87"/>
    <w:rsid w:val="00004D10"/>
    <w:rsid w:val="00004EA2"/>
    <w:rsid w:val="0000526F"/>
    <w:rsid w:val="00005819"/>
    <w:rsid w:val="000058C6"/>
    <w:rsid w:val="00005A94"/>
    <w:rsid w:val="0000622B"/>
    <w:rsid w:val="00006BDC"/>
    <w:rsid w:val="000070D6"/>
    <w:rsid w:val="0000776A"/>
    <w:rsid w:val="00007CAD"/>
    <w:rsid w:val="000109BC"/>
    <w:rsid w:val="00010E8F"/>
    <w:rsid w:val="00010FC3"/>
    <w:rsid w:val="000113CB"/>
    <w:rsid w:val="000118E1"/>
    <w:rsid w:val="00011949"/>
    <w:rsid w:val="00011B8A"/>
    <w:rsid w:val="00012192"/>
    <w:rsid w:val="00012535"/>
    <w:rsid w:val="0001282F"/>
    <w:rsid w:val="00012A19"/>
    <w:rsid w:val="00012C0E"/>
    <w:rsid w:val="00012F96"/>
    <w:rsid w:val="0001344C"/>
    <w:rsid w:val="00013653"/>
    <w:rsid w:val="0001365A"/>
    <w:rsid w:val="000137CF"/>
    <w:rsid w:val="000140E8"/>
    <w:rsid w:val="000145E0"/>
    <w:rsid w:val="000148F3"/>
    <w:rsid w:val="00014AB7"/>
    <w:rsid w:val="00014AE8"/>
    <w:rsid w:val="00014B4E"/>
    <w:rsid w:val="00014DBA"/>
    <w:rsid w:val="00015474"/>
    <w:rsid w:val="0001591D"/>
    <w:rsid w:val="0001625C"/>
    <w:rsid w:val="0001686C"/>
    <w:rsid w:val="00016925"/>
    <w:rsid w:val="00016D0A"/>
    <w:rsid w:val="00016D9E"/>
    <w:rsid w:val="00016FE8"/>
    <w:rsid w:val="00017269"/>
    <w:rsid w:val="00017418"/>
    <w:rsid w:val="00017975"/>
    <w:rsid w:val="0001799C"/>
    <w:rsid w:val="00017B75"/>
    <w:rsid w:val="00017D08"/>
    <w:rsid w:val="00020754"/>
    <w:rsid w:val="000207AD"/>
    <w:rsid w:val="000208B7"/>
    <w:rsid w:val="00020F39"/>
    <w:rsid w:val="00020F71"/>
    <w:rsid w:val="000211A6"/>
    <w:rsid w:val="000211C2"/>
    <w:rsid w:val="00021262"/>
    <w:rsid w:val="000212FF"/>
    <w:rsid w:val="000213AB"/>
    <w:rsid w:val="0002141D"/>
    <w:rsid w:val="0002146A"/>
    <w:rsid w:val="000219DE"/>
    <w:rsid w:val="00021B04"/>
    <w:rsid w:val="00021BF2"/>
    <w:rsid w:val="00021D15"/>
    <w:rsid w:val="000222DC"/>
    <w:rsid w:val="0002230E"/>
    <w:rsid w:val="00022680"/>
    <w:rsid w:val="0002297C"/>
    <w:rsid w:val="0002305D"/>
    <w:rsid w:val="00023566"/>
    <w:rsid w:val="00023979"/>
    <w:rsid w:val="00023DF8"/>
    <w:rsid w:val="00024068"/>
    <w:rsid w:val="00024202"/>
    <w:rsid w:val="00024455"/>
    <w:rsid w:val="00024C5F"/>
    <w:rsid w:val="00024CB3"/>
    <w:rsid w:val="00024E5B"/>
    <w:rsid w:val="0002532D"/>
    <w:rsid w:val="00025434"/>
    <w:rsid w:val="0002546F"/>
    <w:rsid w:val="00025C52"/>
    <w:rsid w:val="00025CC4"/>
    <w:rsid w:val="00026338"/>
    <w:rsid w:val="0002643A"/>
    <w:rsid w:val="000268FD"/>
    <w:rsid w:val="00026BE4"/>
    <w:rsid w:val="0002715C"/>
    <w:rsid w:val="000271D5"/>
    <w:rsid w:val="000273B5"/>
    <w:rsid w:val="0002768B"/>
    <w:rsid w:val="00027A4F"/>
    <w:rsid w:val="00027A92"/>
    <w:rsid w:val="00027C49"/>
    <w:rsid w:val="00027D8B"/>
    <w:rsid w:val="0003003F"/>
    <w:rsid w:val="000300DC"/>
    <w:rsid w:val="00030150"/>
    <w:rsid w:val="000301F1"/>
    <w:rsid w:val="000303AF"/>
    <w:rsid w:val="00030420"/>
    <w:rsid w:val="00030553"/>
    <w:rsid w:val="000306EB"/>
    <w:rsid w:val="0003070B"/>
    <w:rsid w:val="00030863"/>
    <w:rsid w:val="00030B8B"/>
    <w:rsid w:val="00031027"/>
    <w:rsid w:val="00031A65"/>
    <w:rsid w:val="00031CDC"/>
    <w:rsid w:val="00031D8C"/>
    <w:rsid w:val="0003265B"/>
    <w:rsid w:val="000328D9"/>
    <w:rsid w:val="0003294C"/>
    <w:rsid w:val="00032F1D"/>
    <w:rsid w:val="00033F66"/>
    <w:rsid w:val="0003411A"/>
    <w:rsid w:val="0003424A"/>
    <w:rsid w:val="000342C2"/>
    <w:rsid w:val="00034E38"/>
    <w:rsid w:val="0003582B"/>
    <w:rsid w:val="00035C57"/>
    <w:rsid w:val="00035F04"/>
    <w:rsid w:val="00035F6A"/>
    <w:rsid w:val="00035FC9"/>
    <w:rsid w:val="00036474"/>
    <w:rsid w:val="0003670A"/>
    <w:rsid w:val="0003679E"/>
    <w:rsid w:val="00036E62"/>
    <w:rsid w:val="000375A6"/>
    <w:rsid w:val="00037C03"/>
    <w:rsid w:val="00037DAC"/>
    <w:rsid w:val="00037FE2"/>
    <w:rsid w:val="000401FA"/>
    <w:rsid w:val="00040312"/>
    <w:rsid w:val="0004033A"/>
    <w:rsid w:val="0004058C"/>
    <w:rsid w:val="000405D6"/>
    <w:rsid w:val="000407B8"/>
    <w:rsid w:val="000407D3"/>
    <w:rsid w:val="00041343"/>
    <w:rsid w:val="0004141F"/>
    <w:rsid w:val="0004168F"/>
    <w:rsid w:val="0004172C"/>
    <w:rsid w:val="00041B0E"/>
    <w:rsid w:val="00041F7D"/>
    <w:rsid w:val="00042236"/>
    <w:rsid w:val="0004226A"/>
    <w:rsid w:val="00042BB0"/>
    <w:rsid w:val="00042D50"/>
    <w:rsid w:val="00043963"/>
    <w:rsid w:val="00043EE0"/>
    <w:rsid w:val="00044D78"/>
    <w:rsid w:val="000453D0"/>
    <w:rsid w:val="000454A9"/>
    <w:rsid w:val="00045683"/>
    <w:rsid w:val="000456B7"/>
    <w:rsid w:val="00045D0D"/>
    <w:rsid w:val="0004647C"/>
    <w:rsid w:val="000464EF"/>
    <w:rsid w:val="00046506"/>
    <w:rsid w:val="000471B1"/>
    <w:rsid w:val="0004744C"/>
    <w:rsid w:val="00047705"/>
    <w:rsid w:val="000477D2"/>
    <w:rsid w:val="000478CB"/>
    <w:rsid w:val="00047E77"/>
    <w:rsid w:val="00050507"/>
    <w:rsid w:val="0005083D"/>
    <w:rsid w:val="00050A27"/>
    <w:rsid w:val="00050B4E"/>
    <w:rsid w:val="00050C3D"/>
    <w:rsid w:val="00051463"/>
    <w:rsid w:val="00051B61"/>
    <w:rsid w:val="00051C0F"/>
    <w:rsid w:val="00051D55"/>
    <w:rsid w:val="00051E7E"/>
    <w:rsid w:val="00051E80"/>
    <w:rsid w:val="0005201E"/>
    <w:rsid w:val="00052033"/>
    <w:rsid w:val="00052373"/>
    <w:rsid w:val="00052680"/>
    <w:rsid w:val="00052999"/>
    <w:rsid w:val="00052AA8"/>
    <w:rsid w:val="0005316D"/>
    <w:rsid w:val="000532F4"/>
    <w:rsid w:val="0005348E"/>
    <w:rsid w:val="0005353A"/>
    <w:rsid w:val="00053C20"/>
    <w:rsid w:val="0005417D"/>
    <w:rsid w:val="00054515"/>
    <w:rsid w:val="00054D89"/>
    <w:rsid w:val="00055525"/>
    <w:rsid w:val="000555AA"/>
    <w:rsid w:val="0005570F"/>
    <w:rsid w:val="00056355"/>
    <w:rsid w:val="0005684F"/>
    <w:rsid w:val="000569C4"/>
    <w:rsid w:val="000570BF"/>
    <w:rsid w:val="00057366"/>
    <w:rsid w:val="00057425"/>
    <w:rsid w:val="00057AC4"/>
    <w:rsid w:val="00057CB5"/>
    <w:rsid w:val="00057D0F"/>
    <w:rsid w:val="000601D3"/>
    <w:rsid w:val="00060326"/>
    <w:rsid w:val="00060ACA"/>
    <w:rsid w:val="00060B2C"/>
    <w:rsid w:val="00061B62"/>
    <w:rsid w:val="00062815"/>
    <w:rsid w:val="00062BE3"/>
    <w:rsid w:val="00062F79"/>
    <w:rsid w:val="00062FAF"/>
    <w:rsid w:val="000630B2"/>
    <w:rsid w:val="000632E4"/>
    <w:rsid w:val="00063B7D"/>
    <w:rsid w:val="00064115"/>
    <w:rsid w:val="00064207"/>
    <w:rsid w:val="00064E6F"/>
    <w:rsid w:val="00064F69"/>
    <w:rsid w:val="000651A9"/>
    <w:rsid w:val="000652C1"/>
    <w:rsid w:val="00065392"/>
    <w:rsid w:val="00065660"/>
    <w:rsid w:val="00065780"/>
    <w:rsid w:val="00065B91"/>
    <w:rsid w:val="00065C5F"/>
    <w:rsid w:val="00065D5C"/>
    <w:rsid w:val="00065FC4"/>
    <w:rsid w:val="000663BF"/>
    <w:rsid w:val="000663ED"/>
    <w:rsid w:val="000665AB"/>
    <w:rsid w:val="000665F2"/>
    <w:rsid w:val="000670EF"/>
    <w:rsid w:val="000674AE"/>
    <w:rsid w:val="00067DD3"/>
    <w:rsid w:val="00067FF3"/>
    <w:rsid w:val="00070174"/>
    <w:rsid w:val="0007023F"/>
    <w:rsid w:val="00070329"/>
    <w:rsid w:val="0007044F"/>
    <w:rsid w:val="0007068B"/>
    <w:rsid w:val="0007072A"/>
    <w:rsid w:val="00070B9C"/>
    <w:rsid w:val="00071278"/>
    <w:rsid w:val="0007160C"/>
    <w:rsid w:val="00071649"/>
    <w:rsid w:val="00071DFF"/>
    <w:rsid w:val="00071E0E"/>
    <w:rsid w:val="00071E94"/>
    <w:rsid w:val="00071F6E"/>
    <w:rsid w:val="00071FC2"/>
    <w:rsid w:val="00072215"/>
    <w:rsid w:val="0007224F"/>
    <w:rsid w:val="0007227F"/>
    <w:rsid w:val="00072537"/>
    <w:rsid w:val="000734DD"/>
    <w:rsid w:val="000739BA"/>
    <w:rsid w:val="00073A16"/>
    <w:rsid w:val="00073A44"/>
    <w:rsid w:val="00073C1F"/>
    <w:rsid w:val="00073EFE"/>
    <w:rsid w:val="00073F41"/>
    <w:rsid w:val="00074223"/>
    <w:rsid w:val="000742B7"/>
    <w:rsid w:val="000743C9"/>
    <w:rsid w:val="000749A5"/>
    <w:rsid w:val="00074A9D"/>
    <w:rsid w:val="00074D15"/>
    <w:rsid w:val="00074F7A"/>
    <w:rsid w:val="0007503A"/>
    <w:rsid w:val="0007617A"/>
    <w:rsid w:val="00076C58"/>
    <w:rsid w:val="00076CBD"/>
    <w:rsid w:val="000772A7"/>
    <w:rsid w:val="0007764A"/>
    <w:rsid w:val="000779E5"/>
    <w:rsid w:val="00077EDB"/>
    <w:rsid w:val="00077F37"/>
    <w:rsid w:val="00080216"/>
    <w:rsid w:val="000804D3"/>
    <w:rsid w:val="000805FE"/>
    <w:rsid w:val="00080723"/>
    <w:rsid w:val="000807A9"/>
    <w:rsid w:val="00081CF3"/>
    <w:rsid w:val="00081E86"/>
    <w:rsid w:val="00081F85"/>
    <w:rsid w:val="000823D2"/>
    <w:rsid w:val="00082EC0"/>
    <w:rsid w:val="000831C4"/>
    <w:rsid w:val="00083AF3"/>
    <w:rsid w:val="00083D20"/>
    <w:rsid w:val="0008424C"/>
    <w:rsid w:val="000844BC"/>
    <w:rsid w:val="000851CA"/>
    <w:rsid w:val="000852F1"/>
    <w:rsid w:val="000853DB"/>
    <w:rsid w:val="000854A3"/>
    <w:rsid w:val="000859EC"/>
    <w:rsid w:val="00085D30"/>
    <w:rsid w:val="00085E11"/>
    <w:rsid w:val="00085E34"/>
    <w:rsid w:val="000862AC"/>
    <w:rsid w:val="00086BC9"/>
    <w:rsid w:val="00086D35"/>
    <w:rsid w:val="00086D3D"/>
    <w:rsid w:val="000871D6"/>
    <w:rsid w:val="00087708"/>
    <w:rsid w:val="00087820"/>
    <w:rsid w:val="00087A19"/>
    <w:rsid w:val="00087F77"/>
    <w:rsid w:val="00090403"/>
    <w:rsid w:val="000904AB"/>
    <w:rsid w:val="00090BE1"/>
    <w:rsid w:val="00090D62"/>
    <w:rsid w:val="0009107F"/>
    <w:rsid w:val="000917BF"/>
    <w:rsid w:val="0009195D"/>
    <w:rsid w:val="00091C4C"/>
    <w:rsid w:val="00091CD0"/>
    <w:rsid w:val="00091E8F"/>
    <w:rsid w:val="00091F3D"/>
    <w:rsid w:val="0009207C"/>
    <w:rsid w:val="000922C5"/>
    <w:rsid w:val="00092619"/>
    <w:rsid w:val="000929F9"/>
    <w:rsid w:val="00092DEE"/>
    <w:rsid w:val="00092EB3"/>
    <w:rsid w:val="00092FC5"/>
    <w:rsid w:val="00093368"/>
    <w:rsid w:val="00093F4A"/>
    <w:rsid w:val="00094647"/>
    <w:rsid w:val="00094B59"/>
    <w:rsid w:val="00095846"/>
    <w:rsid w:val="00095887"/>
    <w:rsid w:val="00095B61"/>
    <w:rsid w:val="00095FF3"/>
    <w:rsid w:val="0009624E"/>
    <w:rsid w:val="000962AE"/>
    <w:rsid w:val="00096B41"/>
    <w:rsid w:val="00096B71"/>
    <w:rsid w:val="000A01AE"/>
    <w:rsid w:val="000A01EF"/>
    <w:rsid w:val="000A04F7"/>
    <w:rsid w:val="000A0A4F"/>
    <w:rsid w:val="000A0EE0"/>
    <w:rsid w:val="000A11D2"/>
    <w:rsid w:val="000A12E5"/>
    <w:rsid w:val="000A1505"/>
    <w:rsid w:val="000A1887"/>
    <w:rsid w:val="000A1FC0"/>
    <w:rsid w:val="000A2176"/>
    <w:rsid w:val="000A2489"/>
    <w:rsid w:val="000A2693"/>
    <w:rsid w:val="000A2A27"/>
    <w:rsid w:val="000A2D86"/>
    <w:rsid w:val="000A30EA"/>
    <w:rsid w:val="000A3247"/>
    <w:rsid w:val="000A3697"/>
    <w:rsid w:val="000A4092"/>
    <w:rsid w:val="000A46A6"/>
    <w:rsid w:val="000A46F5"/>
    <w:rsid w:val="000A479A"/>
    <w:rsid w:val="000A49A1"/>
    <w:rsid w:val="000A4D6D"/>
    <w:rsid w:val="000A509A"/>
    <w:rsid w:val="000A647B"/>
    <w:rsid w:val="000A673B"/>
    <w:rsid w:val="000A6D6B"/>
    <w:rsid w:val="000A72BD"/>
    <w:rsid w:val="000A7602"/>
    <w:rsid w:val="000A7626"/>
    <w:rsid w:val="000A7654"/>
    <w:rsid w:val="000A7E3B"/>
    <w:rsid w:val="000B0015"/>
    <w:rsid w:val="000B0312"/>
    <w:rsid w:val="000B07EE"/>
    <w:rsid w:val="000B095C"/>
    <w:rsid w:val="000B0F5E"/>
    <w:rsid w:val="000B159B"/>
    <w:rsid w:val="000B1930"/>
    <w:rsid w:val="000B1CD0"/>
    <w:rsid w:val="000B1E58"/>
    <w:rsid w:val="000B1FB4"/>
    <w:rsid w:val="000B223C"/>
    <w:rsid w:val="000B284D"/>
    <w:rsid w:val="000B284E"/>
    <w:rsid w:val="000B2A37"/>
    <w:rsid w:val="000B2DEE"/>
    <w:rsid w:val="000B3D53"/>
    <w:rsid w:val="000B3EEF"/>
    <w:rsid w:val="000B3F18"/>
    <w:rsid w:val="000B424D"/>
    <w:rsid w:val="000B4FEB"/>
    <w:rsid w:val="000B5166"/>
    <w:rsid w:val="000B54F0"/>
    <w:rsid w:val="000B5AF9"/>
    <w:rsid w:val="000B5E6A"/>
    <w:rsid w:val="000B5E75"/>
    <w:rsid w:val="000B6829"/>
    <w:rsid w:val="000B7042"/>
    <w:rsid w:val="000B7117"/>
    <w:rsid w:val="000B7435"/>
    <w:rsid w:val="000B75C2"/>
    <w:rsid w:val="000B75C4"/>
    <w:rsid w:val="000B7611"/>
    <w:rsid w:val="000B79DA"/>
    <w:rsid w:val="000B7DA7"/>
    <w:rsid w:val="000C030B"/>
    <w:rsid w:val="000C0338"/>
    <w:rsid w:val="000C04E9"/>
    <w:rsid w:val="000C0EB3"/>
    <w:rsid w:val="000C1294"/>
    <w:rsid w:val="000C145C"/>
    <w:rsid w:val="000C18BE"/>
    <w:rsid w:val="000C1B79"/>
    <w:rsid w:val="000C1D3A"/>
    <w:rsid w:val="000C2561"/>
    <w:rsid w:val="000C2BAF"/>
    <w:rsid w:val="000C3000"/>
    <w:rsid w:val="000C30CF"/>
    <w:rsid w:val="000C3384"/>
    <w:rsid w:val="000C3516"/>
    <w:rsid w:val="000C3702"/>
    <w:rsid w:val="000C397A"/>
    <w:rsid w:val="000C3DE3"/>
    <w:rsid w:val="000C465D"/>
    <w:rsid w:val="000C4754"/>
    <w:rsid w:val="000C4876"/>
    <w:rsid w:val="000C4A20"/>
    <w:rsid w:val="000C4B3E"/>
    <w:rsid w:val="000C4EF3"/>
    <w:rsid w:val="000C4F65"/>
    <w:rsid w:val="000C5091"/>
    <w:rsid w:val="000C53DA"/>
    <w:rsid w:val="000C5413"/>
    <w:rsid w:val="000C549D"/>
    <w:rsid w:val="000C59E8"/>
    <w:rsid w:val="000C5AAD"/>
    <w:rsid w:val="000C5B57"/>
    <w:rsid w:val="000C6ADC"/>
    <w:rsid w:val="000C7354"/>
    <w:rsid w:val="000C7487"/>
    <w:rsid w:val="000C7D15"/>
    <w:rsid w:val="000C7D42"/>
    <w:rsid w:val="000C7DA5"/>
    <w:rsid w:val="000C7F1D"/>
    <w:rsid w:val="000C7FB7"/>
    <w:rsid w:val="000D0461"/>
    <w:rsid w:val="000D0680"/>
    <w:rsid w:val="000D0698"/>
    <w:rsid w:val="000D1139"/>
    <w:rsid w:val="000D1791"/>
    <w:rsid w:val="000D1872"/>
    <w:rsid w:val="000D19FD"/>
    <w:rsid w:val="000D1AC6"/>
    <w:rsid w:val="000D1C24"/>
    <w:rsid w:val="000D201F"/>
    <w:rsid w:val="000D2192"/>
    <w:rsid w:val="000D2583"/>
    <w:rsid w:val="000D2973"/>
    <w:rsid w:val="000D2DCA"/>
    <w:rsid w:val="000D2F21"/>
    <w:rsid w:val="000D35F0"/>
    <w:rsid w:val="000D3687"/>
    <w:rsid w:val="000D3F85"/>
    <w:rsid w:val="000D4B64"/>
    <w:rsid w:val="000D4D63"/>
    <w:rsid w:val="000D51E9"/>
    <w:rsid w:val="000D5820"/>
    <w:rsid w:val="000D590F"/>
    <w:rsid w:val="000D5AF5"/>
    <w:rsid w:val="000D5CE3"/>
    <w:rsid w:val="000D5E2E"/>
    <w:rsid w:val="000D5F14"/>
    <w:rsid w:val="000D5FD3"/>
    <w:rsid w:val="000D61EB"/>
    <w:rsid w:val="000D68F1"/>
    <w:rsid w:val="000D696E"/>
    <w:rsid w:val="000D6AD6"/>
    <w:rsid w:val="000D6B8C"/>
    <w:rsid w:val="000D6E26"/>
    <w:rsid w:val="000D72A1"/>
    <w:rsid w:val="000D74BE"/>
    <w:rsid w:val="000D759B"/>
    <w:rsid w:val="000D75B1"/>
    <w:rsid w:val="000D7773"/>
    <w:rsid w:val="000D797A"/>
    <w:rsid w:val="000D7E3F"/>
    <w:rsid w:val="000E044E"/>
    <w:rsid w:val="000E0814"/>
    <w:rsid w:val="000E088F"/>
    <w:rsid w:val="000E0B9E"/>
    <w:rsid w:val="000E0D02"/>
    <w:rsid w:val="000E162E"/>
    <w:rsid w:val="000E1858"/>
    <w:rsid w:val="000E1B60"/>
    <w:rsid w:val="000E1F15"/>
    <w:rsid w:val="000E206B"/>
    <w:rsid w:val="000E20FA"/>
    <w:rsid w:val="000E29A8"/>
    <w:rsid w:val="000E2E78"/>
    <w:rsid w:val="000E3150"/>
    <w:rsid w:val="000E33F5"/>
    <w:rsid w:val="000E345B"/>
    <w:rsid w:val="000E3572"/>
    <w:rsid w:val="000E357B"/>
    <w:rsid w:val="000E408C"/>
    <w:rsid w:val="000E4B94"/>
    <w:rsid w:val="000E4D25"/>
    <w:rsid w:val="000E4DF9"/>
    <w:rsid w:val="000E5123"/>
    <w:rsid w:val="000E5949"/>
    <w:rsid w:val="000E59E1"/>
    <w:rsid w:val="000E5D2A"/>
    <w:rsid w:val="000E5F46"/>
    <w:rsid w:val="000E60B9"/>
    <w:rsid w:val="000E616E"/>
    <w:rsid w:val="000E63E5"/>
    <w:rsid w:val="000E67A1"/>
    <w:rsid w:val="000E744B"/>
    <w:rsid w:val="000E7C12"/>
    <w:rsid w:val="000F021A"/>
    <w:rsid w:val="000F0338"/>
    <w:rsid w:val="000F064C"/>
    <w:rsid w:val="000F071E"/>
    <w:rsid w:val="000F09BA"/>
    <w:rsid w:val="000F09E7"/>
    <w:rsid w:val="000F0BDC"/>
    <w:rsid w:val="000F0F72"/>
    <w:rsid w:val="000F10AA"/>
    <w:rsid w:val="000F1A45"/>
    <w:rsid w:val="000F1A55"/>
    <w:rsid w:val="000F1B82"/>
    <w:rsid w:val="000F1BD4"/>
    <w:rsid w:val="000F1DC5"/>
    <w:rsid w:val="000F2CE6"/>
    <w:rsid w:val="000F2F73"/>
    <w:rsid w:val="000F33BD"/>
    <w:rsid w:val="000F3541"/>
    <w:rsid w:val="000F3552"/>
    <w:rsid w:val="000F3555"/>
    <w:rsid w:val="000F393B"/>
    <w:rsid w:val="000F3A41"/>
    <w:rsid w:val="000F3ABD"/>
    <w:rsid w:val="000F3B81"/>
    <w:rsid w:val="000F3BEB"/>
    <w:rsid w:val="000F3D69"/>
    <w:rsid w:val="000F3EA5"/>
    <w:rsid w:val="000F401A"/>
    <w:rsid w:val="000F4AB5"/>
    <w:rsid w:val="000F4EA2"/>
    <w:rsid w:val="000F62F0"/>
    <w:rsid w:val="000F6438"/>
    <w:rsid w:val="000F67CC"/>
    <w:rsid w:val="000F68A9"/>
    <w:rsid w:val="000F6D30"/>
    <w:rsid w:val="000F7462"/>
    <w:rsid w:val="000F7667"/>
    <w:rsid w:val="000F79EE"/>
    <w:rsid w:val="000F7BDF"/>
    <w:rsid w:val="000F7F0C"/>
    <w:rsid w:val="001003AB"/>
    <w:rsid w:val="00100F24"/>
    <w:rsid w:val="00100FFD"/>
    <w:rsid w:val="00101272"/>
    <w:rsid w:val="001014AD"/>
    <w:rsid w:val="0010195F"/>
    <w:rsid w:val="001021D3"/>
    <w:rsid w:val="001027F0"/>
    <w:rsid w:val="00102C00"/>
    <w:rsid w:val="00103198"/>
    <w:rsid w:val="001037D8"/>
    <w:rsid w:val="0010383F"/>
    <w:rsid w:val="001038E1"/>
    <w:rsid w:val="00103A7B"/>
    <w:rsid w:val="00103F1E"/>
    <w:rsid w:val="00104018"/>
    <w:rsid w:val="0010426A"/>
    <w:rsid w:val="00104396"/>
    <w:rsid w:val="0010462B"/>
    <w:rsid w:val="00104A38"/>
    <w:rsid w:val="00104FA1"/>
    <w:rsid w:val="00105248"/>
    <w:rsid w:val="0010530A"/>
    <w:rsid w:val="00105505"/>
    <w:rsid w:val="001057EE"/>
    <w:rsid w:val="0010583E"/>
    <w:rsid w:val="001058FB"/>
    <w:rsid w:val="00105B12"/>
    <w:rsid w:val="00105DDF"/>
    <w:rsid w:val="001060A3"/>
    <w:rsid w:val="001068F7"/>
    <w:rsid w:val="00106A12"/>
    <w:rsid w:val="00106E74"/>
    <w:rsid w:val="00107523"/>
    <w:rsid w:val="00107550"/>
    <w:rsid w:val="00107D5A"/>
    <w:rsid w:val="00110296"/>
    <w:rsid w:val="001103DB"/>
    <w:rsid w:val="001105DD"/>
    <w:rsid w:val="001107B9"/>
    <w:rsid w:val="001109B4"/>
    <w:rsid w:val="00110AE9"/>
    <w:rsid w:val="00110B6F"/>
    <w:rsid w:val="00110CCF"/>
    <w:rsid w:val="00110D1B"/>
    <w:rsid w:val="00110DED"/>
    <w:rsid w:val="001110CC"/>
    <w:rsid w:val="001118BB"/>
    <w:rsid w:val="00111A50"/>
    <w:rsid w:val="00112D72"/>
    <w:rsid w:val="0011346F"/>
    <w:rsid w:val="00113990"/>
    <w:rsid w:val="00113CF0"/>
    <w:rsid w:val="00114289"/>
    <w:rsid w:val="00114A4E"/>
    <w:rsid w:val="00114C94"/>
    <w:rsid w:val="001155BF"/>
    <w:rsid w:val="001155EF"/>
    <w:rsid w:val="001156C9"/>
    <w:rsid w:val="00115B71"/>
    <w:rsid w:val="00116140"/>
    <w:rsid w:val="0011618F"/>
    <w:rsid w:val="001169B5"/>
    <w:rsid w:val="00116B7B"/>
    <w:rsid w:val="00116D38"/>
    <w:rsid w:val="00117001"/>
    <w:rsid w:val="00117472"/>
    <w:rsid w:val="0011793F"/>
    <w:rsid w:val="001200A8"/>
    <w:rsid w:val="0012025D"/>
    <w:rsid w:val="0012080F"/>
    <w:rsid w:val="00120A38"/>
    <w:rsid w:val="00120A89"/>
    <w:rsid w:val="00120B2E"/>
    <w:rsid w:val="00120D5E"/>
    <w:rsid w:val="00120E16"/>
    <w:rsid w:val="00120E86"/>
    <w:rsid w:val="001210D3"/>
    <w:rsid w:val="00121158"/>
    <w:rsid w:val="00121C67"/>
    <w:rsid w:val="00121D84"/>
    <w:rsid w:val="00121E7D"/>
    <w:rsid w:val="00122165"/>
    <w:rsid w:val="001222E0"/>
    <w:rsid w:val="00122565"/>
    <w:rsid w:val="0012271E"/>
    <w:rsid w:val="00123268"/>
    <w:rsid w:val="001232A5"/>
    <w:rsid w:val="001235F0"/>
    <w:rsid w:val="00123762"/>
    <w:rsid w:val="0012392D"/>
    <w:rsid w:val="00123D9A"/>
    <w:rsid w:val="00123E9C"/>
    <w:rsid w:val="001244B0"/>
    <w:rsid w:val="00124842"/>
    <w:rsid w:val="00124C59"/>
    <w:rsid w:val="0012580D"/>
    <w:rsid w:val="001258D8"/>
    <w:rsid w:val="00125B2A"/>
    <w:rsid w:val="00125FD6"/>
    <w:rsid w:val="001260B8"/>
    <w:rsid w:val="00126102"/>
    <w:rsid w:val="00126169"/>
    <w:rsid w:val="00126204"/>
    <w:rsid w:val="001266B2"/>
    <w:rsid w:val="00126772"/>
    <w:rsid w:val="0012693D"/>
    <w:rsid w:val="00126BBD"/>
    <w:rsid w:val="00126FC5"/>
    <w:rsid w:val="0012790D"/>
    <w:rsid w:val="00127C55"/>
    <w:rsid w:val="00127C83"/>
    <w:rsid w:val="001308A4"/>
    <w:rsid w:val="00130947"/>
    <w:rsid w:val="00130E2C"/>
    <w:rsid w:val="0013157C"/>
    <w:rsid w:val="001315DE"/>
    <w:rsid w:val="00131CFA"/>
    <w:rsid w:val="00132124"/>
    <w:rsid w:val="001325C4"/>
    <w:rsid w:val="00132654"/>
    <w:rsid w:val="001326CA"/>
    <w:rsid w:val="00132DAE"/>
    <w:rsid w:val="00132E9C"/>
    <w:rsid w:val="001339B2"/>
    <w:rsid w:val="0013489F"/>
    <w:rsid w:val="00134962"/>
    <w:rsid w:val="001353A7"/>
    <w:rsid w:val="001359B7"/>
    <w:rsid w:val="00135BCA"/>
    <w:rsid w:val="00135D0C"/>
    <w:rsid w:val="00135D8A"/>
    <w:rsid w:val="001364B1"/>
    <w:rsid w:val="001364B5"/>
    <w:rsid w:val="00136596"/>
    <w:rsid w:val="00136618"/>
    <w:rsid w:val="0013678F"/>
    <w:rsid w:val="00136850"/>
    <w:rsid w:val="001369B0"/>
    <w:rsid w:val="001369F0"/>
    <w:rsid w:val="00136A27"/>
    <w:rsid w:val="00136CF6"/>
    <w:rsid w:val="00136E01"/>
    <w:rsid w:val="00137084"/>
    <w:rsid w:val="001373A7"/>
    <w:rsid w:val="0013743D"/>
    <w:rsid w:val="001374F4"/>
    <w:rsid w:val="00137619"/>
    <w:rsid w:val="00137C54"/>
    <w:rsid w:val="00137DF1"/>
    <w:rsid w:val="00137EE3"/>
    <w:rsid w:val="0014015D"/>
    <w:rsid w:val="001401DF"/>
    <w:rsid w:val="0014047D"/>
    <w:rsid w:val="00140579"/>
    <w:rsid w:val="00140595"/>
    <w:rsid w:val="001405E1"/>
    <w:rsid w:val="001411AA"/>
    <w:rsid w:val="00141286"/>
    <w:rsid w:val="0014191E"/>
    <w:rsid w:val="00141D3F"/>
    <w:rsid w:val="001424C6"/>
    <w:rsid w:val="00142700"/>
    <w:rsid w:val="001429AA"/>
    <w:rsid w:val="00142DDE"/>
    <w:rsid w:val="00142EBC"/>
    <w:rsid w:val="00142FF5"/>
    <w:rsid w:val="001433D9"/>
    <w:rsid w:val="001434DF"/>
    <w:rsid w:val="00143E99"/>
    <w:rsid w:val="00144060"/>
    <w:rsid w:val="0014438E"/>
    <w:rsid w:val="00144B67"/>
    <w:rsid w:val="00145178"/>
    <w:rsid w:val="0014548A"/>
    <w:rsid w:val="001455D8"/>
    <w:rsid w:val="001459A5"/>
    <w:rsid w:val="00145DFD"/>
    <w:rsid w:val="00146215"/>
    <w:rsid w:val="00146655"/>
    <w:rsid w:val="00146F11"/>
    <w:rsid w:val="00146F37"/>
    <w:rsid w:val="0014709C"/>
    <w:rsid w:val="00147344"/>
    <w:rsid w:val="001474E8"/>
    <w:rsid w:val="0014782C"/>
    <w:rsid w:val="001504BE"/>
    <w:rsid w:val="001505BF"/>
    <w:rsid w:val="0015083A"/>
    <w:rsid w:val="001508FD"/>
    <w:rsid w:val="00150A00"/>
    <w:rsid w:val="00150C67"/>
    <w:rsid w:val="00151636"/>
    <w:rsid w:val="00151955"/>
    <w:rsid w:val="001519BB"/>
    <w:rsid w:val="00151A6A"/>
    <w:rsid w:val="00151D3C"/>
    <w:rsid w:val="00151D47"/>
    <w:rsid w:val="00151E5A"/>
    <w:rsid w:val="00151FDE"/>
    <w:rsid w:val="00152102"/>
    <w:rsid w:val="00152573"/>
    <w:rsid w:val="0015262A"/>
    <w:rsid w:val="00152A9D"/>
    <w:rsid w:val="00152B22"/>
    <w:rsid w:val="00152DB2"/>
    <w:rsid w:val="00152FD6"/>
    <w:rsid w:val="00153363"/>
    <w:rsid w:val="00153A80"/>
    <w:rsid w:val="00153F83"/>
    <w:rsid w:val="00154106"/>
    <w:rsid w:val="0015492E"/>
    <w:rsid w:val="00154AC1"/>
    <w:rsid w:val="00155250"/>
    <w:rsid w:val="0015545F"/>
    <w:rsid w:val="00155729"/>
    <w:rsid w:val="00155AE3"/>
    <w:rsid w:val="00155EA6"/>
    <w:rsid w:val="00156462"/>
    <w:rsid w:val="00156499"/>
    <w:rsid w:val="00156645"/>
    <w:rsid w:val="00156783"/>
    <w:rsid w:val="001569A3"/>
    <w:rsid w:val="00156A74"/>
    <w:rsid w:val="00156B8F"/>
    <w:rsid w:val="00157479"/>
    <w:rsid w:val="00157921"/>
    <w:rsid w:val="0015794F"/>
    <w:rsid w:val="00157A5E"/>
    <w:rsid w:val="00157AEE"/>
    <w:rsid w:val="00160325"/>
    <w:rsid w:val="00160722"/>
    <w:rsid w:val="00160ACF"/>
    <w:rsid w:val="00160BCC"/>
    <w:rsid w:val="00160F9D"/>
    <w:rsid w:val="00161464"/>
    <w:rsid w:val="00161478"/>
    <w:rsid w:val="00161964"/>
    <w:rsid w:val="00161CC6"/>
    <w:rsid w:val="00161DB3"/>
    <w:rsid w:val="00162272"/>
    <w:rsid w:val="00162813"/>
    <w:rsid w:val="00162A92"/>
    <w:rsid w:val="00162EFD"/>
    <w:rsid w:val="00162F94"/>
    <w:rsid w:val="001631A8"/>
    <w:rsid w:val="001633F2"/>
    <w:rsid w:val="00163703"/>
    <w:rsid w:val="00163C7E"/>
    <w:rsid w:val="001642A2"/>
    <w:rsid w:val="00164431"/>
    <w:rsid w:val="00164BBE"/>
    <w:rsid w:val="00165153"/>
    <w:rsid w:val="0016521D"/>
    <w:rsid w:val="001656F4"/>
    <w:rsid w:val="00165B89"/>
    <w:rsid w:val="00165CA1"/>
    <w:rsid w:val="001661D0"/>
    <w:rsid w:val="001664F9"/>
    <w:rsid w:val="001668BE"/>
    <w:rsid w:val="001668D9"/>
    <w:rsid w:val="00166AD4"/>
    <w:rsid w:val="00166DD4"/>
    <w:rsid w:val="00166EE3"/>
    <w:rsid w:val="00166F52"/>
    <w:rsid w:val="00167242"/>
    <w:rsid w:val="001672AD"/>
    <w:rsid w:val="00167361"/>
    <w:rsid w:val="0016772D"/>
    <w:rsid w:val="00167903"/>
    <w:rsid w:val="00167BCD"/>
    <w:rsid w:val="0017023A"/>
    <w:rsid w:val="00170C58"/>
    <w:rsid w:val="00170F6A"/>
    <w:rsid w:val="00171355"/>
    <w:rsid w:val="001714EE"/>
    <w:rsid w:val="001715EC"/>
    <w:rsid w:val="001716DC"/>
    <w:rsid w:val="00171BB6"/>
    <w:rsid w:val="001721F3"/>
    <w:rsid w:val="00172399"/>
    <w:rsid w:val="001724BA"/>
    <w:rsid w:val="001727F7"/>
    <w:rsid w:val="001735B0"/>
    <w:rsid w:val="001736AE"/>
    <w:rsid w:val="00173719"/>
    <w:rsid w:val="00173901"/>
    <w:rsid w:val="00173A53"/>
    <w:rsid w:val="00174C2B"/>
    <w:rsid w:val="00174C34"/>
    <w:rsid w:val="00174C6B"/>
    <w:rsid w:val="00174F52"/>
    <w:rsid w:val="00174FB6"/>
    <w:rsid w:val="00175355"/>
    <w:rsid w:val="001757CC"/>
    <w:rsid w:val="00175A6F"/>
    <w:rsid w:val="00175BF5"/>
    <w:rsid w:val="001764F7"/>
    <w:rsid w:val="001767E2"/>
    <w:rsid w:val="00176801"/>
    <w:rsid w:val="0017682F"/>
    <w:rsid w:val="00176DB8"/>
    <w:rsid w:val="00176FED"/>
    <w:rsid w:val="00177490"/>
    <w:rsid w:val="001774D5"/>
    <w:rsid w:val="00177736"/>
    <w:rsid w:val="00177811"/>
    <w:rsid w:val="00177F43"/>
    <w:rsid w:val="00180196"/>
    <w:rsid w:val="0018020A"/>
    <w:rsid w:val="00180542"/>
    <w:rsid w:val="001805AC"/>
    <w:rsid w:val="00181641"/>
    <w:rsid w:val="00181966"/>
    <w:rsid w:val="00181EC6"/>
    <w:rsid w:val="00181FD4"/>
    <w:rsid w:val="00182200"/>
    <w:rsid w:val="0018244D"/>
    <w:rsid w:val="001825B4"/>
    <w:rsid w:val="001826E1"/>
    <w:rsid w:val="00182BCB"/>
    <w:rsid w:val="00183264"/>
    <w:rsid w:val="001834DC"/>
    <w:rsid w:val="001837F2"/>
    <w:rsid w:val="00183BEF"/>
    <w:rsid w:val="00184C8C"/>
    <w:rsid w:val="00184EE5"/>
    <w:rsid w:val="00185ABF"/>
    <w:rsid w:val="00185B0C"/>
    <w:rsid w:val="00185F30"/>
    <w:rsid w:val="00186140"/>
    <w:rsid w:val="00186205"/>
    <w:rsid w:val="00186598"/>
    <w:rsid w:val="00186D6A"/>
    <w:rsid w:val="0018701E"/>
    <w:rsid w:val="0018767B"/>
    <w:rsid w:val="00187ACE"/>
    <w:rsid w:val="00187F37"/>
    <w:rsid w:val="001901B6"/>
    <w:rsid w:val="0019058D"/>
    <w:rsid w:val="00190959"/>
    <w:rsid w:val="001909D6"/>
    <w:rsid w:val="0019112C"/>
    <w:rsid w:val="001914B4"/>
    <w:rsid w:val="00191A08"/>
    <w:rsid w:val="00191F37"/>
    <w:rsid w:val="00191F65"/>
    <w:rsid w:val="00192432"/>
    <w:rsid w:val="001925A9"/>
    <w:rsid w:val="00192645"/>
    <w:rsid w:val="001926D1"/>
    <w:rsid w:val="001928C6"/>
    <w:rsid w:val="00192F92"/>
    <w:rsid w:val="0019307C"/>
    <w:rsid w:val="001936BA"/>
    <w:rsid w:val="00193BCE"/>
    <w:rsid w:val="00194009"/>
    <w:rsid w:val="00194319"/>
    <w:rsid w:val="00194445"/>
    <w:rsid w:val="0019488C"/>
    <w:rsid w:val="00194C75"/>
    <w:rsid w:val="00194DAC"/>
    <w:rsid w:val="0019583E"/>
    <w:rsid w:val="00195D93"/>
    <w:rsid w:val="00195F7C"/>
    <w:rsid w:val="00195FAD"/>
    <w:rsid w:val="001965E1"/>
    <w:rsid w:val="001967D5"/>
    <w:rsid w:val="00196DA9"/>
    <w:rsid w:val="00196E2E"/>
    <w:rsid w:val="00196E9A"/>
    <w:rsid w:val="00196F4A"/>
    <w:rsid w:val="001979DC"/>
    <w:rsid w:val="00197D87"/>
    <w:rsid w:val="001A039D"/>
    <w:rsid w:val="001A041F"/>
    <w:rsid w:val="001A0BBE"/>
    <w:rsid w:val="001A0FC8"/>
    <w:rsid w:val="001A1440"/>
    <w:rsid w:val="001A1562"/>
    <w:rsid w:val="001A172B"/>
    <w:rsid w:val="001A1AF6"/>
    <w:rsid w:val="001A1D39"/>
    <w:rsid w:val="001A24BD"/>
    <w:rsid w:val="001A2662"/>
    <w:rsid w:val="001A272D"/>
    <w:rsid w:val="001A2FEB"/>
    <w:rsid w:val="001A3330"/>
    <w:rsid w:val="001A3540"/>
    <w:rsid w:val="001A37D1"/>
    <w:rsid w:val="001A3DE0"/>
    <w:rsid w:val="001A3E5B"/>
    <w:rsid w:val="001A4299"/>
    <w:rsid w:val="001A4590"/>
    <w:rsid w:val="001A54D3"/>
    <w:rsid w:val="001A5AFD"/>
    <w:rsid w:val="001A5FEB"/>
    <w:rsid w:val="001A704B"/>
    <w:rsid w:val="001A705D"/>
    <w:rsid w:val="001A72DD"/>
    <w:rsid w:val="001A74FB"/>
    <w:rsid w:val="001A7976"/>
    <w:rsid w:val="001B04B2"/>
    <w:rsid w:val="001B052D"/>
    <w:rsid w:val="001B0657"/>
    <w:rsid w:val="001B0708"/>
    <w:rsid w:val="001B0A5D"/>
    <w:rsid w:val="001B175D"/>
    <w:rsid w:val="001B2370"/>
    <w:rsid w:val="001B240B"/>
    <w:rsid w:val="001B2685"/>
    <w:rsid w:val="001B26F4"/>
    <w:rsid w:val="001B2786"/>
    <w:rsid w:val="001B2BD0"/>
    <w:rsid w:val="001B2BDF"/>
    <w:rsid w:val="001B2C71"/>
    <w:rsid w:val="001B2DBF"/>
    <w:rsid w:val="001B333B"/>
    <w:rsid w:val="001B36F4"/>
    <w:rsid w:val="001B3AF7"/>
    <w:rsid w:val="001B3CBC"/>
    <w:rsid w:val="001B3ECD"/>
    <w:rsid w:val="001B414B"/>
    <w:rsid w:val="001B41D0"/>
    <w:rsid w:val="001B4355"/>
    <w:rsid w:val="001B4931"/>
    <w:rsid w:val="001B4ADC"/>
    <w:rsid w:val="001B4DF5"/>
    <w:rsid w:val="001B4F7E"/>
    <w:rsid w:val="001B53F7"/>
    <w:rsid w:val="001B5629"/>
    <w:rsid w:val="001B57E9"/>
    <w:rsid w:val="001B58FA"/>
    <w:rsid w:val="001B5E7F"/>
    <w:rsid w:val="001B5F80"/>
    <w:rsid w:val="001B609E"/>
    <w:rsid w:val="001B6138"/>
    <w:rsid w:val="001B6157"/>
    <w:rsid w:val="001B629F"/>
    <w:rsid w:val="001B6898"/>
    <w:rsid w:val="001B6C25"/>
    <w:rsid w:val="001C05BE"/>
    <w:rsid w:val="001C0946"/>
    <w:rsid w:val="001C1442"/>
    <w:rsid w:val="001C1579"/>
    <w:rsid w:val="001C160B"/>
    <w:rsid w:val="001C1FDC"/>
    <w:rsid w:val="001C20EE"/>
    <w:rsid w:val="001C2483"/>
    <w:rsid w:val="001C25E6"/>
    <w:rsid w:val="001C26B0"/>
    <w:rsid w:val="001C2847"/>
    <w:rsid w:val="001C2B28"/>
    <w:rsid w:val="001C2C4E"/>
    <w:rsid w:val="001C2D82"/>
    <w:rsid w:val="001C2DF3"/>
    <w:rsid w:val="001C3536"/>
    <w:rsid w:val="001C3677"/>
    <w:rsid w:val="001C3B53"/>
    <w:rsid w:val="001C3D94"/>
    <w:rsid w:val="001C3EAD"/>
    <w:rsid w:val="001C3FE8"/>
    <w:rsid w:val="001C4352"/>
    <w:rsid w:val="001C44E2"/>
    <w:rsid w:val="001C4718"/>
    <w:rsid w:val="001C4777"/>
    <w:rsid w:val="001C4E39"/>
    <w:rsid w:val="001C52BA"/>
    <w:rsid w:val="001C52E0"/>
    <w:rsid w:val="001C5453"/>
    <w:rsid w:val="001C5707"/>
    <w:rsid w:val="001C620B"/>
    <w:rsid w:val="001C6233"/>
    <w:rsid w:val="001C6615"/>
    <w:rsid w:val="001C6DCD"/>
    <w:rsid w:val="001C7438"/>
    <w:rsid w:val="001C7BD9"/>
    <w:rsid w:val="001C7D8C"/>
    <w:rsid w:val="001C7DF4"/>
    <w:rsid w:val="001D021C"/>
    <w:rsid w:val="001D052C"/>
    <w:rsid w:val="001D1122"/>
    <w:rsid w:val="001D1123"/>
    <w:rsid w:val="001D114B"/>
    <w:rsid w:val="001D1391"/>
    <w:rsid w:val="001D1541"/>
    <w:rsid w:val="001D1647"/>
    <w:rsid w:val="001D16FC"/>
    <w:rsid w:val="001D19A5"/>
    <w:rsid w:val="001D1D2A"/>
    <w:rsid w:val="001D2245"/>
    <w:rsid w:val="001D2392"/>
    <w:rsid w:val="001D2794"/>
    <w:rsid w:val="001D27FA"/>
    <w:rsid w:val="001D2806"/>
    <w:rsid w:val="001D285D"/>
    <w:rsid w:val="001D2F7F"/>
    <w:rsid w:val="001D30ED"/>
    <w:rsid w:val="001D31CC"/>
    <w:rsid w:val="001D3445"/>
    <w:rsid w:val="001D35A0"/>
    <w:rsid w:val="001D38CD"/>
    <w:rsid w:val="001D3A3C"/>
    <w:rsid w:val="001D3D29"/>
    <w:rsid w:val="001D4D49"/>
    <w:rsid w:val="001D51C4"/>
    <w:rsid w:val="001D5314"/>
    <w:rsid w:val="001D547B"/>
    <w:rsid w:val="001D56E3"/>
    <w:rsid w:val="001D56F0"/>
    <w:rsid w:val="001D57AE"/>
    <w:rsid w:val="001D5AA3"/>
    <w:rsid w:val="001D5C04"/>
    <w:rsid w:val="001D6359"/>
    <w:rsid w:val="001D656A"/>
    <w:rsid w:val="001D6D07"/>
    <w:rsid w:val="001D73D7"/>
    <w:rsid w:val="001D7AC8"/>
    <w:rsid w:val="001D7C5A"/>
    <w:rsid w:val="001D7D01"/>
    <w:rsid w:val="001D7FFC"/>
    <w:rsid w:val="001E02CC"/>
    <w:rsid w:val="001E0317"/>
    <w:rsid w:val="001E0499"/>
    <w:rsid w:val="001E0B1B"/>
    <w:rsid w:val="001E130C"/>
    <w:rsid w:val="001E151F"/>
    <w:rsid w:val="001E16C2"/>
    <w:rsid w:val="001E21FA"/>
    <w:rsid w:val="001E26C0"/>
    <w:rsid w:val="001E2AD7"/>
    <w:rsid w:val="001E2E5F"/>
    <w:rsid w:val="001E3174"/>
    <w:rsid w:val="001E3406"/>
    <w:rsid w:val="001E342E"/>
    <w:rsid w:val="001E3DB7"/>
    <w:rsid w:val="001E4039"/>
    <w:rsid w:val="001E4389"/>
    <w:rsid w:val="001E45E7"/>
    <w:rsid w:val="001E4C1B"/>
    <w:rsid w:val="001E4C91"/>
    <w:rsid w:val="001E5164"/>
    <w:rsid w:val="001E5223"/>
    <w:rsid w:val="001E5282"/>
    <w:rsid w:val="001E53A8"/>
    <w:rsid w:val="001E5AF2"/>
    <w:rsid w:val="001E5BED"/>
    <w:rsid w:val="001E5CE6"/>
    <w:rsid w:val="001E609F"/>
    <w:rsid w:val="001E633F"/>
    <w:rsid w:val="001E644D"/>
    <w:rsid w:val="001E64B8"/>
    <w:rsid w:val="001E65F7"/>
    <w:rsid w:val="001E6B3B"/>
    <w:rsid w:val="001E71E9"/>
    <w:rsid w:val="001E753A"/>
    <w:rsid w:val="001E77B8"/>
    <w:rsid w:val="001E7D3A"/>
    <w:rsid w:val="001E7F62"/>
    <w:rsid w:val="001F0361"/>
    <w:rsid w:val="001F0A47"/>
    <w:rsid w:val="001F1070"/>
    <w:rsid w:val="001F114E"/>
    <w:rsid w:val="001F1A5E"/>
    <w:rsid w:val="001F1AEF"/>
    <w:rsid w:val="001F22EC"/>
    <w:rsid w:val="001F22ED"/>
    <w:rsid w:val="001F23E2"/>
    <w:rsid w:val="001F279B"/>
    <w:rsid w:val="001F2A0D"/>
    <w:rsid w:val="001F31B7"/>
    <w:rsid w:val="001F33AC"/>
    <w:rsid w:val="001F394F"/>
    <w:rsid w:val="001F3B88"/>
    <w:rsid w:val="001F3D40"/>
    <w:rsid w:val="001F3D75"/>
    <w:rsid w:val="001F420B"/>
    <w:rsid w:val="001F4525"/>
    <w:rsid w:val="001F4985"/>
    <w:rsid w:val="001F4AEA"/>
    <w:rsid w:val="001F4B44"/>
    <w:rsid w:val="001F4D18"/>
    <w:rsid w:val="001F4ED6"/>
    <w:rsid w:val="001F50F0"/>
    <w:rsid w:val="001F5191"/>
    <w:rsid w:val="001F5392"/>
    <w:rsid w:val="001F539C"/>
    <w:rsid w:val="001F550C"/>
    <w:rsid w:val="001F56FB"/>
    <w:rsid w:val="001F5976"/>
    <w:rsid w:val="001F597E"/>
    <w:rsid w:val="001F6699"/>
    <w:rsid w:val="001F6B2E"/>
    <w:rsid w:val="001F7187"/>
    <w:rsid w:val="001F7D96"/>
    <w:rsid w:val="001F7E9E"/>
    <w:rsid w:val="0020000D"/>
    <w:rsid w:val="002002F1"/>
    <w:rsid w:val="0020049C"/>
    <w:rsid w:val="00200874"/>
    <w:rsid w:val="00200A4F"/>
    <w:rsid w:val="00200CEE"/>
    <w:rsid w:val="002013E2"/>
    <w:rsid w:val="00201724"/>
    <w:rsid w:val="00201D1D"/>
    <w:rsid w:val="0020202D"/>
    <w:rsid w:val="002025F8"/>
    <w:rsid w:val="00202716"/>
    <w:rsid w:val="00202AF4"/>
    <w:rsid w:val="00202B24"/>
    <w:rsid w:val="00202D80"/>
    <w:rsid w:val="0020312A"/>
    <w:rsid w:val="00203177"/>
    <w:rsid w:val="002032AB"/>
    <w:rsid w:val="00203423"/>
    <w:rsid w:val="00203BB4"/>
    <w:rsid w:val="00203C56"/>
    <w:rsid w:val="0020436D"/>
    <w:rsid w:val="00204521"/>
    <w:rsid w:val="0020476E"/>
    <w:rsid w:val="00204790"/>
    <w:rsid w:val="00204BE9"/>
    <w:rsid w:val="00205295"/>
    <w:rsid w:val="002053B8"/>
    <w:rsid w:val="00205462"/>
    <w:rsid w:val="00205498"/>
    <w:rsid w:val="00205B8C"/>
    <w:rsid w:val="00205FF7"/>
    <w:rsid w:val="00206131"/>
    <w:rsid w:val="002061CE"/>
    <w:rsid w:val="0020686F"/>
    <w:rsid w:val="00206A9C"/>
    <w:rsid w:val="00206D3E"/>
    <w:rsid w:val="00206DDF"/>
    <w:rsid w:val="00206FFF"/>
    <w:rsid w:val="002075FC"/>
    <w:rsid w:val="00207755"/>
    <w:rsid w:val="002079A8"/>
    <w:rsid w:val="00207AAD"/>
    <w:rsid w:val="00207BCA"/>
    <w:rsid w:val="00207E06"/>
    <w:rsid w:val="00210113"/>
    <w:rsid w:val="002101BB"/>
    <w:rsid w:val="00210441"/>
    <w:rsid w:val="0021044D"/>
    <w:rsid w:val="0021055B"/>
    <w:rsid w:val="002108A5"/>
    <w:rsid w:val="00210903"/>
    <w:rsid w:val="00210B27"/>
    <w:rsid w:val="00210B4E"/>
    <w:rsid w:val="00210D76"/>
    <w:rsid w:val="00210ED8"/>
    <w:rsid w:val="00210F2A"/>
    <w:rsid w:val="00211A32"/>
    <w:rsid w:val="00211B2D"/>
    <w:rsid w:val="00212115"/>
    <w:rsid w:val="00212562"/>
    <w:rsid w:val="002128E1"/>
    <w:rsid w:val="00213103"/>
    <w:rsid w:val="00213179"/>
    <w:rsid w:val="00213310"/>
    <w:rsid w:val="0021345D"/>
    <w:rsid w:val="002139B7"/>
    <w:rsid w:val="00213BCF"/>
    <w:rsid w:val="00213E19"/>
    <w:rsid w:val="00213E2C"/>
    <w:rsid w:val="00213E6F"/>
    <w:rsid w:val="00213ED7"/>
    <w:rsid w:val="002140B1"/>
    <w:rsid w:val="00214B85"/>
    <w:rsid w:val="00214C96"/>
    <w:rsid w:val="00214F96"/>
    <w:rsid w:val="00215696"/>
    <w:rsid w:val="0021588A"/>
    <w:rsid w:val="002158BD"/>
    <w:rsid w:val="00215B8A"/>
    <w:rsid w:val="00215D31"/>
    <w:rsid w:val="00215FD4"/>
    <w:rsid w:val="00216363"/>
    <w:rsid w:val="002164D7"/>
    <w:rsid w:val="0021699E"/>
    <w:rsid w:val="00216A89"/>
    <w:rsid w:val="00217279"/>
    <w:rsid w:val="00217487"/>
    <w:rsid w:val="0021748F"/>
    <w:rsid w:val="002175D2"/>
    <w:rsid w:val="002176F2"/>
    <w:rsid w:val="00217853"/>
    <w:rsid w:val="0021785D"/>
    <w:rsid w:val="0021796D"/>
    <w:rsid w:val="00217BBC"/>
    <w:rsid w:val="00217BE3"/>
    <w:rsid w:val="00217D0E"/>
    <w:rsid w:val="00217DA6"/>
    <w:rsid w:val="00217F3D"/>
    <w:rsid w:val="00220B6D"/>
    <w:rsid w:val="00220BE3"/>
    <w:rsid w:val="00220BFC"/>
    <w:rsid w:val="00220F5D"/>
    <w:rsid w:val="00221056"/>
    <w:rsid w:val="002217F3"/>
    <w:rsid w:val="002218E4"/>
    <w:rsid w:val="00221A88"/>
    <w:rsid w:val="00221B44"/>
    <w:rsid w:val="00221D0F"/>
    <w:rsid w:val="002220BF"/>
    <w:rsid w:val="0022218B"/>
    <w:rsid w:val="002221B2"/>
    <w:rsid w:val="00222222"/>
    <w:rsid w:val="00222288"/>
    <w:rsid w:val="00222327"/>
    <w:rsid w:val="00222949"/>
    <w:rsid w:val="00222A84"/>
    <w:rsid w:val="00222B3C"/>
    <w:rsid w:val="00222C50"/>
    <w:rsid w:val="00222CD1"/>
    <w:rsid w:val="00222EEA"/>
    <w:rsid w:val="00222EF8"/>
    <w:rsid w:val="00223086"/>
    <w:rsid w:val="002231D7"/>
    <w:rsid w:val="00223480"/>
    <w:rsid w:val="0022418E"/>
    <w:rsid w:val="0022447E"/>
    <w:rsid w:val="00224672"/>
    <w:rsid w:val="002248ED"/>
    <w:rsid w:val="00225188"/>
    <w:rsid w:val="00225410"/>
    <w:rsid w:val="00225781"/>
    <w:rsid w:val="00225932"/>
    <w:rsid w:val="00225964"/>
    <w:rsid w:val="00225D8F"/>
    <w:rsid w:val="002277A2"/>
    <w:rsid w:val="00227A8E"/>
    <w:rsid w:val="00227B56"/>
    <w:rsid w:val="00227CF8"/>
    <w:rsid w:val="00230471"/>
    <w:rsid w:val="002304B9"/>
    <w:rsid w:val="0023076E"/>
    <w:rsid w:val="00230798"/>
    <w:rsid w:val="00231032"/>
    <w:rsid w:val="002310F4"/>
    <w:rsid w:val="00231443"/>
    <w:rsid w:val="00231906"/>
    <w:rsid w:val="002321FE"/>
    <w:rsid w:val="002323FF"/>
    <w:rsid w:val="002324C7"/>
    <w:rsid w:val="0023257C"/>
    <w:rsid w:val="0023261E"/>
    <w:rsid w:val="00232B9D"/>
    <w:rsid w:val="00232CA2"/>
    <w:rsid w:val="00232D37"/>
    <w:rsid w:val="0023309B"/>
    <w:rsid w:val="00233216"/>
    <w:rsid w:val="0023341E"/>
    <w:rsid w:val="00233D62"/>
    <w:rsid w:val="002340DE"/>
    <w:rsid w:val="002342A7"/>
    <w:rsid w:val="002344BA"/>
    <w:rsid w:val="00234896"/>
    <w:rsid w:val="00234D83"/>
    <w:rsid w:val="00234E58"/>
    <w:rsid w:val="00234EC5"/>
    <w:rsid w:val="00235176"/>
    <w:rsid w:val="0023546F"/>
    <w:rsid w:val="002355E6"/>
    <w:rsid w:val="00235B01"/>
    <w:rsid w:val="00235F22"/>
    <w:rsid w:val="00235F7C"/>
    <w:rsid w:val="00236055"/>
    <w:rsid w:val="00236604"/>
    <w:rsid w:val="00236789"/>
    <w:rsid w:val="0023678D"/>
    <w:rsid w:val="00236F33"/>
    <w:rsid w:val="00236F38"/>
    <w:rsid w:val="00237384"/>
    <w:rsid w:val="0023766C"/>
    <w:rsid w:val="00237D6F"/>
    <w:rsid w:val="0024025E"/>
    <w:rsid w:val="00240303"/>
    <w:rsid w:val="0024034B"/>
    <w:rsid w:val="0024036B"/>
    <w:rsid w:val="00240A37"/>
    <w:rsid w:val="00240E8D"/>
    <w:rsid w:val="00241021"/>
    <w:rsid w:val="00241097"/>
    <w:rsid w:val="002410CA"/>
    <w:rsid w:val="002411A8"/>
    <w:rsid w:val="002413AD"/>
    <w:rsid w:val="0024147D"/>
    <w:rsid w:val="00241DD0"/>
    <w:rsid w:val="00241EFC"/>
    <w:rsid w:val="002424BF"/>
    <w:rsid w:val="00242B0F"/>
    <w:rsid w:val="00242D2A"/>
    <w:rsid w:val="00242DC7"/>
    <w:rsid w:val="00242ECA"/>
    <w:rsid w:val="00243710"/>
    <w:rsid w:val="00243746"/>
    <w:rsid w:val="00243759"/>
    <w:rsid w:val="00243EDC"/>
    <w:rsid w:val="00244181"/>
    <w:rsid w:val="002441BC"/>
    <w:rsid w:val="002443DD"/>
    <w:rsid w:val="00244485"/>
    <w:rsid w:val="002449BB"/>
    <w:rsid w:val="00244D5F"/>
    <w:rsid w:val="00244EDD"/>
    <w:rsid w:val="002454BB"/>
    <w:rsid w:val="002456F1"/>
    <w:rsid w:val="0024660C"/>
    <w:rsid w:val="002466E2"/>
    <w:rsid w:val="002469F2"/>
    <w:rsid w:val="00246F0D"/>
    <w:rsid w:val="002473EF"/>
    <w:rsid w:val="002476D8"/>
    <w:rsid w:val="00247754"/>
    <w:rsid w:val="002479D3"/>
    <w:rsid w:val="00247ADB"/>
    <w:rsid w:val="00247E46"/>
    <w:rsid w:val="00250644"/>
    <w:rsid w:val="00250714"/>
    <w:rsid w:val="002507A8"/>
    <w:rsid w:val="002513B9"/>
    <w:rsid w:val="002516E1"/>
    <w:rsid w:val="00251963"/>
    <w:rsid w:val="00251B24"/>
    <w:rsid w:val="00251B26"/>
    <w:rsid w:val="002520AA"/>
    <w:rsid w:val="002523BB"/>
    <w:rsid w:val="00252505"/>
    <w:rsid w:val="0025274B"/>
    <w:rsid w:val="002528DA"/>
    <w:rsid w:val="00252B80"/>
    <w:rsid w:val="00252E07"/>
    <w:rsid w:val="00252EBA"/>
    <w:rsid w:val="0025348C"/>
    <w:rsid w:val="0025371D"/>
    <w:rsid w:val="00253A93"/>
    <w:rsid w:val="0025429E"/>
    <w:rsid w:val="00254460"/>
    <w:rsid w:val="002544A9"/>
    <w:rsid w:val="00255067"/>
    <w:rsid w:val="00255A67"/>
    <w:rsid w:val="00255BCC"/>
    <w:rsid w:val="00255FC5"/>
    <w:rsid w:val="00256116"/>
    <w:rsid w:val="0025639B"/>
    <w:rsid w:val="00256740"/>
    <w:rsid w:val="00256956"/>
    <w:rsid w:val="00256BB9"/>
    <w:rsid w:val="00256FAF"/>
    <w:rsid w:val="00257AAA"/>
    <w:rsid w:val="00257D7A"/>
    <w:rsid w:val="00257DF5"/>
    <w:rsid w:val="00257EBC"/>
    <w:rsid w:val="00260202"/>
    <w:rsid w:val="00260876"/>
    <w:rsid w:val="002608D6"/>
    <w:rsid w:val="00260BDD"/>
    <w:rsid w:val="00260C92"/>
    <w:rsid w:val="0026162D"/>
    <w:rsid w:val="0026187E"/>
    <w:rsid w:val="00261F0B"/>
    <w:rsid w:val="00261FB1"/>
    <w:rsid w:val="002622F9"/>
    <w:rsid w:val="0026284C"/>
    <w:rsid w:val="00262897"/>
    <w:rsid w:val="002632B6"/>
    <w:rsid w:val="00263349"/>
    <w:rsid w:val="0026358D"/>
    <w:rsid w:val="00263A07"/>
    <w:rsid w:val="0026452A"/>
    <w:rsid w:val="002648D6"/>
    <w:rsid w:val="00264C33"/>
    <w:rsid w:val="00264C80"/>
    <w:rsid w:val="00264DFD"/>
    <w:rsid w:val="0026517C"/>
    <w:rsid w:val="002651A8"/>
    <w:rsid w:val="002651F9"/>
    <w:rsid w:val="0026532F"/>
    <w:rsid w:val="00265386"/>
    <w:rsid w:val="00265798"/>
    <w:rsid w:val="00265F32"/>
    <w:rsid w:val="00266018"/>
    <w:rsid w:val="0026702D"/>
    <w:rsid w:val="0026704E"/>
    <w:rsid w:val="0026797E"/>
    <w:rsid w:val="00267B51"/>
    <w:rsid w:val="00267BF2"/>
    <w:rsid w:val="00267D60"/>
    <w:rsid w:val="002702AE"/>
    <w:rsid w:val="0027078A"/>
    <w:rsid w:val="002709DC"/>
    <w:rsid w:val="00270CCB"/>
    <w:rsid w:val="00270D0B"/>
    <w:rsid w:val="002710FC"/>
    <w:rsid w:val="002716A1"/>
    <w:rsid w:val="002716B3"/>
    <w:rsid w:val="002718A1"/>
    <w:rsid w:val="00271C07"/>
    <w:rsid w:val="00271F20"/>
    <w:rsid w:val="00272258"/>
    <w:rsid w:val="00272700"/>
    <w:rsid w:val="00272DDC"/>
    <w:rsid w:val="00272E06"/>
    <w:rsid w:val="00272EC5"/>
    <w:rsid w:val="00273139"/>
    <w:rsid w:val="00273251"/>
    <w:rsid w:val="0027329F"/>
    <w:rsid w:val="0027331F"/>
    <w:rsid w:val="00273718"/>
    <w:rsid w:val="00273735"/>
    <w:rsid w:val="00273FF6"/>
    <w:rsid w:val="002741C6"/>
    <w:rsid w:val="00274290"/>
    <w:rsid w:val="00274400"/>
    <w:rsid w:val="00274EF7"/>
    <w:rsid w:val="002751F6"/>
    <w:rsid w:val="00275349"/>
    <w:rsid w:val="00275644"/>
    <w:rsid w:val="00275AD1"/>
    <w:rsid w:val="00275E6B"/>
    <w:rsid w:val="00276A16"/>
    <w:rsid w:val="00277092"/>
    <w:rsid w:val="002770E8"/>
    <w:rsid w:val="002771FD"/>
    <w:rsid w:val="0027785B"/>
    <w:rsid w:val="00280434"/>
    <w:rsid w:val="002805D8"/>
    <w:rsid w:val="002805F1"/>
    <w:rsid w:val="002809BA"/>
    <w:rsid w:val="00280BBF"/>
    <w:rsid w:val="0028103F"/>
    <w:rsid w:val="002812A0"/>
    <w:rsid w:val="0028133B"/>
    <w:rsid w:val="00281413"/>
    <w:rsid w:val="002816B7"/>
    <w:rsid w:val="00281730"/>
    <w:rsid w:val="00281B09"/>
    <w:rsid w:val="00281CEA"/>
    <w:rsid w:val="00281EA3"/>
    <w:rsid w:val="00281EDE"/>
    <w:rsid w:val="00282077"/>
    <w:rsid w:val="002820E6"/>
    <w:rsid w:val="00282DA5"/>
    <w:rsid w:val="00282E64"/>
    <w:rsid w:val="00283129"/>
    <w:rsid w:val="002832E0"/>
    <w:rsid w:val="002833D9"/>
    <w:rsid w:val="002835A4"/>
    <w:rsid w:val="00283A30"/>
    <w:rsid w:val="00283B8C"/>
    <w:rsid w:val="00283F0A"/>
    <w:rsid w:val="002846B3"/>
    <w:rsid w:val="00284BFD"/>
    <w:rsid w:val="00285511"/>
    <w:rsid w:val="0028593B"/>
    <w:rsid w:val="00285C59"/>
    <w:rsid w:val="00285D4B"/>
    <w:rsid w:val="002860E1"/>
    <w:rsid w:val="002862E2"/>
    <w:rsid w:val="00286471"/>
    <w:rsid w:val="002864AB"/>
    <w:rsid w:val="00286867"/>
    <w:rsid w:val="00286E54"/>
    <w:rsid w:val="00286F59"/>
    <w:rsid w:val="002871AD"/>
    <w:rsid w:val="00287328"/>
    <w:rsid w:val="00287ACB"/>
    <w:rsid w:val="0029018A"/>
    <w:rsid w:val="002901C3"/>
    <w:rsid w:val="002901D9"/>
    <w:rsid w:val="00290277"/>
    <w:rsid w:val="002903A3"/>
    <w:rsid w:val="00290439"/>
    <w:rsid w:val="00290517"/>
    <w:rsid w:val="00290971"/>
    <w:rsid w:val="00290974"/>
    <w:rsid w:val="002909F1"/>
    <w:rsid w:val="00290EFB"/>
    <w:rsid w:val="00290F43"/>
    <w:rsid w:val="00291664"/>
    <w:rsid w:val="002916A7"/>
    <w:rsid w:val="00291832"/>
    <w:rsid w:val="002918BA"/>
    <w:rsid w:val="002924F1"/>
    <w:rsid w:val="002925E8"/>
    <w:rsid w:val="002927A1"/>
    <w:rsid w:val="00292B58"/>
    <w:rsid w:val="00292B9D"/>
    <w:rsid w:val="00292DD1"/>
    <w:rsid w:val="00292E2B"/>
    <w:rsid w:val="00292E54"/>
    <w:rsid w:val="00292F66"/>
    <w:rsid w:val="0029320C"/>
    <w:rsid w:val="00293CAA"/>
    <w:rsid w:val="00293E41"/>
    <w:rsid w:val="00293EAA"/>
    <w:rsid w:val="002944C0"/>
    <w:rsid w:val="00294C3D"/>
    <w:rsid w:val="00294C7F"/>
    <w:rsid w:val="00294DBD"/>
    <w:rsid w:val="002956C4"/>
    <w:rsid w:val="0029572F"/>
    <w:rsid w:val="00295810"/>
    <w:rsid w:val="002959D1"/>
    <w:rsid w:val="002965CC"/>
    <w:rsid w:val="0029684D"/>
    <w:rsid w:val="00296C16"/>
    <w:rsid w:val="0029738D"/>
    <w:rsid w:val="0029799B"/>
    <w:rsid w:val="002A01D9"/>
    <w:rsid w:val="002A0337"/>
    <w:rsid w:val="002A06A5"/>
    <w:rsid w:val="002A0835"/>
    <w:rsid w:val="002A121A"/>
    <w:rsid w:val="002A12DD"/>
    <w:rsid w:val="002A1695"/>
    <w:rsid w:val="002A1A05"/>
    <w:rsid w:val="002A1DBF"/>
    <w:rsid w:val="002A21E9"/>
    <w:rsid w:val="002A2383"/>
    <w:rsid w:val="002A2966"/>
    <w:rsid w:val="002A2984"/>
    <w:rsid w:val="002A2A12"/>
    <w:rsid w:val="002A2AD2"/>
    <w:rsid w:val="002A2B66"/>
    <w:rsid w:val="002A2D30"/>
    <w:rsid w:val="002A2F5A"/>
    <w:rsid w:val="002A35AA"/>
    <w:rsid w:val="002A36A8"/>
    <w:rsid w:val="002A3B81"/>
    <w:rsid w:val="002A4539"/>
    <w:rsid w:val="002A488F"/>
    <w:rsid w:val="002A4E44"/>
    <w:rsid w:val="002A4F29"/>
    <w:rsid w:val="002A51BF"/>
    <w:rsid w:val="002A5368"/>
    <w:rsid w:val="002A6177"/>
    <w:rsid w:val="002A6436"/>
    <w:rsid w:val="002A644D"/>
    <w:rsid w:val="002A65B4"/>
    <w:rsid w:val="002A69D6"/>
    <w:rsid w:val="002A6FD1"/>
    <w:rsid w:val="002A711C"/>
    <w:rsid w:val="002A733C"/>
    <w:rsid w:val="002A7BB5"/>
    <w:rsid w:val="002A7D7D"/>
    <w:rsid w:val="002A7DD8"/>
    <w:rsid w:val="002B0099"/>
    <w:rsid w:val="002B04B0"/>
    <w:rsid w:val="002B0948"/>
    <w:rsid w:val="002B1142"/>
    <w:rsid w:val="002B16C5"/>
    <w:rsid w:val="002B1CCA"/>
    <w:rsid w:val="002B2001"/>
    <w:rsid w:val="002B221A"/>
    <w:rsid w:val="002B22FD"/>
    <w:rsid w:val="002B2A44"/>
    <w:rsid w:val="002B2AFE"/>
    <w:rsid w:val="002B31D7"/>
    <w:rsid w:val="002B35C3"/>
    <w:rsid w:val="002B3AA8"/>
    <w:rsid w:val="002B47AE"/>
    <w:rsid w:val="002B5822"/>
    <w:rsid w:val="002B5E16"/>
    <w:rsid w:val="002B5FCB"/>
    <w:rsid w:val="002B613A"/>
    <w:rsid w:val="002B618D"/>
    <w:rsid w:val="002B63A1"/>
    <w:rsid w:val="002B63E0"/>
    <w:rsid w:val="002B66C9"/>
    <w:rsid w:val="002B6B39"/>
    <w:rsid w:val="002B6BBC"/>
    <w:rsid w:val="002B6EFA"/>
    <w:rsid w:val="002B73A4"/>
    <w:rsid w:val="002B74B1"/>
    <w:rsid w:val="002B7A2F"/>
    <w:rsid w:val="002C0360"/>
    <w:rsid w:val="002C03E4"/>
    <w:rsid w:val="002C0498"/>
    <w:rsid w:val="002C0AFF"/>
    <w:rsid w:val="002C1120"/>
    <w:rsid w:val="002C1137"/>
    <w:rsid w:val="002C146C"/>
    <w:rsid w:val="002C17B4"/>
    <w:rsid w:val="002C1973"/>
    <w:rsid w:val="002C19DE"/>
    <w:rsid w:val="002C1C1B"/>
    <w:rsid w:val="002C1F10"/>
    <w:rsid w:val="002C2467"/>
    <w:rsid w:val="002C2575"/>
    <w:rsid w:val="002C2A38"/>
    <w:rsid w:val="002C2A58"/>
    <w:rsid w:val="002C356D"/>
    <w:rsid w:val="002C386F"/>
    <w:rsid w:val="002C389B"/>
    <w:rsid w:val="002C3971"/>
    <w:rsid w:val="002C3F3C"/>
    <w:rsid w:val="002C3F58"/>
    <w:rsid w:val="002C3FF6"/>
    <w:rsid w:val="002C4171"/>
    <w:rsid w:val="002C486B"/>
    <w:rsid w:val="002C4A56"/>
    <w:rsid w:val="002C4C67"/>
    <w:rsid w:val="002C4F7C"/>
    <w:rsid w:val="002C5420"/>
    <w:rsid w:val="002C5766"/>
    <w:rsid w:val="002C5974"/>
    <w:rsid w:val="002C5B22"/>
    <w:rsid w:val="002C5EB2"/>
    <w:rsid w:val="002C61AE"/>
    <w:rsid w:val="002C661D"/>
    <w:rsid w:val="002C67B8"/>
    <w:rsid w:val="002C6A2E"/>
    <w:rsid w:val="002C6B2D"/>
    <w:rsid w:val="002C740A"/>
    <w:rsid w:val="002C7855"/>
    <w:rsid w:val="002C7C8B"/>
    <w:rsid w:val="002D0009"/>
    <w:rsid w:val="002D02CF"/>
    <w:rsid w:val="002D0B41"/>
    <w:rsid w:val="002D1240"/>
    <w:rsid w:val="002D178E"/>
    <w:rsid w:val="002D1A6D"/>
    <w:rsid w:val="002D1ACD"/>
    <w:rsid w:val="002D1B66"/>
    <w:rsid w:val="002D1D19"/>
    <w:rsid w:val="002D25F6"/>
    <w:rsid w:val="002D2B2B"/>
    <w:rsid w:val="002D2FCE"/>
    <w:rsid w:val="002D3825"/>
    <w:rsid w:val="002D39F1"/>
    <w:rsid w:val="002D490E"/>
    <w:rsid w:val="002D4950"/>
    <w:rsid w:val="002D49D3"/>
    <w:rsid w:val="002D4D8C"/>
    <w:rsid w:val="002D4D9A"/>
    <w:rsid w:val="002D5146"/>
    <w:rsid w:val="002D5377"/>
    <w:rsid w:val="002D5788"/>
    <w:rsid w:val="002D5B22"/>
    <w:rsid w:val="002D5F74"/>
    <w:rsid w:val="002D6448"/>
    <w:rsid w:val="002D6880"/>
    <w:rsid w:val="002D7648"/>
    <w:rsid w:val="002D790C"/>
    <w:rsid w:val="002E00AA"/>
    <w:rsid w:val="002E0625"/>
    <w:rsid w:val="002E06F7"/>
    <w:rsid w:val="002E077C"/>
    <w:rsid w:val="002E0942"/>
    <w:rsid w:val="002E0A8F"/>
    <w:rsid w:val="002E0B32"/>
    <w:rsid w:val="002E1398"/>
    <w:rsid w:val="002E17E5"/>
    <w:rsid w:val="002E1BC7"/>
    <w:rsid w:val="002E1F7A"/>
    <w:rsid w:val="002E21C4"/>
    <w:rsid w:val="002E2A8D"/>
    <w:rsid w:val="002E2F26"/>
    <w:rsid w:val="002E3828"/>
    <w:rsid w:val="002E3B44"/>
    <w:rsid w:val="002E3C2B"/>
    <w:rsid w:val="002E412C"/>
    <w:rsid w:val="002E45E3"/>
    <w:rsid w:val="002E4B4A"/>
    <w:rsid w:val="002E5253"/>
    <w:rsid w:val="002E53FE"/>
    <w:rsid w:val="002E67A1"/>
    <w:rsid w:val="002E67EA"/>
    <w:rsid w:val="002E70AC"/>
    <w:rsid w:val="002F0174"/>
    <w:rsid w:val="002F032A"/>
    <w:rsid w:val="002F0811"/>
    <w:rsid w:val="002F140D"/>
    <w:rsid w:val="002F195F"/>
    <w:rsid w:val="002F1D1D"/>
    <w:rsid w:val="002F21A9"/>
    <w:rsid w:val="002F2349"/>
    <w:rsid w:val="002F243B"/>
    <w:rsid w:val="002F27B1"/>
    <w:rsid w:val="002F2ED5"/>
    <w:rsid w:val="002F315B"/>
    <w:rsid w:val="002F329F"/>
    <w:rsid w:val="002F3652"/>
    <w:rsid w:val="002F3727"/>
    <w:rsid w:val="002F3B5C"/>
    <w:rsid w:val="002F3D40"/>
    <w:rsid w:val="002F41A7"/>
    <w:rsid w:val="002F41B8"/>
    <w:rsid w:val="002F4A0C"/>
    <w:rsid w:val="002F4B44"/>
    <w:rsid w:val="002F4E6C"/>
    <w:rsid w:val="002F4F43"/>
    <w:rsid w:val="002F51BF"/>
    <w:rsid w:val="002F5A40"/>
    <w:rsid w:val="002F5C74"/>
    <w:rsid w:val="002F61FA"/>
    <w:rsid w:val="002F6BDC"/>
    <w:rsid w:val="002F73BC"/>
    <w:rsid w:val="002F78C2"/>
    <w:rsid w:val="002F7E03"/>
    <w:rsid w:val="00300362"/>
    <w:rsid w:val="00300376"/>
    <w:rsid w:val="00300997"/>
    <w:rsid w:val="003009CC"/>
    <w:rsid w:val="00300A6D"/>
    <w:rsid w:val="00300B33"/>
    <w:rsid w:val="00300BEC"/>
    <w:rsid w:val="00301BE7"/>
    <w:rsid w:val="00302076"/>
    <w:rsid w:val="003022E5"/>
    <w:rsid w:val="0030274E"/>
    <w:rsid w:val="00302ADE"/>
    <w:rsid w:val="00302AEB"/>
    <w:rsid w:val="00302DEC"/>
    <w:rsid w:val="0030320F"/>
    <w:rsid w:val="0030344D"/>
    <w:rsid w:val="00303B66"/>
    <w:rsid w:val="0030474E"/>
    <w:rsid w:val="003047C9"/>
    <w:rsid w:val="00305818"/>
    <w:rsid w:val="003058F3"/>
    <w:rsid w:val="00305E59"/>
    <w:rsid w:val="00306514"/>
    <w:rsid w:val="00306596"/>
    <w:rsid w:val="00306A78"/>
    <w:rsid w:val="00306EA4"/>
    <w:rsid w:val="00307DEB"/>
    <w:rsid w:val="00307DF9"/>
    <w:rsid w:val="00307EBC"/>
    <w:rsid w:val="0031004F"/>
    <w:rsid w:val="003101C3"/>
    <w:rsid w:val="0031046D"/>
    <w:rsid w:val="00310B04"/>
    <w:rsid w:val="00310BDA"/>
    <w:rsid w:val="00310E2A"/>
    <w:rsid w:val="00310FD1"/>
    <w:rsid w:val="00311006"/>
    <w:rsid w:val="003112E2"/>
    <w:rsid w:val="0031136C"/>
    <w:rsid w:val="00311543"/>
    <w:rsid w:val="00311731"/>
    <w:rsid w:val="003117E7"/>
    <w:rsid w:val="00311AC0"/>
    <w:rsid w:val="00311B09"/>
    <w:rsid w:val="00311D5B"/>
    <w:rsid w:val="00312003"/>
    <w:rsid w:val="003121A8"/>
    <w:rsid w:val="0031221E"/>
    <w:rsid w:val="00312335"/>
    <w:rsid w:val="00312612"/>
    <w:rsid w:val="00312A95"/>
    <w:rsid w:val="00312D28"/>
    <w:rsid w:val="0031351F"/>
    <w:rsid w:val="003135CB"/>
    <w:rsid w:val="00313635"/>
    <w:rsid w:val="003138F2"/>
    <w:rsid w:val="00313982"/>
    <w:rsid w:val="00313DA6"/>
    <w:rsid w:val="00314A28"/>
    <w:rsid w:val="00314AD0"/>
    <w:rsid w:val="003156AE"/>
    <w:rsid w:val="00315833"/>
    <w:rsid w:val="00315F4E"/>
    <w:rsid w:val="00316598"/>
    <w:rsid w:val="00316F90"/>
    <w:rsid w:val="003170B6"/>
    <w:rsid w:val="003170B9"/>
    <w:rsid w:val="003170C9"/>
    <w:rsid w:val="00317149"/>
    <w:rsid w:val="00317408"/>
    <w:rsid w:val="003179E4"/>
    <w:rsid w:val="00317A2D"/>
    <w:rsid w:val="00317C20"/>
    <w:rsid w:val="00317E16"/>
    <w:rsid w:val="00317F86"/>
    <w:rsid w:val="00320165"/>
    <w:rsid w:val="0032029E"/>
    <w:rsid w:val="0032044D"/>
    <w:rsid w:val="0032099F"/>
    <w:rsid w:val="00320A38"/>
    <w:rsid w:val="00321364"/>
    <w:rsid w:val="0032151B"/>
    <w:rsid w:val="00321818"/>
    <w:rsid w:val="00321F79"/>
    <w:rsid w:val="003221B9"/>
    <w:rsid w:val="0032226F"/>
    <w:rsid w:val="00322655"/>
    <w:rsid w:val="0032281F"/>
    <w:rsid w:val="00322E7B"/>
    <w:rsid w:val="00323139"/>
    <w:rsid w:val="00323F65"/>
    <w:rsid w:val="00323FA9"/>
    <w:rsid w:val="0032435F"/>
    <w:rsid w:val="00324494"/>
    <w:rsid w:val="00324611"/>
    <w:rsid w:val="003246F1"/>
    <w:rsid w:val="0032470E"/>
    <w:rsid w:val="003250ED"/>
    <w:rsid w:val="00325AB1"/>
    <w:rsid w:val="00325C1F"/>
    <w:rsid w:val="00325FA2"/>
    <w:rsid w:val="00326709"/>
    <w:rsid w:val="00326A7F"/>
    <w:rsid w:val="00326ACA"/>
    <w:rsid w:val="00326B23"/>
    <w:rsid w:val="00326D11"/>
    <w:rsid w:val="00326F71"/>
    <w:rsid w:val="00327440"/>
    <w:rsid w:val="0032766E"/>
    <w:rsid w:val="0032774C"/>
    <w:rsid w:val="00327951"/>
    <w:rsid w:val="00327C97"/>
    <w:rsid w:val="00327D53"/>
    <w:rsid w:val="003303B7"/>
    <w:rsid w:val="00330793"/>
    <w:rsid w:val="00331397"/>
    <w:rsid w:val="00331BCC"/>
    <w:rsid w:val="00331CC2"/>
    <w:rsid w:val="0033219B"/>
    <w:rsid w:val="003324CD"/>
    <w:rsid w:val="003328A6"/>
    <w:rsid w:val="00332E1D"/>
    <w:rsid w:val="0033302B"/>
    <w:rsid w:val="00333604"/>
    <w:rsid w:val="00333831"/>
    <w:rsid w:val="00333D2E"/>
    <w:rsid w:val="00333EE1"/>
    <w:rsid w:val="00333F94"/>
    <w:rsid w:val="0033420D"/>
    <w:rsid w:val="0033449C"/>
    <w:rsid w:val="00334619"/>
    <w:rsid w:val="00334A92"/>
    <w:rsid w:val="00334CD8"/>
    <w:rsid w:val="0033539D"/>
    <w:rsid w:val="0033621D"/>
    <w:rsid w:val="00336249"/>
    <w:rsid w:val="003362C1"/>
    <w:rsid w:val="00336879"/>
    <w:rsid w:val="00336891"/>
    <w:rsid w:val="003369AA"/>
    <w:rsid w:val="00336D38"/>
    <w:rsid w:val="0033704E"/>
    <w:rsid w:val="00337265"/>
    <w:rsid w:val="003374B2"/>
    <w:rsid w:val="00337BFB"/>
    <w:rsid w:val="00337E95"/>
    <w:rsid w:val="00337EB5"/>
    <w:rsid w:val="003400F7"/>
    <w:rsid w:val="003401DF"/>
    <w:rsid w:val="00340DA8"/>
    <w:rsid w:val="00340FDC"/>
    <w:rsid w:val="003413C9"/>
    <w:rsid w:val="00341549"/>
    <w:rsid w:val="00341C27"/>
    <w:rsid w:val="00342047"/>
    <w:rsid w:val="003421FE"/>
    <w:rsid w:val="0034226C"/>
    <w:rsid w:val="00342FD0"/>
    <w:rsid w:val="003431EA"/>
    <w:rsid w:val="00343626"/>
    <w:rsid w:val="003438B1"/>
    <w:rsid w:val="00343950"/>
    <w:rsid w:val="00343B92"/>
    <w:rsid w:val="00343F18"/>
    <w:rsid w:val="003441FB"/>
    <w:rsid w:val="00344C7E"/>
    <w:rsid w:val="003450B6"/>
    <w:rsid w:val="00345216"/>
    <w:rsid w:val="00345505"/>
    <w:rsid w:val="0034571C"/>
    <w:rsid w:val="00345943"/>
    <w:rsid w:val="00345E5C"/>
    <w:rsid w:val="00346093"/>
    <w:rsid w:val="0034654D"/>
    <w:rsid w:val="0034735A"/>
    <w:rsid w:val="00347558"/>
    <w:rsid w:val="00347671"/>
    <w:rsid w:val="003477AA"/>
    <w:rsid w:val="00347A92"/>
    <w:rsid w:val="00347D7D"/>
    <w:rsid w:val="00347F3B"/>
    <w:rsid w:val="003500CC"/>
    <w:rsid w:val="003502C9"/>
    <w:rsid w:val="003507BD"/>
    <w:rsid w:val="00350AC1"/>
    <w:rsid w:val="00350BF5"/>
    <w:rsid w:val="003510B6"/>
    <w:rsid w:val="00351182"/>
    <w:rsid w:val="003513B1"/>
    <w:rsid w:val="00351505"/>
    <w:rsid w:val="00351729"/>
    <w:rsid w:val="00351999"/>
    <w:rsid w:val="00351B2C"/>
    <w:rsid w:val="00351E03"/>
    <w:rsid w:val="00351ED5"/>
    <w:rsid w:val="00352061"/>
    <w:rsid w:val="003523F6"/>
    <w:rsid w:val="00352819"/>
    <w:rsid w:val="0035300B"/>
    <w:rsid w:val="00353184"/>
    <w:rsid w:val="0035358C"/>
    <w:rsid w:val="0035375D"/>
    <w:rsid w:val="00353AED"/>
    <w:rsid w:val="00353E37"/>
    <w:rsid w:val="003543D2"/>
    <w:rsid w:val="00354C90"/>
    <w:rsid w:val="00354DF9"/>
    <w:rsid w:val="00355542"/>
    <w:rsid w:val="00355AEA"/>
    <w:rsid w:val="0035619F"/>
    <w:rsid w:val="00356301"/>
    <w:rsid w:val="00356601"/>
    <w:rsid w:val="003566E7"/>
    <w:rsid w:val="0035685D"/>
    <w:rsid w:val="00356963"/>
    <w:rsid w:val="003569AE"/>
    <w:rsid w:val="00356B5E"/>
    <w:rsid w:val="00356C00"/>
    <w:rsid w:val="00356EE0"/>
    <w:rsid w:val="003573A9"/>
    <w:rsid w:val="00357DB9"/>
    <w:rsid w:val="00357E67"/>
    <w:rsid w:val="003607B0"/>
    <w:rsid w:val="003607BC"/>
    <w:rsid w:val="0036087F"/>
    <w:rsid w:val="00360AD8"/>
    <w:rsid w:val="0036103A"/>
    <w:rsid w:val="00361181"/>
    <w:rsid w:val="00361239"/>
    <w:rsid w:val="00361404"/>
    <w:rsid w:val="003614E5"/>
    <w:rsid w:val="00361D55"/>
    <w:rsid w:val="00361F77"/>
    <w:rsid w:val="00362302"/>
    <w:rsid w:val="003623DB"/>
    <w:rsid w:val="0036256E"/>
    <w:rsid w:val="00362757"/>
    <w:rsid w:val="003628B9"/>
    <w:rsid w:val="003629AC"/>
    <w:rsid w:val="00362EC9"/>
    <w:rsid w:val="00363191"/>
    <w:rsid w:val="003632E9"/>
    <w:rsid w:val="003633D2"/>
    <w:rsid w:val="003639CA"/>
    <w:rsid w:val="00363F98"/>
    <w:rsid w:val="0036415D"/>
    <w:rsid w:val="0036425A"/>
    <w:rsid w:val="003648DE"/>
    <w:rsid w:val="003648F4"/>
    <w:rsid w:val="00364D15"/>
    <w:rsid w:val="00364E7B"/>
    <w:rsid w:val="00364EF4"/>
    <w:rsid w:val="00364F93"/>
    <w:rsid w:val="0036523F"/>
    <w:rsid w:val="003654C3"/>
    <w:rsid w:val="003655EF"/>
    <w:rsid w:val="00366321"/>
    <w:rsid w:val="003666C7"/>
    <w:rsid w:val="0036673C"/>
    <w:rsid w:val="003669D1"/>
    <w:rsid w:val="00366D40"/>
    <w:rsid w:val="00366F57"/>
    <w:rsid w:val="00366FBB"/>
    <w:rsid w:val="00366FDA"/>
    <w:rsid w:val="003670A0"/>
    <w:rsid w:val="003671E5"/>
    <w:rsid w:val="0036738E"/>
    <w:rsid w:val="00367BBA"/>
    <w:rsid w:val="00367C32"/>
    <w:rsid w:val="00367EF7"/>
    <w:rsid w:val="00370545"/>
    <w:rsid w:val="003707E7"/>
    <w:rsid w:val="00370A1E"/>
    <w:rsid w:val="00370EEB"/>
    <w:rsid w:val="00370F81"/>
    <w:rsid w:val="00370FEA"/>
    <w:rsid w:val="00371439"/>
    <w:rsid w:val="00371539"/>
    <w:rsid w:val="0037156F"/>
    <w:rsid w:val="0037162C"/>
    <w:rsid w:val="0037185B"/>
    <w:rsid w:val="00371A04"/>
    <w:rsid w:val="00371D66"/>
    <w:rsid w:val="00372AF2"/>
    <w:rsid w:val="00372B44"/>
    <w:rsid w:val="00372B6F"/>
    <w:rsid w:val="00373081"/>
    <w:rsid w:val="00373253"/>
    <w:rsid w:val="00373342"/>
    <w:rsid w:val="00373C0D"/>
    <w:rsid w:val="00373F48"/>
    <w:rsid w:val="0037497F"/>
    <w:rsid w:val="003749C6"/>
    <w:rsid w:val="00375300"/>
    <w:rsid w:val="0037592F"/>
    <w:rsid w:val="00375A43"/>
    <w:rsid w:val="00375A5A"/>
    <w:rsid w:val="00375B03"/>
    <w:rsid w:val="00375C52"/>
    <w:rsid w:val="00375EA6"/>
    <w:rsid w:val="00376D12"/>
    <w:rsid w:val="00376D55"/>
    <w:rsid w:val="00376F68"/>
    <w:rsid w:val="00377180"/>
    <w:rsid w:val="003773E8"/>
    <w:rsid w:val="00377542"/>
    <w:rsid w:val="0037758B"/>
    <w:rsid w:val="0037762A"/>
    <w:rsid w:val="00377807"/>
    <w:rsid w:val="00377CD9"/>
    <w:rsid w:val="00377DDE"/>
    <w:rsid w:val="00377E61"/>
    <w:rsid w:val="003800ED"/>
    <w:rsid w:val="00380208"/>
    <w:rsid w:val="0038024B"/>
    <w:rsid w:val="00380423"/>
    <w:rsid w:val="00380E56"/>
    <w:rsid w:val="00381194"/>
    <w:rsid w:val="003812ED"/>
    <w:rsid w:val="00381414"/>
    <w:rsid w:val="00381BB2"/>
    <w:rsid w:val="00381C40"/>
    <w:rsid w:val="00381E67"/>
    <w:rsid w:val="00382015"/>
    <w:rsid w:val="00382201"/>
    <w:rsid w:val="0038231C"/>
    <w:rsid w:val="00382601"/>
    <w:rsid w:val="0038277F"/>
    <w:rsid w:val="003829F4"/>
    <w:rsid w:val="00382AE0"/>
    <w:rsid w:val="00382FFB"/>
    <w:rsid w:val="00383462"/>
    <w:rsid w:val="00383DCA"/>
    <w:rsid w:val="00383E15"/>
    <w:rsid w:val="00384346"/>
    <w:rsid w:val="00384427"/>
    <w:rsid w:val="003846A2"/>
    <w:rsid w:val="00384AA9"/>
    <w:rsid w:val="00384B1B"/>
    <w:rsid w:val="00385625"/>
    <w:rsid w:val="00385AEF"/>
    <w:rsid w:val="00385CF3"/>
    <w:rsid w:val="00385F08"/>
    <w:rsid w:val="0038614E"/>
    <w:rsid w:val="0038616E"/>
    <w:rsid w:val="0038617E"/>
    <w:rsid w:val="003863A5"/>
    <w:rsid w:val="003866DF"/>
    <w:rsid w:val="003868C8"/>
    <w:rsid w:val="003869CD"/>
    <w:rsid w:val="00386B1C"/>
    <w:rsid w:val="00386BEC"/>
    <w:rsid w:val="003874A9"/>
    <w:rsid w:val="003874E8"/>
    <w:rsid w:val="0038755C"/>
    <w:rsid w:val="00387C83"/>
    <w:rsid w:val="00387CF3"/>
    <w:rsid w:val="00387F70"/>
    <w:rsid w:val="00390411"/>
    <w:rsid w:val="0039052D"/>
    <w:rsid w:val="00390701"/>
    <w:rsid w:val="00390717"/>
    <w:rsid w:val="003907B5"/>
    <w:rsid w:val="00390934"/>
    <w:rsid w:val="00390EFD"/>
    <w:rsid w:val="003911FF"/>
    <w:rsid w:val="0039137F"/>
    <w:rsid w:val="003917C6"/>
    <w:rsid w:val="00391CD5"/>
    <w:rsid w:val="0039226B"/>
    <w:rsid w:val="003923E3"/>
    <w:rsid w:val="00392410"/>
    <w:rsid w:val="003924A8"/>
    <w:rsid w:val="00392AA1"/>
    <w:rsid w:val="00392B57"/>
    <w:rsid w:val="00393826"/>
    <w:rsid w:val="00393C41"/>
    <w:rsid w:val="00393EB9"/>
    <w:rsid w:val="003942AA"/>
    <w:rsid w:val="003946FB"/>
    <w:rsid w:val="00394F55"/>
    <w:rsid w:val="00395463"/>
    <w:rsid w:val="0039564B"/>
    <w:rsid w:val="0039587C"/>
    <w:rsid w:val="0039596D"/>
    <w:rsid w:val="00395A9B"/>
    <w:rsid w:val="00395C99"/>
    <w:rsid w:val="00396332"/>
    <w:rsid w:val="00396563"/>
    <w:rsid w:val="003969C7"/>
    <w:rsid w:val="00396DAA"/>
    <w:rsid w:val="003975E9"/>
    <w:rsid w:val="003976D3"/>
    <w:rsid w:val="003976FE"/>
    <w:rsid w:val="00397725"/>
    <w:rsid w:val="00397AFF"/>
    <w:rsid w:val="00397B9B"/>
    <w:rsid w:val="00397E3F"/>
    <w:rsid w:val="00397F26"/>
    <w:rsid w:val="00397F29"/>
    <w:rsid w:val="003A01BA"/>
    <w:rsid w:val="003A02E6"/>
    <w:rsid w:val="003A04FD"/>
    <w:rsid w:val="003A055A"/>
    <w:rsid w:val="003A0810"/>
    <w:rsid w:val="003A10A8"/>
    <w:rsid w:val="003A1166"/>
    <w:rsid w:val="003A1275"/>
    <w:rsid w:val="003A14D4"/>
    <w:rsid w:val="003A1560"/>
    <w:rsid w:val="003A1789"/>
    <w:rsid w:val="003A1F5B"/>
    <w:rsid w:val="003A213A"/>
    <w:rsid w:val="003A23FA"/>
    <w:rsid w:val="003A25FB"/>
    <w:rsid w:val="003A2809"/>
    <w:rsid w:val="003A2862"/>
    <w:rsid w:val="003A29B7"/>
    <w:rsid w:val="003A3024"/>
    <w:rsid w:val="003A313C"/>
    <w:rsid w:val="003A363D"/>
    <w:rsid w:val="003A3843"/>
    <w:rsid w:val="003A401D"/>
    <w:rsid w:val="003A42C4"/>
    <w:rsid w:val="003A54B4"/>
    <w:rsid w:val="003A55F0"/>
    <w:rsid w:val="003A59CA"/>
    <w:rsid w:val="003A59D6"/>
    <w:rsid w:val="003A5CF2"/>
    <w:rsid w:val="003A5F5F"/>
    <w:rsid w:val="003A665A"/>
    <w:rsid w:val="003A66E7"/>
    <w:rsid w:val="003A68E2"/>
    <w:rsid w:val="003A6FB4"/>
    <w:rsid w:val="003B030B"/>
    <w:rsid w:val="003B06DA"/>
    <w:rsid w:val="003B09D1"/>
    <w:rsid w:val="003B0C0B"/>
    <w:rsid w:val="003B0EFC"/>
    <w:rsid w:val="003B11E0"/>
    <w:rsid w:val="003B1219"/>
    <w:rsid w:val="003B1973"/>
    <w:rsid w:val="003B1AE9"/>
    <w:rsid w:val="003B1CE5"/>
    <w:rsid w:val="003B21DA"/>
    <w:rsid w:val="003B2BD7"/>
    <w:rsid w:val="003B2DB2"/>
    <w:rsid w:val="003B2DBE"/>
    <w:rsid w:val="003B2EFD"/>
    <w:rsid w:val="003B333A"/>
    <w:rsid w:val="003B34CA"/>
    <w:rsid w:val="003B3B68"/>
    <w:rsid w:val="003B3CE8"/>
    <w:rsid w:val="003B3D41"/>
    <w:rsid w:val="003B4098"/>
    <w:rsid w:val="003B44BA"/>
    <w:rsid w:val="003B464C"/>
    <w:rsid w:val="003B48D6"/>
    <w:rsid w:val="003B49FA"/>
    <w:rsid w:val="003B4AC9"/>
    <w:rsid w:val="003B52E5"/>
    <w:rsid w:val="003B5303"/>
    <w:rsid w:val="003B59DD"/>
    <w:rsid w:val="003B63A4"/>
    <w:rsid w:val="003B63FE"/>
    <w:rsid w:val="003B64DE"/>
    <w:rsid w:val="003B66C2"/>
    <w:rsid w:val="003B6943"/>
    <w:rsid w:val="003B6A9A"/>
    <w:rsid w:val="003B6D8F"/>
    <w:rsid w:val="003B6EEA"/>
    <w:rsid w:val="003B7086"/>
    <w:rsid w:val="003B71EA"/>
    <w:rsid w:val="003B75D2"/>
    <w:rsid w:val="003B7E3E"/>
    <w:rsid w:val="003B7E80"/>
    <w:rsid w:val="003C036C"/>
    <w:rsid w:val="003C0A97"/>
    <w:rsid w:val="003C0B64"/>
    <w:rsid w:val="003C0E00"/>
    <w:rsid w:val="003C1012"/>
    <w:rsid w:val="003C177E"/>
    <w:rsid w:val="003C187F"/>
    <w:rsid w:val="003C198D"/>
    <w:rsid w:val="003C209B"/>
    <w:rsid w:val="003C26D7"/>
    <w:rsid w:val="003C28AF"/>
    <w:rsid w:val="003C31BE"/>
    <w:rsid w:val="003C31C5"/>
    <w:rsid w:val="003C3369"/>
    <w:rsid w:val="003C3644"/>
    <w:rsid w:val="003C393D"/>
    <w:rsid w:val="003C3941"/>
    <w:rsid w:val="003C3C62"/>
    <w:rsid w:val="003C436A"/>
    <w:rsid w:val="003C470E"/>
    <w:rsid w:val="003C489F"/>
    <w:rsid w:val="003C4B42"/>
    <w:rsid w:val="003C540C"/>
    <w:rsid w:val="003C5622"/>
    <w:rsid w:val="003C59AA"/>
    <w:rsid w:val="003C5B75"/>
    <w:rsid w:val="003C5B8A"/>
    <w:rsid w:val="003C5E94"/>
    <w:rsid w:val="003C63D1"/>
    <w:rsid w:val="003C6685"/>
    <w:rsid w:val="003C6940"/>
    <w:rsid w:val="003C6B28"/>
    <w:rsid w:val="003C6B5A"/>
    <w:rsid w:val="003C6E37"/>
    <w:rsid w:val="003C70C6"/>
    <w:rsid w:val="003C76BE"/>
    <w:rsid w:val="003C7A20"/>
    <w:rsid w:val="003D04DC"/>
    <w:rsid w:val="003D04E6"/>
    <w:rsid w:val="003D05B8"/>
    <w:rsid w:val="003D08AF"/>
    <w:rsid w:val="003D0AC7"/>
    <w:rsid w:val="003D0BD3"/>
    <w:rsid w:val="003D0DE5"/>
    <w:rsid w:val="003D0FC5"/>
    <w:rsid w:val="003D1054"/>
    <w:rsid w:val="003D1081"/>
    <w:rsid w:val="003D17FF"/>
    <w:rsid w:val="003D1BFE"/>
    <w:rsid w:val="003D1DBE"/>
    <w:rsid w:val="003D1EA5"/>
    <w:rsid w:val="003D2386"/>
    <w:rsid w:val="003D28D4"/>
    <w:rsid w:val="003D2927"/>
    <w:rsid w:val="003D3132"/>
    <w:rsid w:val="003D39F2"/>
    <w:rsid w:val="003D3DCD"/>
    <w:rsid w:val="003D3FF7"/>
    <w:rsid w:val="003D42DA"/>
    <w:rsid w:val="003D45A2"/>
    <w:rsid w:val="003D5721"/>
    <w:rsid w:val="003D58C3"/>
    <w:rsid w:val="003D5EC4"/>
    <w:rsid w:val="003D68D0"/>
    <w:rsid w:val="003D6D8D"/>
    <w:rsid w:val="003D6F24"/>
    <w:rsid w:val="003D6F98"/>
    <w:rsid w:val="003D7241"/>
    <w:rsid w:val="003D7371"/>
    <w:rsid w:val="003D7A4D"/>
    <w:rsid w:val="003D7B9B"/>
    <w:rsid w:val="003D7BC7"/>
    <w:rsid w:val="003D7CEF"/>
    <w:rsid w:val="003D7D4A"/>
    <w:rsid w:val="003D7DE7"/>
    <w:rsid w:val="003E0044"/>
    <w:rsid w:val="003E0FC3"/>
    <w:rsid w:val="003E0FEB"/>
    <w:rsid w:val="003E1149"/>
    <w:rsid w:val="003E12A2"/>
    <w:rsid w:val="003E12D5"/>
    <w:rsid w:val="003E1363"/>
    <w:rsid w:val="003E14AA"/>
    <w:rsid w:val="003E15BE"/>
    <w:rsid w:val="003E1763"/>
    <w:rsid w:val="003E1BB2"/>
    <w:rsid w:val="003E1E6C"/>
    <w:rsid w:val="003E2517"/>
    <w:rsid w:val="003E2729"/>
    <w:rsid w:val="003E28AB"/>
    <w:rsid w:val="003E2DA1"/>
    <w:rsid w:val="003E2F5C"/>
    <w:rsid w:val="003E2F8A"/>
    <w:rsid w:val="003E2F8E"/>
    <w:rsid w:val="003E3083"/>
    <w:rsid w:val="003E3433"/>
    <w:rsid w:val="003E3445"/>
    <w:rsid w:val="003E34FA"/>
    <w:rsid w:val="003E3506"/>
    <w:rsid w:val="003E352C"/>
    <w:rsid w:val="003E38CC"/>
    <w:rsid w:val="003E3C91"/>
    <w:rsid w:val="003E3E9F"/>
    <w:rsid w:val="003E41C4"/>
    <w:rsid w:val="003E41F7"/>
    <w:rsid w:val="003E42E1"/>
    <w:rsid w:val="003E467F"/>
    <w:rsid w:val="003E4CBC"/>
    <w:rsid w:val="003E51EF"/>
    <w:rsid w:val="003E59AA"/>
    <w:rsid w:val="003E5A63"/>
    <w:rsid w:val="003E5B64"/>
    <w:rsid w:val="003E5CCF"/>
    <w:rsid w:val="003E6860"/>
    <w:rsid w:val="003E693C"/>
    <w:rsid w:val="003E69AD"/>
    <w:rsid w:val="003E6BE2"/>
    <w:rsid w:val="003E6E4A"/>
    <w:rsid w:val="003E7869"/>
    <w:rsid w:val="003E7938"/>
    <w:rsid w:val="003E7DE9"/>
    <w:rsid w:val="003F0A29"/>
    <w:rsid w:val="003F0EFA"/>
    <w:rsid w:val="003F12D5"/>
    <w:rsid w:val="003F13D7"/>
    <w:rsid w:val="003F1CF3"/>
    <w:rsid w:val="003F1EC0"/>
    <w:rsid w:val="003F23F6"/>
    <w:rsid w:val="003F2701"/>
    <w:rsid w:val="003F274B"/>
    <w:rsid w:val="003F28D8"/>
    <w:rsid w:val="003F34DD"/>
    <w:rsid w:val="003F38F5"/>
    <w:rsid w:val="003F3CFF"/>
    <w:rsid w:val="003F43B0"/>
    <w:rsid w:val="003F4B9D"/>
    <w:rsid w:val="003F4CFA"/>
    <w:rsid w:val="003F4E0A"/>
    <w:rsid w:val="003F5242"/>
    <w:rsid w:val="003F55E1"/>
    <w:rsid w:val="003F59E3"/>
    <w:rsid w:val="003F5D9E"/>
    <w:rsid w:val="003F5EB3"/>
    <w:rsid w:val="003F5EF1"/>
    <w:rsid w:val="003F5F51"/>
    <w:rsid w:val="003F604F"/>
    <w:rsid w:val="003F63CC"/>
    <w:rsid w:val="003F65E4"/>
    <w:rsid w:val="003F694C"/>
    <w:rsid w:val="003F6AEC"/>
    <w:rsid w:val="003F6FAB"/>
    <w:rsid w:val="003F6FD7"/>
    <w:rsid w:val="003F7309"/>
    <w:rsid w:val="003F789D"/>
    <w:rsid w:val="003F7B97"/>
    <w:rsid w:val="003F7F56"/>
    <w:rsid w:val="0040014E"/>
    <w:rsid w:val="0040025A"/>
    <w:rsid w:val="00400414"/>
    <w:rsid w:val="004004FA"/>
    <w:rsid w:val="004006F7"/>
    <w:rsid w:val="00400D9F"/>
    <w:rsid w:val="004014B1"/>
    <w:rsid w:val="0040152F"/>
    <w:rsid w:val="00401C1D"/>
    <w:rsid w:val="00401FF6"/>
    <w:rsid w:val="00402901"/>
    <w:rsid w:val="004030C0"/>
    <w:rsid w:val="00403D99"/>
    <w:rsid w:val="00403DFD"/>
    <w:rsid w:val="0040470D"/>
    <w:rsid w:val="00404CC0"/>
    <w:rsid w:val="00405404"/>
    <w:rsid w:val="004058D6"/>
    <w:rsid w:val="00405E00"/>
    <w:rsid w:val="00405EA7"/>
    <w:rsid w:val="0040617C"/>
    <w:rsid w:val="00407004"/>
    <w:rsid w:val="004072ED"/>
    <w:rsid w:val="00407407"/>
    <w:rsid w:val="00407587"/>
    <w:rsid w:val="004078B4"/>
    <w:rsid w:val="00407957"/>
    <w:rsid w:val="00407F92"/>
    <w:rsid w:val="0041002D"/>
    <w:rsid w:val="004106C7"/>
    <w:rsid w:val="004109AB"/>
    <w:rsid w:val="00410AFE"/>
    <w:rsid w:val="00410D28"/>
    <w:rsid w:val="00410EED"/>
    <w:rsid w:val="00411AAC"/>
    <w:rsid w:val="00411E85"/>
    <w:rsid w:val="00411F8F"/>
    <w:rsid w:val="00412258"/>
    <w:rsid w:val="004126ED"/>
    <w:rsid w:val="00412776"/>
    <w:rsid w:val="00412D8A"/>
    <w:rsid w:val="00412E3B"/>
    <w:rsid w:val="00413552"/>
    <w:rsid w:val="004137CA"/>
    <w:rsid w:val="00413ACE"/>
    <w:rsid w:val="00413AEF"/>
    <w:rsid w:val="00413C4E"/>
    <w:rsid w:val="00413C5F"/>
    <w:rsid w:val="00413EB2"/>
    <w:rsid w:val="00413F85"/>
    <w:rsid w:val="00414045"/>
    <w:rsid w:val="0041405C"/>
    <w:rsid w:val="00414539"/>
    <w:rsid w:val="00414966"/>
    <w:rsid w:val="00414A71"/>
    <w:rsid w:val="00414C4F"/>
    <w:rsid w:val="00414C62"/>
    <w:rsid w:val="00414FC0"/>
    <w:rsid w:val="00415575"/>
    <w:rsid w:val="0041562E"/>
    <w:rsid w:val="00415A62"/>
    <w:rsid w:val="00415AA9"/>
    <w:rsid w:val="00415B5D"/>
    <w:rsid w:val="00415CB8"/>
    <w:rsid w:val="00415F12"/>
    <w:rsid w:val="00416554"/>
    <w:rsid w:val="00416972"/>
    <w:rsid w:val="004170C1"/>
    <w:rsid w:val="0041734B"/>
    <w:rsid w:val="00417524"/>
    <w:rsid w:val="00417A6A"/>
    <w:rsid w:val="0042069E"/>
    <w:rsid w:val="00420B11"/>
    <w:rsid w:val="00420E9F"/>
    <w:rsid w:val="00420EB7"/>
    <w:rsid w:val="004210DC"/>
    <w:rsid w:val="00421217"/>
    <w:rsid w:val="004214D8"/>
    <w:rsid w:val="00421693"/>
    <w:rsid w:val="0042182C"/>
    <w:rsid w:val="00421A99"/>
    <w:rsid w:val="00421FD4"/>
    <w:rsid w:val="004222C9"/>
    <w:rsid w:val="00422353"/>
    <w:rsid w:val="0042242E"/>
    <w:rsid w:val="00422436"/>
    <w:rsid w:val="004225EA"/>
    <w:rsid w:val="0042261A"/>
    <w:rsid w:val="00422D15"/>
    <w:rsid w:val="00423463"/>
    <w:rsid w:val="00423489"/>
    <w:rsid w:val="00423A3E"/>
    <w:rsid w:val="00423EB6"/>
    <w:rsid w:val="004240CC"/>
    <w:rsid w:val="0042432A"/>
    <w:rsid w:val="004253A9"/>
    <w:rsid w:val="004256E8"/>
    <w:rsid w:val="00425B3C"/>
    <w:rsid w:val="00425D34"/>
    <w:rsid w:val="00425DC6"/>
    <w:rsid w:val="00425FB5"/>
    <w:rsid w:val="00426435"/>
    <w:rsid w:val="00426450"/>
    <w:rsid w:val="004265AE"/>
    <w:rsid w:val="004269FD"/>
    <w:rsid w:val="00426A4C"/>
    <w:rsid w:val="00427123"/>
    <w:rsid w:val="0042746C"/>
    <w:rsid w:val="00427558"/>
    <w:rsid w:val="004276FE"/>
    <w:rsid w:val="00427CD9"/>
    <w:rsid w:val="00430566"/>
    <w:rsid w:val="0043081B"/>
    <w:rsid w:val="00430950"/>
    <w:rsid w:val="00430A7C"/>
    <w:rsid w:val="00430E8B"/>
    <w:rsid w:val="00431028"/>
    <w:rsid w:val="00431417"/>
    <w:rsid w:val="00431648"/>
    <w:rsid w:val="00431CD2"/>
    <w:rsid w:val="00431D4E"/>
    <w:rsid w:val="00431E2C"/>
    <w:rsid w:val="00432277"/>
    <w:rsid w:val="00432AB9"/>
    <w:rsid w:val="0043305B"/>
    <w:rsid w:val="0043333F"/>
    <w:rsid w:val="00433809"/>
    <w:rsid w:val="0043383B"/>
    <w:rsid w:val="004339FE"/>
    <w:rsid w:val="00433D8B"/>
    <w:rsid w:val="00433FEB"/>
    <w:rsid w:val="00434B77"/>
    <w:rsid w:val="00434C09"/>
    <w:rsid w:val="0043545A"/>
    <w:rsid w:val="00436109"/>
    <w:rsid w:val="00436827"/>
    <w:rsid w:val="00436981"/>
    <w:rsid w:val="00436B36"/>
    <w:rsid w:val="00436B6F"/>
    <w:rsid w:val="00437A83"/>
    <w:rsid w:val="00437DC3"/>
    <w:rsid w:val="00437F93"/>
    <w:rsid w:val="00440199"/>
    <w:rsid w:val="00440358"/>
    <w:rsid w:val="004404F3"/>
    <w:rsid w:val="0044083D"/>
    <w:rsid w:val="00440995"/>
    <w:rsid w:val="00440A30"/>
    <w:rsid w:val="00440A8B"/>
    <w:rsid w:val="00440EDD"/>
    <w:rsid w:val="00440FD3"/>
    <w:rsid w:val="0044151D"/>
    <w:rsid w:val="004415C1"/>
    <w:rsid w:val="00441639"/>
    <w:rsid w:val="00441645"/>
    <w:rsid w:val="00441E3B"/>
    <w:rsid w:val="0044207E"/>
    <w:rsid w:val="0044248F"/>
    <w:rsid w:val="00442B47"/>
    <w:rsid w:val="00442D6F"/>
    <w:rsid w:val="004434B6"/>
    <w:rsid w:val="0044377E"/>
    <w:rsid w:val="004438D2"/>
    <w:rsid w:val="00443ACB"/>
    <w:rsid w:val="00443ACE"/>
    <w:rsid w:val="00443BA0"/>
    <w:rsid w:val="00443CAD"/>
    <w:rsid w:val="00443CE8"/>
    <w:rsid w:val="00443E59"/>
    <w:rsid w:val="00443F2E"/>
    <w:rsid w:val="00444153"/>
    <w:rsid w:val="004442DF"/>
    <w:rsid w:val="0044430E"/>
    <w:rsid w:val="00444431"/>
    <w:rsid w:val="00444950"/>
    <w:rsid w:val="00445021"/>
    <w:rsid w:val="00445B50"/>
    <w:rsid w:val="00445BDC"/>
    <w:rsid w:val="00445C42"/>
    <w:rsid w:val="00445D0E"/>
    <w:rsid w:val="004460A8"/>
    <w:rsid w:val="004461D2"/>
    <w:rsid w:val="0044636C"/>
    <w:rsid w:val="00446491"/>
    <w:rsid w:val="004469B0"/>
    <w:rsid w:val="00446A97"/>
    <w:rsid w:val="00447963"/>
    <w:rsid w:val="00447D8B"/>
    <w:rsid w:val="0045073F"/>
    <w:rsid w:val="00450ABE"/>
    <w:rsid w:val="00450D7B"/>
    <w:rsid w:val="00451444"/>
    <w:rsid w:val="00451D8A"/>
    <w:rsid w:val="00452143"/>
    <w:rsid w:val="004524DE"/>
    <w:rsid w:val="00452517"/>
    <w:rsid w:val="00452D07"/>
    <w:rsid w:val="00452DB9"/>
    <w:rsid w:val="004533E8"/>
    <w:rsid w:val="00453484"/>
    <w:rsid w:val="00453555"/>
    <w:rsid w:val="00453C86"/>
    <w:rsid w:val="00453CBF"/>
    <w:rsid w:val="00453DB6"/>
    <w:rsid w:val="00453DC3"/>
    <w:rsid w:val="00453E31"/>
    <w:rsid w:val="004543E0"/>
    <w:rsid w:val="0045457E"/>
    <w:rsid w:val="004547F3"/>
    <w:rsid w:val="00455228"/>
    <w:rsid w:val="004554BA"/>
    <w:rsid w:val="00455671"/>
    <w:rsid w:val="004556C1"/>
    <w:rsid w:val="00455797"/>
    <w:rsid w:val="004559A0"/>
    <w:rsid w:val="004559D8"/>
    <w:rsid w:val="00455C41"/>
    <w:rsid w:val="004569B5"/>
    <w:rsid w:val="00456BFE"/>
    <w:rsid w:val="004574D0"/>
    <w:rsid w:val="0045750A"/>
    <w:rsid w:val="00457542"/>
    <w:rsid w:val="00457A71"/>
    <w:rsid w:val="00457BC4"/>
    <w:rsid w:val="00457EF9"/>
    <w:rsid w:val="00460188"/>
    <w:rsid w:val="00460251"/>
    <w:rsid w:val="004602C2"/>
    <w:rsid w:val="004602E4"/>
    <w:rsid w:val="00460302"/>
    <w:rsid w:val="0046058F"/>
    <w:rsid w:val="00460739"/>
    <w:rsid w:val="00460B86"/>
    <w:rsid w:val="00460E5F"/>
    <w:rsid w:val="00461299"/>
    <w:rsid w:val="004617D5"/>
    <w:rsid w:val="00461902"/>
    <w:rsid w:val="00461A3B"/>
    <w:rsid w:val="0046217F"/>
    <w:rsid w:val="00462250"/>
    <w:rsid w:val="00462487"/>
    <w:rsid w:val="004624DE"/>
    <w:rsid w:val="004625D8"/>
    <w:rsid w:val="00462AE3"/>
    <w:rsid w:val="00462E80"/>
    <w:rsid w:val="004631C0"/>
    <w:rsid w:val="00463DA9"/>
    <w:rsid w:val="00464576"/>
    <w:rsid w:val="004645AB"/>
    <w:rsid w:val="0046513C"/>
    <w:rsid w:val="004657D2"/>
    <w:rsid w:val="0046581B"/>
    <w:rsid w:val="004659CE"/>
    <w:rsid w:val="00465C9B"/>
    <w:rsid w:val="00465DDE"/>
    <w:rsid w:val="00465EA0"/>
    <w:rsid w:val="00465FD5"/>
    <w:rsid w:val="00466103"/>
    <w:rsid w:val="00466133"/>
    <w:rsid w:val="0046621C"/>
    <w:rsid w:val="00466253"/>
    <w:rsid w:val="00466A4F"/>
    <w:rsid w:val="00466C2C"/>
    <w:rsid w:val="00467440"/>
    <w:rsid w:val="00467705"/>
    <w:rsid w:val="00467D58"/>
    <w:rsid w:val="00467D8E"/>
    <w:rsid w:val="004700F4"/>
    <w:rsid w:val="00470195"/>
    <w:rsid w:val="0047050A"/>
    <w:rsid w:val="00470624"/>
    <w:rsid w:val="0047064B"/>
    <w:rsid w:val="0047081B"/>
    <w:rsid w:val="00470962"/>
    <w:rsid w:val="00470D5E"/>
    <w:rsid w:val="00471307"/>
    <w:rsid w:val="004714DE"/>
    <w:rsid w:val="0047167C"/>
    <w:rsid w:val="00471803"/>
    <w:rsid w:val="00471885"/>
    <w:rsid w:val="004719B2"/>
    <w:rsid w:val="00471F2B"/>
    <w:rsid w:val="0047213C"/>
    <w:rsid w:val="004721BD"/>
    <w:rsid w:val="00472514"/>
    <w:rsid w:val="00472D6A"/>
    <w:rsid w:val="00472E97"/>
    <w:rsid w:val="00473238"/>
    <w:rsid w:val="0047336D"/>
    <w:rsid w:val="00473571"/>
    <w:rsid w:val="004738E9"/>
    <w:rsid w:val="00473AB3"/>
    <w:rsid w:val="00473AF6"/>
    <w:rsid w:val="00473C83"/>
    <w:rsid w:val="00473CB9"/>
    <w:rsid w:val="00474033"/>
    <w:rsid w:val="00474042"/>
    <w:rsid w:val="00474595"/>
    <w:rsid w:val="00474646"/>
    <w:rsid w:val="0047476D"/>
    <w:rsid w:val="004753ED"/>
    <w:rsid w:val="0047540C"/>
    <w:rsid w:val="0047554A"/>
    <w:rsid w:val="004757FC"/>
    <w:rsid w:val="004758DB"/>
    <w:rsid w:val="00475A40"/>
    <w:rsid w:val="00475E02"/>
    <w:rsid w:val="00475F85"/>
    <w:rsid w:val="00476678"/>
    <w:rsid w:val="0047672D"/>
    <w:rsid w:val="004768E5"/>
    <w:rsid w:val="0047699A"/>
    <w:rsid w:val="00476CDF"/>
    <w:rsid w:val="00476FEA"/>
    <w:rsid w:val="004778A4"/>
    <w:rsid w:val="00477DF9"/>
    <w:rsid w:val="004803A5"/>
    <w:rsid w:val="00480546"/>
    <w:rsid w:val="00480740"/>
    <w:rsid w:val="0048079F"/>
    <w:rsid w:val="00480827"/>
    <w:rsid w:val="004809CA"/>
    <w:rsid w:val="00480B79"/>
    <w:rsid w:val="00481CB1"/>
    <w:rsid w:val="00482051"/>
    <w:rsid w:val="00482362"/>
    <w:rsid w:val="00483021"/>
    <w:rsid w:val="0048321B"/>
    <w:rsid w:val="004832CE"/>
    <w:rsid w:val="004834C5"/>
    <w:rsid w:val="0048373A"/>
    <w:rsid w:val="00483A68"/>
    <w:rsid w:val="00483C5D"/>
    <w:rsid w:val="00484125"/>
    <w:rsid w:val="0048419D"/>
    <w:rsid w:val="004846F8"/>
    <w:rsid w:val="00484C44"/>
    <w:rsid w:val="004853DE"/>
    <w:rsid w:val="00485624"/>
    <w:rsid w:val="00485A23"/>
    <w:rsid w:val="00485D19"/>
    <w:rsid w:val="00485DBF"/>
    <w:rsid w:val="00485F85"/>
    <w:rsid w:val="0048638C"/>
    <w:rsid w:val="00486975"/>
    <w:rsid w:val="00486EE6"/>
    <w:rsid w:val="00487076"/>
    <w:rsid w:val="00487280"/>
    <w:rsid w:val="004872CE"/>
    <w:rsid w:val="0048747B"/>
    <w:rsid w:val="00487829"/>
    <w:rsid w:val="00487BDD"/>
    <w:rsid w:val="00487DCC"/>
    <w:rsid w:val="00487F78"/>
    <w:rsid w:val="00490065"/>
    <w:rsid w:val="004902E9"/>
    <w:rsid w:val="00490897"/>
    <w:rsid w:val="004909E2"/>
    <w:rsid w:val="00490E31"/>
    <w:rsid w:val="00491D86"/>
    <w:rsid w:val="00492598"/>
    <w:rsid w:val="004925B9"/>
    <w:rsid w:val="00492F19"/>
    <w:rsid w:val="0049329A"/>
    <w:rsid w:val="00493C09"/>
    <w:rsid w:val="00493C92"/>
    <w:rsid w:val="00493CBC"/>
    <w:rsid w:val="0049411F"/>
    <w:rsid w:val="0049431E"/>
    <w:rsid w:val="00494402"/>
    <w:rsid w:val="0049465A"/>
    <w:rsid w:val="00494CB6"/>
    <w:rsid w:val="00494CE6"/>
    <w:rsid w:val="00494EE5"/>
    <w:rsid w:val="00495066"/>
    <w:rsid w:val="00495431"/>
    <w:rsid w:val="0049554F"/>
    <w:rsid w:val="004957E2"/>
    <w:rsid w:val="0049580B"/>
    <w:rsid w:val="00495814"/>
    <w:rsid w:val="00495A29"/>
    <w:rsid w:val="0049603A"/>
    <w:rsid w:val="00496104"/>
    <w:rsid w:val="004961FF"/>
    <w:rsid w:val="00496486"/>
    <w:rsid w:val="00496A67"/>
    <w:rsid w:val="0049710D"/>
    <w:rsid w:val="004A01E8"/>
    <w:rsid w:val="004A0284"/>
    <w:rsid w:val="004A12ED"/>
    <w:rsid w:val="004A13F7"/>
    <w:rsid w:val="004A178B"/>
    <w:rsid w:val="004A19AA"/>
    <w:rsid w:val="004A223E"/>
    <w:rsid w:val="004A2710"/>
    <w:rsid w:val="004A2951"/>
    <w:rsid w:val="004A2BB0"/>
    <w:rsid w:val="004A2DE6"/>
    <w:rsid w:val="004A390D"/>
    <w:rsid w:val="004A39FB"/>
    <w:rsid w:val="004A3A37"/>
    <w:rsid w:val="004A3BBC"/>
    <w:rsid w:val="004A3C89"/>
    <w:rsid w:val="004A3DB0"/>
    <w:rsid w:val="004A42DF"/>
    <w:rsid w:val="004A46F5"/>
    <w:rsid w:val="004A4C0C"/>
    <w:rsid w:val="004A4C42"/>
    <w:rsid w:val="004A4DDD"/>
    <w:rsid w:val="004A5233"/>
    <w:rsid w:val="004A52A3"/>
    <w:rsid w:val="004A5762"/>
    <w:rsid w:val="004A5A65"/>
    <w:rsid w:val="004A5AE6"/>
    <w:rsid w:val="004A5EC1"/>
    <w:rsid w:val="004A606B"/>
    <w:rsid w:val="004A634E"/>
    <w:rsid w:val="004A6420"/>
    <w:rsid w:val="004A6688"/>
    <w:rsid w:val="004A66BC"/>
    <w:rsid w:val="004A68F7"/>
    <w:rsid w:val="004A7058"/>
    <w:rsid w:val="004A75D9"/>
    <w:rsid w:val="004A76C8"/>
    <w:rsid w:val="004A791F"/>
    <w:rsid w:val="004A7DCF"/>
    <w:rsid w:val="004A7E20"/>
    <w:rsid w:val="004A7E52"/>
    <w:rsid w:val="004B02E4"/>
    <w:rsid w:val="004B0489"/>
    <w:rsid w:val="004B075A"/>
    <w:rsid w:val="004B0E54"/>
    <w:rsid w:val="004B105B"/>
    <w:rsid w:val="004B1428"/>
    <w:rsid w:val="004B173F"/>
    <w:rsid w:val="004B1AAC"/>
    <w:rsid w:val="004B1B2F"/>
    <w:rsid w:val="004B1D08"/>
    <w:rsid w:val="004B1F3C"/>
    <w:rsid w:val="004B20A6"/>
    <w:rsid w:val="004B26D1"/>
    <w:rsid w:val="004B2743"/>
    <w:rsid w:val="004B28D3"/>
    <w:rsid w:val="004B28E4"/>
    <w:rsid w:val="004B2C07"/>
    <w:rsid w:val="004B35FC"/>
    <w:rsid w:val="004B3A86"/>
    <w:rsid w:val="004B3D3E"/>
    <w:rsid w:val="004B3E40"/>
    <w:rsid w:val="004B3EF5"/>
    <w:rsid w:val="004B4276"/>
    <w:rsid w:val="004B4499"/>
    <w:rsid w:val="004B455C"/>
    <w:rsid w:val="004B4606"/>
    <w:rsid w:val="004B4649"/>
    <w:rsid w:val="004B4F3D"/>
    <w:rsid w:val="004B4F70"/>
    <w:rsid w:val="004B5218"/>
    <w:rsid w:val="004B528F"/>
    <w:rsid w:val="004B56BA"/>
    <w:rsid w:val="004B59FA"/>
    <w:rsid w:val="004B5A35"/>
    <w:rsid w:val="004B5D27"/>
    <w:rsid w:val="004B5F27"/>
    <w:rsid w:val="004B6037"/>
    <w:rsid w:val="004B6123"/>
    <w:rsid w:val="004B62AC"/>
    <w:rsid w:val="004B6356"/>
    <w:rsid w:val="004B63A2"/>
    <w:rsid w:val="004B64E8"/>
    <w:rsid w:val="004B668E"/>
    <w:rsid w:val="004B6BFC"/>
    <w:rsid w:val="004B6CC6"/>
    <w:rsid w:val="004B7AA6"/>
    <w:rsid w:val="004B7B78"/>
    <w:rsid w:val="004B7D33"/>
    <w:rsid w:val="004B7F42"/>
    <w:rsid w:val="004C02E9"/>
    <w:rsid w:val="004C0A31"/>
    <w:rsid w:val="004C0FF8"/>
    <w:rsid w:val="004C1663"/>
    <w:rsid w:val="004C20F5"/>
    <w:rsid w:val="004C249D"/>
    <w:rsid w:val="004C27B1"/>
    <w:rsid w:val="004C28ED"/>
    <w:rsid w:val="004C2CC1"/>
    <w:rsid w:val="004C3336"/>
    <w:rsid w:val="004C34AC"/>
    <w:rsid w:val="004C3517"/>
    <w:rsid w:val="004C3663"/>
    <w:rsid w:val="004C3739"/>
    <w:rsid w:val="004C3B1B"/>
    <w:rsid w:val="004C3B8C"/>
    <w:rsid w:val="004C3C8E"/>
    <w:rsid w:val="004C4047"/>
    <w:rsid w:val="004C47E7"/>
    <w:rsid w:val="004C4C53"/>
    <w:rsid w:val="004C4E38"/>
    <w:rsid w:val="004C529F"/>
    <w:rsid w:val="004C5558"/>
    <w:rsid w:val="004C5D57"/>
    <w:rsid w:val="004C6465"/>
    <w:rsid w:val="004C648B"/>
    <w:rsid w:val="004C65BF"/>
    <w:rsid w:val="004C6E4B"/>
    <w:rsid w:val="004C6E50"/>
    <w:rsid w:val="004C6F3E"/>
    <w:rsid w:val="004C7140"/>
    <w:rsid w:val="004C78BA"/>
    <w:rsid w:val="004C7E2A"/>
    <w:rsid w:val="004D00A8"/>
    <w:rsid w:val="004D0474"/>
    <w:rsid w:val="004D0479"/>
    <w:rsid w:val="004D09B0"/>
    <w:rsid w:val="004D0A7D"/>
    <w:rsid w:val="004D0DD0"/>
    <w:rsid w:val="004D1290"/>
    <w:rsid w:val="004D1499"/>
    <w:rsid w:val="004D182C"/>
    <w:rsid w:val="004D1FC0"/>
    <w:rsid w:val="004D1FF1"/>
    <w:rsid w:val="004D2273"/>
    <w:rsid w:val="004D258C"/>
    <w:rsid w:val="004D29A3"/>
    <w:rsid w:val="004D2EB9"/>
    <w:rsid w:val="004D2FF4"/>
    <w:rsid w:val="004D3087"/>
    <w:rsid w:val="004D3120"/>
    <w:rsid w:val="004D3325"/>
    <w:rsid w:val="004D3B8F"/>
    <w:rsid w:val="004D3DF1"/>
    <w:rsid w:val="004D40F1"/>
    <w:rsid w:val="004D438B"/>
    <w:rsid w:val="004D4725"/>
    <w:rsid w:val="004D4FC8"/>
    <w:rsid w:val="004D553A"/>
    <w:rsid w:val="004D55AE"/>
    <w:rsid w:val="004D5CE8"/>
    <w:rsid w:val="004D66BD"/>
    <w:rsid w:val="004D6ED8"/>
    <w:rsid w:val="004D6FE6"/>
    <w:rsid w:val="004D71E9"/>
    <w:rsid w:val="004D7306"/>
    <w:rsid w:val="004D7436"/>
    <w:rsid w:val="004D7584"/>
    <w:rsid w:val="004D7754"/>
    <w:rsid w:val="004D788C"/>
    <w:rsid w:val="004D7FFA"/>
    <w:rsid w:val="004E0B08"/>
    <w:rsid w:val="004E0B8B"/>
    <w:rsid w:val="004E0E00"/>
    <w:rsid w:val="004E0F8A"/>
    <w:rsid w:val="004E181B"/>
    <w:rsid w:val="004E1852"/>
    <w:rsid w:val="004E1B01"/>
    <w:rsid w:val="004E1B44"/>
    <w:rsid w:val="004E2642"/>
    <w:rsid w:val="004E2B34"/>
    <w:rsid w:val="004E2E5C"/>
    <w:rsid w:val="004E3027"/>
    <w:rsid w:val="004E332D"/>
    <w:rsid w:val="004E3B93"/>
    <w:rsid w:val="004E411D"/>
    <w:rsid w:val="004E466D"/>
    <w:rsid w:val="004E4AD9"/>
    <w:rsid w:val="004E4EB6"/>
    <w:rsid w:val="004E58D2"/>
    <w:rsid w:val="004E5E84"/>
    <w:rsid w:val="004E6696"/>
    <w:rsid w:val="004E68E5"/>
    <w:rsid w:val="004E6D22"/>
    <w:rsid w:val="004E6D69"/>
    <w:rsid w:val="004E6D87"/>
    <w:rsid w:val="004E7161"/>
    <w:rsid w:val="004E722A"/>
    <w:rsid w:val="004E729F"/>
    <w:rsid w:val="004E7B89"/>
    <w:rsid w:val="004E7CF3"/>
    <w:rsid w:val="004F0063"/>
    <w:rsid w:val="004F01AA"/>
    <w:rsid w:val="004F026D"/>
    <w:rsid w:val="004F0356"/>
    <w:rsid w:val="004F06FE"/>
    <w:rsid w:val="004F0C8E"/>
    <w:rsid w:val="004F0E0D"/>
    <w:rsid w:val="004F0ED6"/>
    <w:rsid w:val="004F13B1"/>
    <w:rsid w:val="004F1937"/>
    <w:rsid w:val="004F1EEB"/>
    <w:rsid w:val="004F206E"/>
    <w:rsid w:val="004F20EE"/>
    <w:rsid w:val="004F234A"/>
    <w:rsid w:val="004F281B"/>
    <w:rsid w:val="004F2B0D"/>
    <w:rsid w:val="004F2FDC"/>
    <w:rsid w:val="004F319E"/>
    <w:rsid w:val="004F347F"/>
    <w:rsid w:val="004F3847"/>
    <w:rsid w:val="004F3A15"/>
    <w:rsid w:val="004F3B0C"/>
    <w:rsid w:val="004F4044"/>
    <w:rsid w:val="004F45A4"/>
    <w:rsid w:val="004F4DD3"/>
    <w:rsid w:val="004F540E"/>
    <w:rsid w:val="004F58FB"/>
    <w:rsid w:val="004F5BD4"/>
    <w:rsid w:val="004F5BDA"/>
    <w:rsid w:val="004F6D0F"/>
    <w:rsid w:val="004F6DB1"/>
    <w:rsid w:val="004F6E67"/>
    <w:rsid w:val="004F7219"/>
    <w:rsid w:val="004F752C"/>
    <w:rsid w:val="004F7570"/>
    <w:rsid w:val="004F762F"/>
    <w:rsid w:val="004F7756"/>
    <w:rsid w:val="004F7D72"/>
    <w:rsid w:val="004F7FD5"/>
    <w:rsid w:val="0050033A"/>
    <w:rsid w:val="00500551"/>
    <w:rsid w:val="005005CB"/>
    <w:rsid w:val="0050089E"/>
    <w:rsid w:val="0050108E"/>
    <w:rsid w:val="00501137"/>
    <w:rsid w:val="00501290"/>
    <w:rsid w:val="005014DE"/>
    <w:rsid w:val="005014E3"/>
    <w:rsid w:val="00501643"/>
    <w:rsid w:val="00501A3B"/>
    <w:rsid w:val="00501AC8"/>
    <w:rsid w:val="00501E95"/>
    <w:rsid w:val="0050215F"/>
    <w:rsid w:val="005021C4"/>
    <w:rsid w:val="0050224B"/>
    <w:rsid w:val="005023F2"/>
    <w:rsid w:val="0050240A"/>
    <w:rsid w:val="00502440"/>
    <w:rsid w:val="00502576"/>
    <w:rsid w:val="005025F7"/>
    <w:rsid w:val="00502808"/>
    <w:rsid w:val="00502BFE"/>
    <w:rsid w:val="00502C0E"/>
    <w:rsid w:val="00502E9C"/>
    <w:rsid w:val="00502FBC"/>
    <w:rsid w:val="00503564"/>
    <w:rsid w:val="00503CEB"/>
    <w:rsid w:val="0050440F"/>
    <w:rsid w:val="005045B8"/>
    <w:rsid w:val="00504683"/>
    <w:rsid w:val="005048B6"/>
    <w:rsid w:val="00504DEC"/>
    <w:rsid w:val="0050538A"/>
    <w:rsid w:val="00505B87"/>
    <w:rsid w:val="00505C36"/>
    <w:rsid w:val="00505EA5"/>
    <w:rsid w:val="00506D73"/>
    <w:rsid w:val="00507351"/>
    <w:rsid w:val="00507358"/>
    <w:rsid w:val="00507C24"/>
    <w:rsid w:val="00507D04"/>
    <w:rsid w:val="0051013D"/>
    <w:rsid w:val="00510164"/>
    <w:rsid w:val="005107E0"/>
    <w:rsid w:val="00510D0E"/>
    <w:rsid w:val="00510ECB"/>
    <w:rsid w:val="0051114D"/>
    <w:rsid w:val="0051188F"/>
    <w:rsid w:val="00511BB2"/>
    <w:rsid w:val="00511E4D"/>
    <w:rsid w:val="00512338"/>
    <w:rsid w:val="005123F2"/>
    <w:rsid w:val="005124F7"/>
    <w:rsid w:val="005127BA"/>
    <w:rsid w:val="00512A8D"/>
    <w:rsid w:val="00512EB5"/>
    <w:rsid w:val="0051335F"/>
    <w:rsid w:val="0051368D"/>
    <w:rsid w:val="00513858"/>
    <w:rsid w:val="00513A2D"/>
    <w:rsid w:val="00513B06"/>
    <w:rsid w:val="00513DF7"/>
    <w:rsid w:val="00513F65"/>
    <w:rsid w:val="0051409A"/>
    <w:rsid w:val="005148EB"/>
    <w:rsid w:val="00514A28"/>
    <w:rsid w:val="00515395"/>
    <w:rsid w:val="00515439"/>
    <w:rsid w:val="00515CDE"/>
    <w:rsid w:val="005164AC"/>
    <w:rsid w:val="00516B6F"/>
    <w:rsid w:val="00516C7B"/>
    <w:rsid w:val="00516EC6"/>
    <w:rsid w:val="00517001"/>
    <w:rsid w:val="00517162"/>
    <w:rsid w:val="005177F5"/>
    <w:rsid w:val="005178BB"/>
    <w:rsid w:val="005178DF"/>
    <w:rsid w:val="00517908"/>
    <w:rsid w:val="00517BB0"/>
    <w:rsid w:val="00517D39"/>
    <w:rsid w:val="00517F01"/>
    <w:rsid w:val="00520800"/>
    <w:rsid w:val="005213C5"/>
    <w:rsid w:val="00521765"/>
    <w:rsid w:val="00521AF0"/>
    <w:rsid w:val="00521CD3"/>
    <w:rsid w:val="00522053"/>
    <w:rsid w:val="00522C5D"/>
    <w:rsid w:val="00522CA6"/>
    <w:rsid w:val="00523B0D"/>
    <w:rsid w:val="00523FA6"/>
    <w:rsid w:val="00524069"/>
    <w:rsid w:val="00524085"/>
    <w:rsid w:val="005246F3"/>
    <w:rsid w:val="005251B6"/>
    <w:rsid w:val="00525721"/>
    <w:rsid w:val="00525795"/>
    <w:rsid w:val="005257ED"/>
    <w:rsid w:val="00525C02"/>
    <w:rsid w:val="00525EAB"/>
    <w:rsid w:val="0052609A"/>
    <w:rsid w:val="00526519"/>
    <w:rsid w:val="0052678B"/>
    <w:rsid w:val="00526D43"/>
    <w:rsid w:val="0052717D"/>
    <w:rsid w:val="0052732A"/>
    <w:rsid w:val="0052755E"/>
    <w:rsid w:val="00527CB4"/>
    <w:rsid w:val="00530503"/>
    <w:rsid w:val="0053094F"/>
    <w:rsid w:val="00530A2A"/>
    <w:rsid w:val="00530ADE"/>
    <w:rsid w:val="00530F1B"/>
    <w:rsid w:val="00531105"/>
    <w:rsid w:val="005323A2"/>
    <w:rsid w:val="005325E5"/>
    <w:rsid w:val="00532638"/>
    <w:rsid w:val="0053265F"/>
    <w:rsid w:val="0053280B"/>
    <w:rsid w:val="00532FF4"/>
    <w:rsid w:val="005344D8"/>
    <w:rsid w:val="00534B56"/>
    <w:rsid w:val="00534C5C"/>
    <w:rsid w:val="005354D8"/>
    <w:rsid w:val="005357E4"/>
    <w:rsid w:val="00535A31"/>
    <w:rsid w:val="00535A3B"/>
    <w:rsid w:val="00535C01"/>
    <w:rsid w:val="00535CE3"/>
    <w:rsid w:val="00536175"/>
    <w:rsid w:val="0053625D"/>
    <w:rsid w:val="005364BF"/>
    <w:rsid w:val="00536A0F"/>
    <w:rsid w:val="00536DBD"/>
    <w:rsid w:val="00536EDC"/>
    <w:rsid w:val="00536F0D"/>
    <w:rsid w:val="005372BA"/>
    <w:rsid w:val="0053751A"/>
    <w:rsid w:val="005376C7"/>
    <w:rsid w:val="00537970"/>
    <w:rsid w:val="00537985"/>
    <w:rsid w:val="005405E6"/>
    <w:rsid w:val="00540AAB"/>
    <w:rsid w:val="00540AC1"/>
    <w:rsid w:val="00540CCE"/>
    <w:rsid w:val="0054114E"/>
    <w:rsid w:val="0054164C"/>
    <w:rsid w:val="005416C5"/>
    <w:rsid w:val="00541765"/>
    <w:rsid w:val="00541B38"/>
    <w:rsid w:val="00541B50"/>
    <w:rsid w:val="00541EF7"/>
    <w:rsid w:val="005423B1"/>
    <w:rsid w:val="0054252F"/>
    <w:rsid w:val="005427A0"/>
    <w:rsid w:val="005429E6"/>
    <w:rsid w:val="00542C2C"/>
    <w:rsid w:val="00542D66"/>
    <w:rsid w:val="00543BF9"/>
    <w:rsid w:val="00544079"/>
    <w:rsid w:val="005440A4"/>
    <w:rsid w:val="0054411B"/>
    <w:rsid w:val="00544E00"/>
    <w:rsid w:val="005453E8"/>
    <w:rsid w:val="0054576A"/>
    <w:rsid w:val="00545BBA"/>
    <w:rsid w:val="00545E6D"/>
    <w:rsid w:val="00545FDF"/>
    <w:rsid w:val="005469F7"/>
    <w:rsid w:val="00546CBC"/>
    <w:rsid w:val="00546CCB"/>
    <w:rsid w:val="0054715D"/>
    <w:rsid w:val="00547798"/>
    <w:rsid w:val="00547B06"/>
    <w:rsid w:val="00547E6B"/>
    <w:rsid w:val="005503C6"/>
    <w:rsid w:val="0055065F"/>
    <w:rsid w:val="0055077F"/>
    <w:rsid w:val="00550E56"/>
    <w:rsid w:val="0055117F"/>
    <w:rsid w:val="005511B1"/>
    <w:rsid w:val="00551596"/>
    <w:rsid w:val="0055202D"/>
    <w:rsid w:val="0055213D"/>
    <w:rsid w:val="00552142"/>
    <w:rsid w:val="00552146"/>
    <w:rsid w:val="00552669"/>
    <w:rsid w:val="00552984"/>
    <w:rsid w:val="00552A01"/>
    <w:rsid w:val="00552E1B"/>
    <w:rsid w:val="00553053"/>
    <w:rsid w:val="005531F3"/>
    <w:rsid w:val="00553C0B"/>
    <w:rsid w:val="00553C24"/>
    <w:rsid w:val="00553CC7"/>
    <w:rsid w:val="0055430E"/>
    <w:rsid w:val="00554488"/>
    <w:rsid w:val="00554932"/>
    <w:rsid w:val="00554F48"/>
    <w:rsid w:val="0055540E"/>
    <w:rsid w:val="005557C4"/>
    <w:rsid w:val="005557F9"/>
    <w:rsid w:val="00555E7C"/>
    <w:rsid w:val="00555EFB"/>
    <w:rsid w:val="00555F81"/>
    <w:rsid w:val="005564BB"/>
    <w:rsid w:val="005566C6"/>
    <w:rsid w:val="00556882"/>
    <w:rsid w:val="005569E7"/>
    <w:rsid w:val="00556C97"/>
    <w:rsid w:val="0055771F"/>
    <w:rsid w:val="00557866"/>
    <w:rsid w:val="00557C68"/>
    <w:rsid w:val="00557C8D"/>
    <w:rsid w:val="00557E31"/>
    <w:rsid w:val="00560160"/>
    <w:rsid w:val="00560247"/>
    <w:rsid w:val="005602C5"/>
    <w:rsid w:val="00560E7B"/>
    <w:rsid w:val="0056151D"/>
    <w:rsid w:val="005615B2"/>
    <w:rsid w:val="0056184A"/>
    <w:rsid w:val="0056187A"/>
    <w:rsid w:val="00561D47"/>
    <w:rsid w:val="0056216C"/>
    <w:rsid w:val="005628F9"/>
    <w:rsid w:val="00562B55"/>
    <w:rsid w:val="00562C46"/>
    <w:rsid w:val="00562D73"/>
    <w:rsid w:val="00562E82"/>
    <w:rsid w:val="00562F49"/>
    <w:rsid w:val="00564462"/>
    <w:rsid w:val="0056486F"/>
    <w:rsid w:val="00564934"/>
    <w:rsid w:val="00564C32"/>
    <w:rsid w:val="00564CE0"/>
    <w:rsid w:val="00564EBA"/>
    <w:rsid w:val="005650D9"/>
    <w:rsid w:val="005651A7"/>
    <w:rsid w:val="00565318"/>
    <w:rsid w:val="005653BA"/>
    <w:rsid w:val="0056574D"/>
    <w:rsid w:val="00565C05"/>
    <w:rsid w:val="00565E30"/>
    <w:rsid w:val="00565FF8"/>
    <w:rsid w:val="00566078"/>
    <w:rsid w:val="005661B2"/>
    <w:rsid w:val="0056646D"/>
    <w:rsid w:val="005664B1"/>
    <w:rsid w:val="00566565"/>
    <w:rsid w:val="0056663B"/>
    <w:rsid w:val="00566A9D"/>
    <w:rsid w:val="00566D15"/>
    <w:rsid w:val="00566EF3"/>
    <w:rsid w:val="005670FB"/>
    <w:rsid w:val="00567DE5"/>
    <w:rsid w:val="00567E03"/>
    <w:rsid w:val="005703CA"/>
    <w:rsid w:val="00570739"/>
    <w:rsid w:val="005707FE"/>
    <w:rsid w:val="00572185"/>
    <w:rsid w:val="00572800"/>
    <w:rsid w:val="00572981"/>
    <w:rsid w:val="00572EF1"/>
    <w:rsid w:val="00572F7A"/>
    <w:rsid w:val="00572F8F"/>
    <w:rsid w:val="0057305F"/>
    <w:rsid w:val="005736AA"/>
    <w:rsid w:val="0057392D"/>
    <w:rsid w:val="00573D90"/>
    <w:rsid w:val="005741D8"/>
    <w:rsid w:val="0057425D"/>
    <w:rsid w:val="00574FDC"/>
    <w:rsid w:val="00575457"/>
    <w:rsid w:val="005754D4"/>
    <w:rsid w:val="0057574A"/>
    <w:rsid w:val="005758C2"/>
    <w:rsid w:val="0057620E"/>
    <w:rsid w:val="00577065"/>
    <w:rsid w:val="0057756C"/>
    <w:rsid w:val="0057788B"/>
    <w:rsid w:val="00577984"/>
    <w:rsid w:val="005779C1"/>
    <w:rsid w:val="00577B5A"/>
    <w:rsid w:val="00577F4D"/>
    <w:rsid w:val="00580AF2"/>
    <w:rsid w:val="00580EE0"/>
    <w:rsid w:val="00581426"/>
    <w:rsid w:val="00581A4A"/>
    <w:rsid w:val="00581E49"/>
    <w:rsid w:val="0058205E"/>
    <w:rsid w:val="005825E9"/>
    <w:rsid w:val="00582675"/>
    <w:rsid w:val="0058285A"/>
    <w:rsid w:val="00582976"/>
    <w:rsid w:val="0058380C"/>
    <w:rsid w:val="00583A6D"/>
    <w:rsid w:val="00583FC6"/>
    <w:rsid w:val="005842FA"/>
    <w:rsid w:val="005844AA"/>
    <w:rsid w:val="00584604"/>
    <w:rsid w:val="00584FCD"/>
    <w:rsid w:val="005853E9"/>
    <w:rsid w:val="00585B10"/>
    <w:rsid w:val="00585CC5"/>
    <w:rsid w:val="00585EBE"/>
    <w:rsid w:val="00586CAA"/>
    <w:rsid w:val="005871F3"/>
    <w:rsid w:val="00587836"/>
    <w:rsid w:val="00587A6E"/>
    <w:rsid w:val="00587AB5"/>
    <w:rsid w:val="00590887"/>
    <w:rsid w:val="005908D1"/>
    <w:rsid w:val="00590B16"/>
    <w:rsid w:val="00590DD1"/>
    <w:rsid w:val="00590EAB"/>
    <w:rsid w:val="00591057"/>
    <w:rsid w:val="0059123A"/>
    <w:rsid w:val="00591541"/>
    <w:rsid w:val="00591C26"/>
    <w:rsid w:val="0059212C"/>
    <w:rsid w:val="00592339"/>
    <w:rsid w:val="00592899"/>
    <w:rsid w:val="005929C3"/>
    <w:rsid w:val="00592AE2"/>
    <w:rsid w:val="0059321D"/>
    <w:rsid w:val="0059357B"/>
    <w:rsid w:val="00593901"/>
    <w:rsid w:val="00593C4B"/>
    <w:rsid w:val="005941A4"/>
    <w:rsid w:val="00594433"/>
    <w:rsid w:val="0059455F"/>
    <w:rsid w:val="00594CD6"/>
    <w:rsid w:val="00594E08"/>
    <w:rsid w:val="00594E46"/>
    <w:rsid w:val="005950F0"/>
    <w:rsid w:val="00595232"/>
    <w:rsid w:val="005955D4"/>
    <w:rsid w:val="005959A6"/>
    <w:rsid w:val="00595B6C"/>
    <w:rsid w:val="00595D40"/>
    <w:rsid w:val="00595DA6"/>
    <w:rsid w:val="005961A3"/>
    <w:rsid w:val="005967E4"/>
    <w:rsid w:val="00596D3E"/>
    <w:rsid w:val="00596EE3"/>
    <w:rsid w:val="00597223"/>
    <w:rsid w:val="00597AF2"/>
    <w:rsid w:val="00597B9E"/>
    <w:rsid w:val="00597F27"/>
    <w:rsid w:val="005A0097"/>
    <w:rsid w:val="005A009C"/>
    <w:rsid w:val="005A010C"/>
    <w:rsid w:val="005A0365"/>
    <w:rsid w:val="005A0768"/>
    <w:rsid w:val="005A07EB"/>
    <w:rsid w:val="005A08B0"/>
    <w:rsid w:val="005A08DF"/>
    <w:rsid w:val="005A0BFF"/>
    <w:rsid w:val="005A0D7B"/>
    <w:rsid w:val="005A0DE7"/>
    <w:rsid w:val="005A1965"/>
    <w:rsid w:val="005A1CEE"/>
    <w:rsid w:val="005A2472"/>
    <w:rsid w:val="005A25D6"/>
    <w:rsid w:val="005A2D96"/>
    <w:rsid w:val="005A2E28"/>
    <w:rsid w:val="005A2E6A"/>
    <w:rsid w:val="005A2F85"/>
    <w:rsid w:val="005A3014"/>
    <w:rsid w:val="005A343A"/>
    <w:rsid w:val="005A37B1"/>
    <w:rsid w:val="005A389E"/>
    <w:rsid w:val="005A47E1"/>
    <w:rsid w:val="005A4B4A"/>
    <w:rsid w:val="005A4B92"/>
    <w:rsid w:val="005A5231"/>
    <w:rsid w:val="005A5649"/>
    <w:rsid w:val="005A57EE"/>
    <w:rsid w:val="005A5DD7"/>
    <w:rsid w:val="005A62FE"/>
    <w:rsid w:val="005A637E"/>
    <w:rsid w:val="005A645A"/>
    <w:rsid w:val="005A6A1B"/>
    <w:rsid w:val="005A6F92"/>
    <w:rsid w:val="005A7450"/>
    <w:rsid w:val="005A7AEB"/>
    <w:rsid w:val="005A7DE9"/>
    <w:rsid w:val="005B0558"/>
    <w:rsid w:val="005B08EE"/>
    <w:rsid w:val="005B10C4"/>
    <w:rsid w:val="005B150C"/>
    <w:rsid w:val="005B159E"/>
    <w:rsid w:val="005B17AB"/>
    <w:rsid w:val="005B19C3"/>
    <w:rsid w:val="005B1C2C"/>
    <w:rsid w:val="005B20B8"/>
    <w:rsid w:val="005B257F"/>
    <w:rsid w:val="005B299F"/>
    <w:rsid w:val="005B2C7E"/>
    <w:rsid w:val="005B34D0"/>
    <w:rsid w:val="005B36B6"/>
    <w:rsid w:val="005B3D2E"/>
    <w:rsid w:val="005B40B3"/>
    <w:rsid w:val="005B4C73"/>
    <w:rsid w:val="005B4D7F"/>
    <w:rsid w:val="005B50B1"/>
    <w:rsid w:val="005B50C4"/>
    <w:rsid w:val="005B53B9"/>
    <w:rsid w:val="005B54FE"/>
    <w:rsid w:val="005B6ADA"/>
    <w:rsid w:val="005B6D85"/>
    <w:rsid w:val="005B6DED"/>
    <w:rsid w:val="005B7005"/>
    <w:rsid w:val="005B72CA"/>
    <w:rsid w:val="005B7776"/>
    <w:rsid w:val="005C06D9"/>
    <w:rsid w:val="005C0906"/>
    <w:rsid w:val="005C0B3C"/>
    <w:rsid w:val="005C0CCF"/>
    <w:rsid w:val="005C0FC5"/>
    <w:rsid w:val="005C0FFD"/>
    <w:rsid w:val="005C111B"/>
    <w:rsid w:val="005C12CD"/>
    <w:rsid w:val="005C13E0"/>
    <w:rsid w:val="005C1792"/>
    <w:rsid w:val="005C1B23"/>
    <w:rsid w:val="005C2DC1"/>
    <w:rsid w:val="005C2FA1"/>
    <w:rsid w:val="005C3646"/>
    <w:rsid w:val="005C3683"/>
    <w:rsid w:val="005C3CA3"/>
    <w:rsid w:val="005C42DB"/>
    <w:rsid w:val="005C4736"/>
    <w:rsid w:val="005C474C"/>
    <w:rsid w:val="005C48C6"/>
    <w:rsid w:val="005C527B"/>
    <w:rsid w:val="005C5930"/>
    <w:rsid w:val="005C5F9C"/>
    <w:rsid w:val="005C60AD"/>
    <w:rsid w:val="005C68E9"/>
    <w:rsid w:val="005C6A68"/>
    <w:rsid w:val="005C73BD"/>
    <w:rsid w:val="005C76D4"/>
    <w:rsid w:val="005C7D44"/>
    <w:rsid w:val="005C7FF3"/>
    <w:rsid w:val="005D0094"/>
    <w:rsid w:val="005D0164"/>
    <w:rsid w:val="005D025F"/>
    <w:rsid w:val="005D111F"/>
    <w:rsid w:val="005D1293"/>
    <w:rsid w:val="005D1679"/>
    <w:rsid w:val="005D1759"/>
    <w:rsid w:val="005D1846"/>
    <w:rsid w:val="005D1D62"/>
    <w:rsid w:val="005D2657"/>
    <w:rsid w:val="005D2956"/>
    <w:rsid w:val="005D2A17"/>
    <w:rsid w:val="005D2D22"/>
    <w:rsid w:val="005D2D43"/>
    <w:rsid w:val="005D2E0C"/>
    <w:rsid w:val="005D389C"/>
    <w:rsid w:val="005D3923"/>
    <w:rsid w:val="005D3ED4"/>
    <w:rsid w:val="005D423D"/>
    <w:rsid w:val="005D43E9"/>
    <w:rsid w:val="005D4420"/>
    <w:rsid w:val="005D490F"/>
    <w:rsid w:val="005D4D69"/>
    <w:rsid w:val="005D5444"/>
    <w:rsid w:val="005D5988"/>
    <w:rsid w:val="005D5D38"/>
    <w:rsid w:val="005D5EAE"/>
    <w:rsid w:val="005D681B"/>
    <w:rsid w:val="005D68B3"/>
    <w:rsid w:val="005D6A3E"/>
    <w:rsid w:val="005D6C5D"/>
    <w:rsid w:val="005D6E83"/>
    <w:rsid w:val="005D72D3"/>
    <w:rsid w:val="005D79C1"/>
    <w:rsid w:val="005D7B5C"/>
    <w:rsid w:val="005E00BC"/>
    <w:rsid w:val="005E01D0"/>
    <w:rsid w:val="005E0951"/>
    <w:rsid w:val="005E0B7E"/>
    <w:rsid w:val="005E0DD8"/>
    <w:rsid w:val="005E1209"/>
    <w:rsid w:val="005E126F"/>
    <w:rsid w:val="005E14BE"/>
    <w:rsid w:val="005E14CA"/>
    <w:rsid w:val="005E15A0"/>
    <w:rsid w:val="005E1BFE"/>
    <w:rsid w:val="005E1D50"/>
    <w:rsid w:val="005E1EB5"/>
    <w:rsid w:val="005E200B"/>
    <w:rsid w:val="005E20D6"/>
    <w:rsid w:val="005E2779"/>
    <w:rsid w:val="005E308C"/>
    <w:rsid w:val="005E3359"/>
    <w:rsid w:val="005E3518"/>
    <w:rsid w:val="005E3645"/>
    <w:rsid w:val="005E387B"/>
    <w:rsid w:val="005E3A38"/>
    <w:rsid w:val="005E4845"/>
    <w:rsid w:val="005E5329"/>
    <w:rsid w:val="005E5399"/>
    <w:rsid w:val="005E559D"/>
    <w:rsid w:val="005E5B8C"/>
    <w:rsid w:val="005E62ED"/>
    <w:rsid w:val="005E634F"/>
    <w:rsid w:val="005E6467"/>
    <w:rsid w:val="005E66A0"/>
    <w:rsid w:val="005E69CC"/>
    <w:rsid w:val="005E6AC0"/>
    <w:rsid w:val="005E6FC5"/>
    <w:rsid w:val="005E71C0"/>
    <w:rsid w:val="005E73D3"/>
    <w:rsid w:val="005F06ED"/>
    <w:rsid w:val="005F0BFF"/>
    <w:rsid w:val="005F165A"/>
    <w:rsid w:val="005F1716"/>
    <w:rsid w:val="005F17F0"/>
    <w:rsid w:val="005F19BB"/>
    <w:rsid w:val="005F1A94"/>
    <w:rsid w:val="005F1ADE"/>
    <w:rsid w:val="005F1CE0"/>
    <w:rsid w:val="005F1D32"/>
    <w:rsid w:val="005F20E5"/>
    <w:rsid w:val="005F2149"/>
    <w:rsid w:val="005F2CE9"/>
    <w:rsid w:val="005F321A"/>
    <w:rsid w:val="005F337E"/>
    <w:rsid w:val="005F36BE"/>
    <w:rsid w:val="005F36D6"/>
    <w:rsid w:val="005F3DEC"/>
    <w:rsid w:val="005F4DFB"/>
    <w:rsid w:val="005F522C"/>
    <w:rsid w:val="005F588C"/>
    <w:rsid w:val="005F5A2A"/>
    <w:rsid w:val="005F5D65"/>
    <w:rsid w:val="005F61EE"/>
    <w:rsid w:val="005F6517"/>
    <w:rsid w:val="005F6CB0"/>
    <w:rsid w:val="005F6E5A"/>
    <w:rsid w:val="005F727C"/>
    <w:rsid w:val="005F73FF"/>
    <w:rsid w:val="005F7468"/>
    <w:rsid w:val="005F7A56"/>
    <w:rsid w:val="005F7CBB"/>
    <w:rsid w:val="0060000D"/>
    <w:rsid w:val="00600111"/>
    <w:rsid w:val="006003DB"/>
    <w:rsid w:val="00600517"/>
    <w:rsid w:val="006007CF"/>
    <w:rsid w:val="00600818"/>
    <w:rsid w:val="00600C3A"/>
    <w:rsid w:val="00600E5C"/>
    <w:rsid w:val="00601606"/>
    <w:rsid w:val="0060185C"/>
    <w:rsid w:val="00601B7E"/>
    <w:rsid w:val="0060217D"/>
    <w:rsid w:val="006025E1"/>
    <w:rsid w:val="0060284B"/>
    <w:rsid w:val="00602DCC"/>
    <w:rsid w:val="00603036"/>
    <w:rsid w:val="006032C6"/>
    <w:rsid w:val="00603370"/>
    <w:rsid w:val="00603EE8"/>
    <w:rsid w:val="00604187"/>
    <w:rsid w:val="006041B5"/>
    <w:rsid w:val="00604A4E"/>
    <w:rsid w:val="00604A77"/>
    <w:rsid w:val="00604DAA"/>
    <w:rsid w:val="00605348"/>
    <w:rsid w:val="00605394"/>
    <w:rsid w:val="006057C5"/>
    <w:rsid w:val="00605EA0"/>
    <w:rsid w:val="00606624"/>
    <w:rsid w:val="00606B3A"/>
    <w:rsid w:val="006074A1"/>
    <w:rsid w:val="006074AC"/>
    <w:rsid w:val="006075CA"/>
    <w:rsid w:val="00607C9E"/>
    <w:rsid w:val="00607DE1"/>
    <w:rsid w:val="00610339"/>
    <w:rsid w:val="006104B3"/>
    <w:rsid w:val="006104C7"/>
    <w:rsid w:val="00610631"/>
    <w:rsid w:val="00610740"/>
    <w:rsid w:val="006107E6"/>
    <w:rsid w:val="0061088B"/>
    <w:rsid w:val="00610E7A"/>
    <w:rsid w:val="00610FF9"/>
    <w:rsid w:val="006111B2"/>
    <w:rsid w:val="00611AAF"/>
    <w:rsid w:val="00611C65"/>
    <w:rsid w:val="00611D35"/>
    <w:rsid w:val="0061226E"/>
    <w:rsid w:val="00612272"/>
    <w:rsid w:val="00612338"/>
    <w:rsid w:val="0061247F"/>
    <w:rsid w:val="006125B7"/>
    <w:rsid w:val="006132AE"/>
    <w:rsid w:val="0061335D"/>
    <w:rsid w:val="00613476"/>
    <w:rsid w:val="0061349D"/>
    <w:rsid w:val="006135A6"/>
    <w:rsid w:val="006144DD"/>
    <w:rsid w:val="0061469B"/>
    <w:rsid w:val="00614D15"/>
    <w:rsid w:val="006155CF"/>
    <w:rsid w:val="0061574A"/>
    <w:rsid w:val="0061577A"/>
    <w:rsid w:val="00615F21"/>
    <w:rsid w:val="00616095"/>
    <w:rsid w:val="006161EC"/>
    <w:rsid w:val="00616264"/>
    <w:rsid w:val="0061632A"/>
    <w:rsid w:val="006164B2"/>
    <w:rsid w:val="00616AD2"/>
    <w:rsid w:val="00616C2D"/>
    <w:rsid w:val="00617463"/>
    <w:rsid w:val="006175A5"/>
    <w:rsid w:val="00617754"/>
    <w:rsid w:val="00617ACA"/>
    <w:rsid w:val="00617D43"/>
    <w:rsid w:val="006200ED"/>
    <w:rsid w:val="00620CEF"/>
    <w:rsid w:val="00621007"/>
    <w:rsid w:val="00621135"/>
    <w:rsid w:val="00621A4A"/>
    <w:rsid w:val="00621A94"/>
    <w:rsid w:val="00621B54"/>
    <w:rsid w:val="00621CEB"/>
    <w:rsid w:val="0062215D"/>
    <w:rsid w:val="006221D0"/>
    <w:rsid w:val="0062229B"/>
    <w:rsid w:val="00622372"/>
    <w:rsid w:val="006228D9"/>
    <w:rsid w:val="00622B53"/>
    <w:rsid w:val="00622D3C"/>
    <w:rsid w:val="00622D64"/>
    <w:rsid w:val="00622DDF"/>
    <w:rsid w:val="00622E60"/>
    <w:rsid w:val="0062318A"/>
    <w:rsid w:val="006234B8"/>
    <w:rsid w:val="00623B68"/>
    <w:rsid w:val="00623C66"/>
    <w:rsid w:val="00624479"/>
    <w:rsid w:val="006249A2"/>
    <w:rsid w:val="00624A46"/>
    <w:rsid w:val="00624D3C"/>
    <w:rsid w:val="006250A0"/>
    <w:rsid w:val="00625176"/>
    <w:rsid w:val="00625383"/>
    <w:rsid w:val="006257EB"/>
    <w:rsid w:val="006257FA"/>
    <w:rsid w:val="0062596F"/>
    <w:rsid w:val="0062620F"/>
    <w:rsid w:val="00626225"/>
    <w:rsid w:val="006264AF"/>
    <w:rsid w:val="0062655D"/>
    <w:rsid w:val="00626A0F"/>
    <w:rsid w:val="00626F2C"/>
    <w:rsid w:val="006274F2"/>
    <w:rsid w:val="00627561"/>
    <w:rsid w:val="00627EA6"/>
    <w:rsid w:val="00630358"/>
    <w:rsid w:val="00630B9A"/>
    <w:rsid w:val="00630BC8"/>
    <w:rsid w:val="00630C81"/>
    <w:rsid w:val="00630EAD"/>
    <w:rsid w:val="00630F09"/>
    <w:rsid w:val="00631009"/>
    <w:rsid w:val="00631032"/>
    <w:rsid w:val="006310B1"/>
    <w:rsid w:val="00631507"/>
    <w:rsid w:val="00631913"/>
    <w:rsid w:val="00632238"/>
    <w:rsid w:val="006323E6"/>
    <w:rsid w:val="006325B4"/>
    <w:rsid w:val="0063278B"/>
    <w:rsid w:val="006327E8"/>
    <w:rsid w:val="00632C2A"/>
    <w:rsid w:val="00632CDF"/>
    <w:rsid w:val="00632D1B"/>
    <w:rsid w:val="00633548"/>
    <w:rsid w:val="0063374D"/>
    <w:rsid w:val="0063386B"/>
    <w:rsid w:val="00633AA6"/>
    <w:rsid w:val="00633C87"/>
    <w:rsid w:val="00633C8F"/>
    <w:rsid w:val="00633E0A"/>
    <w:rsid w:val="00633E23"/>
    <w:rsid w:val="0063400A"/>
    <w:rsid w:val="006341CB"/>
    <w:rsid w:val="006343DC"/>
    <w:rsid w:val="0063507A"/>
    <w:rsid w:val="006350B0"/>
    <w:rsid w:val="0063523B"/>
    <w:rsid w:val="006355A8"/>
    <w:rsid w:val="00635627"/>
    <w:rsid w:val="00635A18"/>
    <w:rsid w:val="00635D12"/>
    <w:rsid w:val="00635E09"/>
    <w:rsid w:val="0063604C"/>
    <w:rsid w:val="00636087"/>
    <w:rsid w:val="0063620E"/>
    <w:rsid w:val="00636663"/>
    <w:rsid w:val="00636ACA"/>
    <w:rsid w:val="00636D53"/>
    <w:rsid w:val="00636DDF"/>
    <w:rsid w:val="00636DEC"/>
    <w:rsid w:val="00636FE5"/>
    <w:rsid w:val="00637188"/>
    <w:rsid w:val="006375E4"/>
    <w:rsid w:val="006379B8"/>
    <w:rsid w:val="006379E6"/>
    <w:rsid w:val="00637AED"/>
    <w:rsid w:val="00637FFE"/>
    <w:rsid w:val="0064064A"/>
    <w:rsid w:val="0064072E"/>
    <w:rsid w:val="0064161C"/>
    <w:rsid w:val="00641976"/>
    <w:rsid w:val="00642310"/>
    <w:rsid w:val="0064255C"/>
    <w:rsid w:val="00642EE1"/>
    <w:rsid w:val="006432C1"/>
    <w:rsid w:val="00643312"/>
    <w:rsid w:val="0064365B"/>
    <w:rsid w:val="006440AF"/>
    <w:rsid w:val="00644216"/>
    <w:rsid w:val="006444EB"/>
    <w:rsid w:val="006445B1"/>
    <w:rsid w:val="00644BA2"/>
    <w:rsid w:val="00645219"/>
    <w:rsid w:val="006453EC"/>
    <w:rsid w:val="0064567D"/>
    <w:rsid w:val="00645DEF"/>
    <w:rsid w:val="00645FC5"/>
    <w:rsid w:val="006466F5"/>
    <w:rsid w:val="00646A51"/>
    <w:rsid w:val="00647067"/>
    <w:rsid w:val="006471C4"/>
    <w:rsid w:val="0064771C"/>
    <w:rsid w:val="0064777C"/>
    <w:rsid w:val="00647A41"/>
    <w:rsid w:val="00647AFA"/>
    <w:rsid w:val="00647B16"/>
    <w:rsid w:val="006502BD"/>
    <w:rsid w:val="00650842"/>
    <w:rsid w:val="006511F6"/>
    <w:rsid w:val="00651468"/>
    <w:rsid w:val="0065164C"/>
    <w:rsid w:val="006517AF"/>
    <w:rsid w:val="00651823"/>
    <w:rsid w:val="00651A26"/>
    <w:rsid w:val="0065212B"/>
    <w:rsid w:val="00652256"/>
    <w:rsid w:val="006522C1"/>
    <w:rsid w:val="00652399"/>
    <w:rsid w:val="00652599"/>
    <w:rsid w:val="00652693"/>
    <w:rsid w:val="00652A25"/>
    <w:rsid w:val="00652CCC"/>
    <w:rsid w:val="00653211"/>
    <w:rsid w:val="00653316"/>
    <w:rsid w:val="006533EF"/>
    <w:rsid w:val="006535C8"/>
    <w:rsid w:val="006538FD"/>
    <w:rsid w:val="00653916"/>
    <w:rsid w:val="00654230"/>
    <w:rsid w:val="00654399"/>
    <w:rsid w:val="006549BD"/>
    <w:rsid w:val="006557C4"/>
    <w:rsid w:val="006563D5"/>
    <w:rsid w:val="0065656C"/>
    <w:rsid w:val="006568C3"/>
    <w:rsid w:val="00657048"/>
    <w:rsid w:val="00657324"/>
    <w:rsid w:val="006574BF"/>
    <w:rsid w:val="006574C2"/>
    <w:rsid w:val="0066000C"/>
    <w:rsid w:val="006601A2"/>
    <w:rsid w:val="006606B6"/>
    <w:rsid w:val="0066087C"/>
    <w:rsid w:val="00660914"/>
    <w:rsid w:val="006609D4"/>
    <w:rsid w:val="00660E36"/>
    <w:rsid w:val="00660E9E"/>
    <w:rsid w:val="00660F6B"/>
    <w:rsid w:val="00661131"/>
    <w:rsid w:val="006611A9"/>
    <w:rsid w:val="00661827"/>
    <w:rsid w:val="00661AD0"/>
    <w:rsid w:val="00661C3D"/>
    <w:rsid w:val="00661D58"/>
    <w:rsid w:val="00661E2E"/>
    <w:rsid w:val="00661FD0"/>
    <w:rsid w:val="00662918"/>
    <w:rsid w:val="00662D21"/>
    <w:rsid w:val="00663285"/>
    <w:rsid w:val="006643B5"/>
    <w:rsid w:val="00664B49"/>
    <w:rsid w:val="00664BFB"/>
    <w:rsid w:val="00664CE3"/>
    <w:rsid w:val="00665354"/>
    <w:rsid w:val="00665558"/>
    <w:rsid w:val="00665C1D"/>
    <w:rsid w:val="006665E1"/>
    <w:rsid w:val="006668DA"/>
    <w:rsid w:val="00666EA3"/>
    <w:rsid w:val="006673A3"/>
    <w:rsid w:val="006674A9"/>
    <w:rsid w:val="0066761A"/>
    <w:rsid w:val="0066762A"/>
    <w:rsid w:val="00667BAC"/>
    <w:rsid w:val="00667E43"/>
    <w:rsid w:val="00667E80"/>
    <w:rsid w:val="00670154"/>
    <w:rsid w:val="0067027D"/>
    <w:rsid w:val="00670B3C"/>
    <w:rsid w:val="00670F99"/>
    <w:rsid w:val="00671FE4"/>
    <w:rsid w:val="00671FFE"/>
    <w:rsid w:val="006721A7"/>
    <w:rsid w:val="00672382"/>
    <w:rsid w:val="006726AD"/>
    <w:rsid w:val="00672972"/>
    <w:rsid w:val="00672B11"/>
    <w:rsid w:val="00672E5C"/>
    <w:rsid w:val="00673483"/>
    <w:rsid w:val="0067348E"/>
    <w:rsid w:val="00673547"/>
    <w:rsid w:val="00673746"/>
    <w:rsid w:val="006743E1"/>
    <w:rsid w:val="006744BE"/>
    <w:rsid w:val="00674579"/>
    <w:rsid w:val="00674B46"/>
    <w:rsid w:val="00675262"/>
    <w:rsid w:val="0067562B"/>
    <w:rsid w:val="00675D9C"/>
    <w:rsid w:val="006761D7"/>
    <w:rsid w:val="006763AD"/>
    <w:rsid w:val="0067662C"/>
    <w:rsid w:val="00676C2A"/>
    <w:rsid w:val="006775C3"/>
    <w:rsid w:val="0067766D"/>
    <w:rsid w:val="00677F1A"/>
    <w:rsid w:val="006804BB"/>
    <w:rsid w:val="00680734"/>
    <w:rsid w:val="006807EB"/>
    <w:rsid w:val="00680C6B"/>
    <w:rsid w:val="00680E4E"/>
    <w:rsid w:val="0068123C"/>
    <w:rsid w:val="006812E2"/>
    <w:rsid w:val="006813DA"/>
    <w:rsid w:val="006819DE"/>
    <w:rsid w:val="00681B4D"/>
    <w:rsid w:val="006821C3"/>
    <w:rsid w:val="006825A3"/>
    <w:rsid w:val="0068261C"/>
    <w:rsid w:val="00682A90"/>
    <w:rsid w:val="00682DB2"/>
    <w:rsid w:val="00682DCD"/>
    <w:rsid w:val="00682EF6"/>
    <w:rsid w:val="00683125"/>
    <w:rsid w:val="00683519"/>
    <w:rsid w:val="006838F0"/>
    <w:rsid w:val="00683E0F"/>
    <w:rsid w:val="00683FC4"/>
    <w:rsid w:val="006841AF"/>
    <w:rsid w:val="00684536"/>
    <w:rsid w:val="006849D5"/>
    <w:rsid w:val="00684A15"/>
    <w:rsid w:val="00684AE1"/>
    <w:rsid w:val="00685399"/>
    <w:rsid w:val="00685567"/>
    <w:rsid w:val="00685658"/>
    <w:rsid w:val="006858F8"/>
    <w:rsid w:val="00685A35"/>
    <w:rsid w:val="0068603D"/>
    <w:rsid w:val="00686126"/>
    <w:rsid w:val="006863FC"/>
    <w:rsid w:val="00686541"/>
    <w:rsid w:val="00686567"/>
    <w:rsid w:val="00686718"/>
    <w:rsid w:val="00686794"/>
    <w:rsid w:val="00686BA8"/>
    <w:rsid w:val="00686FE4"/>
    <w:rsid w:val="0068732F"/>
    <w:rsid w:val="00687D06"/>
    <w:rsid w:val="00690098"/>
    <w:rsid w:val="006905B9"/>
    <w:rsid w:val="006910FE"/>
    <w:rsid w:val="00691165"/>
    <w:rsid w:val="0069167D"/>
    <w:rsid w:val="006916E7"/>
    <w:rsid w:val="006917B9"/>
    <w:rsid w:val="006920A1"/>
    <w:rsid w:val="006920D3"/>
    <w:rsid w:val="006921EB"/>
    <w:rsid w:val="0069251C"/>
    <w:rsid w:val="00692727"/>
    <w:rsid w:val="0069288D"/>
    <w:rsid w:val="00692937"/>
    <w:rsid w:val="0069293F"/>
    <w:rsid w:val="00692A8F"/>
    <w:rsid w:val="00692C37"/>
    <w:rsid w:val="00692F39"/>
    <w:rsid w:val="00693072"/>
    <w:rsid w:val="006930F2"/>
    <w:rsid w:val="00693267"/>
    <w:rsid w:val="00693304"/>
    <w:rsid w:val="00693E8F"/>
    <w:rsid w:val="00693FC1"/>
    <w:rsid w:val="006940C7"/>
    <w:rsid w:val="00694102"/>
    <w:rsid w:val="00694525"/>
    <w:rsid w:val="0069480B"/>
    <w:rsid w:val="00694BE5"/>
    <w:rsid w:val="00694F6B"/>
    <w:rsid w:val="006950FB"/>
    <w:rsid w:val="00695215"/>
    <w:rsid w:val="006954E3"/>
    <w:rsid w:val="006957BE"/>
    <w:rsid w:val="00695D52"/>
    <w:rsid w:val="00695E87"/>
    <w:rsid w:val="00695FDC"/>
    <w:rsid w:val="00696163"/>
    <w:rsid w:val="0069651D"/>
    <w:rsid w:val="006965F2"/>
    <w:rsid w:val="00696EA5"/>
    <w:rsid w:val="006970D8"/>
    <w:rsid w:val="00697170"/>
    <w:rsid w:val="00697717"/>
    <w:rsid w:val="006977F2"/>
    <w:rsid w:val="00697D1F"/>
    <w:rsid w:val="00697F63"/>
    <w:rsid w:val="006A065E"/>
    <w:rsid w:val="006A0974"/>
    <w:rsid w:val="006A0A23"/>
    <w:rsid w:val="006A117C"/>
    <w:rsid w:val="006A11F6"/>
    <w:rsid w:val="006A12C6"/>
    <w:rsid w:val="006A1418"/>
    <w:rsid w:val="006A1734"/>
    <w:rsid w:val="006A1747"/>
    <w:rsid w:val="006A1EEB"/>
    <w:rsid w:val="006A2646"/>
    <w:rsid w:val="006A2C8C"/>
    <w:rsid w:val="006A3290"/>
    <w:rsid w:val="006A331A"/>
    <w:rsid w:val="006A3959"/>
    <w:rsid w:val="006A3C17"/>
    <w:rsid w:val="006A3D18"/>
    <w:rsid w:val="006A458D"/>
    <w:rsid w:val="006A48E3"/>
    <w:rsid w:val="006A4A11"/>
    <w:rsid w:val="006A4EE5"/>
    <w:rsid w:val="006A4EF6"/>
    <w:rsid w:val="006A537D"/>
    <w:rsid w:val="006A59DC"/>
    <w:rsid w:val="006A5AF6"/>
    <w:rsid w:val="006A5FD9"/>
    <w:rsid w:val="006A62E6"/>
    <w:rsid w:val="006A68BB"/>
    <w:rsid w:val="006A6982"/>
    <w:rsid w:val="006A69A5"/>
    <w:rsid w:val="006A6BEF"/>
    <w:rsid w:val="006A6C87"/>
    <w:rsid w:val="006A7077"/>
    <w:rsid w:val="006A70BA"/>
    <w:rsid w:val="006A73DE"/>
    <w:rsid w:val="006A775A"/>
    <w:rsid w:val="006A7BD1"/>
    <w:rsid w:val="006A7D07"/>
    <w:rsid w:val="006A7DBC"/>
    <w:rsid w:val="006A7F79"/>
    <w:rsid w:val="006B0352"/>
    <w:rsid w:val="006B07FD"/>
    <w:rsid w:val="006B0C9B"/>
    <w:rsid w:val="006B0CA9"/>
    <w:rsid w:val="006B0F9B"/>
    <w:rsid w:val="006B104E"/>
    <w:rsid w:val="006B13EF"/>
    <w:rsid w:val="006B177E"/>
    <w:rsid w:val="006B2132"/>
    <w:rsid w:val="006B255C"/>
    <w:rsid w:val="006B38A5"/>
    <w:rsid w:val="006B3B03"/>
    <w:rsid w:val="006B3E71"/>
    <w:rsid w:val="006B3FED"/>
    <w:rsid w:val="006B4648"/>
    <w:rsid w:val="006B4A92"/>
    <w:rsid w:val="006B4FB0"/>
    <w:rsid w:val="006B570C"/>
    <w:rsid w:val="006B5F38"/>
    <w:rsid w:val="006B6602"/>
    <w:rsid w:val="006B673F"/>
    <w:rsid w:val="006B67EA"/>
    <w:rsid w:val="006B6A62"/>
    <w:rsid w:val="006B6D46"/>
    <w:rsid w:val="006B6F07"/>
    <w:rsid w:val="006B704A"/>
    <w:rsid w:val="006B72A3"/>
    <w:rsid w:val="006B7B98"/>
    <w:rsid w:val="006B7E4C"/>
    <w:rsid w:val="006C02C9"/>
    <w:rsid w:val="006C04FE"/>
    <w:rsid w:val="006C0869"/>
    <w:rsid w:val="006C08A6"/>
    <w:rsid w:val="006C08EA"/>
    <w:rsid w:val="006C09BB"/>
    <w:rsid w:val="006C0B21"/>
    <w:rsid w:val="006C0B58"/>
    <w:rsid w:val="006C1386"/>
    <w:rsid w:val="006C13F3"/>
    <w:rsid w:val="006C1747"/>
    <w:rsid w:val="006C1BEF"/>
    <w:rsid w:val="006C1EAD"/>
    <w:rsid w:val="006C20D6"/>
    <w:rsid w:val="006C26AF"/>
    <w:rsid w:val="006C276D"/>
    <w:rsid w:val="006C2DAC"/>
    <w:rsid w:val="006C2DF1"/>
    <w:rsid w:val="006C35C0"/>
    <w:rsid w:val="006C3C99"/>
    <w:rsid w:val="006C3CD7"/>
    <w:rsid w:val="006C3D15"/>
    <w:rsid w:val="006C40E3"/>
    <w:rsid w:val="006C41BB"/>
    <w:rsid w:val="006C4ABA"/>
    <w:rsid w:val="006C53B0"/>
    <w:rsid w:val="006C55D7"/>
    <w:rsid w:val="006C5621"/>
    <w:rsid w:val="006C5678"/>
    <w:rsid w:val="006C5829"/>
    <w:rsid w:val="006C5D96"/>
    <w:rsid w:val="006C5E36"/>
    <w:rsid w:val="006C5F48"/>
    <w:rsid w:val="006C687B"/>
    <w:rsid w:val="006C70EB"/>
    <w:rsid w:val="006C76C4"/>
    <w:rsid w:val="006C781D"/>
    <w:rsid w:val="006C7C09"/>
    <w:rsid w:val="006C7D40"/>
    <w:rsid w:val="006D02D5"/>
    <w:rsid w:val="006D0750"/>
    <w:rsid w:val="006D081C"/>
    <w:rsid w:val="006D0B79"/>
    <w:rsid w:val="006D0E1C"/>
    <w:rsid w:val="006D1027"/>
    <w:rsid w:val="006D127A"/>
    <w:rsid w:val="006D12C1"/>
    <w:rsid w:val="006D1683"/>
    <w:rsid w:val="006D1731"/>
    <w:rsid w:val="006D1732"/>
    <w:rsid w:val="006D1A86"/>
    <w:rsid w:val="006D1A99"/>
    <w:rsid w:val="006D2044"/>
    <w:rsid w:val="006D20BE"/>
    <w:rsid w:val="006D20EB"/>
    <w:rsid w:val="006D26AA"/>
    <w:rsid w:val="006D2C7C"/>
    <w:rsid w:val="006D3161"/>
    <w:rsid w:val="006D35F6"/>
    <w:rsid w:val="006D37B6"/>
    <w:rsid w:val="006D3A8D"/>
    <w:rsid w:val="006D3D6A"/>
    <w:rsid w:val="006D401C"/>
    <w:rsid w:val="006D40B2"/>
    <w:rsid w:val="006D4233"/>
    <w:rsid w:val="006D4EAA"/>
    <w:rsid w:val="006D5335"/>
    <w:rsid w:val="006D5998"/>
    <w:rsid w:val="006D5E82"/>
    <w:rsid w:val="006D5FDA"/>
    <w:rsid w:val="006D619C"/>
    <w:rsid w:val="006D61BB"/>
    <w:rsid w:val="006D667B"/>
    <w:rsid w:val="006D6870"/>
    <w:rsid w:val="006D6BAB"/>
    <w:rsid w:val="006D7484"/>
    <w:rsid w:val="006D758B"/>
    <w:rsid w:val="006D7782"/>
    <w:rsid w:val="006D78A9"/>
    <w:rsid w:val="006D78AC"/>
    <w:rsid w:val="006D7A9C"/>
    <w:rsid w:val="006D7BDD"/>
    <w:rsid w:val="006D7C26"/>
    <w:rsid w:val="006D7F2B"/>
    <w:rsid w:val="006E0603"/>
    <w:rsid w:val="006E08AE"/>
    <w:rsid w:val="006E08D8"/>
    <w:rsid w:val="006E0CD9"/>
    <w:rsid w:val="006E146F"/>
    <w:rsid w:val="006E169C"/>
    <w:rsid w:val="006E16D6"/>
    <w:rsid w:val="006E1A1A"/>
    <w:rsid w:val="006E1BB0"/>
    <w:rsid w:val="006E2101"/>
    <w:rsid w:val="006E2245"/>
    <w:rsid w:val="006E23F6"/>
    <w:rsid w:val="006E2BCD"/>
    <w:rsid w:val="006E31B0"/>
    <w:rsid w:val="006E37D3"/>
    <w:rsid w:val="006E3F42"/>
    <w:rsid w:val="006E4039"/>
    <w:rsid w:val="006E444F"/>
    <w:rsid w:val="006E4592"/>
    <w:rsid w:val="006E45F0"/>
    <w:rsid w:val="006E4667"/>
    <w:rsid w:val="006E4791"/>
    <w:rsid w:val="006E5141"/>
    <w:rsid w:val="006E5198"/>
    <w:rsid w:val="006E5251"/>
    <w:rsid w:val="006E5DCC"/>
    <w:rsid w:val="006E61AE"/>
    <w:rsid w:val="006E6312"/>
    <w:rsid w:val="006E66E7"/>
    <w:rsid w:val="006E6A2B"/>
    <w:rsid w:val="006E6C6E"/>
    <w:rsid w:val="006E6D8C"/>
    <w:rsid w:val="006E71F1"/>
    <w:rsid w:val="006E7F4A"/>
    <w:rsid w:val="006F025B"/>
    <w:rsid w:val="006F031F"/>
    <w:rsid w:val="006F0417"/>
    <w:rsid w:val="006F0E83"/>
    <w:rsid w:val="006F121D"/>
    <w:rsid w:val="006F153C"/>
    <w:rsid w:val="006F1F5E"/>
    <w:rsid w:val="006F237D"/>
    <w:rsid w:val="006F2405"/>
    <w:rsid w:val="006F2520"/>
    <w:rsid w:val="006F2E04"/>
    <w:rsid w:val="006F3417"/>
    <w:rsid w:val="006F344E"/>
    <w:rsid w:val="006F34BE"/>
    <w:rsid w:val="006F3853"/>
    <w:rsid w:val="006F3B12"/>
    <w:rsid w:val="006F3E4B"/>
    <w:rsid w:val="006F40DA"/>
    <w:rsid w:val="006F4C10"/>
    <w:rsid w:val="006F4E72"/>
    <w:rsid w:val="006F4F67"/>
    <w:rsid w:val="006F5005"/>
    <w:rsid w:val="006F50AB"/>
    <w:rsid w:val="006F573A"/>
    <w:rsid w:val="006F59E9"/>
    <w:rsid w:val="006F5C28"/>
    <w:rsid w:val="006F5F0F"/>
    <w:rsid w:val="006F5FDE"/>
    <w:rsid w:val="006F622D"/>
    <w:rsid w:val="006F6C0D"/>
    <w:rsid w:val="006F6CF4"/>
    <w:rsid w:val="006F6E39"/>
    <w:rsid w:val="006F711F"/>
    <w:rsid w:val="006F7292"/>
    <w:rsid w:val="006F7599"/>
    <w:rsid w:val="006F76A6"/>
    <w:rsid w:val="006F78E3"/>
    <w:rsid w:val="006F797F"/>
    <w:rsid w:val="006F7C28"/>
    <w:rsid w:val="006F7F99"/>
    <w:rsid w:val="00700484"/>
    <w:rsid w:val="007004A7"/>
    <w:rsid w:val="0070059D"/>
    <w:rsid w:val="00700F0F"/>
    <w:rsid w:val="00701415"/>
    <w:rsid w:val="0070191A"/>
    <w:rsid w:val="00701B2B"/>
    <w:rsid w:val="00702E78"/>
    <w:rsid w:val="007030FD"/>
    <w:rsid w:val="0070325B"/>
    <w:rsid w:val="00703467"/>
    <w:rsid w:val="007035BD"/>
    <w:rsid w:val="0070374F"/>
    <w:rsid w:val="0070397B"/>
    <w:rsid w:val="00703CFA"/>
    <w:rsid w:val="00703F9E"/>
    <w:rsid w:val="00703FB4"/>
    <w:rsid w:val="00704121"/>
    <w:rsid w:val="00704623"/>
    <w:rsid w:val="007049E0"/>
    <w:rsid w:val="00704D7D"/>
    <w:rsid w:val="00704E43"/>
    <w:rsid w:val="007052C2"/>
    <w:rsid w:val="00705BC7"/>
    <w:rsid w:val="00705C41"/>
    <w:rsid w:val="00705FB6"/>
    <w:rsid w:val="00706069"/>
    <w:rsid w:val="00706154"/>
    <w:rsid w:val="0070615D"/>
    <w:rsid w:val="0070696E"/>
    <w:rsid w:val="0070716D"/>
    <w:rsid w:val="007075C4"/>
    <w:rsid w:val="00707D18"/>
    <w:rsid w:val="00707E11"/>
    <w:rsid w:val="0071018A"/>
    <w:rsid w:val="00710268"/>
    <w:rsid w:val="0071035C"/>
    <w:rsid w:val="007106AC"/>
    <w:rsid w:val="0071078B"/>
    <w:rsid w:val="007107CC"/>
    <w:rsid w:val="007109F4"/>
    <w:rsid w:val="00710C0B"/>
    <w:rsid w:val="00710D88"/>
    <w:rsid w:val="00711370"/>
    <w:rsid w:val="0071160C"/>
    <w:rsid w:val="0071197A"/>
    <w:rsid w:val="00711C48"/>
    <w:rsid w:val="00711E87"/>
    <w:rsid w:val="00712515"/>
    <w:rsid w:val="00712B5C"/>
    <w:rsid w:val="00712F78"/>
    <w:rsid w:val="00713427"/>
    <w:rsid w:val="00713770"/>
    <w:rsid w:val="00713CA4"/>
    <w:rsid w:val="00713CC8"/>
    <w:rsid w:val="00713EBD"/>
    <w:rsid w:val="00713F27"/>
    <w:rsid w:val="007145A3"/>
    <w:rsid w:val="0071487B"/>
    <w:rsid w:val="00714A84"/>
    <w:rsid w:val="00714F39"/>
    <w:rsid w:val="00715E49"/>
    <w:rsid w:val="00715F6D"/>
    <w:rsid w:val="00715F86"/>
    <w:rsid w:val="00716040"/>
    <w:rsid w:val="0071618C"/>
    <w:rsid w:val="007161E9"/>
    <w:rsid w:val="00716214"/>
    <w:rsid w:val="0071635B"/>
    <w:rsid w:val="00716B58"/>
    <w:rsid w:val="00716C37"/>
    <w:rsid w:val="00716C78"/>
    <w:rsid w:val="00716C93"/>
    <w:rsid w:val="00716EA3"/>
    <w:rsid w:val="00716F00"/>
    <w:rsid w:val="00717354"/>
    <w:rsid w:val="0071772B"/>
    <w:rsid w:val="00717C55"/>
    <w:rsid w:val="00717CBE"/>
    <w:rsid w:val="0072095C"/>
    <w:rsid w:val="00720B26"/>
    <w:rsid w:val="00720B6A"/>
    <w:rsid w:val="00720B8F"/>
    <w:rsid w:val="00721064"/>
    <w:rsid w:val="007214B6"/>
    <w:rsid w:val="007217F9"/>
    <w:rsid w:val="00722335"/>
    <w:rsid w:val="00722802"/>
    <w:rsid w:val="00722B3C"/>
    <w:rsid w:val="00722CFA"/>
    <w:rsid w:val="00722E7D"/>
    <w:rsid w:val="007231DB"/>
    <w:rsid w:val="0072351D"/>
    <w:rsid w:val="00723A6A"/>
    <w:rsid w:val="007240AA"/>
    <w:rsid w:val="0072457E"/>
    <w:rsid w:val="00724C2D"/>
    <w:rsid w:val="007253BB"/>
    <w:rsid w:val="00725690"/>
    <w:rsid w:val="00726666"/>
    <w:rsid w:val="00726707"/>
    <w:rsid w:val="007268F9"/>
    <w:rsid w:val="007273AC"/>
    <w:rsid w:val="0072752E"/>
    <w:rsid w:val="007275B4"/>
    <w:rsid w:val="00730A87"/>
    <w:rsid w:val="00730B87"/>
    <w:rsid w:val="00730D29"/>
    <w:rsid w:val="007318A5"/>
    <w:rsid w:val="00731B2E"/>
    <w:rsid w:val="00731C19"/>
    <w:rsid w:val="00731D9C"/>
    <w:rsid w:val="00732218"/>
    <w:rsid w:val="007322D8"/>
    <w:rsid w:val="0073240E"/>
    <w:rsid w:val="00732812"/>
    <w:rsid w:val="00733620"/>
    <w:rsid w:val="00733670"/>
    <w:rsid w:val="0073390F"/>
    <w:rsid w:val="00733A2E"/>
    <w:rsid w:val="00733AD3"/>
    <w:rsid w:val="007340E3"/>
    <w:rsid w:val="007342F9"/>
    <w:rsid w:val="00734334"/>
    <w:rsid w:val="00734529"/>
    <w:rsid w:val="00735180"/>
    <w:rsid w:val="00735279"/>
    <w:rsid w:val="007354BA"/>
    <w:rsid w:val="00735912"/>
    <w:rsid w:val="00735A07"/>
    <w:rsid w:val="00735CB6"/>
    <w:rsid w:val="007367BF"/>
    <w:rsid w:val="00736A34"/>
    <w:rsid w:val="00736B91"/>
    <w:rsid w:val="00737073"/>
    <w:rsid w:val="00737085"/>
    <w:rsid w:val="007373A8"/>
    <w:rsid w:val="0073743D"/>
    <w:rsid w:val="00737C13"/>
    <w:rsid w:val="00737C3B"/>
    <w:rsid w:val="00737CDA"/>
    <w:rsid w:val="00737DF9"/>
    <w:rsid w:val="00740065"/>
    <w:rsid w:val="00740322"/>
    <w:rsid w:val="00740542"/>
    <w:rsid w:val="0074070D"/>
    <w:rsid w:val="007409D2"/>
    <w:rsid w:val="00740C82"/>
    <w:rsid w:val="0074182A"/>
    <w:rsid w:val="0074182C"/>
    <w:rsid w:val="00741C43"/>
    <w:rsid w:val="00741DFC"/>
    <w:rsid w:val="00742186"/>
    <w:rsid w:val="00742512"/>
    <w:rsid w:val="00742A5D"/>
    <w:rsid w:val="00742AFF"/>
    <w:rsid w:val="00742D89"/>
    <w:rsid w:val="00743041"/>
    <w:rsid w:val="007437A0"/>
    <w:rsid w:val="0074395E"/>
    <w:rsid w:val="00743B73"/>
    <w:rsid w:val="00743C5F"/>
    <w:rsid w:val="00743E99"/>
    <w:rsid w:val="00743FD9"/>
    <w:rsid w:val="00744051"/>
    <w:rsid w:val="0074489D"/>
    <w:rsid w:val="00744DF8"/>
    <w:rsid w:val="007451DC"/>
    <w:rsid w:val="00745A11"/>
    <w:rsid w:val="00745B11"/>
    <w:rsid w:val="00745DF5"/>
    <w:rsid w:val="00745EAF"/>
    <w:rsid w:val="00746274"/>
    <w:rsid w:val="00746300"/>
    <w:rsid w:val="007468A2"/>
    <w:rsid w:val="00746FA5"/>
    <w:rsid w:val="00747A53"/>
    <w:rsid w:val="00747AC0"/>
    <w:rsid w:val="00747F2A"/>
    <w:rsid w:val="00750552"/>
    <w:rsid w:val="007509CC"/>
    <w:rsid w:val="00750E10"/>
    <w:rsid w:val="00750E1D"/>
    <w:rsid w:val="007518CC"/>
    <w:rsid w:val="00752573"/>
    <w:rsid w:val="00752AA7"/>
    <w:rsid w:val="0075323A"/>
    <w:rsid w:val="007532C2"/>
    <w:rsid w:val="00753487"/>
    <w:rsid w:val="0075353D"/>
    <w:rsid w:val="007535C5"/>
    <w:rsid w:val="007536BF"/>
    <w:rsid w:val="00753F4A"/>
    <w:rsid w:val="00754214"/>
    <w:rsid w:val="00754A81"/>
    <w:rsid w:val="00754CBB"/>
    <w:rsid w:val="00754CED"/>
    <w:rsid w:val="00754E43"/>
    <w:rsid w:val="00754F89"/>
    <w:rsid w:val="00755487"/>
    <w:rsid w:val="00755D1F"/>
    <w:rsid w:val="00756082"/>
    <w:rsid w:val="007560C6"/>
    <w:rsid w:val="007565BF"/>
    <w:rsid w:val="00756B14"/>
    <w:rsid w:val="00756B4C"/>
    <w:rsid w:val="00757512"/>
    <w:rsid w:val="0075779B"/>
    <w:rsid w:val="00757B54"/>
    <w:rsid w:val="00757F89"/>
    <w:rsid w:val="00760972"/>
    <w:rsid w:val="00761189"/>
    <w:rsid w:val="0076128A"/>
    <w:rsid w:val="0076154B"/>
    <w:rsid w:val="0076154F"/>
    <w:rsid w:val="00761740"/>
    <w:rsid w:val="00761866"/>
    <w:rsid w:val="00761A79"/>
    <w:rsid w:val="00761DF6"/>
    <w:rsid w:val="00761F00"/>
    <w:rsid w:val="00761FAA"/>
    <w:rsid w:val="00762874"/>
    <w:rsid w:val="007628D5"/>
    <w:rsid w:val="00762AE8"/>
    <w:rsid w:val="00762C5E"/>
    <w:rsid w:val="00763199"/>
    <w:rsid w:val="0076347A"/>
    <w:rsid w:val="007636B9"/>
    <w:rsid w:val="00763941"/>
    <w:rsid w:val="00763AAB"/>
    <w:rsid w:val="00763EAE"/>
    <w:rsid w:val="00763F8E"/>
    <w:rsid w:val="00764A50"/>
    <w:rsid w:val="00764B57"/>
    <w:rsid w:val="00764CF0"/>
    <w:rsid w:val="00764F3B"/>
    <w:rsid w:val="00764F3E"/>
    <w:rsid w:val="00765586"/>
    <w:rsid w:val="007657B6"/>
    <w:rsid w:val="00765EB6"/>
    <w:rsid w:val="00766020"/>
    <w:rsid w:val="0076617B"/>
    <w:rsid w:val="007666FB"/>
    <w:rsid w:val="00766734"/>
    <w:rsid w:val="00766781"/>
    <w:rsid w:val="00766840"/>
    <w:rsid w:val="007676D7"/>
    <w:rsid w:val="007676EF"/>
    <w:rsid w:val="0076786D"/>
    <w:rsid w:val="00767939"/>
    <w:rsid w:val="00767C2E"/>
    <w:rsid w:val="007702B0"/>
    <w:rsid w:val="0077068A"/>
    <w:rsid w:val="007707FB"/>
    <w:rsid w:val="00771104"/>
    <w:rsid w:val="0077116C"/>
    <w:rsid w:val="0077130F"/>
    <w:rsid w:val="007713F8"/>
    <w:rsid w:val="00771A25"/>
    <w:rsid w:val="00771CF3"/>
    <w:rsid w:val="007721F3"/>
    <w:rsid w:val="007722BD"/>
    <w:rsid w:val="007722F9"/>
    <w:rsid w:val="007727DF"/>
    <w:rsid w:val="007729CB"/>
    <w:rsid w:val="00773955"/>
    <w:rsid w:val="00773C4F"/>
    <w:rsid w:val="00773C98"/>
    <w:rsid w:val="00773FB6"/>
    <w:rsid w:val="00774197"/>
    <w:rsid w:val="007742F7"/>
    <w:rsid w:val="0077432E"/>
    <w:rsid w:val="007743C8"/>
    <w:rsid w:val="00774E23"/>
    <w:rsid w:val="00774F4F"/>
    <w:rsid w:val="007752C5"/>
    <w:rsid w:val="0077570E"/>
    <w:rsid w:val="0077577A"/>
    <w:rsid w:val="00775983"/>
    <w:rsid w:val="00775B4D"/>
    <w:rsid w:val="00775F2C"/>
    <w:rsid w:val="00776475"/>
    <w:rsid w:val="00776D88"/>
    <w:rsid w:val="00776FEE"/>
    <w:rsid w:val="007778C0"/>
    <w:rsid w:val="00777FE0"/>
    <w:rsid w:val="007802FB"/>
    <w:rsid w:val="0078034F"/>
    <w:rsid w:val="007809E9"/>
    <w:rsid w:val="00780ABB"/>
    <w:rsid w:val="00780B17"/>
    <w:rsid w:val="00780BC7"/>
    <w:rsid w:val="00780C30"/>
    <w:rsid w:val="007811F9"/>
    <w:rsid w:val="007815D2"/>
    <w:rsid w:val="00781711"/>
    <w:rsid w:val="00781902"/>
    <w:rsid w:val="007819F2"/>
    <w:rsid w:val="00781C98"/>
    <w:rsid w:val="00781F48"/>
    <w:rsid w:val="00782163"/>
    <w:rsid w:val="0078219D"/>
    <w:rsid w:val="00782735"/>
    <w:rsid w:val="00782BE9"/>
    <w:rsid w:val="007830A4"/>
    <w:rsid w:val="007833A0"/>
    <w:rsid w:val="0078362A"/>
    <w:rsid w:val="00783C81"/>
    <w:rsid w:val="00783D1D"/>
    <w:rsid w:val="00783DDC"/>
    <w:rsid w:val="00783E98"/>
    <w:rsid w:val="007842C4"/>
    <w:rsid w:val="007843E1"/>
    <w:rsid w:val="00784C0C"/>
    <w:rsid w:val="00784C87"/>
    <w:rsid w:val="00785058"/>
    <w:rsid w:val="00785DAE"/>
    <w:rsid w:val="007861C5"/>
    <w:rsid w:val="00786A7E"/>
    <w:rsid w:val="00786B65"/>
    <w:rsid w:val="00786BD6"/>
    <w:rsid w:val="007871CB"/>
    <w:rsid w:val="00787487"/>
    <w:rsid w:val="007876AF"/>
    <w:rsid w:val="007879FB"/>
    <w:rsid w:val="00787DB3"/>
    <w:rsid w:val="00790665"/>
    <w:rsid w:val="007907EE"/>
    <w:rsid w:val="00791239"/>
    <w:rsid w:val="007912FC"/>
    <w:rsid w:val="0079212D"/>
    <w:rsid w:val="0079225A"/>
    <w:rsid w:val="007923BF"/>
    <w:rsid w:val="00792478"/>
    <w:rsid w:val="007925C4"/>
    <w:rsid w:val="007927A2"/>
    <w:rsid w:val="007929C0"/>
    <w:rsid w:val="00792EFF"/>
    <w:rsid w:val="00792F40"/>
    <w:rsid w:val="007933B0"/>
    <w:rsid w:val="007939E7"/>
    <w:rsid w:val="00793F73"/>
    <w:rsid w:val="007941D0"/>
    <w:rsid w:val="0079446A"/>
    <w:rsid w:val="00794540"/>
    <w:rsid w:val="0079499D"/>
    <w:rsid w:val="00794BB7"/>
    <w:rsid w:val="00794D9B"/>
    <w:rsid w:val="00794DD5"/>
    <w:rsid w:val="0079527E"/>
    <w:rsid w:val="007959FE"/>
    <w:rsid w:val="00795CEF"/>
    <w:rsid w:val="00795F9E"/>
    <w:rsid w:val="00796436"/>
    <w:rsid w:val="0079651C"/>
    <w:rsid w:val="00796647"/>
    <w:rsid w:val="00796B19"/>
    <w:rsid w:val="00796D51"/>
    <w:rsid w:val="00796D5F"/>
    <w:rsid w:val="007974E6"/>
    <w:rsid w:val="007A037C"/>
    <w:rsid w:val="007A08C3"/>
    <w:rsid w:val="007A0B8A"/>
    <w:rsid w:val="007A0C82"/>
    <w:rsid w:val="007A0CB0"/>
    <w:rsid w:val="007A1320"/>
    <w:rsid w:val="007A17F6"/>
    <w:rsid w:val="007A19E5"/>
    <w:rsid w:val="007A1A31"/>
    <w:rsid w:val="007A1A72"/>
    <w:rsid w:val="007A1A87"/>
    <w:rsid w:val="007A1D6D"/>
    <w:rsid w:val="007A254A"/>
    <w:rsid w:val="007A2637"/>
    <w:rsid w:val="007A28D4"/>
    <w:rsid w:val="007A2B74"/>
    <w:rsid w:val="007A31EC"/>
    <w:rsid w:val="007A3509"/>
    <w:rsid w:val="007A3F92"/>
    <w:rsid w:val="007A4414"/>
    <w:rsid w:val="007A4581"/>
    <w:rsid w:val="007A4EBA"/>
    <w:rsid w:val="007A5318"/>
    <w:rsid w:val="007A5683"/>
    <w:rsid w:val="007A615F"/>
    <w:rsid w:val="007A672C"/>
    <w:rsid w:val="007A6834"/>
    <w:rsid w:val="007A6907"/>
    <w:rsid w:val="007A6B16"/>
    <w:rsid w:val="007A6C36"/>
    <w:rsid w:val="007A713A"/>
    <w:rsid w:val="007A729F"/>
    <w:rsid w:val="007A74C1"/>
    <w:rsid w:val="007A770F"/>
    <w:rsid w:val="007A7770"/>
    <w:rsid w:val="007A7A4F"/>
    <w:rsid w:val="007A7C68"/>
    <w:rsid w:val="007B04DE"/>
    <w:rsid w:val="007B081D"/>
    <w:rsid w:val="007B195C"/>
    <w:rsid w:val="007B3533"/>
    <w:rsid w:val="007B38CD"/>
    <w:rsid w:val="007B3F5E"/>
    <w:rsid w:val="007B4117"/>
    <w:rsid w:val="007B45F1"/>
    <w:rsid w:val="007B4771"/>
    <w:rsid w:val="007B4C29"/>
    <w:rsid w:val="007B5552"/>
    <w:rsid w:val="007B558C"/>
    <w:rsid w:val="007B5956"/>
    <w:rsid w:val="007B5F9E"/>
    <w:rsid w:val="007B69DF"/>
    <w:rsid w:val="007B6B1A"/>
    <w:rsid w:val="007B6D7C"/>
    <w:rsid w:val="007B6D96"/>
    <w:rsid w:val="007B6E20"/>
    <w:rsid w:val="007B6E26"/>
    <w:rsid w:val="007B71B5"/>
    <w:rsid w:val="007B7738"/>
    <w:rsid w:val="007B77B4"/>
    <w:rsid w:val="007B7F05"/>
    <w:rsid w:val="007C0232"/>
    <w:rsid w:val="007C07A2"/>
    <w:rsid w:val="007C102D"/>
    <w:rsid w:val="007C118A"/>
    <w:rsid w:val="007C1394"/>
    <w:rsid w:val="007C1611"/>
    <w:rsid w:val="007C17F9"/>
    <w:rsid w:val="007C1934"/>
    <w:rsid w:val="007C19DA"/>
    <w:rsid w:val="007C2224"/>
    <w:rsid w:val="007C235F"/>
    <w:rsid w:val="007C252E"/>
    <w:rsid w:val="007C275A"/>
    <w:rsid w:val="007C2A08"/>
    <w:rsid w:val="007C2CE3"/>
    <w:rsid w:val="007C3580"/>
    <w:rsid w:val="007C36E3"/>
    <w:rsid w:val="007C3807"/>
    <w:rsid w:val="007C4199"/>
    <w:rsid w:val="007C47E2"/>
    <w:rsid w:val="007C488A"/>
    <w:rsid w:val="007C48E4"/>
    <w:rsid w:val="007C52DC"/>
    <w:rsid w:val="007C5C68"/>
    <w:rsid w:val="007C5F26"/>
    <w:rsid w:val="007C65AC"/>
    <w:rsid w:val="007C6690"/>
    <w:rsid w:val="007C717B"/>
    <w:rsid w:val="007C72B0"/>
    <w:rsid w:val="007C72DB"/>
    <w:rsid w:val="007C7433"/>
    <w:rsid w:val="007C7B38"/>
    <w:rsid w:val="007C7D8B"/>
    <w:rsid w:val="007C7E5B"/>
    <w:rsid w:val="007D043D"/>
    <w:rsid w:val="007D0533"/>
    <w:rsid w:val="007D0627"/>
    <w:rsid w:val="007D0908"/>
    <w:rsid w:val="007D0992"/>
    <w:rsid w:val="007D0BF0"/>
    <w:rsid w:val="007D0CC7"/>
    <w:rsid w:val="007D1007"/>
    <w:rsid w:val="007D11A3"/>
    <w:rsid w:val="007D13A9"/>
    <w:rsid w:val="007D13CA"/>
    <w:rsid w:val="007D17FB"/>
    <w:rsid w:val="007D1A18"/>
    <w:rsid w:val="007D1B99"/>
    <w:rsid w:val="007D1FA9"/>
    <w:rsid w:val="007D1FEE"/>
    <w:rsid w:val="007D232C"/>
    <w:rsid w:val="007D2623"/>
    <w:rsid w:val="007D297F"/>
    <w:rsid w:val="007D2E1F"/>
    <w:rsid w:val="007D2E5C"/>
    <w:rsid w:val="007D30AE"/>
    <w:rsid w:val="007D3136"/>
    <w:rsid w:val="007D32F6"/>
    <w:rsid w:val="007D36B4"/>
    <w:rsid w:val="007D37D8"/>
    <w:rsid w:val="007D3853"/>
    <w:rsid w:val="007D3AF8"/>
    <w:rsid w:val="007D3FDE"/>
    <w:rsid w:val="007D43A6"/>
    <w:rsid w:val="007D4910"/>
    <w:rsid w:val="007D4F7C"/>
    <w:rsid w:val="007D534E"/>
    <w:rsid w:val="007D5596"/>
    <w:rsid w:val="007D573A"/>
    <w:rsid w:val="007D5848"/>
    <w:rsid w:val="007D5E14"/>
    <w:rsid w:val="007D5EFE"/>
    <w:rsid w:val="007D5F74"/>
    <w:rsid w:val="007D5FFD"/>
    <w:rsid w:val="007D6652"/>
    <w:rsid w:val="007D6748"/>
    <w:rsid w:val="007D683E"/>
    <w:rsid w:val="007D68E6"/>
    <w:rsid w:val="007D69BE"/>
    <w:rsid w:val="007D6E96"/>
    <w:rsid w:val="007D7318"/>
    <w:rsid w:val="007D7BDC"/>
    <w:rsid w:val="007D7D11"/>
    <w:rsid w:val="007E03D0"/>
    <w:rsid w:val="007E051E"/>
    <w:rsid w:val="007E0E6A"/>
    <w:rsid w:val="007E157B"/>
    <w:rsid w:val="007E16DC"/>
    <w:rsid w:val="007E1935"/>
    <w:rsid w:val="007E198D"/>
    <w:rsid w:val="007E232C"/>
    <w:rsid w:val="007E2386"/>
    <w:rsid w:val="007E23BD"/>
    <w:rsid w:val="007E23C4"/>
    <w:rsid w:val="007E2EA6"/>
    <w:rsid w:val="007E32E9"/>
    <w:rsid w:val="007E3B7B"/>
    <w:rsid w:val="007E3FF7"/>
    <w:rsid w:val="007E4279"/>
    <w:rsid w:val="007E44ED"/>
    <w:rsid w:val="007E4585"/>
    <w:rsid w:val="007E4F0E"/>
    <w:rsid w:val="007E50D6"/>
    <w:rsid w:val="007E52EA"/>
    <w:rsid w:val="007E55A8"/>
    <w:rsid w:val="007E67A9"/>
    <w:rsid w:val="007E6D38"/>
    <w:rsid w:val="007E7445"/>
    <w:rsid w:val="007E7E12"/>
    <w:rsid w:val="007E7E54"/>
    <w:rsid w:val="007F00D5"/>
    <w:rsid w:val="007F03BF"/>
    <w:rsid w:val="007F09B5"/>
    <w:rsid w:val="007F0FC6"/>
    <w:rsid w:val="007F12EE"/>
    <w:rsid w:val="007F174F"/>
    <w:rsid w:val="007F19C1"/>
    <w:rsid w:val="007F1BC6"/>
    <w:rsid w:val="007F1C6E"/>
    <w:rsid w:val="007F1D6E"/>
    <w:rsid w:val="007F1F26"/>
    <w:rsid w:val="007F20A3"/>
    <w:rsid w:val="007F2159"/>
    <w:rsid w:val="007F244F"/>
    <w:rsid w:val="007F24E1"/>
    <w:rsid w:val="007F2BAD"/>
    <w:rsid w:val="007F2DBE"/>
    <w:rsid w:val="007F32A8"/>
    <w:rsid w:val="007F35C4"/>
    <w:rsid w:val="007F36C7"/>
    <w:rsid w:val="007F3760"/>
    <w:rsid w:val="007F3ED9"/>
    <w:rsid w:val="007F4187"/>
    <w:rsid w:val="007F41AD"/>
    <w:rsid w:val="007F4954"/>
    <w:rsid w:val="007F5152"/>
    <w:rsid w:val="007F577A"/>
    <w:rsid w:val="007F577D"/>
    <w:rsid w:val="007F611E"/>
    <w:rsid w:val="007F65BB"/>
    <w:rsid w:val="007F6D33"/>
    <w:rsid w:val="007F6FD1"/>
    <w:rsid w:val="007F7293"/>
    <w:rsid w:val="007F73D3"/>
    <w:rsid w:val="007F7730"/>
    <w:rsid w:val="007F7AC0"/>
    <w:rsid w:val="008002D6"/>
    <w:rsid w:val="0080041B"/>
    <w:rsid w:val="0080055C"/>
    <w:rsid w:val="00800808"/>
    <w:rsid w:val="00800AC6"/>
    <w:rsid w:val="00800E8F"/>
    <w:rsid w:val="00801298"/>
    <w:rsid w:val="008012A2"/>
    <w:rsid w:val="0080171E"/>
    <w:rsid w:val="008017A1"/>
    <w:rsid w:val="00801886"/>
    <w:rsid w:val="008019FE"/>
    <w:rsid w:val="00801ADA"/>
    <w:rsid w:val="00801CB6"/>
    <w:rsid w:val="00801D04"/>
    <w:rsid w:val="00801EBA"/>
    <w:rsid w:val="0080205A"/>
    <w:rsid w:val="00802A88"/>
    <w:rsid w:val="008030EF"/>
    <w:rsid w:val="008032FA"/>
    <w:rsid w:val="008034E2"/>
    <w:rsid w:val="00803587"/>
    <w:rsid w:val="00803827"/>
    <w:rsid w:val="0080395B"/>
    <w:rsid w:val="00803A6A"/>
    <w:rsid w:val="0080403F"/>
    <w:rsid w:val="008046F3"/>
    <w:rsid w:val="00804C32"/>
    <w:rsid w:val="00804DAB"/>
    <w:rsid w:val="00805037"/>
    <w:rsid w:val="008051AE"/>
    <w:rsid w:val="008051F6"/>
    <w:rsid w:val="0080542E"/>
    <w:rsid w:val="00805B93"/>
    <w:rsid w:val="0080646D"/>
    <w:rsid w:val="008068C9"/>
    <w:rsid w:val="00806CB9"/>
    <w:rsid w:val="008071D8"/>
    <w:rsid w:val="008072C1"/>
    <w:rsid w:val="00807549"/>
    <w:rsid w:val="0081031C"/>
    <w:rsid w:val="00810A17"/>
    <w:rsid w:val="00810F1C"/>
    <w:rsid w:val="00811233"/>
    <w:rsid w:val="00811C0E"/>
    <w:rsid w:val="00811CEC"/>
    <w:rsid w:val="00812B30"/>
    <w:rsid w:val="00812BD0"/>
    <w:rsid w:val="00812D87"/>
    <w:rsid w:val="00812F58"/>
    <w:rsid w:val="008130FE"/>
    <w:rsid w:val="0081372F"/>
    <w:rsid w:val="00813AC5"/>
    <w:rsid w:val="00814BBC"/>
    <w:rsid w:val="00814EB2"/>
    <w:rsid w:val="00815306"/>
    <w:rsid w:val="008154FE"/>
    <w:rsid w:val="008159B1"/>
    <w:rsid w:val="00815AC0"/>
    <w:rsid w:val="00815C73"/>
    <w:rsid w:val="00815D2A"/>
    <w:rsid w:val="00815F9E"/>
    <w:rsid w:val="00815FF7"/>
    <w:rsid w:val="00816099"/>
    <w:rsid w:val="008161AE"/>
    <w:rsid w:val="008166F1"/>
    <w:rsid w:val="00816787"/>
    <w:rsid w:val="00816AA3"/>
    <w:rsid w:val="008170DF"/>
    <w:rsid w:val="0081782A"/>
    <w:rsid w:val="00817FB6"/>
    <w:rsid w:val="00820D23"/>
    <w:rsid w:val="00820F2D"/>
    <w:rsid w:val="008212EB"/>
    <w:rsid w:val="00821551"/>
    <w:rsid w:val="00821671"/>
    <w:rsid w:val="0082168D"/>
    <w:rsid w:val="008219EB"/>
    <w:rsid w:val="00821A5C"/>
    <w:rsid w:val="00821B75"/>
    <w:rsid w:val="00822483"/>
    <w:rsid w:val="008228B7"/>
    <w:rsid w:val="008229E8"/>
    <w:rsid w:val="00822B63"/>
    <w:rsid w:val="00822C04"/>
    <w:rsid w:val="00823425"/>
    <w:rsid w:val="00823529"/>
    <w:rsid w:val="008236BB"/>
    <w:rsid w:val="008239B8"/>
    <w:rsid w:val="00823A85"/>
    <w:rsid w:val="00823BE1"/>
    <w:rsid w:val="00823D7E"/>
    <w:rsid w:val="00823E77"/>
    <w:rsid w:val="00823FD4"/>
    <w:rsid w:val="008240C8"/>
    <w:rsid w:val="008242B4"/>
    <w:rsid w:val="00824422"/>
    <w:rsid w:val="00824776"/>
    <w:rsid w:val="00824A5F"/>
    <w:rsid w:val="00824C3C"/>
    <w:rsid w:val="00824D23"/>
    <w:rsid w:val="0082514A"/>
    <w:rsid w:val="008253E5"/>
    <w:rsid w:val="0082584C"/>
    <w:rsid w:val="00825C4D"/>
    <w:rsid w:val="00825F83"/>
    <w:rsid w:val="008260AB"/>
    <w:rsid w:val="008260B3"/>
    <w:rsid w:val="0082635E"/>
    <w:rsid w:val="008263C3"/>
    <w:rsid w:val="0082672D"/>
    <w:rsid w:val="00826806"/>
    <w:rsid w:val="008279C8"/>
    <w:rsid w:val="00827C7E"/>
    <w:rsid w:val="00827FC5"/>
    <w:rsid w:val="0083030F"/>
    <w:rsid w:val="00830522"/>
    <w:rsid w:val="0083054E"/>
    <w:rsid w:val="0083093E"/>
    <w:rsid w:val="00830D93"/>
    <w:rsid w:val="00831124"/>
    <w:rsid w:val="0083175A"/>
    <w:rsid w:val="008317D7"/>
    <w:rsid w:val="00831A56"/>
    <w:rsid w:val="00831E5F"/>
    <w:rsid w:val="00831E70"/>
    <w:rsid w:val="00832160"/>
    <w:rsid w:val="00832974"/>
    <w:rsid w:val="00832DE9"/>
    <w:rsid w:val="008332B2"/>
    <w:rsid w:val="00833716"/>
    <w:rsid w:val="00833781"/>
    <w:rsid w:val="00833A6D"/>
    <w:rsid w:val="00833F1F"/>
    <w:rsid w:val="00833FA4"/>
    <w:rsid w:val="008342A2"/>
    <w:rsid w:val="00834440"/>
    <w:rsid w:val="00835392"/>
    <w:rsid w:val="00835432"/>
    <w:rsid w:val="00835A4D"/>
    <w:rsid w:val="0083684D"/>
    <w:rsid w:val="00836A7D"/>
    <w:rsid w:val="00836C28"/>
    <w:rsid w:val="00836E40"/>
    <w:rsid w:val="00837B35"/>
    <w:rsid w:val="00837D39"/>
    <w:rsid w:val="00837F3B"/>
    <w:rsid w:val="00837F46"/>
    <w:rsid w:val="00840321"/>
    <w:rsid w:val="00840343"/>
    <w:rsid w:val="00840411"/>
    <w:rsid w:val="00840708"/>
    <w:rsid w:val="00840789"/>
    <w:rsid w:val="00840A11"/>
    <w:rsid w:val="00840D05"/>
    <w:rsid w:val="00840E1A"/>
    <w:rsid w:val="00840F98"/>
    <w:rsid w:val="0084103F"/>
    <w:rsid w:val="0084132B"/>
    <w:rsid w:val="00841478"/>
    <w:rsid w:val="0084162A"/>
    <w:rsid w:val="008416CC"/>
    <w:rsid w:val="008419BD"/>
    <w:rsid w:val="00841D79"/>
    <w:rsid w:val="00841F40"/>
    <w:rsid w:val="008421E5"/>
    <w:rsid w:val="00842209"/>
    <w:rsid w:val="0084221A"/>
    <w:rsid w:val="008426DA"/>
    <w:rsid w:val="00842704"/>
    <w:rsid w:val="0084283F"/>
    <w:rsid w:val="00843645"/>
    <w:rsid w:val="00843B65"/>
    <w:rsid w:val="0084401C"/>
    <w:rsid w:val="008447AA"/>
    <w:rsid w:val="008447AB"/>
    <w:rsid w:val="00844FD3"/>
    <w:rsid w:val="008450B6"/>
    <w:rsid w:val="008451C1"/>
    <w:rsid w:val="00845508"/>
    <w:rsid w:val="0084577B"/>
    <w:rsid w:val="008459C7"/>
    <w:rsid w:val="00845A0F"/>
    <w:rsid w:val="00845C48"/>
    <w:rsid w:val="00845C52"/>
    <w:rsid w:val="00845E73"/>
    <w:rsid w:val="00845F87"/>
    <w:rsid w:val="00846BD3"/>
    <w:rsid w:val="00846C13"/>
    <w:rsid w:val="0084779E"/>
    <w:rsid w:val="0084788B"/>
    <w:rsid w:val="00847CDE"/>
    <w:rsid w:val="00847D6A"/>
    <w:rsid w:val="00847EC3"/>
    <w:rsid w:val="00847ED7"/>
    <w:rsid w:val="00847F2F"/>
    <w:rsid w:val="00850094"/>
    <w:rsid w:val="00850349"/>
    <w:rsid w:val="0085044E"/>
    <w:rsid w:val="0085157F"/>
    <w:rsid w:val="0085193B"/>
    <w:rsid w:val="00851CAE"/>
    <w:rsid w:val="00852273"/>
    <w:rsid w:val="00852527"/>
    <w:rsid w:val="0085261C"/>
    <w:rsid w:val="0085278B"/>
    <w:rsid w:val="008528DE"/>
    <w:rsid w:val="00852AA6"/>
    <w:rsid w:val="00852BE4"/>
    <w:rsid w:val="0085313A"/>
    <w:rsid w:val="008532CB"/>
    <w:rsid w:val="00853348"/>
    <w:rsid w:val="00853B31"/>
    <w:rsid w:val="00853C37"/>
    <w:rsid w:val="00853E2F"/>
    <w:rsid w:val="00854176"/>
    <w:rsid w:val="008542F3"/>
    <w:rsid w:val="008546D6"/>
    <w:rsid w:val="00854927"/>
    <w:rsid w:val="00854F44"/>
    <w:rsid w:val="008550A6"/>
    <w:rsid w:val="00855344"/>
    <w:rsid w:val="00855475"/>
    <w:rsid w:val="00855AE7"/>
    <w:rsid w:val="00855BB8"/>
    <w:rsid w:val="00856231"/>
    <w:rsid w:val="00856638"/>
    <w:rsid w:val="008566F0"/>
    <w:rsid w:val="008566FA"/>
    <w:rsid w:val="00856C4C"/>
    <w:rsid w:val="00856E35"/>
    <w:rsid w:val="00856EF6"/>
    <w:rsid w:val="0085715A"/>
    <w:rsid w:val="00857803"/>
    <w:rsid w:val="00857B0A"/>
    <w:rsid w:val="00857B7F"/>
    <w:rsid w:val="008603C2"/>
    <w:rsid w:val="0086054C"/>
    <w:rsid w:val="008608AE"/>
    <w:rsid w:val="008608DA"/>
    <w:rsid w:val="00860A7E"/>
    <w:rsid w:val="008610AB"/>
    <w:rsid w:val="00861C1E"/>
    <w:rsid w:val="00861D3F"/>
    <w:rsid w:val="00861E1F"/>
    <w:rsid w:val="00861FDC"/>
    <w:rsid w:val="0086225E"/>
    <w:rsid w:val="0086295C"/>
    <w:rsid w:val="00862B0E"/>
    <w:rsid w:val="008630A4"/>
    <w:rsid w:val="008633CE"/>
    <w:rsid w:val="0086343E"/>
    <w:rsid w:val="00863450"/>
    <w:rsid w:val="008639BA"/>
    <w:rsid w:val="00863AF5"/>
    <w:rsid w:val="00863DB6"/>
    <w:rsid w:val="00864343"/>
    <w:rsid w:val="00864A30"/>
    <w:rsid w:val="00864A32"/>
    <w:rsid w:val="008656C4"/>
    <w:rsid w:val="00865AF1"/>
    <w:rsid w:val="00865B05"/>
    <w:rsid w:val="00865D2F"/>
    <w:rsid w:val="00866104"/>
    <w:rsid w:val="00866125"/>
    <w:rsid w:val="00866140"/>
    <w:rsid w:val="0086661B"/>
    <w:rsid w:val="00866B38"/>
    <w:rsid w:val="00866CC5"/>
    <w:rsid w:val="0086722C"/>
    <w:rsid w:val="008674D8"/>
    <w:rsid w:val="00867667"/>
    <w:rsid w:val="0086796F"/>
    <w:rsid w:val="00867B3B"/>
    <w:rsid w:val="00867BA6"/>
    <w:rsid w:val="00867EAB"/>
    <w:rsid w:val="0087065C"/>
    <w:rsid w:val="00870A8D"/>
    <w:rsid w:val="00870FB2"/>
    <w:rsid w:val="008710D2"/>
    <w:rsid w:val="0087127E"/>
    <w:rsid w:val="00871680"/>
    <w:rsid w:val="0087172F"/>
    <w:rsid w:val="00872734"/>
    <w:rsid w:val="008728D7"/>
    <w:rsid w:val="00872BE9"/>
    <w:rsid w:val="00872D67"/>
    <w:rsid w:val="00872F88"/>
    <w:rsid w:val="00873277"/>
    <w:rsid w:val="008739DA"/>
    <w:rsid w:val="00873C90"/>
    <w:rsid w:val="00874283"/>
    <w:rsid w:val="00874BB6"/>
    <w:rsid w:val="00874FBA"/>
    <w:rsid w:val="00875042"/>
    <w:rsid w:val="0087504E"/>
    <w:rsid w:val="00875050"/>
    <w:rsid w:val="00875634"/>
    <w:rsid w:val="00875828"/>
    <w:rsid w:val="00875DCF"/>
    <w:rsid w:val="008761E7"/>
    <w:rsid w:val="0087639C"/>
    <w:rsid w:val="00877864"/>
    <w:rsid w:val="00877C8C"/>
    <w:rsid w:val="00877E32"/>
    <w:rsid w:val="00877EDB"/>
    <w:rsid w:val="008801FA"/>
    <w:rsid w:val="00880270"/>
    <w:rsid w:val="0088076A"/>
    <w:rsid w:val="00880774"/>
    <w:rsid w:val="0088077A"/>
    <w:rsid w:val="00880890"/>
    <w:rsid w:val="00880B76"/>
    <w:rsid w:val="00880C7E"/>
    <w:rsid w:val="00880E87"/>
    <w:rsid w:val="00881394"/>
    <w:rsid w:val="008817A5"/>
    <w:rsid w:val="008817CF"/>
    <w:rsid w:val="00881809"/>
    <w:rsid w:val="008818A5"/>
    <w:rsid w:val="00881D35"/>
    <w:rsid w:val="00882007"/>
    <w:rsid w:val="0088252E"/>
    <w:rsid w:val="00882B8D"/>
    <w:rsid w:val="00882CE0"/>
    <w:rsid w:val="00882F57"/>
    <w:rsid w:val="00882F92"/>
    <w:rsid w:val="0088319A"/>
    <w:rsid w:val="00883226"/>
    <w:rsid w:val="00884260"/>
    <w:rsid w:val="0088498D"/>
    <w:rsid w:val="00884E20"/>
    <w:rsid w:val="00884E3F"/>
    <w:rsid w:val="00885074"/>
    <w:rsid w:val="008850EC"/>
    <w:rsid w:val="00885398"/>
    <w:rsid w:val="008854FE"/>
    <w:rsid w:val="008856EA"/>
    <w:rsid w:val="00885B33"/>
    <w:rsid w:val="00885DA2"/>
    <w:rsid w:val="0088622E"/>
    <w:rsid w:val="00886821"/>
    <w:rsid w:val="00886B00"/>
    <w:rsid w:val="00886B42"/>
    <w:rsid w:val="00886BE0"/>
    <w:rsid w:val="00886C14"/>
    <w:rsid w:val="0088708A"/>
    <w:rsid w:val="008872ED"/>
    <w:rsid w:val="0088736C"/>
    <w:rsid w:val="008873CC"/>
    <w:rsid w:val="00887400"/>
    <w:rsid w:val="0088748D"/>
    <w:rsid w:val="008874C9"/>
    <w:rsid w:val="008875C1"/>
    <w:rsid w:val="00887793"/>
    <w:rsid w:val="00887D80"/>
    <w:rsid w:val="00887F0C"/>
    <w:rsid w:val="00887FA1"/>
    <w:rsid w:val="0089000C"/>
    <w:rsid w:val="00890081"/>
    <w:rsid w:val="00890190"/>
    <w:rsid w:val="00890C21"/>
    <w:rsid w:val="00890C45"/>
    <w:rsid w:val="00890E9C"/>
    <w:rsid w:val="00890FE9"/>
    <w:rsid w:val="00891986"/>
    <w:rsid w:val="00891A88"/>
    <w:rsid w:val="00891BA5"/>
    <w:rsid w:val="00891EE7"/>
    <w:rsid w:val="00892056"/>
    <w:rsid w:val="008928D4"/>
    <w:rsid w:val="0089297E"/>
    <w:rsid w:val="00892A2B"/>
    <w:rsid w:val="00892CCD"/>
    <w:rsid w:val="00892E4C"/>
    <w:rsid w:val="0089326C"/>
    <w:rsid w:val="00893E11"/>
    <w:rsid w:val="00894341"/>
    <w:rsid w:val="0089463B"/>
    <w:rsid w:val="00894E40"/>
    <w:rsid w:val="00894E69"/>
    <w:rsid w:val="0089575F"/>
    <w:rsid w:val="00895980"/>
    <w:rsid w:val="00895AE0"/>
    <w:rsid w:val="00895E82"/>
    <w:rsid w:val="00895F92"/>
    <w:rsid w:val="0089652C"/>
    <w:rsid w:val="00896867"/>
    <w:rsid w:val="0089693C"/>
    <w:rsid w:val="00896CA1"/>
    <w:rsid w:val="008975B1"/>
    <w:rsid w:val="008977D0"/>
    <w:rsid w:val="00897ACE"/>
    <w:rsid w:val="008A047F"/>
    <w:rsid w:val="008A0841"/>
    <w:rsid w:val="008A0849"/>
    <w:rsid w:val="008A0852"/>
    <w:rsid w:val="008A0DC2"/>
    <w:rsid w:val="008A0E33"/>
    <w:rsid w:val="008A10A0"/>
    <w:rsid w:val="008A1A37"/>
    <w:rsid w:val="008A1DFB"/>
    <w:rsid w:val="008A2B4C"/>
    <w:rsid w:val="008A2CEB"/>
    <w:rsid w:val="008A3326"/>
    <w:rsid w:val="008A33D8"/>
    <w:rsid w:val="008A356E"/>
    <w:rsid w:val="008A39C8"/>
    <w:rsid w:val="008A3AD6"/>
    <w:rsid w:val="008A3E96"/>
    <w:rsid w:val="008A425C"/>
    <w:rsid w:val="008A4363"/>
    <w:rsid w:val="008A479E"/>
    <w:rsid w:val="008A4991"/>
    <w:rsid w:val="008A4F06"/>
    <w:rsid w:val="008A4FD6"/>
    <w:rsid w:val="008A5023"/>
    <w:rsid w:val="008A506B"/>
    <w:rsid w:val="008A524A"/>
    <w:rsid w:val="008A57A9"/>
    <w:rsid w:val="008A5C49"/>
    <w:rsid w:val="008A5D5B"/>
    <w:rsid w:val="008A6757"/>
    <w:rsid w:val="008A6F2D"/>
    <w:rsid w:val="008A71F5"/>
    <w:rsid w:val="008A72A8"/>
    <w:rsid w:val="008A72D5"/>
    <w:rsid w:val="008A740D"/>
    <w:rsid w:val="008A78AF"/>
    <w:rsid w:val="008A7A88"/>
    <w:rsid w:val="008A7AD0"/>
    <w:rsid w:val="008B0562"/>
    <w:rsid w:val="008B0944"/>
    <w:rsid w:val="008B1234"/>
    <w:rsid w:val="008B13F8"/>
    <w:rsid w:val="008B14C4"/>
    <w:rsid w:val="008B151E"/>
    <w:rsid w:val="008B1681"/>
    <w:rsid w:val="008B1A97"/>
    <w:rsid w:val="008B1CE0"/>
    <w:rsid w:val="008B1E6A"/>
    <w:rsid w:val="008B1FBC"/>
    <w:rsid w:val="008B202D"/>
    <w:rsid w:val="008B227D"/>
    <w:rsid w:val="008B243C"/>
    <w:rsid w:val="008B24BD"/>
    <w:rsid w:val="008B2DD3"/>
    <w:rsid w:val="008B3664"/>
    <w:rsid w:val="008B371D"/>
    <w:rsid w:val="008B3D1C"/>
    <w:rsid w:val="008B4671"/>
    <w:rsid w:val="008B4810"/>
    <w:rsid w:val="008B4F42"/>
    <w:rsid w:val="008B50E3"/>
    <w:rsid w:val="008B520E"/>
    <w:rsid w:val="008B5605"/>
    <w:rsid w:val="008B5E71"/>
    <w:rsid w:val="008B5E9D"/>
    <w:rsid w:val="008B6743"/>
    <w:rsid w:val="008B677F"/>
    <w:rsid w:val="008B697D"/>
    <w:rsid w:val="008B6C3C"/>
    <w:rsid w:val="008C0D08"/>
    <w:rsid w:val="008C0F9E"/>
    <w:rsid w:val="008C199C"/>
    <w:rsid w:val="008C1F5F"/>
    <w:rsid w:val="008C2086"/>
    <w:rsid w:val="008C2330"/>
    <w:rsid w:val="008C25B7"/>
    <w:rsid w:val="008C25DB"/>
    <w:rsid w:val="008C25FD"/>
    <w:rsid w:val="008C3344"/>
    <w:rsid w:val="008C397E"/>
    <w:rsid w:val="008C3DBC"/>
    <w:rsid w:val="008C410D"/>
    <w:rsid w:val="008C4147"/>
    <w:rsid w:val="008C4413"/>
    <w:rsid w:val="008C4A42"/>
    <w:rsid w:val="008C4BF1"/>
    <w:rsid w:val="008C4BFB"/>
    <w:rsid w:val="008C4CB5"/>
    <w:rsid w:val="008C4FAE"/>
    <w:rsid w:val="008C51C5"/>
    <w:rsid w:val="008C5D26"/>
    <w:rsid w:val="008C624C"/>
    <w:rsid w:val="008C6307"/>
    <w:rsid w:val="008C6471"/>
    <w:rsid w:val="008C6532"/>
    <w:rsid w:val="008C6BCC"/>
    <w:rsid w:val="008C71AD"/>
    <w:rsid w:val="008C7871"/>
    <w:rsid w:val="008C789D"/>
    <w:rsid w:val="008C78BA"/>
    <w:rsid w:val="008C7BCF"/>
    <w:rsid w:val="008C7DFB"/>
    <w:rsid w:val="008C7EE4"/>
    <w:rsid w:val="008D02CB"/>
    <w:rsid w:val="008D0383"/>
    <w:rsid w:val="008D091F"/>
    <w:rsid w:val="008D13FF"/>
    <w:rsid w:val="008D1739"/>
    <w:rsid w:val="008D1A0F"/>
    <w:rsid w:val="008D1E97"/>
    <w:rsid w:val="008D21F9"/>
    <w:rsid w:val="008D2BCE"/>
    <w:rsid w:val="008D2EF0"/>
    <w:rsid w:val="008D31ED"/>
    <w:rsid w:val="008D3291"/>
    <w:rsid w:val="008D3542"/>
    <w:rsid w:val="008D35DC"/>
    <w:rsid w:val="008D3AD6"/>
    <w:rsid w:val="008D3C26"/>
    <w:rsid w:val="008D413E"/>
    <w:rsid w:val="008D4432"/>
    <w:rsid w:val="008D480C"/>
    <w:rsid w:val="008D4965"/>
    <w:rsid w:val="008D4B40"/>
    <w:rsid w:val="008D4F2B"/>
    <w:rsid w:val="008D5331"/>
    <w:rsid w:val="008D53E9"/>
    <w:rsid w:val="008D552C"/>
    <w:rsid w:val="008D5638"/>
    <w:rsid w:val="008D591C"/>
    <w:rsid w:val="008D5C6B"/>
    <w:rsid w:val="008D5D56"/>
    <w:rsid w:val="008D5DE7"/>
    <w:rsid w:val="008D5E9C"/>
    <w:rsid w:val="008D5FBD"/>
    <w:rsid w:val="008D6561"/>
    <w:rsid w:val="008D7194"/>
    <w:rsid w:val="008D7230"/>
    <w:rsid w:val="008D76AD"/>
    <w:rsid w:val="008D770A"/>
    <w:rsid w:val="008D7844"/>
    <w:rsid w:val="008D78AB"/>
    <w:rsid w:val="008D7989"/>
    <w:rsid w:val="008D7ADB"/>
    <w:rsid w:val="008D7B5D"/>
    <w:rsid w:val="008D7BBB"/>
    <w:rsid w:val="008E0230"/>
    <w:rsid w:val="008E039D"/>
    <w:rsid w:val="008E06C3"/>
    <w:rsid w:val="008E0EFE"/>
    <w:rsid w:val="008E1550"/>
    <w:rsid w:val="008E1817"/>
    <w:rsid w:val="008E192A"/>
    <w:rsid w:val="008E1A07"/>
    <w:rsid w:val="008E1BA9"/>
    <w:rsid w:val="008E1BDD"/>
    <w:rsid w:val="008E2665"/>
    <w:rsid w:val="008E26A0"/>
    <w:rsid w:val="008E2E94"/>
    <w:rsid w:val="008E3571"/>
    <w:rsid w:val="008E3B19"/>
    <w:rsid w:val="008E3BDE"/>
    <w:rsid w:val="008E3C0B"/>
    <w:rsid w:val="008E4482"/>
    <w:rsid w:val="008E4731"/>
    <w:rsid w:val="008E492F"/>
    <w:rsid w:val="008E4B6A"/>
    <w:rsid w:val="008E524A"/>
    <w:rsid w:val="008E55A3"/>
    <w:rsid w:val="008E56DC"/>
    <w:rsid w:val="008E5941"/>
    <w:rsid w:val="008E5C65"/>
    <w:rsid w:val="008E5E0A"/>
    <w:rsid w:val="008E60F4"/>
    <w:rsid w:val="008E62D5"/>
    <w:rsid w:val="008E6607"/>
    <w:rsid w:val="008E6917"/>
    <w:rsid w:val="008E6F88"/>
    <w:rsid w:val="008E708A"/>
    <w:rsid w:val="008E7329"/>
    <w:rsid w:val="008E755B"/>
    <w:rsid w:val="008E7B14"/>
    <w:rsid w:val="008E7E74"/>
    <w:rsid w:val="008E7FC6"/>
    <w:rsid w:val="008F00AD"/>
    <w:rsid w:val="008F0196"/>
    <w:rsid w:val="008F0536"/>
    <w:rsid w:val="008F09EA"/>
    <w:rsid w:val="008F0C9B"/>
    <w:rsid w:val="008F0D57"/>
    <w:rsid w:val="008F0FAF"/>
    <w:rsid w:val="008F11A4"/>
    <w:rsid w:val="008F133F"/>
    <w:rsid w:val="008F136D"/>
    <w:rsid w:val="008F153F"/>
    <w:rsid w:val="008F19E5"/>
    <w:rsid w:val="008F1C9B"/>
    <w:rsid w:val="008F20C7"/>
    <w:rsid w:val="008F2468"/>
    <w:rsid w:val="008F276D"/>
    <w:rsid w:val="008F2B90"/>
    <w:rsid w:val="008F2F44"/>
    <w:rsid w:val="008F3015"/>
    <w:rsid w:val="008F3275"/>
    <w:rsid w:val="008F365C"/>
    <w:rsid w:val="008F36B0"/>
    <w:rsid w:val="008F4237"/>
    <w:rsid w:val="008F4670"/>
    <w:rsid w:val="008F49EF"/>
    <w:rsid w:val="008F4A56"/>
    <w:rsid w:val="008F4AF9"/>
    <w:rsid w:val="008F4D13"/>
    <w:rsid w:val="008F4F4D"/>
    <w:rsid w:val="008F523F"/>
    <w:rsid w:val="008F52B5"/>
    <w:rsid w:val="008F5B0A"/>
    <w:rsid w:val="008F5B9D"/>
    <w:rsid w:val="008F6073"/>
    <w:rsid w:val="008F62ED"/>
    <w:rsid w:val="008F6781"/>
    <w:rsid w:val="008F6C75"/>
    <w:rsid w:val="008F6FEE"/>
    <w:rsid w:val="008F75EF"/>
    <w:rsid w:val="008F76DD"/>
    <w:rsid w:val="008F7794"/>
    <w:rsid w:val="008F7839"/>
    <w:rsid w:val="008F79FB"/>
    <w:rsid w:val="008F7B1D"/>
    <w:rsid w:val="008F7E5C"/>
    <w:rsid w:val="008F7EEF"/>
    <w:rsid w:val="00900568"/>
    <w:rsid w:val="00900964"/>
    <w:rsid w:val="00900A4A"/>
    <w:rsid w:val="00900A90"/>
    <w:rsid w:val="00900B7D"/>
    <w:rsid w:val="00900F69"/>
    <w:rsid w:val="0090177E"/>
    <w:rsid w:val="00901DC9"/>
    <w:rsid w:val="00901DE6"/>
    <w:rsid w:val="009020E2"/>
    <w:rsid w:val="009022B5"/>
    <w:rsid w:val="00902707"/>
    <w:rsid w:val="00902CD3"/>
    <w:rsid w:val="0090306A"/>
    <w:rsid w:val="00903577"/>
    <w:rsid w:val="009036E4"/>
    <w:rsid w:val="00903A23"/>
    <w:rsid w:val="00903B75"/>
    <w:rsid w:val="00903F4C"/>
    <w:rsid w:val="0090451D"/>
    <w:rsid w:val="0090456B"/>
    <w:rsid w:val="00904576"/>
    <w:rsid w:val="0090491A"/>
    <w:rsid w:val="00904D45"/>
    <w:rsid w:val="0090505C"/>
    <w:rsid w:val="0090542E"/>
    <w:rsid w:val="00905799"/>
    <w:rsid w:val="0090679E"/>
    <w:rsid w:val="0090685B"/>
    <w:rsid w:val="00906CCB"/>
    <w:rsid w:val="00906DA1"/>
    <w:rsid w:val="00907782"/>
    <w:rsid w:val="00907C2F"/>
    <w:rsid w:val="00907E16"/>
    <w:rsid w:val="00910115"/>
    <w:rsid w:val="00910127"/>
    <w:rsid w:val="00910187"/>
    <w:rsid w:val="009101E6"/>
    <w:rsid w:val="00910280"/>
    <w:rsid w:val="00910308"/>
    <w:rsid w:val="00910A37"/>
    <w:rsid w:val="00910CB7"/>
    <w:rsid w:val="0091113E"/>
    <w:rsid w:val="00911625"/>
    <w:rsid w:val="0091182A"/>
    <w:rsid w:val="00911B34"/>
    <w:rsid w:val="009123D9"/>
    <w:rsid w:val="00912AFC"/>
    <w:rsid w:val="0091340F"/>
    <w:rsid w:val="00913963"/>
    <w:rsid w:val="00913B24"/>
    <w:rsid w:val="00913E70"/>
    <w:rsid w:val="0091419E"/>
    <w:rsid w:val="009142F6"/>
    <w:rsid w:val="009145E7"/>
    <w:rsid w:val="00914806"/>
    <w:rsid w:val="00914832"/>
    <w:rsid w:val="0091561D"/>
    <w:rsid w:val="00915752"/>
    <w:rsid w:val="00915CF1"/>
    <w:rsid w:val="00916204"/>
    <w:rsid w:val="009164D2"/>
    <w:rsid w:val="009169B7"/>
    <w:rsid w:val="009173F6"/>
    <w:rsid w:val="009174F8"/>
    <w:rsid w:val="0091751B"/>
    <w:rsid w:val="009211CC"/>
    <w:rsid w:val="009214D3"/>
    <w:rsid w:val="00921541"/>
    <w:rsid w:val="00921658"/>
    <w:rsid w:val="00921D2B"/>
    <w:rsid w:val="009222BD"/>
    <w:rsid w:val="00922C44"/>
    <w:rsid w:val="00922CD9"/>
    <w:rsid w:val="00922D18"/>
    <w:rsid w:val="00923335"/>
    <w:rsid w:val="009239A8"/>
    <w:rsid w:val="009239B9"/>
    <w:rsid w:val="00923E40"/>
    <w:rsid w:val="00923E48"/>
    <w:rsid w:val="009248E7"/>
    <w:rsid w:val="0092531E"/>
    <w:rsid w:val="0092536D"/>
    <w:rsid w:val="0092566C"/>
    <w:rsid w:val="009256D5"/>
    <w:rsid w:val="00925920"/>
    <w:rsid w:val="00925C66"/>
    <w:rsid w:val="009266AA"/>
    <w:rsid w:val="009266F4"/>
    <w:rsid w:val="0092696F"/>
    <w:rsid w:val="00926AB9"/>
    <w:rsid w:val="00926D57"/>
    <w:rsid w:val="00926F35"/>
    <w:rsid w:val="009275A8"/>
    <w:rsid w:val="00927F15"/>
    <w:rsid w:val="00930190"/>
    <w:rsid w:val="009307BA"/>
    <w:rsid w:val="0093081E"/>
    <w:rsid w:val="00930FEC"/>
    <w:rsid w:val="0093111B"/>
    <w:rsid w:val="00931B07"/>
    <w:rsid w:val="00931D97"/>
    <w:rsid w:val="009325CC"/>
    <w:rsid w:val="00932A25"/>
    <w:rsid w:val="00932D44"/>
    <w:rsid w:val="009336A7"/>
    <w:rsid w:val="0093375D"/>
    <w:rsid w:val="009338EA"/>
    <w:rsid w:val="00933B68"/>
    <w:rsid w:val="00933E54"/>
    <w:rsid w:val="0093446F"/>
    <w:rsid w:val="00934C02"/>
    <w:rsid w:val="00934D1F"/>
    <w:rsid w:val="00935432"/>
    <w:rsid w:val="0093562B"/>
    <w:rsid w:val="00935899"/>
    <w:rsid w:val="009360A9"/>
    <w:rsid w:val="00936115"/>
    <w:rsid w:val="0093624F"/>
    <w:rsid w:val="00936482"/>
    <w:rsid w:val="00937B8D"/>
    <w:rsid w:val="00937C31"/>
    <w:rsid w:val="009402E2"/>
    <w:rsid w:val="00940405"/>
    <w:rsid w:val="009404D0"/>
    <w:rsid w:val="00940516"/>
    <w:rsid w:val="009406E2"/>
    <w:rsid w:val="0094073A"/>
    <w:rsid w:val="00940C4A"/>
    <w:rsid w:val="00940E55"/>
    <w:rsid w:val="009411BC"/>
    <w:rsid w:val="00941831"/>
    <w:rsid w:val="00941AEB"/>
    <w:rsid w:val="00941AF6"/>
    <w:rsid w:val="00941C24"/>
    <w:rsid w:val="00941D6B"/>
    <w:rsid w:val="00941FBE"/>
    <w:rsid w:val="00942190"/>
    <w:rsid w:val="00942633"/>
    <w:rsid w:val="009426F4"/>
    <w:rsid w:val="00942AB2"/>
    <w:rsid w:val="00942AE8"/>
    <w:rsid w:val="00942B16"/>
    <w:rsid w:val="00942B2C"/>
    <w:rsid w:val="00942CAC"/>
    <w:rsid w:val="00942DBE"/>
    <w:rsid w:val="00942EE1"/>
    <w:rsid w:val="009433C9"/>
    <w:rsid w:val="00943548"/>
    <w:rsid w:val="0094380B"/>
    <w:rsid w:val="00943E39"/>
    <w:rsid w:val="00943EE7"/>
    <w:rsid w:val="00944F61"/>
    <w:rsid w:val="00944F67"/>
    <w:rsid w:val="00945633"/>
    <w:rsid w:val="00946B50"/>
    <w:rsid w:val="00946BA0"/>
    <w:rsid w:val="00946CCE"/>
    <w:rsid w:val="00946D23"/>
    <w:rsid w:val="009470A9"/>
    <w:rsid w:val="00947950"/>
    <w:rsid w:val="00947A24"/>
    <w:rsid w:val="00947A7A"/>
    <w:rsid w:val="00947CB9"/>
    <w:rsid w:val="00947D5E"/>
    <w:rsid w:val="009502D4"/>
    <w:rsid w:val="009508C4"/>
    <w:rsid w:val="00950C52"/>
    <w:rsid w:val="00950CB4"/>
    <w:rsid w:val="00950DB4"/>
    <w:rsid w:val="00950F56"/>
    <w:rsid w:val="00950F99"/>
    <w:rsid w:val="00950FA1"/>
    <w:rsid w:val="009512E8"/>
    <w:rsid w:val="00951315"/>
    <w:rsid w:val="00951494"/>
    <w:rsid w:val="0095172B"/>
    <w:rsid w:val="009517C2"/>
    <w:rsid w:val="00951EAC"/>
    <w:rsid w:val="00952074"/>
    <w:rsid w:val="00952850"/>
    <w:rsid w:val="00952AEC"/>
    <w:rsid w:val="00952E7E"/>
    <w:rsid w:val="0095306A"/>
    <w:rsid w:val="009531D5"/>
    <w:rsid w:val="00953223"/>
    <w:rsid w:val="00953231"/>
    <w:rsid w:val="00953896"/>
    <w:rsid w:val="00953BB9"/>
    <w:rsid w:val="00953C8D"/>
    <w:rsid w:val="00953E64"/>
    <w:rsid w:val="00954037"/>
    <w:rsid w:val="0095467D"/>
    <w:rsid w:val="00954779"/>
    <w:rsid w:val="0095481B"/>
    <w:rsid w:val="00955497"/>
    <w:rsid w:val="009559B9"/>
    <w:rsid w:val="009560F8"/>
    <w:rsid w:val="00956269"/>
    <w:rsid w:val="00956341"/>
    <w:rsid w:val="0095643C"/>
    <w:rsid w:val="0095644F"/>
    <w:rsid w:val="00956798"/>
    <w:rsid w:val="009567BA"/>
    <w:rsid w:val="009569E9"/>
    <w:rsid w:val="00956AF4"/>
    <w:rsid w:val="00956B8E"/>
    <w:rsid w:val="0095703A"/>
    <w:rsid w:val="00957149"/>
    <w:rsid w:val="00957151"/>
    <w:rsid w:val="009571BF"/>
    <w:rsid w:val="00957217"/>
    <w:rsid w:val="0095730B"/>
    <w:rsid w:val="0095748F"/>
    <w:rsid w:val="009574F6"/>
    <w:rsid w:val="00957ABF"/>
    <w:rsid w:val="00957C34"/>
    <w:rsid w:val="0096029F"/>
    <w:rsid w:val="009603D0"/>
    <w:rsid w:val="009606DC"/>
    <w:rsid w:val="00960BB5"/>
    <w:rsid w:val="00960C65"/>
    <w:rsid w:val="00960CB3"/>
    <w:rsid w:val="00960FF3"/>
    <w:rsid w:val="00961094"/>
    <w:rsid w:val="00961525"/>
    <w:rsid w:val="009615AF"/>
    <w:rsid w:val="00961680"/>
    <w:rsid w:val="00961A8A"/>
    <w:rsid w:val="00961C86"/>
    <w:rsid w:val="00961CDD"/>
    <w:rsid w:val="00961F84"/>
    <w:rsid w:val="009624BC"/>
    <w:rsid w:val="00962576"/>
    <w:rsid w:val="00962EDC"/>
    <w:rsid w:val="00963DF1"/>
    <w:rsid w:val="00963EAE"/>
    <w:rsid w:val="00964291"/>
    <w:rsid w:val="0096510C"/>
    <w:rsid w:val="009654B9"/>
    <w:rsid w:val="00965B49"/>
    <w:rsid w:val="009662B2"/>
    <w:rsid w:val="00966423"/>
    <w:rsid w:val="00966457"/>
    <w:rsid w:val="009664BC"/>
    <w:rsid w:val="0096696F"/>
    <w:rsid w:val="00966B8C"/>
    <w:rsid w:val="00966D9E"/>
    <w:rsid w:val="00966F62"/>
    <w:rsid w:val="0096778B"/>
    <w:rsid w:val="00967829"/>
    <w:rsid w:val="00967D44"/>
    <w:rsid w:val="00967DBC"/>
    <w:rsid w:val="00967E50"/>
    <w:rsid w:val="009703E1"/>
    <w:rsid w:val="009704FD"/>
    <w:rsid w:val="00970569"/>
    <w:rsid w:val="009705EE"/>
    <w:rsid w:val="009709D8"/>
    <w:rsid w:val="00970ADA"/>
    <w:rsid w:val="00970BE4"/>
    <w:rsid w:val="00970DB3"/>
    <w:rsid w:val="00970FC7"/>
    <w:rsid w:val="009710BC"/>
    <w:rsid w:val="00971604"/>
    <w:rsid w:val="00971C92"/>
    <w:rsid w:val="00971E97"/>
    <w:rsid w:val="0097208C"/>
    <w:rsid w:val="00972540"/>
    <w:rsid w:val="0097255C"/>
    <w:rsid w:val="0097291C"/>
    <w:rsid w:val="0097299B"/>
    <w:rsid w:val="00972B48"/>
    <w:rsid w:val="00972EC4"/>
    <w:rsid w:val="00973A72"/>
    <w:rsid w:val="0097406E"/>
    <w:rsid w:val="0097420F"/>
    <w:rsid w:val="009743D6"/>
    <w:rsid w:val="009744BC"/>
    <w:rsid w:val="009746A9"/>
    <w:rsid w:val="00974D06"/>
    <w:rsid w:val="0097513F"/>
    <w:rsid w:val="00975297"/>
    <w:rsid w:val="0097534C"/>
    <w:rsid w:val="009753C9"/>
    <w:rsid w:val="009756E9"/>
    <w:rsid w:val="0097574C"/>
    <w:rsid w:val="00976078"/>
    <w:rsid w:val="009763C6"/>
    <w:rsid w:val="00976B88"/>
    <w:rsid w:val="00976C76"/>
    <w:rsid w:val="00976D63"/>
    <w:rsid w:val="009772E2"/>
    <w:rsid w:val="00977468"/>
    <w:rsid w:val="009775E2"/>
    <w:rsid w:val="00977902"/>
    <w:rsid w:val="00977AF0"/>
    <w:rsid w:val="00977ECC"/>
    <w:rsid w:val="009802E3"/>
    <w:rsid w:val="0098030D"/>
    <w:rsid w:val="009805DE"/>
    <w:rsid w:val="00980791"/>
    <w:rsid w:val="009808DB"/>
    <w:rsid w:val="00980CDA"/>
    <w:rsid w:val="009812DD"/>
    <w:rsid w:val="00981D25"/>
    <w:rsid w:val="00981FF4"/>
    <w:rsid w:val="009823FE"/>
    <w:rsid w:val="009824C4"/>
    <w:rsid w:val="009829CF"/>
    <w:rsid w:val="00982A3D"/>
    <w:rsid w:val="00982E53"/>
    <w:rsid w:val="0098321A"/>
    <w:rsid w:val="009836B6"/>
    <w:rsid w:val="009837B2"/>
    <w:rsid w:val="00983EA6"/>
    <w:rsid w:val="00983EE2"/>
    <w:rsid w:val="00983F20"/>
    <w:rsid w:val="00983F6A"/>
    <w:rsid w:val="00983FFB"/>
    <w:rsid w:val="00984183"/>
    <w:rsid w:val="009848E2"/>
    <w:rsid w:val="00985193"/>
    <w:rsid w:val="0098528A"/>
    <w:rsid w:val="0098530D"/>
    <w:rsid w:val="0098536F"/>
    <w:rsid w:val="009856A4"/>
    <w:rsid w:val="00985F69"/>
    <w:rsid w:val="0098646E"/>
    <w:rsid w:val="009864B2"/>
    <w:rsid w:val="00986637"/>
    <w:rsid w:val="00986C3F"/>
    <w:rsid w:val="00986CF3"/>
    <w:rsid w:val="00987025"/>
    <w:rsid w:val="00987318"/>
    <w:rsid w:val="0098733D"/>
    <w:rsid w:val="009873BB"/>
    <w:rsid w:val="0098747C"/>
    <w:rsid w:val="00987D49"/>
    <w:rsid w:val="009900C4"/>
    <w:rsid w:val="00990423"/>
    <w:rsid w:val="009904BF"/>
    <w:rsid w:val="00990691"/>
    <w:rsid w:val="00991890"/>
    <w:rsid w:val="00991998"/>
    <w:rsid w:val="00992111"/>
    <w:rsid w:val="0099272B"/>
    <w:rsid w:val="00992830"/>
    <w:rsid w:val="00992B5D"/>
    <w:rsid w:val="00992DF3"/>
    <w:rsid w:val="00992E8C"/>
    <w:rsid w:val="0099322E"/>
    <w:rsid w:val="009932D6"/>
    <w:rsid w:val="009933A9"/>
    <w:rsid w:val="009934A3"/>
    <w:rsid w:val="00993A88"/>
    <w:rsid w:val="009941F9"/>
    <w:rsid w:val="0099432A"/>
    <w:rsid w:val="00994465"/>
    <w:rsid w:val="00994815"/>
    <w:rsid w:val="009948CA"/>
    <w:rsid w:val="0099507A"/>
    <w:rsid w:val="00995871"/>
    <w:rsid w:val="00995DBF"/>
    <w:rsid w:val="00995EC0"/>
    <w:rsid w:val="009963A9"/>
    <w:rsid w:val="009965DE"/>
    <w:rsid w:val="0099668B"/>
    <w:rsid w:val="009966CD"/>
    <w:rsid w:val="009974C0"/>
    <w:rsid w:val="00997A3E"/>
    <w:rsid w:val="009A0529"/>
    <w:rsid w:val="009A06B6"/>
    <w:rsid w:val="009A0FB6"/>
    <w:rsid w:val="009A12E3"/>
    <w:rsid w:val="009A1469"/>
    <w:rsid w:val="009A18F6"/>
    <w:rsid w:val="009A207F"/>
    <w:rsid w:val="009A231F"/>
    <w:rsid w:val="009A282F"/>
    <w:rsid w:val="009A2863"/>
    <w:rsid w:val="009A2AC8"/>
    <w:rsid w:val="009A2F04"/>
    <w:rsid w:val="009A31B8"/>
    <w:rsid w:val="009A353A"/>
    <w:rsid w:val="009A3982"/>
    <w:rsid w:val="009A3BA3"/>
    <w:rsid w:val="009A3BB0"/>
    <w:rsid w:val="009A447B"/>
    <w:rsid w:val="009A45D5"/>
    <w:rsid w:val="009A4600"/>
    <w:rsid w:val="009A48D5"/>
    <w:rsid w:val="009A4B0C"/>
    <w:rsid w:val="009A4E42"/>
    <w:rsid w:val="009A53BD"/>
    <w:rsid w:val="009A540D"/>
    <w:rsid w:val="009A5544"/>
    <w:rsid w:val="009A5A85"/>
    <w:rsid w:val="009A5BC8"/>
    <w:rsid w:val="009A5BD1"/>
    <w:rsid w:val="009A5DF7"/>
    <w:rsid w:val="009A5EF2"/>
    <w:rsid w:val="009A5F26"/>
    <w:rsid w:val="009A619B"/>
    <w:rsid w:val="009A67E6"/>
    <w:rsid w:val="009A6F07"/>
    <w:rsid w:val="009A6F23"/>
    <w:rsid w:val="009A7743"/>
    <w:rsid w:val="009A77B3"/>
    <w:rsid w:val="009A77C4"/>
    <w:rsid w:val="009A78DF"/>
    <w:rsid w:val="009B0A58"/>
    <w:rsid w:val="009B0D7C"/>
    <w:rsid w:val="009B0D7F"/>
    <w:rsid w:val="009B0EA2"/>
    <w:rsid w:val="009B1197"/>
    <w:rsid w:val="009B15AB"/>
    <w:rsid w:val="009B15BF"/>
    <w:rsid w:val="009B23D6"/>
    <w:rsid w:val="009B2C3A"/>
    <w:rsid w:val="009B2D49"/>
    <w:rsid w:val="009B37D2"/>
    <w:rsid w:val="009B394F"/>
    <w:rsid w:val="009B3998"/>
    <w:rsid w:val="009B3B61"/>
    <w:rsid w:val="009B3E42"/>
    <w:rsid w:val="009B41F0"/>
    <w:rsid w:val="009B471E"/>
    <w:rsid w:val="009B48B3"/>
    <w:rsid w:val="009B4A4F"/>
    <w:rsid w:val="009B555A"/>
    <w:rsid w:val="009B5E30"/>
    <w:rsid w:val="009B6126"/>
    <w:rsid w:val="009B62BA"/>
    <w:rsid w:val="009B649F"/>
    <w:rsid w:val="009B68DA"/>
    <w:rsid w:val="009B6A5B"/>
    <w:rsid w:val="009B6AAA"/>
    <w:rsid w:val="009B6E2F"/>
    <w:rsid w:val="009B72EC"/>
    <w:rsid w:val="009B74C2"/>
    <w:rsid w:val="009B7592"/>
    <w:rsid w:val="009B781E"/>
    <w:rsid w:val="009B7A60"/>
    <w:rsid w:val="009B7E03"/>
    <w:rsid w:val="009C06D8"/>
    <w:rsid w:val="009C07D0"/>
    <w:rsid w:val="009C0A78"/>
    <w:rsid w:val="009C0D97"/>
    <w:rsid w:val="009C16B3"/>
    <w:rsid w:val="009C1799"/>
    <w:rsid w:val="009C1A15"/>
    <w:rsid w:val="009C1A2D"/>
    <w:rsid w:val="009C2102"/>
    <w:rsid w:val="009C236E"/>
    <w:rsid w:val="009C26C7"/>
    <w:rsid w:val="009C28CE"/>
    <w:rsid w:val="009C2CCD"/>
    <w:rsid w:val="009C2F7A"/>
    <w:rsid w:val="009C2F96"/>
    <w:rsid w:val="009C303A"/>
    <w:rsid w:val="009C3989"/>
    <w:rsid w:val="009C3A6B"/>
    <w:rsid w:val="009C3D89"/>
    <w:rsid w:val="009C44E3"/>
    <w:rsid w:val="009C48EF"/>
    <w:rsid w:val="009C50EC"/>
    <w:rsid w:val="009C57F3"/>
    <w:rsid w:val="009C5928"/>
    <w:rsid w:val="009C5DB7"/>
    <w:rsid w:val="009C64DE"/>
    <w:rsid w:val="009C64EB"/>
    <w:rsid w:val="009C6547"/>
    <w:rsid w:val="009C665C"/>
    <w:rsid w:val="009C67F7"/>
    <w:rsid w:val="009C68D7"/>
    <w:rsid w:val="009C6944"/>
    <w:rsid w:val="009C6C1E"/>
    <w:rsid w:val="009C736C"/>
    <w:rsid w:val="009C73B0"/>
    <w:rsid w:val="009C765F"/>
    <w:rsid w:val="009C7BCB"/>
    <w:rsid w:val="009C7BCC"/>
    <w:rsid w:val="009D05B3"/>
    <w:rsid w:val="009D06DA"/>
    <w:rsid w:val="009D0A67"/>
    <w:rsid w:val="009D0B4D"/>
    <w:rsid w:val="009D1345"/>
    <w:rsid w:val="009D13B0"/>
    <w:rsid w:val="009D1450"/>
    <w:rsid w:val="009D1511"/>
    <w:rsid w:val="009D232B"/>
    <w:rsid w:val="009D2489"/>
    <w:rsid w:val="009D27AE"/>
    <w:rsid w:val="009D2834"/>
    <w:rsid w:val="009D2CC2"/>
    <w:rsid w:val="009D2FEB"/>
    <w:rsid w:val="009D3113"/>
    <w:rsid w:val="009D3392"/>
    <w:rsid w:val="009D3982"/>
    <w:rsid w:val="009D3C6F"/>
    <w:rsid w:val="009D3E60"/>
    <w:rsid w:val="009D4023"/>
    <w:rsid w:val="009D4139"/>
    <w:rsid w:val="009D4140"/>
    <w:rsid w:val="009D41CA"/>
    <w:rsid w:val="009D436B"/>
    <w:rsid w:val="009D5000"/>
    <w:rsid w:val="009D5381"/>
    <w:rsid w:val="009D58DC"/>
    <w:rsid w:val="009D5C86"/>
    <w:rsid w:val="009D63F6"/>
    <w:rsid w:val="009D6426"/>
    <w:rsid w:val="009D67F1"/>
    <w:rsid w:val="009D6A07"/>
    <w:rsid w:val="009D6A1C"/>
    <w:rsid w:val="009D6ADC"/>
    <w:rsid w:val="009D7179"/>
    <w:rsid w:val="009D71F2"/>
    <w:rsid w:val="009E00C3"/>
    <w:rsid w:val="009E01CE"/>
    <w:rsid w:val="009E05DE"/>
    <w:rsid w:val="009E0C2C"/>
    <w:rsid w:val="009E0CEA"/>
    <w:rsid w:val="009E0E66"/>
    <w:rsid w:val="009E182D"/>
    <w:rsid w:val="009E1DDA"/>
    <w:rsid w:val="009E1FC6"/>
    <w:rsid w:val="009E23C2"/>
    <w:rsid w:val="009E2D71"/>
    <w:rsid w:val="009E3212"/>
    <w:rsid w:val="009E3A1F"/>
    <w:rsid w:val="009E3B01"/>
    <w:rsid w:val="009E433B"/>
    <w:rsid w:val="009E4D8F"/>
    <w:rsid w:val="009E5AC0"/>
    <w:rsid w:val="009E5B4F"/>
    <w:rsid w:val="009E62B7"/>
    <w:rsid w:val="009E6316"/>
    <w:rsid w:val="009E644B"/>
    <w:rsid w:val="009E69E8"/>
    <w:rsid w:val="009E6E5E"/>
    <w:rsid w:val="009E7158"/>
    <w:rsid w:val="009E71F8"/>
    <w:rsid w:val="009E78ED"/>
    <w:rsid w:val="009E7DB0"/>
    <w:rsid w:val="009E7E53"/>
    <w:rsid w:val="009F04E9"/>
    <w:rsid w:val="009F064E"/>
    <w:rsid w:val="009F0933"/>
    <w:rsid w:val="009F0C86"/>
    <w:rsid w:val="009F0C9E"/>
    <w:rsid w:val="009F0F09"/>
    <w:rsid w:val="009F1026"/>
    <w:rsid w:val="009F1114"/>
    <w:rsid w:val="009F16A8"/>
    <w:rsid w:val="009F1AFD"/>
    <w:rsid w:val="009F23DD"/>
    <w:rsid w:val="009F2FCE"/>
    <w:rsid w:val="009F368F"/>
    <w:rsid w:val="009F3F1F"/>
    <w:rsid w:val="009F40D9"/>
    <w:rsid w:val="009F4700"/>
    <w:rsid w:val="009F4C5D"/>
    <w:rsid w:val="009F4FCA"/>
    <w:rsid w:val="009F530C"/>
    <w:rsid w:val="009F559E"/>
    <w:rsid w:val="009F594E"/>
    <w:rsid w:val="009F626C"/>
    <w:rsid w:val="009F6288"/>
    <w:rsid w:val="009F6315"/>
    <w:rsid w:val="009F63D9"/>
    <w:rsid w:val="009F641F"/>
    <w:rsid w:val="009F6720"/>
    <w:rsid w:val="009F6CC6"/>
    <w:rsid w:val="009F6F1F"/>
    <w:rsid w:val="009F7445"/>
    <w:rsid w:val="009F767C"/>
    <w:rsid w:val="009F7A15"/>
    <w:rsid w:val="009F7EF7"/>
    <w:rsid w:val="009F7F62"/>
    <w:rsid w:val="00A00644"/>
    <w:rsid w:val="00A00657"/>
    <w:rsid w:val="00A00661"/>
    <w:rsid w:val="00A00A20"/>
    <w:rsid w:val="00A01CB0"/>
    <w:rsid w:val="00A020A7"/>
    <w:rsid w:val="00A020D6"/>
    <w:rsid w:val="00A021F3"/>
    <w:rsid w:val="00A0291E"/>
    <w:rsid w:val="00A02951"/>
    <w:rsid w:val="00A02A64"/>
    <w:rsid w:val="00A03025"/>
    <w:rsid w:val="00A03161"/>
    <w:rsid w:val="00A033EF"/>
    <w:rsid w:val="00A03452"/>
    <w:rsid w:val="00A0395B"/>
    <w:rsid w:val="00A03B43"/>
    <w:rsid w:val="00A03CC0"/>
    <w:rsid w:val="00A03F0A"/>
    <w:rsid w:val="00A0415C"/>
    <w:rsid w:val="00A04713"/>
    <w:rsid w:val="00A04CA7"/>
    <w:rsid w:val="00A04E89"/>
    <w:rsid w:val="00A04F57"/>
    <w:rsid w:val="00A055A2"/>
    <w:rsid w:val="00A057A0"/>
    <w:rsid w:val="00A057A8"/>
    <w:rsid w:val="00A0596F"/>
    <w:rsid w:val="00A059E7"/>
    <w:rsid w:val="00A05B1B"/>
    <w:rsid w:val="00A064A1"/>
    <w:rsid w:val="00A06709"/>
    <w:rsid w:val="00A06775"/>
    <w:rsid w:val="00A06AC1"/>
    <w:rsid w:val="00A06D1F"/>
    <w:rsid w:val="00A06F49"/>
    <w:rsid w:val="00A070D0"/>
    <w:rsid w:val="00A0714E"/>
    <w:rsid w:val="00A074D0"/>
    <w:rsid w:val="00A074FB"/>
    <w:rsid w:val="00A078D8"/>
    <w:rsid w:val="00A078DE"/>
    <w:rsid w:val="00A07989"/>
    <w:rsid w:val="00A07A7C"/>
    <w:rsid w:val="00A07A9F"/>
    <w:rsid w:val="00A10288"/>
    <w:rsid w:val="00A10340"/>
    <w:rsid w:val="00A103AD"/>
    <w:rsid w:val="00A10ADB"/>
    <w:rsid w:val="00A114EC"/>
    <w:rsid w:val="00A1163C"/>
    <w:rsid w:val="00A1176A"/>
    <w:rsid w:val="00A11890"/>
    <w:rsid w:val="00A119B2"/>
    <w:rsid w:val="00A11AB7"/>
    <w:rsid w:val="00A11C0D"/>
    <w:rsid w:val="00A11E78"/>
    <w:rsid w:val="00A11F06"/>
    <w:rsid w:val="00A12064"/>
    <w:rsid w:val="00A1281C"/>
    <w:rsid w:val="00A12AA5"/>
    <w:rsid w:val="00A12D47"/>
    <w:rsid w:val="00A12E7F"/>
    <w:rsid w:val="00A12EED"/>
    <w:rsid w:val="00A130CA"/>
    <w:rsid w:val="00A131AE"/>
    <w:rsid w:val="00A13425"/>
    <w:rsid w:val="00A13835"/>
    <w:rsid w:val="00A13A8D"/>
    <w:rsid w:val="00A13AEE"/>
    <w:rsid w:val="00A13AF7"/>
    <w:rsid w:val="00A13F94"/>
    <w:rsid w:val="00A14048"/>
    <w:rsid w:val="00A14057"/>
    <w:rsid w:val="00A1414E"/>
    <w:rsid w:val="00A14150"/>
    <w:rsid w:val="00A1487B"/>
    <w:rsid w:val="00A150C2"/>
    <w:rsid w:val="00A151A1"/>
    <w:rsid w:val="00A15206"/>
    <w:rsid w:val="00A1542C"/>
    <w:rsid w:val="00A15541"/>
    <w:rsid w:val="00A1564B"/>
    <w:rsid w:val="00A158A2"/>
    <w:rsid w:val="00A158E5"/>
    <w:rsid w:val="00A16020"/>
    <w:rsid w:val="00A1637E"/>
    <w:rsid w:val="00A168E2"/>
    <w:rsid w:val="00A16C5B"/>
    <w:rsid w:val="00A16C8B"/>
    <w:rsid w:val="00A176A4"/>
    <w:rsid w:val="00A17DF5"/>
    <w:rsid w:val="00A17EC5"/>
    <w:rsid w:val="00A206BE"/>
    <w:rsid w:val="00A20889"/>
    <w:rsid w:val="00A20C0A"/>
    <w:rsid w:val="00A20F6D"/>
    <w:rsid w:val="00A21136"/>
    <w:rsid w:val="00A2164D"/>
    <w:rsid w:val="00A219A0"/>
    <w:rsid w:val="00A21B87"/>
    <w:rsid w:val="00A23102"/>
    <w:rsid w:val="00A2336E"/>
    <w:rsid w:val="00A2339B"/>
    <w:rsid w:val="00A23F33"/>
    <w:rsid w:val="00A240BE"/>
    <w:rsid w:val="00A2451D"/>
    <w:rsid w:val="00A24ABB"/>
    <w:rsid w:val="00A24C09"/>
    <w:rsid w:val="00A24CC4"/>
    <w:rsid w:val="00A24F8C"/>
    <w:rsid w:val="00A25555"/>
    <w:rsid w:val="00A25652"/>
    <w:rsid w:val="00A25782"/>
    <w:rsid w:val="00A25A9C"/>
    <w:rsid w:val="00A25AA3"/>
    <w:rsid w:val="00A25D11"/>
    <w:rsid w:val="00A25E3E"/>
    <w:rsid w:val="00A26037"/>
    <w:rsid w:val="00A26454"/>
    <w:rsid w:val="00A26BB8"/>
    <w:rsid w:val="00A26C25"/>
    <w:rsid w:val="00A26EF5"/>
    <w:rsid w:val="00A26F42"/>
    <w:rsid w:val="00A26F5E"/>
    <w:rsid w:val="00A2717D"/>
    <w:rsid w:val="00A274A2"/>
    <w:rsid w:val="00A276E6"/>
    <w:rsid w:val="00A30052"/>
    <w:rsid w:val="00A3010E"/>
    <w:rsid w:val="00A30143"/>
    <w:rsid w:val="00A3014B"/>
    <w:rsid w:val="00A30434"/>
    <w:rsid w:val="00A30578"/>
    <w:rsid w:val="00A30D05"/>
    <w:rsid w:val="00A3103E"/>
    <w:rsid w:val="00A32038"/>
    <w:rsid w:val="00A320B4"/>
    <w:rsid w:val="00A32786"/>
    <w:rsid w:val="00A32C73"/>
    <w:rsid w:val="00A32DAA"/>
    <w:rsid w:val="00A33EC3"/>
    <w:rsid w:val="00A3459C"/>
    <w:rsid w:val="00A35336"/>
    <w:rsid w:val="00A3540B"/>
    <w:rsid w:val="00A3570F"/>
    <w:rsid w:val="00A35A08"/>
    <w:rsid w:val="00A35E89"/>
    <w:rsid w:val="00A3602C"/>
    <w:rsid w:val="00A36174"/>
    <w:rsid w:val="00A3679D"/>
    <w:rsid w:val="00A368EC"/>
    <w:rsid w:val="00A36DB7"/>
    <w:rsid w:val="00A36EA9"/>
    <w:rsid w:val="00A372C5"/>
    <w:rsid w:val="00A375FF"/>
    <w:rsid w:val="00A37A3B"/>
    <w:rsid w:val="00A37AE3"/>
    <w:rsid w:val="00A37C12"/>
    <w:rsid w:val="00A37DA0"/>
    <w:rsid w:val="00A4034B"/>
    <w:rsid w:val="00A40E0A"/>
    <w:rsid w:val="00A40E20"/>
    <w:rsid w:val="00A40E3D"/>
    <w:rsid w:val="00A41074"/>
    <w:rsid w:val="00A41510"/>
    <w:rsid w:val="00A4198B"/>
    <w:rsid w:val="00A41BE3"/>
    <w:rsid w:val="00A41C9B"/>
    <w:rsid w:val="00A41F97"/>
    <w:rsid w:val="00A420B6"/>
    <w:rsid w:val="00A420D5"/>
    <w:rsid w:val="00A4278F"/>
    <w:rsid w:val="00A4283D"/>
    <w:rsid w:val="00A430AA"/>
    <w:rsid w:val="00A430C0"/>
    <w:rsid w:val="00A430E1"/>
    <w:rsid w:val="00A4384C"/>
    <w:rsid w:val="00A43B35"/>
    <w:rsid w:val="00A43B61"/>
    <w:rsid w:val="00A44974"/>
    <w:rsid w:val="00A44988"/>
    <w:rsid w:val="00A44B8F"/>
    <w:rsid w:val="00A44C96"/>
    <w:rsid w:val="00A454B0"/>
    <w:rsid w:val="00A45893"/>
    <w:rsid w:val="00A459AB"/>
    <w:rsid w:val="00A45BDC"/>
    <w:rsid w:val="00A45D47"/>
    <w:rsid w:val="00A45E7F"/>
    <w:rsid w:val="00A461B8"/>
    <w:rsid w:val="00A462E9"/>
    <w:rsid w:val="00A46339"/>
    <w:rsid w:val="00A4640E"/>
    <w:rsid w:val="00A46603"/>
    <w:rsid w:val="00A46CDC"/>
    <w:rsid w:val="00A472BA"/>
    <w:rsid w:val="00A475E6"/>
    <w:rsid w:val="00A5013B"/>
    <w:rsid w:val="00A501C8"/>
    <w:rsid w:val="00A50BCC"/>
    <w:rsid w:val="00A50FFE"/>
    <w:rsid w:val="00A51124"/>
    <w:rsid w:val="00A51667"/>
    <w:rsid w:val="00A51B59"/>
    <w:rsid w:val="00A52158"/>
    <w:rsid w:val="00A52A86"/>
    <w:rsid w:val="00A52D78"/>
    <w:rsid w:val="00A5310F"/>
    <w:rsid w:val="00A531D2"/>
    <w:rsid w:val="00A531F2"/>
    <w:rsid w:val="00A531F7"/>
    <w:rsid w:val="00A53682"/>
    <w:rsid w:val="00A538AA"/>
    <w:rsid w:val="00A53C18"/>
    <w:rsid w:val="00A53FCF"/>
    <w:rsid w:val="00A54062"/>
    <w:rsid w:val="00A54486"/>
    <w:rsid w:val="00A54501"/>
    <w:rsid w:val="00A549D2"/>
    <w:rsid w:val="00A54DDA"/>
    <w:rsid w:val="00A5516F"/>
    <w:rsid w:val="00A551C8"/>
    <w:rsid w:val="00A5526F"/>
    <w:rsid w:val="00A552E9"/>
    <w:rsid w:val="00A5548A"/>
    <w:rsid w:val="00A55BDF"/>
    <w:rsid w:val="00A55C7E"/>
    <w:rsid w:val="00A56025"/>
    <w:rsid w:val="00A560C9"/>
    <w:rsid w:val="00A5669B"/>
    <w:rsid w:val="00A56AFF"/>
    <w:rsid w:val="00A56CBB"/>
    <w:rsid w:val="00A56F78"/>
    <w:rsid w:val="00A5727C"/>
    <w:rsid w:val="00A5740A"/>
    <w:rsid w:val="00A57C97"/>
    <w:rsid w:val="00A60097"/>
    <w:rsid w:val="00A602D5"/>
    <w:rsid w:val="00A60A0D"/>
    <w:rsid w:val="00A610EB"/>
    <w:rsid w:val="00A6130E"/>
    <w:rsid w:val="00A616BB"/>
    <w:rsid w:val="00A616D0"/>
    <w:rsid w:val="00A62014"/>
    <w:rsid w:val="00A625EC"/>
    <w:rsid w:val="00A62974"/>
    <w:rsid w:val="00A62C40"/>
    <w:rsid w:val="00A638DA"/>
    <w:rsid w:val="00A63D51"/>
    <w:rsid w:val="00A63F37"/>
    <w:rsid w:val="00A64222"/>
    <w:rsid w:val="00A642FB"/>
    <w:rsid w:val="00A64745"/>
    <w:rsid w:val="00A6497E"/>
    <w:rsid w:val="00A64998"/>
    <w:rsid w:val="00A64BDC"/>
    <w:rsid w:val="00A64D84"/>
    <w:rsid w:val="00A64DB2"/>
    <w:rsid w:val="00A64EA1"/>
    <w:rsid w:val="00A6508E"/>
    <w:rsid w:val="00A65174"/>
    <w:rsid w:val="00A652B7"/>
    <w:rsid w:val="00A653E2"/>
    <w:rsid w:val="00A65A77"/>
    <w:rsid w:val="00A65C32"/>
    <w:rsid w:val="00A65EB6"/>
    <w:rsid w:val="00A661D1"/>
    <w:rsid w:val="00A663B0"/>
    <w:rsid w:val="00A66602"/>
    <w:rsid w:val="00A666AA"/>
    <w:rsid w:val="00A66A90"/>
    <w:rsid w:val="00A67118"/>
    <w:rsid w:val="00A67492"/>
    <w:rsid w:val="00A6758E"/>
    <w:rsid w:val="00A67807"/>
    <w:rsid w:val="00A678D0"/>
    <w:rsid w:val="00A67FC1"/>
    <w:rsid w:val="00A7021C"/>
    <w:rsid w:val="00A70B0B"/>
    <w:rsid w:val="00A70C2B"/>
    <w:rsid w:val="00A70EE5"/>
    <w:rsid w:val="00A70F0A"/>
    <w:rsid w:val="00A70F79"/>
    <w:rsid w:val="00A71462"/>
    <w:rsid w:val="00A719C9"/>
    <w:rsid w:val="00A71AC5"/>
    <w:rsid w:val="00A71B68"/>
    <w:rsid w:val="00A726E7"/>
    <w:rsid w:val="00A735B1"/>
    <w:rsid w:val="00A735E7"/>
    <w:rsid w:val="00A737D0"/>
    <w:rsid w:val="00A739DB"/>
    <w:rsid w:val="00A73A2D"/>
    <w:rsid w:val="00A74BD8"/>
    <w:rsid w:val="00A74D00"/>
    <w:rsid w:val="00A7508B"/>
    <w:rsid w:val="00A75190"/>
    <w:rsid w:val="00A75345"/>
    <w:rsid w:val="00A753C1"/>
    <w:rsid w:val="00A756BD"/>
    <w:rsid w:val="00A75BF9"/>
    <w:rsid w:val="00A75C47"/>
    <w:rsid w:val="00A75C82"/>
    <w:rsid w:val="00A75E5E"/>
    <w:rsid w:val="00A75EE0"/>
    <w:rsid w:val="00A75FD4"/>
    <w:rsid w:val="00A76949"/>
    <w:rsid w:val="00A76B79"/>
    <w:rsid w:val="00A76D3B"/>
    <w:rsid w:val="00A76FE9"/>
    <w:rsid w:val="00A77350"/>
    <w:rsid w:val="00A77C25"/>
    <w:rsid w:val="00A77D93"/>
    <w:rsid w:val="00A80008"/>
    <w:rsid w:val="00A80450"/>
    <w:rsid w:val="00A804C0"/>
    <w:rsid w:val="00A80529"/>
    <w:rsid w:val="00A807A3"/>
    <w:rsid w:val="00A807AA"/>
    <w:rsid w:val="00A80C41"/>
    <w:rsid w:val="00A80CDB"/>
    <w:rsid w:val="00A813EE"/>
    <w:rsid w:val="00A81412"/>
    <w:rsid w:val="00A81621"/>
    <w:rsid w:val="00A81627"/>
    <w:rsid w:val="00A8172D"/>
    <w:rsid w:val="00A81810"/>
    <w:rsid w:val="00A81EAA"/>
    <w:rsid w:val="00A82AAD"/>
    <w:rsid w:val="00A82BD8"/>
    <w:rsid w:val="00A830D5"/>
    <w:rsid w:val="00A83237"/>
    <w:rsid w:val="00A835E6"/>
    <w:rsid w:val="00A8388A"/>
    <w:rsid w:val="00A839C9"/>
    <w:rsid w:val="00A83E39"/>
    <w:rsid w:val="00A83EB8"/>
    <w:rsid w:val="00A8435F"/>
    <w:rsid w:val="00A84450"/>
    <w:rsid w:val="00A844F7"/>
    <w:rsid w:val="00A848BC"/>
    <w:rsid w:val="00A849A4"/>
    <w:rsid w:val="00A84F2B"/>
    <w:rsid w:val="00A85126"/>
    <w:rsid w:val="00A851B7"/>
    <w:rsid w:val="00A851DF"/>
    <w:rsid w:val="00A8538E"/>
    <w:rsid w:val="00A857B0"/>
    <w:rsid w:val="00A857C7"/>
    <w:rsid w:val="00A85A7D"/>
    <w:rsid w:val="00A85AFC"/>
    <w:rsid w:val="00A85CF3"/>
    <w:rsid w:val="00A86237"/>
    <w:rsid w:val="00A8628E"/>
    <w:rsid w:val="00A867CD"/>
    <w:rsid w:val="00A867DF"/>
    <w:rsid w:val="00A86A63"/>
    <w:rsid w:val="00A86B79"/>
    <w:rsid w:val="00A86CC2"/>
    <w:rsid w:val="00A86EFF"/>
    <w:rsid w:val="00A87212"/>
    <w:rsid w:val="00A87C6F"/>
    <w:rsid w:val="00A901E6"/>
    <w:rsid w:val="00A9082F"/>
    <w:rsid w:val="00A90D18"/>
    <w:rsid w:val="00A912DF"/>
    <w:rsid w:val="00A91493"/>
    <w:rsid w:val="00A91631"/>
    <w:rsid w:val="00A91715"/>
    <w:rsid w:val="00A91CE6"/>
    <w:rsid w:val="00A9223F"/>
    <w:rsid w:val="00A9246A"/>
    <w:rsid w:val="00A9281C"/>
    <w:rsid w:val="00A92BEC"/>
    <w:rsid w:val="00A92C3E"/>
    <w:rsid w:val="00A92F9A"/>
    <w:rsid w:val="00A930DD"/>
    <w:rsid w:val="00A93233"/>
    <w:rsid w:val="00A93253"/>
    <w:rsid w:val="00A9351E"/>
    <w:rsid w:val="00A93A5A"/>
    <w:rsid w:val="00A93CAA"/>
    <w:rsid w:val="00A93E45"/>
    <w:rsid w:val="00A93F67"/>
    <w:rsid w:val="00A941FF"/>
    <w:rsid w:val="00A9445C"/>
    <w:rsid w:val="00A9472F"/>
    <w:rsid w:val="00A947C8"/>
    <w:rsid w:val="00A947FA"/>
    <w:rsid w:val="00A948F6"/>
    <w:rsid w:val="00A94E7D"/>
    <w:rsid w:val="00A9509A"/>
    <w:rsid w:val="00A95243"/>
    <w:rsid w:val="00A95361"/>
    <w:rsid w:val="00A95447"/>
    <w:rsid w:val="00A956E1"/>
    <w:rsid w:val="00A95857"/>
    <w:rsid w:val="00A958CD"/>
    <w:rsid w:val="00A959F4"/>
    <w:rsid w:val="00A95AEC"/>
    <w:rsid w:val="00A9643D"/>
    <w:rsid w:val="00A97241"/>
    <w:rsid w:val="00A975F2"/>
    <w:rsid w:val="00AA002C"/>
    <w:rsid w:val="00AA0311"/>
    <w:rsid w:val="00AA069B"/>
    <w:rsid w:val="00AA0828"/>
    <w:rsid w:val="00AA0842"/>
    <w:rsid w:val="00AA0920"/>
    <w:rsid w:val="00AA0B0A"/>
    <w:rsid w:val="00AA0FAF"/>
    <w:rsid w:val="00AA1125"/>
    <w:rsid w:val="00AA14F9"/>
    <w:rsid w:val="00AA1750"/>
    <w:rsid w:val="00AA17F3"/>
    <w:rsid w:val="00AA1D02"/>
    <w:rsid w:val="00AA1DDB"/>
    <w:rsid w:val="00AA205A"/>
    <w:rsid w:val="00AA20BA"/>
    <w:rsid w:val="00AA2492"/>
    <w:rsid w:val="00AA26A7"/>
    <w:rsid w:val="00AA28CA"/>
    <w:rsid w:val="00AA2A14"/>
    <w:rsid w:val="00AA2FF3"/>
    <w:rsid w:val="00AA3154"/>
    <w:rsid w:val="00AA35DD"/>
    <w:rsid w:val="00AA3895"/>
    <w:rsid w:val="00AA3CA8"/>
    <w:rsid w:val="00AA3F95"/>
    <w:rsid w:val="00AA42EB"/>
    <w:rsid w:val="00AA44AE"/>
    <w:rsid w:val="00AA4A0E"/>
    <w:rsid w:val="00AA4A95"/>
    <w:rsid w:val="00AA4BEC"/>
    <w:rsid w:val="00AA4E32"/>
    <w:rsid w:val="00AA4E48"/>
    <w:rsid w:val="00AA5308"/>
    <w:rsid w:val="00AA56DD"/>
    <w:rsid w:val="00AA57A3"/>
    <w:rsid w:val="00AA6021"/>
    <w:rsid w:val="00AA6238"/>
    <w:rsid w:val="00AA658C"/>
    <w:rsid w:val="00AA6687"/>
    <w:rsid w:val="00AA675C"/>
    <w:rsid w:val="00AA684E"/>
    <w:rsid w:val="00AA6B2A"/>
    <w:rsid w:val="00AA6C62"/>
    <w:rsid w:val="00AA7102"/>
    <w:rsid w:val="00AA7148"/>
    <w:rsid w:val="00AA7753"/>
    <w:rsid w:val="00AA7B2D"/>
    <w:rsid w:val="00AA7F35"/>
    <w:rsid w:val="00AB005A"/>
    <w:rsid w:val="00AB0806"/>
    <w:rsid w:val="00AB0967"/>
    <w:rsid w:val="00AB09D7"/>
    <w:rsid w:val="00AB09E2"/>
    <w:rsid w:val="00AB0B17"/>
    <w:rsid w:val="00AB0E93"/>
    <w:rsid w:val="00AB10BC"/>
    <w:rsid w:val="00AB13FB"/>
    <w:rsid w:val="00AB17E8"/>
    <w:rsid w:val="00AB1849"/>
    <w:rsid w:val="00AB1C8F"/>
    <w:rsid w:val="00AB1D6A"/>
    <w:rsid w:val="00AB222D"/>
    <w:rsid w:val="00AB2234"/>
    <w:rsid w:val="00AB2CCE"/>
    <w:rsid w:val="00AB2D84"/>
    <w:rsid w:val="00AB35BC"/>
    <w:rsid w:val="00AB38A9"/>
    <w:rsid w:val="00AB397A"/>
    <w:rsid w:val="00AB3A47"/>
    <w:rsid w:val="00AB3B94"/>
    <w:rsid w:val="00AB3D18"/>
    <w:rsid w:val="00AB4DA3"/>
    <w:rsid w:val="00AB4E13"/>
    <w:rsid w:val="00AB5069"/>
    <w:rsid w:val="00AB5080"/>
    <w:rsid w:val="00AB571F"/>
    <w:rsid w:val="00AB574F"/>
    <w:rsid w:val="00AB5B04"/>
    <w:rsid w:val="00AB5CE5"/>
    <w:rsid w:val="00AB5F11"/>
    <w:rsid w:val="00AB6080"/>
    <w:rsid w:val="00AB68CA"/>
    <w:rsid w:val="00AB699F"/>
    <w:rsid w:val="00AB6B72"/>
    <w:rsid w:val="00AB7351"/>
    <w:rsid w:val="00AB7452"/>
    <w:rsid w:val="00AB754B"/>
    <w:rsid w:val="00AB7A51"/>
    <w:rsid w:val="00AB7A8F"/>
    <w:rsid w:val="00AB7EED"/>
    <w:rsid w:val="00AB7F72"/>
    <w:rsid w:val="00AC037F"/>
    <w:rsid w:val="00AC0512"/>
    <w:rsid w:val="00AC068C"/>
    <w:rsid w:val="00AC0943"/>
    <w:rsid w:val="00AC095A"/>
    <w:rsid w:val="00AC09C8"/>
    <w:rsid w:val="00AC0EE9"/>
    <w:rsid w:val="00AC0F09"/>
    <w:rsid w:val="00AC1046"/>
    <w:rsid w:val="00AC1090"/>
    <w:rsid w:val="00AC10E0"/>
    <w:rsid w:val="00AC151A"/>
    <w:rsid w:val="00AC17E7"/>
    <w:rsid w:val="00AC1957"/>
    <w:rsid w:val="00AC1B7F"/>
    <w:rsid w:val="00AC1F61"/>
    <w:rsid w:val="00AC2182"/>
    <w:rsid w:val="00AC296A"/>
    <w:rsid w:val="00AC2A6B"/>
    <w:rsid w:val="00AC2EB9"/>
    <w:rsid w:val="00AC2F98"/>
    <w:rsid w:val="00AC327C"/>
    <w:rsid w:val="00AC3A8E"/>
    <w:rsid w:val="00AC4066"/>
    <w:rsid w:val="00AC42F0"/>
    <w:rsid w:val="00AC42FB"/>
    <w:rsid w:val="00AC4310"/>
    <w:rsid w:val="00AC4AB8"/>
    <w:rsid w:val="00AC4EED"/>
    <w:rsid w:val="00AC4F8D"/>
    <w:rsid w:val="00AC50E3"/>
    <w:rsid w:val="00AC580C"/>
    <w:rsid w:val="00AC590E"/>
    <w:rsid w:val="00AC5C3D"/>
    <w:rsid w:val="00AC5FA8"/>
    <w:rsid w:val="00AC6113"/>
    <w:rsid w:val="00AC6953"/>
    <w:rsid w:val="00AC7183"/>
    <w:rsid w:val="00AC7314"/>
    <w:rsid w:val="00AC7A0B"/>
    <w:rsid w:val="00AC7AB4"/>
    <w:rsid w:val="00AC7D40"/>
    <w:rsid w:val="00AC7DA2"/>
    <w:rsid w:val="00AC7DAF"/>
    <w:rsid w:val="00AD00D1"/>
    <w:rsid w:val="00AD02C5"/>
    <w:rsid w:val="00AD048F"/>
    <w:rsid w:val="00AD0556"/>
    <w:rsid w:val="00AD0994"/>
    <w:rsid w:val="00AD09B7"/>
    <w:rsid w:val="00AD0A55"/>
    <w:rsid w:val="00AD0C49"/>
    <w:rsid w:val="00AD0D38"/>
    <w:rsid w:val="00AD119F"/>
    <w:rsid w:val="00AD1280"/>
    <w:rsid w:val="00AD17AB"/>
    <w:rsid w:val="00AD1808"/>
    <w:rsid w:val="00AD191B"/>
    <w:rsid w:val="00AD1FA5"/>
    <w:rsid w:val="00AD1FC0"/>
    <w:rsid w:val="00AD20D5"/>
    <w:rsid w:val="00AD22A2"/>
    <w:rsid w:val="00AD22D0"/>
    <w:rsid w:val="00AD2C0E"/>
    <w:rsid w:val="00AD2CB9"/>
    <w:rsid w:val="00AD2DB1"/>
    <w:rsid w:val="00AD2F3A"/>
    <w:rsid w:val="00AD2F6A"/>
    <w:rsid w:val="00AD34E3"/>
    <w:rsid w:val="00AD3860"/>
    <w:rsid w:val="00AD3E35"/>
    <w:rsid w:val="00AD4340"/>
    <w:rsid w:val="00AD43EB"/>
    <w:rsid w:val="00AD45B6"/>
    <w:rsid w:val="00AD4621"/>
    <w:rsid w:val="00AD552D"/>
    <w:rsid w:val="00AD5B0E"/>
    <w:rsid w:val="00AD5BBA"/>
    <w:rsid w:val="00AD63EB"/>
    <w:rsid w:val="00AD66A1"/>
    <w:rsid w:val="00AD6A6C"/>
    <w:rsid w:val="00AD6BC4"/>
    <w:rsid w:val="00AD71A1"/>
    <w:rsid w:val="00AD73A7"/>
    <w:rsid w:val="00AD7574"/>
    <w:rsid w:val="00AE035D"/>
    <w:rsid w:val="00AE0385"/>
    <w:rsid w:val="00AE082D"/>
    <w:rsid w:val="00AE0F8E"/>
    <w:rsid w:val="00AE10F9"/>
    <w:rsid w:val="00AE1853"/>
    <w:rsid w:val="00AE1ABF"/>
    <w:rsid w:val="00AE1E30"/>
    <w:rsid w:val="00AE2248"/>
    <w:rsid w:val="00AE2407"/>
    <w:rsid w:val="00AE2438"/>
    <w:rsid w:val="00AE2473"/>
    <w:rsid w:val="00AE269C"/>
    <w:rsid w:val="00AE28D3"/>
    <w:rsid w:val="00AE2DBD"/>
    <w:rsid w:val="00AE2FBD"/>
    <w:rsid w:val="00AE32DA"/>
    <w:rsid w:val="00AE349C"/>
    <w:rsid w:val="00AE4300"/>
    <w:rsid w:val="00AE4397"/>
    <w:rsid w:val="00AE442B"/>
    <w:rsid w:val="00AE45BF"/>
    <w:rsid w:val="00AE4859"/>
    <w:rsid w:val="00AE48BA"/>
    <w:rsid w:val="00AE4B31"/>
    <w:rsid w:val="00AE536B"/>
    <w:rsid w:val="00AE5441"/>
    <w:rsid w:val="00AE5468"/>
    <w:rsid w:val="00AE5AD8"/>
    <w:rsid w:val="00AE5D3E"/>
    <w:rsid w:val="00AE5ECA"/>
    <w:rsid w:val="00AE60B3"/>
    <w:rsid w:val="00AE6FBF"/>
    <w:rsid w:val="00AE6FDB"/>
    <w:rsid w:val="00AE7199"/>
    <w:rsid w:val="00AE74F4"/>
    <w:rsid w:val="00AE79CE"/>
    <w:rsid w:val="00AE79DA"/>
    <w:rsid w:val="00AE7DFA"/>
    <w:rsid w:val="00AE7EF2"/>
    <w:rsid w:val="00AF02EC"/>
    <w:rsid w:val="00AF09DC"/>
    <w:rsid w:val="00AF0AB5"/>
    <w:rsid w:val="00AF0C37"/>
    <w:rsid w:val="00AF0C87"/>
    <w:rsid w:val="00AF0E2D"/>
    <w:rsid w:val="00AF0FD7"/>
    <w:rsid w:val="00AF1660"/>
    <w:rsid w:val="00AF18F9"/>
    <w:rsid w:val="00AF1C4F"/>
    <w:rsid w:val="00AF2607"/>
    <w:rsid w:val="00AF280D"/>
    <w:rsid w:val="00AF311F"/>
    <w:rsid w:val="00AF3284"/>
    <w:rsid w:val="00AF3D38"/>
    <w:rsid w:val="00AF40C6"/>
    <w:rsid w:val="00AF4916"/>
    <w:rsid w:val="00AF4C21"/>
    <w:rsid w:val="00AF5F30"/>
    <w:rsid w:val="00AF6526"/>
    <w:rsid w:val="00AF669B"/>
    <w:rsid w:val="00AF66D5"/>
    <w:rsid w:val="00AF66F8"/>
    <w:rsid w:val="00AF675F"/>
    <w:rsid w:val="00AF69D6"/>
    <w:rsid w:val="00AF6A7D"/>
    <w:rsid w:val="00AF6CA4"/>
    <w:rsid w:val="00AF702E"/>
    <w:rsid w:val="00AF75E6"/>
    <w:rsid w:val="00AF7650"/>
    <w:rsid w:val="00AF7739"/>
    <w:rsid w:val="00AF77D2"/>
    <w:rsid w:val="00AF7D2D"/>
    <w:rsid w:val="00B0001B"/>
    <w:rsid w:val="00B000B4"/>
    <w:rsid w:val="00B001D3"/>
    <w:rsid w:val="00B004D2"/>
    <w:rsid w:val="00B00679"/>
    <w:rsid w:val="00B007DF"/>
    <w:rsid w:val="00B00873"/>
    <w:rsid w:val="00B00A4C"/>
    <w:rsid w:val="00B00C84"/>
    <w:rsid w:val="00B0103A"/>
    <w:rsid w:val="00B013B4"/>
    <w:rsid w:val="00B01471"/>
    <w:rsid w:val="00B01543"/>
    <w:rsid w:val="00B0156F"/>
    <w:rsid w:val="00B01950"/>
    <w:rsid w:val="00B01A87"/>
    <w:rsid w:val="00B01A96"/>
    <w:rsid w:val="00B0233C"/>
    <w:rsid w:val="00B027BD"/>
    <w:rsid w:val="00B02F94"/>
    <w:rsid w:val="00B03092"/>
    <w:rsid w:val="00B03181"/>
    <w:rsid w:val="00B0337D"/>
    <w:rsid w:val="00B03786"/>
    <w:rsid w:val="00B03F40"/>
    <w:rsid w:val="00B04020"/>
    <w:rsid w:val="00B044F9"/>
    <w:rsid w:val="00B04B22"/>
    <w:rsid w:val="00B04E21"/>
    <w:rsid w:val="00B04EFD"/>
    <w:rsid w:val="00B04FF7"/>
    <w:rsid w:val="00B0506C"/>
    <w:rsid w:val="00B05346"/>
    <w:rsid w:val="00B058E0"/>
    <w:rsid w:val="00B05D11"/>
    <w:rsid w:val="00B05FC4"/>
    <w:rsid w:val="00B06019"/>
    <w:rsid w:val="00B069CB"/>
    <w:rsid w:val="00B06BFD"/>
    <w:rsid w:val="00B06C6D"/>
    <w:rsid w:val="00B070DC"/>
    <w:rsid w:val="00B071A5"/>
    <w:rsid w:val="00B07DE8"/>
    <w:rsid w:val="00B101B3"/>
    <w:rsid w:val="00B101DE"/>
    <w:rsid w:val="00B10387"/>
    <w:rsid w:val="00B10522"/>
    <w:rsid w:val="00B1068C"/>
    <w:rsid w:val="00B1097F"/>
    <w:rsid w:val="00B10BE7"/>
    <w:rsid w:val="00B10C71"/>
    <w:rsid w:val="00B10F10"/>
    <w:rsid w:val="00B11548"/>
    <w:rsid w:val="00B11D21"/>
    <w:rsid w:val="00B11E59"/>
    <w:rsid w:val="00B11EF3"/>
    <w:rsid w:val="00B11FD3"/>
    <w:rsid w:val="00B122D4"/>
    <w:rsid w:val="00B12361"/>
    <w:rsid w:val="00B124CD"/>
    <w:rsid w:val="00B12D0B"/>
    <w:rsid w:val="00B12EC7"/>
    <w:rsid w:val="00B13043"/>
    <w:rsid w:val="00B1309F"/>
    <w:rsid w:val="00B13293"/>
    <w:rsid w:val="00B13491"/>
    <w:rsid w:val="00B1356C"/>
    <w:rsid w:val="00B13740"/>
    <w:rsid w:val="00B13DA2"/>
    <w:rsid w:val="00B13FC7"/>
    <w:rsid w:val="00B15380"/>
    <w:rsid w:val="00B15A75"/>
    <w:rsid w:val="00B1619D"/>
    <w:rsid w:val="00B16F27"/>
    <w:rsid w:val="00B170EE"/>
    <w:rsid w:val="00B17543"/>
    <w:rsid w:val="00B17B1B"/>
    <w:rsid w:val="00B17BA5"/>
    <w:rsid w:val="00B17D37"/>
    <w:rsid w:val="00B17ECA"/>
    <w:rsid w:val="00B203B4"/>
    <w:rsid w:val="00B20866"/>
    <w:rsid w:val="00B20A99"/>
    <w:rsid w:val="00B20C49"/>
    <w:rsid w:val="00B211EE"/>
    <w:rsid w:val="00B213B8"/>
    <w:rsid w:val="00B21546"/>
    <w:rsid w:val="00B2192C"/>
    <w:rsid w:val="00B21B91"/>
    <w:rsid w:val="00B21F41"/>
    <w:rsid w:val="00B2239E"/>
    <w:rsid w:val="00B22A65"/>
    <w:rsid w:val="00B22BE0"/>
    <w:rsid w:val="00B235EC"/>
    <w:rsid w:val="00B236A1"/>
    <w:rsid w:val="00B236CE"/>
    <w:rsid w:val="00B23840"/>
    <w:rsid w:val="00B23BBB"/>
    <w:rsid w:val="00B23C67"/>
    <w:rsid w:val="00B23D85"/>
    <w:rsid w:val="00B23DE8"/>
    <w:rsid w:val="00B24C20"/>
    <w:rsid w:val="00B24CB2"/>
    <w:rsid w:val="00B24FFF"/>
    <w:rsid w:val="00B253D1"/>
    <w:rsid w:val="00B254FB"/>
    <w:rsid w:val="00B25828"/>
    <w:rsid w:val="00B26049"/>
    <w:rsid w:val="00B26277"/>
    <w:rsid w:val="00B26290"/>
    <w:rsid w:val="00B2665C"/>
    <w:rsid w:val="00B27725"/>
    <w:rsid w:val="00B2798F"/>
    <w:rsid w:val="00B27ADB"/>
    <w:rsid w:val="00B27AE6"/>
    <w:rsid w:val="00B27BD5"/>
    <w:rsid w:val="00B3005A"/>
    <w:rsid w:val="00B30290"/>
    <w:rsid w:val="00B302B7"/>
    <w:rsid w:val="00B30594"/>
    <w:rsid w:val="00B307AD"/>
    <w:rsid w:val="00B31BAA"/>
    <w:rsid w:val="00B31E8C"/>
    <w:rsid w:val="00B31EF1"/>
    <w:rsid w:val="00B3251E"/>
    <w:rsid w:val="00B326EA"/>
    <w:rsid w:val="00B338C2"/>
    <w:rsid w:val="00B338E3"/>
    <w:rsid w:val="00B33A21"/>
    <w:rsid w:val="00B33C66"/>
    <w:rsid w:val="00B347B1"/>
    <w:rsid w:val="00B35093"/>
    <w:rsid w:val="00B358B1"/>
    <w:rsid w:val="00B359E3"/>
    <w:rsid w:val="00B35C74"/>
    <w:rsid w:val="00B35CDE"/>
    <w:rsid w:val="00B3615E"/>
    <w:rsid w:val="00B36998"/>
    <w:rsid w:val="00B36CBE"/>
    <w:rsid w:val="00B36D1F"/>
    <w:rsid w:val="00B36EBC"/>
    <w:rsid w:val="00B37091"/>
    <w:rsid w:val="00B370A1"/>
    <w:rsid w:val="00B37255"/>
    <w:rsid w:val="00B37503"/>
    <w:rsid w:val="00B377FE"/>
    <w:rsid w:val="00B37D2E"/>
    <w:rsid w:val="00B4007C"/>
    <w:rsid w:val="00B40590"/>
    <w:rsid w:val="00B4064A"/>
    <w:rsid w:val="00B4110B"/>
    <w:rsid w:val="00B4131B"/>
    <w:rsid w:val="00B414A1"/>
    <w:rsid w:val="00B414A8"/>
    <w:rsid w:val="00B41BA0"/>
    <w:rsid w:val="00B423CF"/>
    <w:rsid w:val="00B425D3"/>
    <w:rsid w:val="00B426C9"/>
    <w:rsid w:val="00B42901"/>
    <w:rsid w:val="00B42DD4"/>
    <w:rsid w:val="00B4395A"/>
    <w:rsid w:val="00B43EFB"/>
    <w:rsid w:val="00B43F99"/>
    <w:rsid w:val="00B4409E"/>
    <w:rsid w:val="00B44319"/>
    <w:rsid w:val="00B445AF"/>
    <w:rsid w:val="00B448E7"/>
    <w:rsid w:val="00B44EBC"/>
    <w:rsid w:val="00B44F5C"/>
    <w:rsid w:val="00B44FE8"/>
    <w:rsid w:val="00B453CB"/>
    <w:rsid w:val="00B45995"/>
    <w:rsid w:val="00B45AF3"/>
    <w:rsid w:val="00B45C12"/>
    <w:rsid w:val="00B460F4"/>
    <w:rsid w:val="00B461E3"/>
    <w:rsid w:val="00B46342"/>
    <w:rsid w:val="00B463E1"/>
    <w:rsid w:val="00B46A80"/>
    <w:rsid w:val="00B47636"/>
    <w:rsid w:val="00B4782A"/>
    <w:rsid w:val="00B4789B"/>
    <w:rsid w:val="00B479F6"/>
    <w:rsid w:val="00B500D4"/>
    <w:rsid w:val="00B503FB"/>
    <w:rsid w:val="00B505EB"/>
    <w:rsid w:val="00B51131"/>
    <w:rsid w:val="00B511A1"/>
    <w:rsid w:val="00B513EC"/>
    <w:rsid w:val="00B51F52"/>
    <w:rsid w:val="00B52577"/>
    <w:rsid w:val="00B525CB"/>
    <w:rsid w:val="00B52776"/>
    <w:rsid w:val="00B527C8"/>
    <w:rsid w:val="00B5296F"/>
    <w:rsid w:val="00B53798"/>
    <w:rsid w:val="00B539CB"/>
    <w:rsid w:val="00B53CDF"/>
    <w:rsid w:val="00B548CD"/>
    <w:rsid w:val="00B54988"/>
    <w:rsid w:val="00B551BF"/>
    <w:rsid w:val="00B55373"/>
    <w:rsid w:val="00B55708"/>
    <w:rsid w:val="00B5576C"/>
    <w:rsid w:val="00B559D3"/>
    <w:rsid w:val="00B55A76"/>
    <w:rsid w:val="00B55E31"/>
    <w:rsid w:val="00B56070"/>
    <w:rsid w:val="00B560CB"/>
    <w:rsid w:val="00B5657F"/>
    <w:rsid w:val="00B565EC"/>
    <w:rsid w:val="00B569C8"/>
    <w:rsid w:val="00B56BF9"/>
    <w:rsid w:val="00B56C31"/>
    <w:rsid w:val="00B57641"/>
    <w:rsid w:val="00B57733"/>
    <w:rsid w:val="00B57841"/>
    <w:rsid w:val="00B5784E"/>
    <w:rsid w:val="00B57CD7"/>
    <w:rsid w:val="00B60389"/>
    <w:rsid w:val="00B6044C"/>
    <w:rsid w:val="00B607C3"/>
    <w:rsid w:val="00B60B2B"/>
    <w:rsid w:val="00B614CA"/>
    <w:rsid w:val="00B61957"/>
    <w:rsid w:val="00B61B7C"/>
    <w:rsid w:val="00B61CF6"/>
    <w:rsid w:val="00B61DDC"/>
    <w:rsid w:val="00B61EA1"/>
    <w:rsid w:val="00B61F46"/>
    <w:rsid w:val="00B6205A"/>
    <w:rsid w:val="00B625D8"/>
    <w:rsid w:val="00B628CD"/>
    <w:rsid w:val="00B6293F"/>
    <w:rsid w:val="00B62B27"/>
    <w:rsid w:val="00B62E12"/>
    <w:rsid w:val="00B62FEB"/>
    <w:rsid w:val="00B634D2"/>
    <w:rsid w:val="00B635DD"/>
    <w:rsid w:val="00B63EFD"/>
    <w:rsid w:val="00B64775"/>
    <w:rsid w:val="00B6520A"/>
    <w:rsid w:val="00B6558E"/>
    <w:rsid w:val="00B65732"/>
    <w:rsid w:val="00B658E5"/>
    <w:rsid w:val="00B65A5A"/>
    <w:rsid w:val="00B65B6E"/>
    <w:rsid w:val="00B65E05"/>
    <w:rsid w:val="00B660BC"/>
    <w:rsid w:val="00B66512"/>
    <w:rsid w:val="00B66528"/>
    <w:rsid w:val="00B66634"/>
    <w:rsid w:val="00B66FE3"/>
    <w:rsid w:val="00B67104"/>
    <w:rsid w:val="00B6723C"/>
    <w:rsid w:val="00B672FB"/>
    <w:rsid w:val="00B675C8"/>
    <w:rsid w:val="00B67698"/>
    <w:rsid w:val="00B67B6C"/>
    <w:rsid w:val="00B7032C"/>
    <w:rsid w:val="00B70750"/>
    <w:rsid w:val="00B7079E"/>
    <w:rsid w:val="00B708D0"/>
    <w:rsid w:val="00B70C4F"/>
    <w:rsid w:val="00B70F76"/>
    <w:rsid w:val="00B7118F"/>
    <w:rsid w:val="00B713FF"/>
    <w:rsid w:val="00B714B5"/>
    <w:rsid w:val="00B71719"/>
    <w:rsid w:val="00B719FD"/>
    <w:rsid w:val="00B71BE1"/>
    <w:rsid w:val="00B72C3C"/>
    <w:rsid w:val="00B72DC4"/>
    <w:rsid w:val="00B730FF"/>
    <w:rsid w:val="00B7320B"/>
    <w:rsid w:val="00B73475"/>
    <w:rsid w:val="00B73845"/>
    <w:rsid w:val="00B73BD1"/>
    <w:rsid w:val="00B73C35"/>
    <w:rsid w:val="00B74210"/>
    <w:rsid w:val="00B74C4F"/>
    <w:rsid w:val="00B750EB"/>
    <w:rsid w:val="00B751FA"/>
    <w:rsid w:val="00B75226"/>
    <w:rsid w:val="00B75777"/>
    <w:rsid w:val="00B75993"/>
    <w:rsid w:val="00B75AB6"/>
    <w:rsid w:val="00B75F5E"/>
    <w:rsid w:val="00B76187"/>
    <w:rsid w:val="00B763DB"/>
    <w:rsid w:val="00B77000"/>
    <w:rsid w:val="00B77074"/>
    <w:rsid w:val="00B803C5"/>
    <w:rsid w:val="00B803C7"/>
    <w:rsid w:val="00B80493"/>
    <w:rsid w:val="00B806A3"/>
    <w:rsid w:val="00B807A1"/>
    <w:rsid w:val="00B80B19"/>
    <w:rsid w:val="00B811C9"/>
    <w:rsid w:val="00B81229"/>
    <w:rsid w:val="00B81374"/>
    <w:rsid w:val="00B81F60"/>
    <w:rsid w:val="00B8246E"/>
    <w:rsid w:val="00B82629"/>
    <w:rsid w:val="00B8267D"/>
    <w:rsid w:val="00B82979"/>
    <w:rsid w:val="00B82A25"/>
    <w:rsid w:val="00B836CA"/>
    <w:rsid w:val="00B83939"/>
    <w:rsid w:val="00B83F8E"/>
    <w:rsid w:val="00B8418F"/>
    <w:rsid w:val="00B847B3"/>
    <w:rsid w:val="00B84858"/>
    <w:rsid w:val="00B851D2"/>
    <w:rsid w:val="00B8557F"/>
    <w:rsid w:val="00B85827"/>
    <w:rsid w:val="00B85920"/>
    <w:rsid w:val="00B85ED6"/>
    <w:rsid w:val="00B85F70"/>
    <w:rsid w:val="00B85FF8"/>
    <w:rsid w:val="00B8614E"/>
    <w:rsid w:val="00B863B7"/>
    <w:rsid w:val="00B86533"/>
    <w:rsid w:val="00B868D1"/>
    <w:rsid w:val="00B86CF5"/>
    <w:rsid w:val="00B875F4"/>
    <w:rsid w:val="00B87758"/>
    <w:rsid w:val="00B877D6"/>
    <w:rsid w:val="00B87F13"/>
    <w:rsid w:val="00B90139"/>
    <w:rsid w:val="00B905D5"/>
    <w:rsid w:val="00B909DF"/>
    <w:rsid w:val="00B90F8C"/>
    <w:rsid w:val="00B912D3"/>
    <w:rsid w:val="00B917D4"/>
    <w:rsid w:val="00B91A3B"/>
    <w:rsid w:val="00B9202E"/>
    <w:rsid w:val="00B92299"/>
    <w:rsid w:val="00B9271F"/>
    <w:rsid w:val="00B92E70"/>
    <w:rsid w:val="00B93055"/>
    <w:rsid w:val="00B9369E"/>
    <w:rsid w:val="00B944E8"/>
    <w:rsid w:val="00B94B92"/>
    <w:rsid w:val="00B94B9A"/>
    <w:rsid w:val="00B95203"/>
    <w:rsid w:val="00B95258"/>
    <w:rsid w:val="00B952DB"/>
    <w:rsid w:val="00B953E8"/>
    <w:rsid w:val="00B954CD"/>
    <w:rsid w:val="00B95580"/>
    <w:rsid w:val="00B95D14"/>
    <w:rsid w:val="00B95F36"/>
    <w:rsid w:val="00B9624E"/>
    <w:rsid w:val="00B9626E"/>
    <w:rsid w:val="00B96279"/>
    <w:rsid w:val="00B9632D"/>
    <w:rsid w:val="00B968F9"/>
    <w:rsid w:val="00B96971"/>
    <w:rsid w:val="00B97153"/>
    <w:rsid w:val="00B975A9"/>
    <w:rsid w:val="00B97616"/>
    <w:rsid w:val="00B979A6"/>
    <w:rsid w:val="00B97B0E"/>
    <w:rsid w:val="00B97F08"/>
    <w:rsid w:val="00B97F68"/>
    <w:rsid w:val="00B97FC9"/>
    <w:rsid w:val="00BA0510"/>
    <w:rsid w:val="00BA0DF9"/>
    <w:rsid w:val="00BA12C5"/>
    <w:rsid w:val="00BA1759"/>
    <w:rsid w:val="00BA1B57"/>
    <w:rsid w:val="00BA1FF8"/>
    <w:rsid w:val="00BA2191"/>
    <w:rsid w:val="00BA219E"/>
    <w:rsid w:val="00BA2400"/>
    <w:rsid w:val="00BA2978"/>
    <w:rsid w:val="00BA2A28"/>
    <w:rsid w:val="00BA2B06"/>
    <w:rsid w:val="00BA2B53"/>
    <w:rsid w:val="00BA32EA"/>
    <w:rsid w:val="00BA3635"/>
    <w:rsid w:val="00BA3927"/>
    <w:rsid w:val="00BA3B6A"/>
    <w:rsid w:val="00BA3C4E"/>
    <w:rsid w:val="00BA3DB6"/>
    <w:rsid w:val="00BA3F52"/>
    <w:rsid w:val="00BA4594"/>
    <w:rsid w:val="00BA46F7"/>
    <w:rsid w:val="00BA4D9B"/>
    <w:rsid w:val="00BA5018"/>
    <w:rsid w:val="00BA5348"/>
    <w:rsid w:val="00BA59E9"/>
    <w:rsid w:val="00BA5AA8"/>
    <w:rsid w:val="00BA5EF9"/>
    <w:rsid w:val="00BA65C7"/>
    <w:rsid w:val="00BA6E9B"/>
    <w:rsid w:val="00BA7132"/>
    <w:rsid w:val="00BA7940"/>
    <w:rsid w:val="00BA7A08"/>
    <w:rsid w:val="00BA7F69"/>
    <w:rsid w:val="00BA7F6F"/>
    <w:rsid w:val="00BB056E"/>
    <w:rsid w:val="00BB09EC"/>
    <w:rsid w:val="00BB0B3B"/>
    <w:rsid w:val="00BB0B48"/>
    <w:rsid w:val="00BB0BBA"/>
    <w:rsid w:val="00BB17F9"/>
    <w:rsid w:val="00BB1B0C"/>
    <w:rsid w:val="00BB1CDE"/>
    <w:rsid w:val="00BB230A"/>
    <w:rsid w:val="00BB239F"/>
    <w:rsid w:val="00BB34D7"/>
    <w:rsid w:val="00BB36E7"/>
    <w:rsid w:val="00BB3858"/>
    <w:rsid w:val="00BB4047"/>
    <w:rsid w:val="00BB436D"/>
    <w:rsid w:val="00BB481B"/>
    <w:rsid w:val="00BB489E"/>
    <w:rsid w:val="00BB4E04"/>
    <w:rsid w:val="00BB530B"/>
    <w:rsid w:val="00BB540D"/>
    <w:rsid w:val="00BB545B"/>
    <w:rsid w:val="00BB54B2"/>
    <w:rsid w:val="00BB553C"/>
    <w:rsid w:val="00BB5E83"/>
    <w:rsid w:val="00BB6A40"/>
    <w:rsid w:val="00BB6B69"/>
    <w:rsid w:val="00BB6E74"/>
    <w:rsid w:val="00BB7DE2"/>
    <w:rsid w:val="00BB7E14"/>
    <w:rsid w:val="00BC05E0"/>
    <w:rsid w:val="00BC0622"/>
    <w:rsid w:val="00BC0640"/>
    <w:rsid w:val="00BC0EC1"/>
    <w:rsid w:val="00BC0F96"/>
    <w:rsid w:val="00BC129D"/>
    <w:rsid w:val="00BC12C1"/>
    <w:rsid w:val="00BC14DF"/>
    <w:rsid w:val="00BC15E1"/>
    <w:rsid w:val="00BC174A"/>
    <w:rsid w:val="00BC212D"/>
    <w:rsid w:val="00BC2204"/>
    <w:rsid w:val="00BC231D"/>
    <w:rsid w:val="00BC2BFE"/>
    <w:rsid w:val="00BC2CB0"/>
    <w:rsid w:val="00BC2CC0"/>
    <w:rsid w:val="00BC2F04"/>
    <w:rsid w:val="00BC3037"/>
    <w:rsid w:val="00BC3941"/>
    <w:rsid w:val="00BC39D1"/>
    <w:rsid w:val="00BC39EF"/>
    <w:rsid w:val="00BC3D76"/>
    <w:rsid w:val="00BC4206"/>
    <w:rsid w:val="00BC4781"/>
    <w:rsid w:val="00BC479E"/>
    <w:rsid w:val="00BC489F"/>
    <w:rsid w:val="00BC4AAE"/>
    <w:rsid w:val="00BC4CDE"/>
    <w:rsid w:val="00BC519B"/>
    <w:rsid w:val="00BC56B4"/>
    <w:rsid w:val="00BC593B"/>
    <w:rsid w:val="00BC5F3C"/>
    <w:rsid w:val="00BC5F46"/>
    <w:rsid w:val="00BC605C"/>
    <w:rsid w:val="00BC6111"/>
    <w:rsid w:val="00BC659A"/>
    <w:rsid w:val="00BC671D"/>
    <w:rsid w:val="00BC68C3"/>
    <w:rsid w:val="00BC6936"/>
    <w:rsid w:val="00BC6B7F"/>
    <w:rsid w:val="00BC6B89"/>
    <w:rsid w:val="00BC6E1F"/>
    <w:rsid w:val="00BC6E26"/>
    <w:rsid w:val="00BC79C7"/>
    <w:rsid w:val="00BD0B04"/>
    <w:rsid w:val="00BD14D0"/>
    <w:rsid w:val="00BD1CFA"/>
    <w:rsid w:val="00BD1DE0"/>
    <w:rsid w:val="00BD1DF6"/>
    <w:rsid w:val="00BD2453"/>
    <w:rsid w:val="00BD27D0"/>
    <w:rsid w:val="00BD2BA4"/>
    <w:rsid w:val="00BD2E64"/>
    <w:rsid w:val="00BD3B0A"/>
    <w:rsid w:val="00BD3C1D"/>
    <w:rsid w:val="00BD4074"/>
    <w:rsid w:val="00BD4183"/>
    <w:rsid w:val="00BD4404"/>
    <w:rsid w:val="00BD4B22"/>
    <w:rsid w:val="00BD4EF7"/>
    <w:rsid w:val="00BD534B"/>
    <w:rsid w:val="00BD545E"/>
    <w:rsid w:val="00BD5CBF"/>
    <w:rsid w:val="00BD600B"/>
    <w:rsid w:val="00BD66C8"/>
    <w:rsid w:val="00BD6E1E"/>
    <w:rsid w:val="00BD75E6"/>
    <w:rsid w:val="00BE046B"/>
    <w:rsid w:val="00BE0647"/>
    <w:rsid w:val="00BE0793"/>
    <w:rsid w:val="00BE0ACD"/>
    <w:rsid w:val="00BE129F"/>
    <w:rsid w:val="00BE1609"/>
    <w:rsid w:val="00BE199D"/>
    <w:rsid w:val="00BE1B27"/>
    <w:rsid w:val="00BE1B96"/>
    <w:rsid w:val="00BE1DD1"/>
    <w:rsid w:val="00BE221B"/>
    <w:rsid w:val="00BE25D1"/>
    <w:rsid w:val="00BE2D87"/>
    <w:rsid w:val="00BE2E3C"/>
    <w:rsid w:val="00BE3038"/>
    <w:rsid w:val="00BE331F"/>
    <w:rsid w:val="00BE37D8"/>
    <w:rsid w:val="00BE3C61"/>
    <w:rsid w:val="00BE3D40"/>
    <w:rsid w:val="00BE40CF"/>
    <w:rsid w:val="00BE4232"/>
    <w:rsid w:val="00BE44DA"/>
    <w:rsid w:val="00BE47B6"/>
    <w:rsid w:val="00BE4C11"/>
    <w:rsid w:val="00BE510B"/>
    <w:rsid w:val="00BE534C"/>
    <w:rsid w:val="00BE5520"/>
    <w:rsid w:val="00BE5727"/>
    <w:rsid w:val="00BE5A1F"/>
    <w:rsid w:val="00BE5C64"/>
    <w:rsid w:val="00BE5C67"/>
    <w:rsid w:val="00BE5DE2"/>
    <w:rsid w:val="00BE6099"/>
    <w:rsid w:val="00BE696F"/>
    <w:rsid w:val="00BE7385"/>
    <w:rsid w:val="00BE74A1"/>
    <w:rsid w:val="00BE7691"/>
    <w:rsid w:val="00BE77FA"/>
    <w:rsid w:val="00BE7A26"/>
    <w:rsid w:val="00BE7ABB"/>
    <w:rsid w:val="00BE7CE4"/>
    <w:rsid w:val="00BE7E04"/>
    <w:rsid w:val="00BF119E"/>
    <w:rsid w:val="00BF119F"/>
    <w:rsid w:val="00BF1731"/>
    <w:rsid w:val="00BF18D5"/>
    <w:rsid w:val="00BF1BF7"/>
    <w:rsid w:val="00BF22AC"/>
    <w:rsid w:val="00BF22DC"/>
    <w:rsid w:val="00BF27AA"/>
    <w:rsid w:val="00BF2F2E"/>
    <w:rsid w:val="00BF322E"/>
    <w:rsid w:val="00BF3746"/>
    <w:rsid w:val="00BF3A6C"/>
    <w:rsid w:val="00BF3C53"/>
    <w:rsid w:val="00BF3F93"/>
    <w:rsid w:val="00BF4577"/>
    <w:rsid w:val="00BF4630"/>
    <w:rsid w:val="00BF4EF2"/>
    <w:rsid w:val="00BF4F65"/>
    <w:rsid w:val="00BF5033"/>
    <w:rsid w:val="00BF513F"/>
    <w:rsid w:val="00BF5300"/>
    <w:rsid w:val="00BF625C"/>
    <w:rsid w:val="00BF633D"/>
    <w:rsid w:val="00BF636E"/>
    <w:rsid w:val="00BF6773"/>
    <w:rsid w:val="00BF6F8F"/>
    <w:rsid w:val="00BF6FB8"/>
    <w:rsid w:val="00BF75DC"/>
    <w:rsid w:val="00BF766D"/>
    <w:rsid w:val="00BF7AE3"/>
    <w:rsid w:val="00BF7F01"/>
    <w:rsid w:val="00C0004D"/>
    <w:rsid w:val="00C00A3D"/>
    <w:rsid w:val="00C00ED3"/>
    <w:rsid w:val="00C01056"/>
    <w:rsid w:val="00C01359"/>
    <w:rsid w:val="00C01987"/>
    <w:rsid w:val="00C01A34"/>
    <w:rsid w:val="00C01E53"/>
    <w:rsid w:val="00C01E79"/>
    <w:rsid w:val="00C0244A"/>
    <w:rsid w:val="00C02C98"/>
    <w:rsid w:val="00C0356C"/>
    <w:rsid w:val="00C03A4D"/>
    <w:rsid w:val="00C03C5C"/>
    <w:rsid w:val="00C03CB1"/>
    <w:rsid w:val="00C03DD9"/>
    <w:rsid w:val="00C04629"/>
    <w:rsid w:val="00C04765"/>
    <w:rsid w:val="00C04A26"/>
    <w:rsid w:val="00C04E2A"/>
    <w:rsid w:val="00C0516D"/>
    <w:rsid w:val="00C0667E"/>
    <w:rsid w:val="00C06E45"/>
    <w:rsid w:val="00C074E2"/>
    <w:rsid w:val="00C0760E"/>
    <w:rsid w:val="00C07612"/>
    <w:rsid w:val="00C101B6"/>
    <w:rsid w:val="00C101FD"/>
    <w:rsid w:val="00C10238"/>
    <w:rsid w:val="00C10731"/>
    <w:rsid w:val="00C107E2"/>
    <w:rsid w:val="00C10867"/>
    <w:rsid w:val="00C10BCD"/>
    <w:rsid w:val="00C10D10"/>
    <w:rsid w:val="00C11387"/>
    <w:rsid w:val="00C113C5"/>
    <w:rsid w:val="00C11686"/>
    <w:rsid w:val="00C11810"/>
    <w:rsid w:val="00C1195A"/>
    <w:rsid w:val="00C11ABA"/>
    <w:rsid w:val="00C12584"/>
    <w:rsid w:val="00C127BE"/>
    <w:rsid w:val="00C127C6"/>
    <w:rsid w:val="00C12A0F"/>
    <w:rsid w:val="00C13329"/>
    <w:rsid w:val="00C1352E"/>
    <w:rsid w:val="00C137FD"/>
    <w:rsid w:val="00C138EB"/>
    <w:rsid w:val="00C13B53"/>
    <w:rsid w:val="00C13D37"/>
    <w:rsid w:val="00C13F11"/>
    <w:rsid w:val="00C1408E"/>
    <w:rsid w:val="00C1434F"/>
    <w:rsid w:val="00C14A18"/>
    <w:rsid w:val="00C14D63"/>
    <w:rsid w:val="00C14D73"/>
    <w:rsid w:val="00C150DE"/>
    <w:rsid w:val="00C152C7"/>
    <w:rsid w:val="00C153FF"/>
    <w:rsid w:val="00C15704"/>
    <w:rsid w:val="00C15730"/>
    <w:rsid w:val="00C15EC8"/>
    <w:rsid w:val="00C166F7"/>
    <w:rsid w:val="00C167A4"/>
    <w:rsid w:val="00C167DC"/>
    <w:rsid w:val="00C17184"/>
    <w:rsid w:val="00C17265"/>
    <w:rsid w:val="00C172B3"/>
    <w:rsid w:val="00C173EB"/>
    <w:rsid w:val="00C17528"/>
    <w:rsid w:val="00C177FC"/>
    <w:rsid w:val="00C1795F"/>
    <w:rsid w:val="00C202CB"/>
    <w:rsid w:val="00C20715"/>
    <w:rsid w:val="00C207A3"/>
    <w:rsid w:val="00C207D7"/>
    <w:rsid w:val="00C20AFA"/>
    <w:rsid w:val="00C218B7"/>
    <w:rsid w:val="00C21F1A"/>
    <w:rsid w:val="00C22A36"/>
    <w:rsid w:val="00C22C62"/>
    <w:rsid w:val="00C22F4E"/>
    <w:rsid w:val="00C233FC"/>
    <w:rsid w:val="00C2364D"/>
    <w:rsid w:val="00C23708"/>
    <w:rsid w:val="00C24545"/>
    <w:rsid w:val="00C24651"/>
    <w:rsid w:val="00C24751"/>
    <w:rsid w:val="00C24FAE"/>
    <w:rsid w:val="00C25063"/>
    <w:rsid w:val="00C25154"/>
    <w:rsid w:val="00C25E71"/>
    <w:rsid w:val="00C26FB5"/>
    <w:rsid w:val="00C272E1"/>
    <w:rsid w:val="00C2739B"/>
    <w:rsid w:val="00C27460"/>
    <w:rsid w:val="00C27650"/>
    <w:rsid w:val="00C277ED"/>
    <w:rsid w:val="00C27EFE"/>
    <w:rsid w:val="00C3008D"/>
    <w:rsid w:val="00C3022E"/>
    <w:rsid w:val="00C3044A"/>
    <w:rsid w:val="00C3087E"/>
    <w:rsid w:val="00C30C6D"/>
    <w:rsid w:val="00C30CB3"/>
    <w:rsid w:val="00C31793"/>
    <w:rsid w:val="00C31D31"/>
    <w:rsid w:val="00C32069"/>
    <w:rsid w:val="00C3237A"/>
    <w:rsid w:val="00C32452"/>
    <w:rsid w:val="00C324A8"/>
    <w:rsid w:val="00C3273E"/>
    <w:rsid w:val="00C32D1F"/>
    <w:rsid w:val="00C3329A"/>
    <w:rsid w:val="00C3395B"/>
    <w:rsid w:val="00C34BCD"/>
    <w:rsid w:val="00C34D14"/>
    <w:rsid w:val="00C34DA1"/>
    <w:rsid w:val="00C34FA5"/>
    <w:rsid w:val="00C353F5"/>
    <w:rsid w:val="00C35778"/>
    <w:rsid w:val="00C35AB7"/>
    <w:rsid w:val="00C35C0E"/>
    <w:rsid w:val="00C36539"/>
    <w:rsid w:val="00C366BD"/>
    <w:rsid w:val="00C36A89"/>
    <w:rsid w:val="00C36B27"/>
    <w:rsid w:val="00C36B2A"/>
    <w:rsid w:val="00C36B7F"/>
    <w:rsid w:val="00C36BD5"/>
    <w:rsid w:val="00C36D33"/>
    <w:rsid w:val="00C3734C"/>
    <w:rsid w:val="00C37439"/>
    <w:rsid w:val="00C3771D"/>
    <w:rsid w:val="00C3792E"/>
    <w:rsid w:val="00C37DC0"/>
    <w:rsid w:val="00C37E00"/>
    <w:rsid w:val="00C37E68"/>
    <w:rsid w:val="00C4033F"/>
    <w:rsid w:val="00C406A7"/>
    <w:rsid w:val="00C4073B"/>
    <w:rsid w:val="00C4078B"/>
    <w:rsid w:val="00C407C4"/>
    <w:rsid w:val="00C408C3"/>
    <w:rsid w:val="00C40C51"/>
    <w:rsid w:val="00C40D1B"/>
    <w:rsid w:val="00C40D53"/>
    <w:rsid w:val="00C4127C"/>
    <w:rsid w:val="00C41B90"/>
    <w:rsid w:val="00C41CF3"/>
    <w:rsid w:val="00C41D15"/>
    <w:rsid w:val="00C41EBB"/>
    <w:rsid w:val="00C41F81"/>
    <w:rsid w:val="00C422B2"/>
    <w:rsid w:val="00C42D63"/>
    <w:rsid w:val="00C42D93"/>
    <w:rsid w:val="00C430E9"/>
    <w:rsid w:val="00C430FB"/>
    <w:rsid w:val="00C43149"/>
    <w:rsid w:val="00C436FA"/>
    <w:rsid w:val="00C437F5"/>
    <w:rsid w:val="00C43870"/>
    <w:rsid w:val="00C43C82"/>
    <w:rsid w:val="00C43CC8"/>
    <w:rsid w:val="00C440EF"/>
    <w:rsid w:val="00C4432F"/>
    <w:rsid w:val="00C44401"/>
    <w:rsid w:val="00C44439"/>
    <w:rsid w:val="00C44649"/>
    <w:rsid w:val="00C44AE0"/>
    <w:rsid w:val="00C44FC1"/>
    <w:rsid w:val="00C44FE9"/>
    <w:rsid w:val="00C450CF"/>
    <w:rsid w:val="00C45758"/>
    <w:rsid w:val="00C45808"/>
    <w:rsid w:val="00C4601A"/>
    <w:rsid w:val="00C46028"/>
    <w:rsid w:val="00C4617D"/>
    <w:rsid w:val="00C46438"/>
    <w:rsid w:val="00C464E9"/>
    <w:rsid w:val="00C46B5C"/>
    <w:rsid w:val="00C470D8"/>
    <w:rsid w:val="00C47283"/>
    <w:rsid w:val="00C472AC"/>
    <w:rsid w:val="00C4747C"/>
    <w:rsid w:val="00C47811"/>
    <w:rsid w:val="00C47A77"/>
    <w:rsid w:val="00C47BF7"/>
    <w:rsid w:val="00C47F50"/>
    <w:rsid w:val="00C50DD5"/>
    <w:rsid w:val="00C50E9C"/>
    <w:rsid w:val="00C51079"/>
    <w:rsid w:val="00C512E0"/>
    <w:rsid w:val="00C51691"/>
    <w:rsid w:val="00C51A83"/>
    <w:rsid w:val="00C51ABA"/>
    <w:rsid w:val="00C52222"/>
    <w:rsid w:val="00C52307"/>
    <w:rsid w:val="00C525E9"/>
    <w:rsid w:val="00C52FE0"/>
    <w:rsid w:val="00C534B5"/>
    <w:rsid w:val="00C54003"/>
    <w:rsid w:val="00C540B1"/>
    <w:rsid w:val="00C5415F"/>
    <w:rsid w:val="00C541DA"/>
    <w:rsid w:val="00C54A59"/>
    <w:rsid w:val="00C54C29"/>
    <w:rsid w:val="00C5520B"/>
    <w:rsid w:val="00C55322"/>
    <w:rsid w:val="00C55997"/>
    <w:rsid w:val="00C55FEC"/>
    <w:rsid w:val="00C56435"/>
    <w:rsid w:val="00C56695"/>
    <w:rsid w:val="00C56BD3"/>
    <w:rsid w:val="00C56C3C"/>
    <w:rsid w:val="00C56CE2"/>
    <w:rsid w:val="00C572C8"/>
    <w:rsid w:val="00C5740D"/>
    <w:rsid w:val="00C5772B"/>
    <w:rsid w:val="00C57864"/>
    <w:rsid w:val="00C57CA7"/>
    <w:rsid w:val="00C60454"/>
    <w:rsid w:val="00C60502"/>
    <w:rsid w:val="00C60536"/>
    <w:rsid w:val="00C60629"/>
    <w:rsid w:val="00C6073E"/>
    <w:rsid w:val="00C6094E"/>
    <w:rsid w:val="00C60EF7"/>
    <w:rsid w:val="00C611A0"/>
    <w:rsid w:val="00C6132F"/>
    <w:rsid w:val="00C61A46"/>
    <w:rsid w:val="00C62472"/>
    <w:rsid w:val="00C62484"/>
    <w:rsid w:val="00C62AD3"/>
    <w:rsid w:val="00C62B91"/>
    <w:rsid w:val="00C630C9"/>
    <w:rsid w:val="00C631B0"/>
    <w:rsid w:val="00C632EC"/>
    <w:rsid w:val="00C63497"/>
    <w:rsid w:val="00C6361F"/>
    <w:rsid w:val="00C6365D"/>
    <w:rsid w:val="00C63C1E"/>
    <w:rsid w:val="00C63E7B"/>
    <w:rsid w:val="00C63EA1"/>
    <w:rsid w:val="00C646F1"/>
    <w:rsid w:val="00C647B2"/>
    <w:rsid w:val="00C64A74"/>
    <w:rsid w:val="00C64AF2"/>
    <w:rsid w:val="00C64C77"/>
    <w:rsid w:val="00C65308"/>
    <w:rsid w:val="00C657C1"/>
    <w:rsid w:val="00C6588C"/>
    <w:rsid w:val="00C65A0A"/>
    <w:rsid w:val="00C65DAF"/>
    <w:rsid w:val="00C66028"/>
    <w:rsid w:val="00C660B1"/>
    <w:rsid w:val="00C664D6"/>
    <w:rsid w:val="00C66A17"/>
    <w:rsid w:val="00C66A1C"/>
    <w:rsid w:val="00C66A3E"/>
    <w:rsid w:val="00C66E85"/>
    <w:rsid w:val="00C670A8"/>
    <w:rsid w:val="00C675B0"/>
    <w:rsid w:val="00C675D8"/>
    <w:rsid w:val="00C6780B"/>
    <w:rsid w:val="00C6B090"/>
    <w:rsid w:val="00C70364"/>
    <w:rsid w:val="00C70562"/>
    <w:rsid w:val="00C70BE1"/>
    <w:rsid w:val="00C70E77"/>
    <w:rsid w:val="00C70FC3"/>
    <w:rsid w:val="00C71042"/>
    <w:rsid w:val="00C713E2"/>
    <w:rsid w:val="00C7196F"/>
    <w:rsid w:val="00C71DC0"/>
    <w:rsid w:val="00C71FC6"/>
    <w:rsid w:val="00C72500"/>
    <w:rsid w:val="00C73CB8"/>
    <w:rsid w:val="00C73D19"/>
    <w:rsid w:val="00C74056"/>
    <w:rsid w:val="00C74364"/>
    <w:rsid w:val="00C745D9"/>
    <w:rsid w:val="00C74714"/>
    <w:rsid w:val="00C74AB7"/>
    <w:rsid w:val="00C74BF3"/>
    <w:rsid w:val="00C74D67"/>
    <w:rsid w:val="00C74D96"/>
    <w:rsid w:val="00C74F8C"/>
    <w:rsid w:val="00C75206"/>
    <w:rsid w:val="00C75262"/>
    <w:rsid w:val="00C758D1"/>
    <w:rsid w:val="00C75BF3"/>
    <w:rsid w:val="00C75DE4"/>
    <w:rsid w:val="00C7607E"/>
    <w:rsid w:val="00C7651F"/>
    <w:rsid w:val="00C7667D"/>
    <w:rsid w:val="00C769D9"/>
    <w:rsid w:val="00C76A8E"/>
    <w:rsid w:val="00C76C2B"/>
    <w:rsid w:val="00C76C78"/>
    <w:rsid w:val="00C77DBB"/>
    <w:rsid w:val="00C77E04"/>
    <w:rsid w:val="00C803EF"/>
    <w:rsid w:val="00C80754"/>
    <w:rsid w:val="00C807BD"/>
    <w:rsid w:val="00C80FC6"/>
    <w:rsid w:val="00C81456"/>
    <w:rsid w:val="00C81CAA"/>
    <w:rsid w:val="00C81F63"/>
    <w:rsid w:val="00C82201"/>
    <w:rsid w:val="00C8224C"/>
    <w:rsid w:val="00C822F5"/>
    <w:rsid w:val="00C823C5"/>
    <w:rsid w:val="00C829B1"/>
    <w:rsid w:val="00C82A0C"/>
    <w:rsid w:val="00C82BDD"/>
    <w:rsid w:val="00C830AD"/>
    <w:rsid w:val="00C83217"/>
    <w:rsid w:val="00C83304"/>
    <w:rsid w:val="00C8331B"/>
    <w:rsid w:val="00C838B1"/>
    <w:rsid w:val="00C83BC2"/>
    <w:rsid w:val="00C84170"/>
    <w:rsid w:val="00C844C3"/>
    <w:rsid w:val="00C844E9"/>
    <w:rsid w:val="00C848D1"/>
    <w:rsid w:val="00C84AA3"/>
    <w:rsid w:val="00C84C79"/>
    <w:rsid w:val="00C84CFC"/>
    <w:rsid w:val="00C852FE"/>
    <w:rsid w:val="00C85A26"/>
    <w:rsid w:val="00C85A77"/>
    <w:rsid w:val="00C85C7F"/>
    <w:rsid w:val="00C85C8E"/>
    <w:rsid w:val="00C85D0F"/>
    <w:rsid w:val="00C865B4"/>
    <w:rsid w:val="00C86BFE"/>
    <w:rsid w:val="00C86F3A"/>
    <w:rsid w:val="00C873DD"/>
    <w:rsid w:val="00C87563"/>
    <w:rsid w:val="00C87717"/>
    <w:rsid w:val="00C87964"/>
    <w:rsid w:val="00C87A5E"/>
    <w:rsid w:val="00C87D2C"/>
    <w:rsid w:val="00C90906"/>
    <w:rsid w:val="00C90E2E"/>
    <w:rsid w:val="00C90F69"/>
    <w:rsid w:val="00C91039"/>
    <w:rsid w:val="00C9190F"/>
    <w:rsid w:val="00C919D9"/>
    <w:rsid w:val="00C91F98"/>
    <w:rsid w:val="00C92225"/>
    <w:rsid w:val="00C92263"/>
    <w:rsid w:val="00C92321"/>
    <w:rsid w:val="00C924A2"/>
    <w:rsid w:val="00C924D5"/>
    <w:rsid w:val="00C9258B"/>
    <w:rsid w:val="00C9288F"/>
    <w:rsid w:val="00C9300E"/>
    <w:rsid w:val="00C931C1"/>
    <w:rsid w:val="00C9341B"/>
    <w:rsid w:val="00C936B7"/>
    <w:rsid w:val="00C937A1"/>
    <w:rsid w:val="00C93B28"/>
    <w:rsid w:val="00C93DAE"/>
    <w:rsid w:val="00C93F2E"/>
    <w:rsid w:val="00C94621"/>
    <w:rsid w:val="00C949E8"/>
    <w:rsid w:val="00C94DD5"/>
    <w:rsid w:val="00C95097"/>
    <w:rsid w:val="00C95114"/>
    <w:rsid w:val="00C9531A"/>
    <w:rsid w:val="00C95B18"/>
    <w:rsid w:val="00C96062"/>
    <w:rsid w:val="00C96322"/>
    <w:rsid w:val="00C96350"/>
    <w:rsid w:val="00C96431"/>
    <w:rsid w:val="00C965C7"/>
    <w:rsid w:val="00C96647"/>
    <w:rsid w:val="00C967E1"/>
    <w:rsid w:val="00C96E4D"/>
    <w:rsid w:val="00C97311"/>
    <w:rsid w:val="00C97763"/>
    <w:rsid w:val="00C97FC3"/>
    <w:rsid w:val="00CA03B4"/>
    <w:rsid w:val="00CA06A8"/>
    <w:rsid w:val="00CA097D"/>
    <w:rsid w:val="00CA0FE4"/>
    <w:rsid w:val="00CA1088"/>
    <w:rsid w:val="00CA134C"/>
    <w:rsid w:val="00CA1824"/>
    <w:rsid w:val="00CA1C6E"/>
    <w:rsid w:val="00CA1E1F"/>
    <w:rsid w:val="00CA1F35"/>
    <w:rsid w:val="00CA23DB"/>
    <w:rsid w:val="00CA259E"/>
    <w:rsid w:val="00CA27F8"/>
    <w:rsid w:val="00CA2B7F"/>
    <w:rsid w:val="00CA2EF6"/>
    <w:rsid w:val="00CA39C3"/>
    <w:rsid w:val="00CA3CD8"/>
    <w:rsid w:val="00CA4105"/>
    <w:rsid w:val="00CA41B0"/>
    <w:rsid w:val="00CA461C"/>
    <w:rsid w:val="00CA48A7"/>
    <w:rsid w:val="00CA4C8C"/>
    <w:rsid w:val="00CA5715"/>
    <w:rsid w:val="00CA5F71"/>
    <w:rsid w:val="00CA6362"/>
    <w:rsid w:val="00CA6A4A"/>
    <w:rsid w:val="00CA77AD"/>
    <w:rsid w:val="00CA7A6E"/>
    <w:rsid w:val="00CB0BD0"/>
    <w:rsid w:val="00CB0CF4"/>
    <w:rsid w:val="00CB0D32"/>
    <w:rsid w:val="00CB0DED"/>
    <w:rsid w:val="00CB1157"/>
    <w:rsid w:val="00CB14CF"/>
    <w:rsid w:val="00CB2271"/>
    <w:rsid w:val="00CB2636"/>
    <w:rsid w:val="00CB266A"/>
    <w:rsid w:val="00CB284F"/>
    <w:rsid w:val="00CB2B4C"/>
    <w:rsid w:val="00CB2BBE"/>
    <w:rsid w:val="00CB2DFD"/>
    <w:rsid w:val="00CB33EF"/>
    <w:rsid w:val="00CB382C"/>
    <w:rsid w:val="00CB3AC6"/>
    <w:rsid w:val="00CB3E73"/>
    <w:rsid w:val="00CB3EE2"/>
    <w:rsid w:val="00CB4149"/>
    <w:rsid w:val="00CB433B"/>
    <w:rsid w:val="00CB4F73"/>
    <w:rsid w:val="00CB55A6"/>
    <w:rsid w:val="00CB5603"/>
    <w:rsid w:val="00CB58D5"/>
    <w:rsid w:val="00CB6220"/>
    <w:rsid w:val="00CB63E7"/>
    <w:rsid w:val="00CB6BE2"/>
    <w:rsid w:val="00CB6ED8"/>
    <w:rsid w:val="00CB70F5"/>
    <w:rsid w:val="00CB74D5"/>
    <w:rsid w:val="00CB788F"/>
    <w:rsid w:val="00CB7BD3"/>
    <w:rsid w:val="00CB7E41"/>
    <w:rsid w:val="00CC0A58"/>
    <w:rsid w:val="00CC0B84"/>
    <w:rsid w:val="00CC0B96"/>
    <w:rsid w:val="00CC0E0F"/>
    <w:rsid w:val="00CC0E19"/>
    <w:rsid w:val="00CC1011"/>
    <w:rsid w:val="00CC1087"/>
    <w:rsid w:val="00CC1B05"/>
    <w:rsid w:val="00CC1BB2"/>
    <w:rsid w:val="00CC1FCB"/>
    <w:rsid w:val="00CC21D7"/>
    <w:rsid w:val="00CC24CE"/>
    <w:rsid w:val="00CC25A0"/>
    <w:rsid w:val="00CC272C"/>
    <w:rsid w:val="00CC3061"/>
    <w:rsid w:val="00CC36A0"/>
    <w:rsid w:val="00CC3A19"/>
    <w:rsid w:val="00CC3B0F"/>
    <w:rsid w:val="00CC3EB6"/>
    <w:rsid w:val="00CC410C"/>
    <w:rsid w:val="00CC4125"/>
    <w:rsid w:val="00CC41D9"/>
    <w:rsid w:val="00CC424D"/>
    <w:rsid w:val="00CC4265"/>
    <w:rsid w:val="00CC4719"/>
    <w:rsid w:val="00CC49C0"/>
    <w:rsid w:val="00CC4A48"/>
    <w:rsid w:val="00CC543F"/>
    <w:rsid w:val="00CC578D"/>
    <w:rsid w:val="00CC5AEB"/>
    <w:rsid w:val="00CC5DBE"/>
    <w:rsid w:val="00CC5E29"/>
    <w:rsid w:val="00CC5EA8"/>
    <w:rsid w:val="00CC675E"/>
    <w:rsid w:val="00CC6DCB"/>
    <w:rsid w:val="00CC6DF2"/>
    <w:rsid w:val="00CC6E1B"/>
    <w:rsid w:val="00CC6FAB"/>
    <w:rsid w:val="00CC6FCB"/>
    <w:rsid w:val="00CC6FE8"/>
    <w:rsid w:val="00CC701A"/>
    <w:rsid w:val="00CC728D"/>
    <w:rsid w:val="00CC7448"/>
    <w:rsid w:val="00CC7B37"/>
    <w:rsid w:val="00CC7C3C"/>
    <w:rsid w:val="00CC7DE8"/>
    <w:rsid w:val="00CD01E5"/>
    <w:rsid w:val="00CD0283"/>
    <w:rsid w:val="00CD0852"/>
    <w:rsid w:val="00CD1718"/>
    <w:rsid w:val="00CD176C"/>
    <w:rsid w:val="00CD18BB"/>
    <w:rsid w:val="00CD2070"/>
    <w:rsid w:val="00CD25EB"/>
    <w:rsid w:val="00CD27A5"/>
    <w:rsid w:val="00CD399E"/>
    <w:rsid w:val="00CD3B47"/>
    <w:rsid w:val="00CD3CF9"/>
    <w:rsid w:val="00CD3D69"/>
    <w:rsid w:val="00CD424B"/>
    <w:rsid w:val="00CD44B3"/>
    <w:rsid w:val="00CD45DD"/>
    <w:rsid w:val="00CD49A8"/>
    <w:rsid w:val="00CD49DB"/>
    <w:rsid w:val="00CD5366"/>
    <w:rsid w:val="00CD5522"/>
    <w:rsid w:val="00CD593F"/>
    <w:rsid w:val="00CD6113"/>
    <w:rsid w:val="00CD6502"/>
    <w:rsid w:val="00CD66F4"/>
    <w:rsid w:val="00CD6741"/>
    <w:rsid w:val="00CD6B0C"/>
    <w:rsid w:val="00CD6D0B"/>
    <w:rsid w:val="00CD6E0A"/>
    <w:rsid w:val="00CD7113"/>
    <w:rsid w:val="00CD71A6"/>
    <w:rsid w:val="00CD736C"/>
    <w:rsid w:val="00CD73D4"/>
    <w:rsid w:val="00CD7439"/>
    <w:rsid w:val="00CD744C"/>
    <w:rsid w:val="00CD775E"/>
    <w:rsid w:val="00CD794F"/>
    <w:rsid w:val="00CD7AD9"/>
    <w:rsid w:val="00CD7C81"/>
    <w:rsid w:val="00CD7F3A"/>
    <w:rsid w:val="00CE0426"/>
    <w:rsid w:val="00CE0768"/>
    <w:rsid w:val="00CE0DAE"/>
    <w:rsid w:val="00CE1434"/>
    <w:rsid w:val="00CE1A99"/>
    <w:rsid w:val="00CE1CB1"/>
    <w:rsid w:val="00CE1F58"/>
    <w:rsid w:val="00CE200F"/>
    <w:rsid w:val="00CE2366"/>
    <w:rsid w:val="00CE2485"/>
    <w:rsid w:val="00CE2563"/>
    <w:rsid w:val="00CE288B"/>
    <w:rsid w:val="00CE2CE1"/>
    <w:rsid w:val="00CE344F"/>
    <w:rsid w:val="00CE34FE"/>
    <w:rsid w:val="00CE503E"/>
    <w:rsid w:val="00CE52B9"/>
    <w:rsid w:val="00CE52F7"/>
    <w:rsid w:val="00CE53BB"/>
    <w:rsid w:val="00CE570C"/>
    <w:rsid w:val="00CE57C9"/>
    <w:rsid w:val="00CE5DCA"/>
    <w:rsid w:val="00CE6AC6"/>
    <w:rsid w:val="00CE717C"/>
    <w:rsid w:val="00CE738C"/>
    <w:rsid w:val="00CE75A3"/>
    <w:rsid w:val="00CE78C8"/>
    <w:rsid w:val="00CE7CB1"/>
    <w:rsid w:val="00CF00AF"/>
    <w:rsid w:val="00CF01B2"/>
    <w:rsid w:val="00CF07B1"/>
    <w:rsid w:val="00CF0885"/>
    <w:rsid w:val="00CF0ABB"/>
    <w:rsid w:val="00CF0C5F"/>
    <w:rsid w:val="00CF0C83"/>
    <w:rsid w:val="00CF0DFE"/>
    <w:rsid w:val="00CF151D"/>
    <w:rsid w:val="00CF158F"/>
    <w:rsid w:val="00CF1903"/>
    <w:rsid w:val="00CF1E39"/>
    <w:rsid w:val="00CF214B"/>
    <w:rsid w:val="00CF21FB"/>
    <w:rsid w:val="00CF26B0"/>
    <w:rsid w:val="00CF28FB"/>
    <w:rsid w:val="00CF2C11"/>
    <w:rsid w:val="00CF3691"/>
    <w:rsid w:val="00CF381E"/>
    <w:rsid w:val="00CF3A2D"/>
    <w:rsid w:val="00CF3A90"/>
    <w:rsid w:val="00CF3D92"/>
    <w:rsid w:val="00CF3EC1"/>
    <w:rsid w:val="00CF444C"/>
    <w:rsid w:val="00CF5322"/>
    <w:rsid w:val="00CF5515"/>
    <w:rsid w:val="00CF58C9"/>
    <w:rsid w:val="00CF5A14"/>
    <w:rsid w:val="00CF5BE0"/>
    <w:rsid w:val="00CF5D55"/>
    <w:rsid w:val="00CF603E"/>
    <w:rsid w:val="00CF62B9"/>
    <w:rsid w:val="00CF63DE"/>
    <w:rsid w:val="00CF6494"/>
    <w:rsid w:val="00CF6866"/>
    <w:rsid w:val="00CF686C"/>
    <w:rsid w:val="00CF6F7B"/>
    <w:rsid w:val="00CF706D"/>
    <w:rsid w:val="00CF7268"/>
    <w:rsid w:val="00CF7357"/>
    <w:rsid w:val="00CF7BA0"/>
    <w:rsid w:val="00CF7D36"/>
    <w:rsid w:val="00CF7D9B"/>
    <w:rsid w:val="00CF7DD3"/>
    <w:rsid w:val="00D00246"/>
    <w:rsid w:val="00D00376"/>
    <w:rsid w:val="00D003E3"/>
    <w:rsid w:val="00D00459"/>
    <w:rsid w:val="00D00496"/>
    <w:rsid w:val="00D005FA"/>
    <w:rsid w:val="00D009AB"/>
    <w:rsid w:val="00D00EC3"/>
    <w:rsid w:val="00D01015"/>
    <w:rsid w:val="00D0163D"/>
    <w:rsid w:val="00D01824"/>
    <w:rsid w:val="00D02469"/>
    <w:rsid w:val="00D0255C"/>
    <w:rsid w:val="00D02C4D"/>
    <w:rsid w:val="00D02DDE"/>
    <w:rsid w:val="00D02F08"/>
    <w:rsid w:val="00D0338C"/>
    <w:rsid w:val="00D03438"/>
    <w:rsid w:val="00D038DA"/>
    <w:rsid w:val="00D03DA4"/>
    <w:rsid w:val="00D04036"/>
    <w:rsid w:val="00D0416A"/>
    <w:rsid w:val="00D0511C"/>
    <w:rsid w:val="00D05418"/>
    <w:rsid w:val="00D055C3"/>
    <w:rsid w:val="00D057FC"/>
    <w:rsid w:val="00D05DC9"/>
    <w:rsid w:val="00D05ECF"/>
    <w:rsid w:val="00D06123"/>
    <w:rsid w:val="00D06177"/>
    <w:rsid w:val="00D062A4"/>
    <w:rsid w:val="00D062FE"/>
    <w:rsid w:val="00D06325"/>
    <w:rsid w:val="00D06355"/>
    <w:rsid w:val="00D063F1"/>
    <w:rsid w:val="00D06C14"/>
    <w:rsid w:val="00D06E98"/>
    <w:rsid w:val="00D07996"/>
    <w:rsid w:val="00D1023C"/>
    <w:rsid w:val="00D103DC"/>
    <w:rsid w:val="00D117E4"/>
    <w:rsid w:val="00D11AAF"/>
    <w:rsid w:val="00D11BFB"/>
    <w:rsid w:val="00D11F2D"/>
    <w:rsid w:val="00D11FF8"/>
    <w:rsid w:val="00D1255C"/>
    <w:rsid w:val="00D1255F"/>
    <w:rsid w:val="00D12B4F"/>
    <w:rsid w:val="00D12CB3"/>
    <w:rsid w:val="00D12FD5"/>
    <w:rsid w:val="00D139ED"/>
    <w:rsid w:val="00D13A00"/>
    <w:rsid w:val="00D13B88"/>
    <w:rsid w:val="00D13F83"/>
    <w:rsid w:val="00D1410C"/>
    <w:rsid w:val="00D14381"/>
    <w:rsid w:val="00D1443A"/>
    <w:rsid w:val="00D14ECE"/>
    <w:rsid w:val="00D15113"/>
    <w:rsid w:val="00D1517E"/>
    <w:rsid w:val="00D1604E"/>
    <w:rsid w:val="00D16A89"/>
    <w:rsid w:val="00D16D0D"/>
    <w:rsid w:val="00D16DED"/>
    <w:rsid w:val="00D1794D"/>
    <w:rsid w:val="00D17CB4"/>
    <w:rsid w:val="00D17ED6"/>
    <w:rsid w:val="00D17F62"/>
    <w:rsid w:val="00D200FD"/>
    <w:rsid w:val="00D206AF"/>
    <w:rsid w:val="00D20986"/>
    <w:rsid w:val="00D2105A"/>
    <w:rsid w:val="00D21268"/>
    <w:rsid w:val="00D2126C"/>
    <w:rsid w:val="00D216FB"/>
    <w:rsid w:val="00D21817"/>
    <w:rsid w:val="00D218F5"/>
    <w:rsid w:val="00D21930"/>
    <w:rsid w:val="00D21AB1"/>
    <w:rsid w:val="00D21C3C"/>
    <w:rsid w:val="00D21CF2"/>
    <w:rsid w:val="00D21DFF"/>
    <w:rsid w:val="00D2238E"/>
    <w:rsid w:val="00D2246D"/>
    <w:rsid w:val="00D22CDA"/>
    <w:rsid w:val="00D22F7C"/>
    <w:rsid w:val="00D22F8C"/>
    <w:rsid w:val="00D230B0"/>
    <w:rsid w:val="00D232CD"/>
    <w:rsid w:val="00D23D16"/>
    <w:rsid w:val="00D23D6C"/>
    <w:rsid w:val="00D23FC8"/>
    <w:rsid w:val="00D243C1"/>
    <w:rsid w:val="00D2469B"/>
    <w:rsid w:val="00D24C8B"/>
    <w:rsid w:val="00D24F57"/>
    <w:rsid w:val="00D25048"/>
    <w:rsid w:val="00D257D4"/>
    <w:rsid w:val="00D25B9A"/>
    <w:rsid w:val="00D25FE9"/>
    <w:rsid w:val="00D260CA"/>
    <w:rsid w:val="00D26233"/>
    <w:rsid w:val="00D26253"/>
    <w:rsid w:val="00D26566"/>
    <w:rsid w:val="00D2688D"/>
    <w:rsid w:val="00D269B5"/>
    <w:rsid w:val="00D26B5F"/>
    <w:rsid w:val="00D26C0E"/>
    <w:rsid w:val="00D26C68"/>
    <w:rsid w:val="00D26EFC"/>
    <w:rsid w:val="00D2713F"/>
    <w:rsid w:val="00D272A1"/>
    <w:rsid w:val="00D27799"/>
    <w:rsid w:val="00D277CC"/>
    <w:rsid w:val="00D27E25"/>
    <w:rsid w:val="00D27F41"/>
    <w:rsid w:val="00D303F7"/>
    <w:rsid w:val="00D3047D"/>
    <w:rsid w:val="00D307A2"/>
    <w:rsid w:val="00D30A16"/>
    <w:rsid w:val="00D30C98"/>
    <w:rsid w:val="00D312B5"/>
    <w:rsid w:val="00D3162C"/>
    <w:rsid w:val="00D316DC"/>
    <w:rsid w:val="00D31A21"/>
    <w:rsid w:val="00D31BA8"/>
    <w:rsid w:val="00D320BD"/>
    <w:rsid w:val="00D32727"/>
    <w:rsid w:val="00D327B3"/>
    <w:rsid w:val="00D32A39"/>
    <w:rsid w:val="00D32B20"/>
    <w:rsid w:val="00D32B21"/>
    <w:rsid w:val="00D33790"/>
    <w:rsid w:val="00D339A8"/>
    <w:rsid w:val="00D33AFE"/>
    <w:rsid w:val="00D33B60"/>
    <w:rsid w:val="00D33D1A"/>
    <w:rsid w:val="00D33D88"/>
    <w:rsid w:val="00D33F30"/>
    <w:rsid w:val="00D34333"/>
    <w:rsid w:val="00D3442E"/>
    <w:rsid w:val="00D34786"/>
    <w:rsid w:val="00D34C4C"/>
    <w:rsid w:val="00D34FCE"/>
    <w:rsid w:val="00D351BA"/>
    <w:rsid w:val="00D353C1"/>
    <w:rsid w:val="00D35802"/>
    <w:rsid w:val="00D35B72"/>
    <w:rsid w:val="00D3603A"/>
    <w:rsid w:val="00D36432"/>
    <w:rsid w:val="00D36492"/>
    <w:rsid w:val="00D36547"/>
    <w:rsid w:val="00D36E9C"/>
    <w:rsid w:val="00D37148"/>
    <w:rsid w:val="00D37514"/>
    <w:rsid w:val="00D40110"/>
    <w:rsid w:val="00D4044A"/>
    <w:rsid w:val="00D40776"/>
    <w:rsid w:val="00D40893"/>
    <w:rsid w:val="00D4194C"/>
    <w:rsid w:val="00D41C4B"/>
    <w:rsid w:val="00D42038"/>
    <w:rsid w:val="00D420A5"/>
    <w:rsid w:val="00D422B3"/>
    <w:rsid w:val="00D423B7"/>
    <w:rsid w:val="00D423E8"/>
    <w:rsid w:val="00D4274A"/>
    <w:rsid w:val="00D4370B"/>
    <w:rsid w:val="00D4375B"/>
    <w:rsid w:val="00D43968"/>
    <w:rsid w:val="00D43A31"/>
    <w:rsid w:val="00D44178"/>
    <w:rsid w:val="00D44258"/>
    <w:rsid w:val="00D44880"/>
    <w:rsid w:val="00D44EBB"/>
    <w:rsid w:val="00D451CE"/>
    <w:rsid w:val="00D452D0"/>
    <w:rsid w:val="00D45907"/>
    <w:rsid w:val="00D45ACF"/>
    <w:rsid w:val="00D45E13"/>
    <w:rsid w:val="00D462D2"/>
    <w:rsid w:val="00D4648B"/>
    <w:rsid w:val="00D466A9"/>
    <w:rsid w:val="00D467E4"/>
    <w:rsid w:val="00D4699B"/>
    <w:rsid w:val="00D475EC"/>
    <w:rsid w:val="00D47B19"/>
    <w:rsid w:val="00D47C55"/>
    <w:rsid w:val="00D47DDC"/>
    <w:rsid w:val="00D47DE4"/>
    <w:rsid w:val="00D50557"/>
    <w:rsid w:val="00D507BF"/>
    <w:rsid w:val="00D50AC5"/>
    <w:rsid w:val="00D50D29"/>
    <w:rsid w:val="00D50D42"/>
    <w:rsid w:val="00D50E8F"/>
    <w:rsid w:val="00D5106C"/>
    <w:rsid w:val="00D5114E"/>
    <w:rsid w:val="00D51E5A"/>
    <w:rsid w:val="00D524FE"/>
    <w:rsid w:val="00D52552"/>
    <w:rsid w:val="00D526F3"/>
    <w:rsid w:val="00D52B55"/>
    <w:rsid w:val="00D52FD2"/>
    <w:rsid w:val="00D53088"/>
    <w:rsid w:val="00D533B6"/>
    <w:rsid w:val="00D53B20"/>
    <w:rsid w:val="00D53BC5"/>
    <w:rsid w:val="00D53CA5"/>
    <w:rsid w:val="00D53EB9"/>
    <w:rsid w:val="00D541EE"/>
    <w:rsid w:val="00D54223"/>
    <w:rsid w:val="00D5501D"/>
    <w:rsid w:val="00D55B79"/>
    <w:rsid w:val="00D55C18"/>
    <w:rsid w:val="00D5624C"/>
    <w:rsid w:val="00D5629A"/>
    <w:rsid w:val="00D56577"/>
    <w:rsid w:val="00D56816"/>
    <w:rsid w:val="00D56820"/>
    <w:rsid w:val="00D56A76"/>
    <w:rsid w:val="00D56C96"/>
    <w:rsid w:val="00D56CA3"/>
    <w:rsid w:val="00D571FA"/>
    <w:rsid w:val="00D5747C"/>
    <w:rsid w:val="00D57581"/>
    <w:rsid w:val="00D576FE"/>
    <w:rsid w:val="00D578C9"/>
    <w:rsid w:val="00D57AD7"/>
    <w:rsid w:val="00D57F50"/>
    <w:rsid w:val="00D6002B"/>
    <w:rsid w:val="00D602AE"/>
    <w:rsid w:val="00D60581"/>
    <w:rsid w:val="00D608BD"/>
    <w:rsid w:val="00D6104D"/>
    <w:rsid w:val="00D6137D"/>
    <w:rsid w:val="00D61615"/>
    <w:rsid w:val="00D61B92"/>
    <w:rsid w:val="00D61F81"/>
    <w:rsid w:val="00D61F92"/>
    <w:rsid w:val="00D62EDF"/>
    <w:rsid w:val="00D6303F"/>
    <w:rsid w:val="00D63066"/>
    <w:rsid w:val="00D631AD"/>
    <w:rsid w:val="00D634F4"/>
    <w:rsid w:val="00D63579"/>
    <w:rsid w:val="00D63590"/>
    <w:rsid w:val="00D6378F"/>
    <w:rsid w:val="00D63A50"/>
    <w:rsid w:val="00D63AAC"/>
    <w:rsid w:val="00D64871"/>
    <w:rsid w:val="00D64A6E"/>
    <w:rsid w:val="00D64B80"/>
    <w:rsid w:val="00D64D24"/>
    <w:rsid w:val="00D64D34"/>
    <w:rsid w:val="00D6503B"/>
    <w:rsid w:val="00D655BD"/>
    <w:rsid w:val="00D65896"/>
    <w:rsid w:val="00D65A51"/>
    <w:rsid w:val="00D65EF3"/>
    <w:rsid w:val="00D66595"/>
    <w:rsid w:val="00D6672A"/>
    <w:rsid w:val="00D6678B"/>
    <w:rsid w:val="00D668A5"/>
    <w:rsid w:val="00D668C1"/>
    <w:rsid w:val="00D66C77"/>
    <w:rsid w:val="00D677FE"/>
    <w:rsid w:val="00D67D11"/>
    <w:rsid w:val="00D67D61"/>
    <w:rsid w:val="00D700EA"/>
    <w:rsid w:val="00D701ED"/>
    <w:rsid w:val="00D70498"/>
    <w:rsid w:val="00D7096F"/>
    <w:rsid w:val="00D70BF6"/>
    <w:rsid w:val="00D70C97"/>
    <w:rsid w:val="00D719E7"/>
    <w:rsid w:val="00D71EA6"/>
    <w:rsid w:val="00D720E6"/>
    <w:rsid w:val="00D722F2"/>
    <w:rsid w:val="00D724FB"/>
    <w:rsid w:val="00D72D79"/>
    <w:rsid w:val="00D72DEB"/>
    <w:rsid w:val="00D72E25"/>
    <w:rsid w:val="00D730F3"/>
    <w:rsid w:val="00D73443"/>
    <w:rsid w:val="00D735A5"/>
    <w:rsid w:val="00D7361D"/>
    <w:rsid w:val="00D739CD"/>
    <w:rsid w:val="00D73B71"/>
    <w:rsid w:val="00D73CAF"/>
    <w:rsid w:val="00D73D33"/>
    <w:rsid w:val="00D73D55"/>
    <w:rsid w:val="00D740B4"/>
    <w:rsid w:val="00D741C0"/>
    <w:rsid w:val="00D741D5"/>
    <w:rsid w:val="00D74352"/>
    <w:rsid w:val="00D74F95"/>
    <w:rsid w:val="00D756A1"/>
    <w:rsid w:val="00D75B9F"/>
    <w:rsid w:val="00D75E6C"/>
    <w:rsid w:val="00D760E1"/>
    <w:rsid w:val="00D762A8"/>
    <w:rsid w:val="00D7636F"/>
    <w:rsid w:val="00D76641"/>
    <w:rsid w:val="00D76644"/>
    <w:rsid w:val="00D76AA8"/>
    <w:rsid w:val="00D76D40"/>
    <w:rsid w:val="00D76E4A"/>
    <w:rsid w:val="00D772E2"/>
    <w:rsid w:val="00D77440"/>
    <w:rsid w:val="00D774BF"/>
    <w:rsid w:val="00D77692"/>
    <w:rsid w:val="00D77704"/>
    <w:rsid w:val="00D77B62"/>
    <w:rsid w:val="00D800D0"/>
    <w:rsid w:val="00D802A2"/>
    <w:rsid w:val="00D803C2"/>
    <w:rsid w:val="00D8055A"/>
    <w:rsid w:val="00D80950"/>
    <w:rsid w:val="00D80BC4"/>
    <w:rsid w:val="00D81049"/>
    <w:rsid w:val="00D810E4"/>
    <w:rsid w:val="00D81203"/>
    <w:rsid w:val="00D81219"/>
    <w:rsid w:val="00D812A4"/>
    <w:rsid w:val="00D814C2"/>
    <w:rsid w:val="00D81564"/>
    <w:rsid w:val="00D81630"/>
    <w:rsid w:val="00D81C9E"/>
    <w:rsid w:val="00D820C7"/>
    <w:rsid w:val="00D82214"/>
    <w:rsid w:val="00D82A52"/>
    <w:rsid w:val="00D82AB1"/>
    <w:rsid w:val="00D82AC5"/>
    <w:rsid w:val="00D82C79"/>
    <w:rsid w:val="00D82FDD"/>
    <w:rsid w:val="00D832A1"/>
    <w:rsid w:val="00D839F3"/>
    <w:rsid w:val="00D84292"/>
    <w:rsid w:val="00D845BD"/>
    <w:rsid w:val="00D845C4"/>
    <w:rsid w:val="00D84977"/>
    <w:rsid w:val="00D84CD6"/>
    <w:rsid w:val="00D8521F"/>
    <w:rsid w:val="00D85E64"/>
    <w:rsid w:val="00D85FF6"/>
    <w:rsid w:val="00D86315"/>
    <w:rsid w:val="00D86501"/>
    <w:rsid w:val="00D866E9"/>
    <w:rsid w:val="00D86B88"/>
    <w:rsid w:val="00D86C89"/>
    <w:rsid w:val="00D876EB"/>
    <w:rsid w:val="00D87CAD"/>
    <w:rsid w:val="00D87CBE"/>
    <w:rsid w:val="00D87D25"/>
    <w:rsid w:val="00D90412"/>
    <w:rsid w:val="00D908E9"/>
    <w:rsid w:val="00D90BC9"/>
    <w:rsid w:val="00D915A9"/>
    <w:rsid w:val="00D91868"/>
    <w:rsid w:val="00D91CCB"/>
    <w:rsid w:val="00D9215B"/>
    <w:rsid w:val="00D92218"/>
    <w:rsid w:val="00D922AD"/>
    <w:rsid w:val="00D926C8"/>
    <w:rsid w:val="00D9292D"/>
    <w:rsid w:val="00D92A72"/>
    <w:rsid w:val="00D92D07"/>
    <w:rsid w:val="00D92E9D"/>
    <w:rsid w:val="00D938D1"/>
    <w:rsid w:val="00D93941"/>
    <w:rsid w:val="00D93C8E"/>
    <w:rsid w:val="00D9409D"/>
    <w:rsid w:val="00D94337"/>
    <w:rsid w:val="00D94512"/>
    <w:rsid w:val="00D948E7"/>
    <w:rsid w:val="00D94D85"/>
    <w:rsid w:val="00D94FD9"/>
    <w:rsid w:val="00D9538E"/>
    <w:rsid w:val="00D962E3"/>
    <w:rsid w:val="00D968BD"/>
    <w:rsid w:val="00D96927"/>
    <w:rsid w:val="00D96969"/>
    <w:rsid w:val="00D96A08"/>
    <w:rsid w:val="00D96AA8"/>
    <w:rsid w:val="00D96D25"/>
    <w:rsid w:val="00D9714D"/>
    <w:rsid w:val="00D97294"/>
    <w:rsid w:val="00D9745B"/>
    <w:rsid w:val="00D979B9"/>
    <w:rsid w:val="00D97D9C"/>
    <w:rsid w:val="00DA01BB"/>
    <w:rsid w:val="00DA0A73"/>
    <w:rsid w:val="00DA0B5B"/>
    <w:rsid w:val="00DA0E93"/>
    <w:rsid w:val="00DA0FC9"/>
    <w:rsid w:val="00DA15FF"/>
    <w:rsid w:val="00DA1A04"/>
    <w:rsid w:val="00DA226D"/>
    <w:rsid w:val="00DA234C"/>
    <w:rsid w:val="00DA2846"/>
    <w:rsid w:val="00DA291F"/>
    <w:rsid w:val="00DA2BA2"/>
    <w:rsid w:val="00DA2CEF"/>
    <w:rsid w:val="00DA2FA6"/>
    <w:rsid w:val="00DA3462"/>
    <w:rsid w:val="00DA3764"/>
    <w:rsid w:val="00DA3B73"/>
    <w:rsid w:val="00DA3EFE"/>
    <w:rsid w:val="00DA4080"/>
    <w:rsid w:val="00DA48C3"/>
    <w:rsid w:val="00DA4A63"/>
    <w:rsid w:val="00DA4B22"/>
    <w:rsid w:val="00DA4C81"/>
    <w:rsid w:val="00DA4D67"/>
    <w:rsid w:val="00DA511A"/>
    <w:rsid w:val="00DA516B"/>
    <w:rsid w:val="00DA52DA"/>
    <w:rsid w:val="00DA597A"/>
    <w:rsid w:val="00DA5DB7"/>
    <w:rsid w:val="00DA6098"/>
    <w:rsid w:val="00DA60D4"/>
    <w:rsid w:val="00DA628B"/>
    <w:rsid w:val="00DA63A3"/>
    <w:rsid w:val="00DA63F8"/>
    <w:rsid w:val="00DA6425"/>
    <w:rsid w:val="00DA6533"/>
    <w:rsid w:val="00DA682C"/>
    <w:rsid w:val="00DA6933"/>
    <w:rsid w:val="00DA6941"/>
    <w:rsid w:val="00DA6A8E"/>
    <w:rsid w:val="00DA6AD4"/>
    <w:rsid w:val="00DA6C34"/>
    <w:rsid w:val="00DA6D3D"/>
    <w:rsid w:val="00DA7127"/>
    <w:rsid w:val="00DA72E1"/>
    <w:rsid w:val="00DA74ED"/>
    <w:rsid w:val="00DA791F"/>
    <w:rsid w:val="00DA79E6"/>
    <w:rsid w:val="00DA7A81"/>
    <w:rsid w:val="00DA7C1F"/>
    <w:rsid w:val="00DA7F88"/>
    <w:rsid w:val="00DB001A"/>
    <w:rsid w:val="00DB0078"/>
    <w:rsid w:val="00DB0323"/>
    <w:rsid w:val="00DB06BF"/>
    <w:rsid w:val="00DB082D"/>
    <w:rsid w:val="00DB0A2E"/>
    <w:rsid w:val="00DB0B11"/>
    <w:rsid w:val="00DB1437"/>
    <w:rsid w:val="00DB152E"/>
    <w:rsid w:val="00DB203B"/>
    <w:rsid w:val="00DB21DF"/>
    <w:rsid w:val="00DB2292"/>
    <w:rsid w:val="00DB22DA"/>
    <w:rsid w:val="00DB25EA"/>
    <w:rsid w:val="00DB2C64"/>
    <w:rsid w:val="00DB2D62"/>
    <w:rsid w:val="00DB39FF"/>
    <w:rsid w:val="00DB3A43"/>
    <w:rsid w:val="00DB3EF6"/>
    <w:rsid w:val="00DB4102"/>
    <w:rsid w:val="00DB43C6"/>
    <w:rsid w:val="00DB4818"/>
    <w:rsid w:val="00DB4A22"/>
    <w:rsid w:val="00DB53A9"/>
    <w:rsid w:val="00DB54CD"/>
    <w:rsid w:val="00DB5723"/>
    <w:rsid w:val="00DB5A42"/>
    <w:rsid w:val="00DB5D44"/>
    <w:rsid w:val="00DB5F80"/>
    <w:rsid w:val="00DB5FB3"/>
    <w:rsid w:val="00DB6005"/>
    <w:rsid w:val="00DB63DB"/>
    <w:rsid w:val="00DB658F"/>
    <w:rsid w:val="00DB6669"/>
    <w:rsid w:val="00DB676A"/>
    <w:rsid w:val="00DB6A3F"/>
    <w:rsid w:val="00DB7279"/>
    <w:rsid w:val="00DB78DA"/>
    <w:rsid w:val="00DB7C64"/>
    <w:rsid w:val="00DB7CB7"/>
    <w:rsid w:val="00DB7DC1"/>
    <w:rsid w:val="00DB7FC6"/>
    <w:rsid w:val="00DC0085"/>
    <w:rsid w:val="00DC00BF"/>
    <w:rsid w:val="00DC08EC"/>
    <w:rsid w:val="00DC0C02"/>
    <w:rsid w:val="00DC0CD8"/>
    <w:rsid w:val="00DC1220"/>
    <w:rsid w:val="00DC1353"/>
    <w:rsid w:val="00DC14D7"/>
    <w:rsid w:val="00DC1A90"/>
    <w:rsid w:val="00DC1C01"/>
    <w:rsid w:val="00DC1F5F"/>
    <w:rsid w:val="00DC22DC"/>
    <w:rsid w:val="00DC29CB"/>
    <w:rsid w:val="00DC2BD6"/>
    <w:rsid w:val="00DC2C83"/>
    <w:rsid w:val="00DC2CA9"/>
    <w:rsid w:val="00DC39CA"/>
    <w:rsid w:val="00DC3CEF"/>
    <w:rsid w:val="00DC40E8"/>
    <w:rsid w:val="00DC420C"/>
    <w:rsid w:val="00DC4A16"/>
    <w:rsid w:val="00DC4A1C"/>
    <w:rsid w:val="00DC4A44"/>
    <w:rsid w:val="00DC4E39"/>
    <w:rsid w:val="00DC59CD"/>
    <w:rsid w:val="00DC5B82"/>
    <w:rsid w:val="00DC5B87"/>
    <w:rsid w:val="00DC5FF4"/>
    <w:rsid w:val="00DC5FFD"/>
    <w:rsid w:val="00DC6084"/>
    <w:rsid w:val="00DC610A"/>
    <w:rsid w:val="00DC610F"/>
    <w:rsid w:val="00DC6240"/>
    <w:rsid w:val="00DC64AD"/>
    <w:rsid w:val="00DC671B"/>
    <w:rsid w:val="00DC701E"/>
    <w:rsid w:val="00DC75D5"/>
    <w:rsid w:val="00DC771E"/>
    <w:rsid w:val="00DC7BC9"/>
    <w:rsid w:val="00DC7CD2"/>
    <w:rsid w:val="00DD0467"/>
    <w:rsid w:val="00DD15F5"/>
    <w:rsid w:val="00DD16B6"/>
    <w:rsid w:val="00DD2406"/>
    <w:rsid w:val="00DD26EB"/>
    <w:rsid w:val="00DD28E8"/>
    <w:rsid w:val="00DD2EA4"/>
    <w:rsid w:val="00DD2F24"/>
    <w:rsid w:val="00DD30F7"/>
    <w:rsid w:val="00DD3262"/>
    <w:rsid w:val="00DD3780"/>
    <w:rsid w:val="00DD38A5"/>
    <w:rsid w:val="00DD3A68"/>
    <w:rsid w:val="00DD4022"/>
    <w:rsid w:val="00DD40A1"/>
    <w:rsid w:val="00DD418B"/>
    <w:rsid w:val="00DD43C3"/>
    <w:rsid w:val="00DD4412"/>
    <w:rsid w:val="00DD443C"/>
    <w:rsid w:val="00DD4899"/>
    <w:rsid w:val="00DD4E29"/>
    <w:rsid w:val="00DD52F8"/>
    <w:rsid w:val="00DD65C9"/>
    <w:rsid w:val="00DD6760"/>
    <w:rsid w:val="00DD6C30"/>
    <w:rsid w:val="00DD6DAB"/>
    <w:rsid w:val="00DD7A81"/>
    <w:rsid w:val="00DD7EAF"/>
    <w:rsid w:val="00DE023C"/>
    <w:rsid w:val="00DE02B6"/>
    <w:rsid w:val="00DE054A"/>
    <w:rsid w:val="00DE1130"/>
    <w:rsid w:val="00DE12B5"/>
    <w:rsid w:val="00DE14AA"/>
    <w:rsid w:val="00DE1530"/>
    <w:rsid w:val="00DE1569"/>
    <w:rsid w:val="00DE1642"/>
    <w:rsid w:val="00DE1CE0"/>
    <w:rsid w:val="00DE1FE3"/>
    <w:rsid w:val="00DE2849"/>
    <w:rsid w:val="00DE28E4"/>
    <w:rsid w:val="00DE2FA9"/>
    <w:rsid w:val="00DE3BDF"/>
    <w:rsid w:val="00DE3ED7"/>
    <w:rsid w:val="00DE4138"/>
    <w:rsid w:val="00DE4177"/>
    <w:rsid w:val="00DE45BA"/>
    <w:rsid w:val="00DE4604"/>
    <w:rsid w:val="00DE469D"/>
    <w:rsid w:val="00DE46DE"/>
    <w:rsid w:val="00DE474A"/>
    <w:rsid w:val="00DE4869"/>
    <w:rsid w:val="00DE49A3"/>
    <w:rsid w:val="00DE4A7E"/>
    <w:rsid w:val="00DE5020"/>
    <w:rsid w:val="00DE5433"/>
    <w:rsid w:val="00DE55D0"/>
    <w:rsid w:val="00DE57E2"/>
    <w:rsid w:val="00DE591B"/>
    <w:rsid w:val="00DE5A79"/>
    <w:rsid w:val="00DE5AF6"/>
    <w:rsid w:val="00DE5BF5"/>
    <w:rsid w:val="00DE5CBB"/>
    <w:rsid w:val="00DE6782"/>
    <w:rsid w:val="00DE6D62"/>
    <w:rsid w:val="00DE6D71"/>
    <w:rsid w:val="00DE6F00"/>
    <w:rsid w:val="00DE6FE5"/>
    <w:rsid w:val="00DE71F2"/>
    <w:rsid w:val="00DE7555"/>
    <w:rsid w:val="00DE764A"/>
    <w:rsid w:val="00DE7B08"/>
    <w:rsid w:val="00DE7D7D"/>
    <w:rsid w:val="00DF00E5"/>
    <w:rsid w:val="00DF0892"/>
    <w:rsid w:val="00DF0A45"/>
    <w:rsid w:val="00DF0C5F"/>
    <w:rsid w:val="00DF0E78"/>
    <w:rsid w:val="00DF0F2F"/>
    <w:rsid w:val="00DF14C6"/>
    <w:rsid w:val="00DF1CB2"/>
    <w:rsid w:val="00DF1F4D"/>
    <w:rsid w:val="00DF2A55"/>
    <w:rsid w:val="00DF2B67"/>
    <w:rsid w:val="00DF2DA6"/>
    <w:rsid w:val="00DF3122"/>
    <w:rsid w:val="00DF3317"/>
    <w:rsid w:val="00DF34AC"/>
    <w:rsid w:val="00DF37E9"/>
    <w:rsid w:val="00DF3C9E"/>
    <w:rsid w:val="00DF3E50"/>
    <w:rsid w:val="00DF3EB4"/>
    <w:rsid w:val="00DF3FFE"/>
    <w:rsid w:val="00DF4540"/>
    <w:rsid w:val="00DF4942"/>
    <w:rsid w:val="00DF4A57"/>
    <w:rsid w:val="00DF4C59"/>
    <w:rsid w:val="00DF4CB4"/>
    <w:rsid w:val="00DF51F7"/>
    <w:rsid w:val="00DF5228"/>
    <w:rsid w:val="00DF5351"/>
    <w:rsid w:val="00DF589D"/>
    <w:rsid w:val="00DF5F95"/>
    <w:rsid w:val="00DF612D"/>
    <w:rsid w:val="00DF662B"/>
    <w:rsid w:val="00DF66CA"/>
    <w:rsid w:val="00DF68AD"/>
    <w:rsid w:val="00DF6DA6"/>
    <w:rsid w:val="00DF6DBB"/>
    <w:rsid w:val="00DF7DAE"/>
    <w:rsid w:val="00DF7F24"/>
    <w:rsid w:val="00E001A2"/>
    <w:rsid w:val="00E001F1"/>
    <w:rsid w:val="00E00331"/>
    <w:rsid w:val="00E00585"/>
    <w:rsid w:val="00E00653"/>
    <w:rsid w:val="00E006EC"/>
    <w:rsid w:val="00E00891"/>
    <w:rsid w:val="00E00A15"/>
    <w:rsid w:val="00E00B46"/>
    <w:rsid w:val="00E00BFF"/>
    <w:rsid w:val="00E00E47"/>
    <w:rsid w:val="00E00F0B"/>
    <w:rsid w:val="00E01A65"/>
    <w:rsid w:val="00E01C16"/>
    <w:rsid w:val="00E02586"/>
    <w:rsid w:val="00E029EA"/>
    <w:rsid w:val="00E03587"/>
    <w:rsid w:val="00E03C5C"/>
    <w:rsid w:val="00E0416E"/>
    <w:rsid w:val="00E0419A"/>
    <w:rsid w:val="00E04761"/>
    <w:rsid w:val="00E047C9"/>
    <w:rsid w:val="00E04852"/>
    <w:rsid w:val="00E04F4F"/>
    <w:rsid w:val="00E053DB"/>
    <w:rsid w:val="00E0563D"/>
    <w:rsid w:val="00E0579F"/>
    <w:rsid w:val="00E057ED"/>
    <w:rsid w:val="00E0640B"/>
    <w:rsid w:val="00E06688"/>
    <w:rsid w:val="00E068E8"/>
    <w:rsid w:val="00E06A26"/>
    <w:rsid w:val="00E06A85"/>
    <w:rsid w:val="00E06AC0"/>
    <w:rsid w:val="00E06EC6"/>
    <w:rsid w:val="00E074F1"/>
    <w:rsid w:val="00E07556"/>
    <w:rsid w:val="00E07892"/>
    <w:rsid w:val="00E07C7C"/>
    <w:rsid w:val="00E1029C"/>
    <w:rsid w:val="00E1032F"/>
    <w:rsid w:val="00E103AF"/>
    <w:rsid w:val="00E10503"/>
    <w:rsid w:val="00E105A4"/>
    <w:rsid w:val="00E1077A"/>
    <w:rsid w:val="00E10F0A"/>
    <w:rsid w:val="00E1110C"/>
    <w:rsid w:val="00E11BDA"/>
    <w:rsid w:val="00E11C89"/>
    <w:rsid w:val="00E12592"/>
    <w:rsid w:val="00E125D9"/>
    <w:rsid w:val="00E12A8E"/>
    <w:rsid w:val="00E1336C"/>
    <w:rsid w:val="00E133B2"/>
    <w:rsid w:val="00E13A65"/>
    <w:rsid w:val="00E13EF7"/>
    <w:rsid w:val="00E148BE"/>
    <w:rsid w:val="00E1496E"/>
    <w:rsid w:val="00E149CA"/>
    <w:rsid w:val="00E151D3"/>
    <w:rsid w:val="00E15252"/>
    <w:rsid w:val="00E15385"/>
    <w:rsid w:val="00E15541"/>
    <w:rsid w:val="00E1590B"/>
    <w:rsid w:val="00E15989"/>
    <w:rsid w:val="00E15B94"/>
    <w:rsid w:val="00E15C3C"/>
    <w:rsid w:val="00E15C66"/>
    <w:rsid w:val="00E15F86"/>
    <w:rsid w:val="00E16045"/>
    <w:rsid w:val="00E1616C"/>
    <w:rsid w:val="00E166FD"/>
    <w:rsid w:val="00E16746"/>
    <w:rsid w:val="00E16D90"/>
    <w:rsid w:val="00E16E43"/>
    <w:rsid w:val="00E16FAB"/>
    <w:rsid w:val="00E175B3"/>
    <w:rsid w:val="00E17834"/>
    <w:rsid w:val="00E17A0F"/>
    <w:rsid w:val="00E17E4F"/>
    <w:rsid w:val="00E2030D"/>
    <w:rsid w:val="00E206A2"/>
    <w:rsid w:val="00E206DC"/>
    <w:rsid w:val="00E20734"/>
    <w:rsid w:val="00E20B2B"/>
    <w:rsid w:val="00E20E42"/>
    <w:rsid w:val="00E20E51"/>
    <w:rsid w:val="00E215E3"/>
    <w:rsid w:val="00E21814"/>
    <w:rsid w:val="00E21BA7"/>
    <w:rsid w:val="00E21E2B"/>
    <w:rsid w:val="00E21EAB"/>
    <w:rsid w:val="00E220FC"/>
    <w:rsid w:val="00E2229F"/>
    <w:rsid w:val="00E222A3"/>
    <w:rsid w:val="00E2246F"/>
    <w:rsid w:val="00E228BB"/>
    <w:rsid w:val="00E228DA"/>
    <w:rsid w:val="00E22D42"/>
    <w:rsid w:val="00E23A38"/>
    <w:rsid w:val="00E23BB2"/>
    <w:rsid w:val="00E23BD7"/>
    <w:rsid w:val="00E2425E"/>
    <w:rsid w:val="00E245A6"/>
    <w:rsid w:val="00E24B88"/>
    <w:rsid w:val="00E25A54"/>
    <w:rsid w:val="00E25ACB"/>
    <w:rsid w:val="00E25AE8"/>
    <w:rsid w:val="00E25DB5"/>
    <w:rsid w:val="00E25EC6"/>
    <w:rsid w:val="00E2662A"/>
    <w:rsid w:val="00E26925"/>
    <w:rsid w:val="00E26AEA"/>
    <w:rsid w:val="00E26B87"/>
    <w:rsid w:val="00E271AC"/>
    <w:rsid w:val="00E271E9"/>
    <w:rsid w:val="00E27394"/>
    <w:rsid w:val="00E2773E"/>
    <w:rsid w:val="00E27923"/>
    <w:rsid w:val="00E27F29"/>
    <w:rsid w:val="00E301B5"/>
    <w:rsid w:val="00E3046C"/>
    <w:rsid w:val="00E3057C"/>
    <w:rsid w:val="00E30935"/>
    <w:rsid w:val="00E30946"/>
    <w:rsid w:val="00E30A20"/>
    <w:rsid w:val="00E310A0"/>
    <w:rsid w:val="00E31688"/>
    <w:rsid w:val="00E316AC"/>
    <w:rsid w:val="00E31D31"/>
    <w:rsid w:val="00E31D63"/>
    <w:rsid w:val="00E31FDC"/>
    <w:rsid w:val="00E32032"/>
    <w:rsid w:val="00E32568"/>
    <w:rsid w:val="00E33039"/>
    <w:rsid w:val="00E336E8"/>
    <w:rsid w:val="00E33C54"/>
    <w:rsid w:val="00E33CFC"/>
    <w:rsid w:val="00E3417C"/>
    <w:rsid w:val="00E34E7E"/>
    <w:rsid w:val="00E355C8"/>
    <w:rsid w:val="00E36A9A"/>
    <w:rsid w:val="00E370B9"/>
    <w:rsid w:val="00E371A4"/>
    <w:rsid w:val="00E371E8"/>
    <w:rsid w:val="00E37318"/>
    <w:rsid w:val="00E37698"/>
    <w:rsid w:val="00E37A80"/>
    <w:rsid w:val="00E37B10"/>
    <w:rsid w:val="00E4011C"/>
    <w:rsid w:val="00E404DE"/>
    <w:rsid w:val="00E40563"/>
    <w:rsid w:val="00E40826"/>
    <w:rsid w:val="00E409D7"/>
    <w:rsid w:val="00E40AD9"/>
    <w:rsid w:val="00E41611"/>
    <w:rsid w:val="00E41865"/>
    <w:rsid w:val="00E41F5D"/>
    <w:rsid w:val="00E426E6"/>
    <w:rsid w:val="00E42835"/>
    <w:rsid w:val="00E429F3"/>
    <w:rsid w:val="00E42B1A"/>
    <w:rsid w:val="00E42CD6"/>
    <w:rsid w:val="00E43215"/>
    <w:rsid w:val="00E43495"/>
    <w:rsid w:val="00E43501"/>
    <w:rsid w:val="00E4383F"/>
    <w:rsid w:val="00E43C7B"/>
    <w:rsid w:val="00E43CD3"/>
    <w:rsid w:val="00E43F7A"/>
    <w:rsid w:val="00E43FD2"/>
    <w:rsid w:val="00E44436"/>
    <w:rsid w:val="00E444D1"/>
    <w:rsid w:val="00E446F4"/>
    <w:rsid w:val="00E44B09"/>
    <w:rsid w:val="00E44C05"/>
    <w:rsid w:val="00E45516"/>
    <w:rsid w:val="00E455E9"/>
    <w:rsid w:val="00E45664"/>
    <w:rsid w:val="00E458F5"/>
    <w:rsid w:val="00E45C75"/>
    <w:rsid w:val="00E45E80"/>
    <w:rsid w:val="00E46567"/>
    <w:rsid w:val="00E466BB"/>
    <w:rsid w:val="00E46ECB"/>
    <w:rsid w:val="00E472CD"/>
    <w:rsid w:val="00E478EF"/>
    <w:rsid w:val="00E4790C"/>
    <w:rsid w:val="00E47AD9"/>
    <w:rsid w:val="00E508AB"/>
    <w:rsid w:val="00E50D2D"/>
    <w:rsid w:val="00E51772"/>
    <w:rsid w:val="00E51C27"/>
    <w:rsid w:val="00E51CE5"/>
    <w:rsid w:val="00E5260C"/>
    <w:rsid w:val="00E52921"/>
    <w:rsid w:val="00E52994"/>
    <w:rsid w:val="00E52B7B"/>
    <w:rsid w:val="00E52DE7"/>
    <w:rsid w:val="00E5308F"/>
    <w:rsid w:val="00E53A6C"/>
    <w:rsid w:val="00E542CD"/>
    <w:rsid w:val="00E5444C"/>
    <w:rsid w:val="00E546A2"/>
    <w:rsid w:val="00E54808"/>
    <w:rsid w:val="00E54AF0"/>
    <w:rsid w:val="00E54E73"/>
    <w:rsid w:val="00E55416"/>
    <w:rsid w:val="00E5562D"/>
    <w:rsid w:val="00E55B1B"/>
    <w:rsid w:val="00E55DB5"/>
    <w:rsid w:val="00E568AE"/>
    <w:rsid w:val="00E56C5A"/>
    <w:rsid w:val="00E570C7"/>
    <w:rsid w:val="00E60188"/>
    <w:rsid w:val="00E6038E"/>
    <w:rsid w:val="00E60629"/>
    <w:rsid w:val="00E6075B"/>
    <w:rsid w:val="00E60929"/>
    <w:rsid w:val="00E61111"/>
    <w:rsid w:val="00E6127F"/>
    <w:rsid w:val="00E614E2"/>
    <w:rsid w:val="00E61514"/>
    <w:rsid w:val="00E61574"/>
    <w:rsid w:val="00E615B2"/>
    <w:rsid w:val="00E61E54"/>
    <w:rsid w:val="00E61FB1"/>
    <w:rsid w:val="00E623E5"/>
    <w:rsid w:val="00E62D9C"/>
    <w:rsid w:val="00E62FBB"/>
    <w:rsid w:val="00E63C52"/>
    <w:rsid w:val="00E6420D"/>
    <w:rsid w:val="00E6456B"/>
    <w:rsid w:val="00E646B6"/>
    <w:rsid w:val="00E64945"/>
    <w:rsid w:val="00E64A45"/>
    <w:rsid w:val="00E64A6D"/>
    <w:rsid w:val="00E654A0"/>
    <w:rsid w:val="00E656B1"/>
    <w:rsid w:val="00E65A51"/>
    <w:rsid w:val="00E65C46"/>
    <w:rsid w:val="00E65DB8"/>
    <w:rsid w:val="00E663A2"/>
    <w:rsid w:val="00E6641E"/>
    <w:rsid w:val="00E665B3"/>
    <w:rsid w:val="00E66634"/>
    <w:rsid w:val="00E671BB"/>
    <w:rsid w:val="00E674EB"/>
    <w:rsid w:val="00E7001D"/>
    <w:rsid w:val="00E70A31"/>
    <w:rsid w:val="00E70B5C"/>
    <w:rsid w:val="00E70DFC"/>
    <w:rsid w:val="00E72197"/>
    <w:rsid w:val="00E72427"/>
    <w:rsid w:val="00E7282B"/>
    <w:rsid w:val="00E72ADB"/>
    <w:rsid w:val="00E72B33"/>
    <w:rsid w:val="00E732FE"/>
    <w:rsid w:val="00E73634"/>
    <w:rsid w:val="00E7388E"/>
    <w:rsid w:val="00E73A9B"/>
    <w:rsid w:val="00E7405D"/>
    <w:rsid w:val="00E74158"/>
    <w:rsid w:val="00E74A81"/>
    <w:rsid w:val="00E74C3B"/>
    <w:rsid w:val="00E7536A"/>
    <w:rsid w:val="00E7545C"/>
    <w:rsid w:val="00E75B47"/>
    <w:rsid w:val="00E75E14"/>
    <w:rsid w:val="00E76260"/>
    <w:rsid w:val="00E764D4"/>
    <w:rsid w:val="00E765E1"/>
    <w:rsid w:val="00E767B6"/>
    <w:rsid w:val="00E767CF"/>
    <w:rsid w:val="00E76993"/>
    <w:rsid w:val="00E76D67"/>
    <w:rsid w:val="00E76F61"/>
    <w:rsid w:val="00E77621"/>
    <w:rsid w:val="00E77A89"/>
    <w:rsid w:val="00E77E58"/>
    <w:rsid w:val="00E77F7E"/>
    <w:rsid w:val="00E80436"/>
    <w:rsid w:val="00E8065F"/>
    <w:rsid w:val="00E807D3"/>
    <w:rsid w:val="00E80CD3"/>
    <w:rsid w:val="00E80E49"/>
    <w:rsid w:val="00E81502"/>
    <w:rsid w:val="00E816E1"/>
    <w:rsid w:val="00E8188B"/>
    <w:rsid w:val="00E81B8A"/>
    <w:rsid w:val="00E81C82"/>
    <w:rsid w:val="00E82355"/>
    <w:rsid w:val="00E829B9"/>
    <w:rsid w:val="00E83284"/>
    <w:rsid w:val="00E833C3"/>
    <w:rsid w:val="00E83C54"/>
    <w:rsid w:val="00E842E6"/>
    <w:rsid w:val="00E8440B"/>
    <w:rsid w:val="00E844D4"/>
    <w:rsid w:val="00E847A2"/>
    <w:rsid w:val="00E84A42"/>
    <w:rsid w:val="00E84BB9"/>
    <w:rsid w:val="00E84CC0"/>
    <w:rsid w:val="00E84FE3"/>
    <w:rsid w:val="00E85509"/>
    <w:rsid w:val="00E85634"/>
    <w:rsid w:val="00E85819"/>
    <w:rsid w:val="00E85BF1"/>
    <w:rsid w:val="00E86A51"/>
    <w:rsid w:val="00E879F2"/>
    <w:rsid w:val="00E87D03"/>
    <w:rsid w:val="00E905DE"/>
    <w:rsid w:val="00E90991"/>
    <w:rsid w:val="00E90A1B"/>
    <w:rsid w:val="00E90A24"/>
    <w:rsid w:val="00E917CC"/>
    <w:rsid w:val="00E923BE"/>
    <w:rsid w:val="00E9254E"/>
    <w:rsid w:val="00E92704"/>
    <w:rsid w:val="00E9296A"/>
    <w:rsid w:val="00E92E9E"/>
    <w:rsid w:val="00E92EE4"/>
    <w:rsid w:val="00E93894"/>
    <w:rsid w:val="00E939F3"/>
    <w:rsid w:val="00E93BAB"/>
    <w:rsid w:val="00E93C51"/>
    <w:rsid w:val="00E9405A"/>
    <w:rsid w:val="00E94434"/>
    <w:rsid w:val="00E94786"/>
    <w:rsid w:val="00E9492D"/>
    <w:rsid w:val="00E94D77"/>
    <w:rsid w:val="00E95094"/>
    <w:rsid w:val="00E950FA"/>
    <w:rsid w:val="00E954D9"/>
    <w:rsid w:val="00E95641"/>
    <w:rsid w:val="00E9575A"/>
    <w:rsid w:val="00E9588F"/>
    <w:rsid w:val="00E95BCD"/>
    <w:rsid w:val="00E95F57"/>
    <w:rsid w:val="00E9600B"/>
    <w:rsid w:val="00E96029"/>
    <w:rsid w:val="00E968A6"/>
    <w:rsid w:val="00E96972"/>
    <w:rsid w:val="00E96B49"/>
    <w:rsid w:val="00E97402"/>
    <w:rsid w:val="00E97759"/>
    <w:rsid w:val="00E977C3"/>
    <w:rsid w:val="00E977E2"/>
    <w:rsid w:val="00EA040F"/>
    <w:rsid w:val="00EA04A9"/>
    <w:rsid w:val="00EA0A6F"/>
    <w:rsid w:val="00EA0B21"/>
    <w:rsid w:val="00EA0CBE"/>
    <w:rsid w:val="00EA10CB"/>
    <w:rsid w:val="00EA1360"/>
    <w:rsid w:val="00EA1592"/>
    <w:rsid w:val="00EA1716"/>
    <w:rsid w:val="00EA1B64"/>
    <w:rsid w:val="00EA1D6F"/>
    <w:rsid w:val="00EA2973"/>
    <w:rsid w:val="00EA2E52"/>
    <w:rsid w:val="00EA2E61"/>
    <w:rsid w:val="00EA2FAB"/>
    <w:rsid w:val="00EA3283"/>
    <w:rsid w:val="00EA34FC"/>
    <w:rsid w:val="00EA3864"/>
    <w:rsid w:val="00EA3B9B"/>
    <w:rsid w:val="00EA3D4F"/>
    <w:rsid w:val="00EA3EFD"/>
    <w:rsid w:val="00EA4878"/>
    <w:rsid w:val="00EA48EF"/>
    <w:rsid w:val="00EA5074"/>
    <w:rsid w:val="00EA59D4"/>
    <w:rsid w:val="00EA5A6E"/>
    <w:rsid w:val="00EA5E95"/>
    <w:rsid w:val="00EA60C4"/>
    <w:rsid w:val="00EA64BD"/>
    <w:rsid w:val="00EA6734"/>
    <w:rsid w:val="00EA6D99"/>
    <w:rsid w:val="00EA70C9"/>
    <w:rsid w:val="00EA72F5"/>
    <w:rsid w:val="00EA754D"/>
    <w:rsid w:val="00EA789F"/>
    <w:rsid w:val="00EA7B5C"/>
    <w:rsid w:val="00EA7FE2"/>
    <w:rsid w:val="00EB0294"/>
    <w:rsid w:val="00EB02BF"/>
    <w:rsid w:val="00EB059F"/>
    <w:rsid w:val="00EB0AAB"/>
    <w:rsid w:val="00EB0AC5"/>
    <w:rsid w:val="00EB0D8C"/>
    <w:rsid w:val="00EB1130"/>
    <w:rsid w:val="00EB13F8"/>
    <w:rsid w:val="00EB1963"/>
    <w:rsid w:val="00EB1B3F"/>
    <w:rsid w:val="00EB22D0"/>
    <w:rsid w:val="00EB2596"/>
    <w:rsid w:val="00EB3195"/>
    <w:rsid w:val="00EB3200"/>
    <w:rsid w:val="00EB32F4"/>
    <w:rsid w:val="00EB35EF"/>
    <w:rsid w:val="00EB38B3"/>
    <w:rsid w:val="00EB38F1"/>
    <w:rsid w:val="00EB41AF"/>
    <w:rsid w:val="00EB45C1"/>
    <w:rsid w:val="00EB47AB"/>
    <w:rsid w:val="00EB564E"/>
    <w:rsid w:val="00EB598D"/>
    <w:rsid w:val="00EB5F07"/>
    <w:rsid w:val="00EB63B7"/>
    <w:rsid w:val="00EB66B6"/>
    <w:rsid w:val="00EB6D95"/>
    <w:rsid w:val="00EB7518"/>
    <w:rsid w:val="00EB7683"/>
    <w:rsid w:val="00EB7942"/>
    <w:rsid w:val="00EB7A7C"/>
    <w:rsid w:val="00EB7CBB"/>
    <w:rsid w:val="00EC0227"/>
    <w:rsid w:val="00EC088E"/>
    <w:rsid w:val="00EC0F08"/>
    <w:rsid w:val="00EC11FF"/>
    <w:rsid w:val="00EC1722"/>
    <w:rsid w:val="00EC17F3"/>
    <w:rsid w:val="00EC1842"/>
    <w:rsid w:val="00EC19B3"/>
    <w:rsid w:val="00EC1ACB"/>
    <w:rsid w:val="00EC2629"/>
    <w:rsid w:val="00EC2831"/>
    <w:rsid w:val="00EC3484"/>
    <w:rsid w:val="00EC38C4"/>
    <w:rsid w:val="00EC4027"/>
    <w:rsid w:val="00EC45F2"/>
    <w:rsid w:val="00EC46F4"/>
    <w:rsid w:val="00EC4C58"/>
    <w:rsid w:val="00EC4CC5"/>
    <w:rsid w:val="00EC4CF5"/>
    <w:rsid w:val="00EC5108"/>
    <w:rsid w:val="00EC5718"/>
    <w:rsid w:val="00EC5726"/>
    <w:rsid w:val="00EC5931"/>
    <w:rsid w:val="00EC5AF6"/>
    <w:rsid w:val="00EC63CD"/>
    <w:rsid w:val="00EC6729"/>
    <w:rsid w:val="00EC6A92"/>
    <w:rsid w:val="00EC72F3"/>
    <w:rsid w:val="00EC7832"/>
    <w:rsid w:val="00EC78A8"/>
    <w:rsid w:val="00EC7A64"/>
    <w:rsid w:val="00EC7B35"/>
    <w:rsid w:val="00ED015E"/>
    <w:rsid w:val="00ED0618"/>
    <w:rsid w:val="00ED0AF5"/>
    <w:rsid w:val="00ED11BB"/>
    <w:rsid w:val="00ED13F2"/>
    <w:rsid w:val="00ED1400"/>
    <w:rsid w:val="00ED1481"/>
    <w:rsid w:val="00ED1666"/>
    <w:rsid w:val="00ED1860"/>
    <w:rsid w:val="00ED1AAB"/>
    <w:rsid w:val="00ED1B58"/>
    <w:rsid w:val="00ED1E2D"/>
    <w:rsid w:val="00ED1E5F"/>
    <w:rsid w:val="00ED236A"/>
    <w:rsid w:val="00ED2CD3"/>
    <w:rsid w:val="00ED3A89"/>
    <w:rsid w:val="00ED3E86"/>
    <w:rsid w:val="00ED45F6"/>
    <w:rsid w:val="00ED473D"/>
    <w:rsid w:val="00ED4CA1"/>
    <w:rsid w:val="00ED5C1E"/>
    <w:rsid w:val="00ED5D18"/>
    <w:rsid w:val="00ED6E3C"/>
    <w:rsid w:val="00ED6F9F"/>
    <w:rsid w:val="00ED72C9"/>
    <w:rsid w:val="00ED74CB"/>
    <w:rsid w:val="00ED7909"/>
    <w:rsid w:val="00ED7AF0"/>
    <w:rsid w:val="00ED7F58"/>
    <w:rsid w:val="00EE126C"/>
    <w:rsid w:val="00EE1298"/>
    <w:rsid w:val="00EE1446"/>
    <w:rsid w:val="00EE1480"/>
    <w:rsid w:val="00EE15E5"/>
    <w:rsid w:val="00EE2142"/>
    <w:rsid w:val="00EE271D"/>
    <w:rsid w:val="00EE29F0"/>
    <w:rsid w:val="00EE2BD8"/>
    <w:rsid w:val="00EE2CB8"/>
    <w:rsid w:val="00EE3212"/>
    <w:rsid w:val="00EE3905"/>
    <w:rsid w:val="00EE3A7E"/>
    <w:rsid w:val="00EE3DEF"/>
    <w:rsid w:val="00EE3E7E"/>
    <w:rsid w:val="00EE4191"/>
    <w:rsid w:val="00EE4730"/>
    <w:rsid w:val="00EE48E1"/>
    <w:rsid w:val="00EE5122"/>
    <w:rsid w:val="00EE5147"/>
    <w:rsid w:val="00EE5BBD"/>
    <w:rsid w:val="00EE5BDF"/>
    <w:rsid w:val="00EE5EBC"/>
    <w:rsid w:val="00EE6030"/>
    <w:rsid w:val="00EE611A"/>
    <w:rsid w:val="00EE6428"/>
    <w:rsid w:val="00EE6493"/>
    <w:rsid w:val="00EE6702"/>
    <w:rsid w:val="00EE79DD"/>
    <w:rsid w:val="00EE7DBC"/>
    <w:rsid w:val="00EF00BD"/>
    <w:rsid w:val="00EF0358"/>
    <w:rsid w:val="00EF0651"/>
    <w:rsid w:val="00EF08CE"/>
    <w:rsid w:val="00EF0B87"/>
    <w:rsid w:val="00EF0C87"/>
    <w:rsid w:val="00EF0DC4"/>
    <w:rsid w:val="00EF1588"/>
    <w:rsid w:val="00EF165C"/>
    <w:rsid w:val="00EF166F"/>
    <w:rsid w:val="00EF1752"/>
    <w:rsid w:val="00EF1E11"/>
    <w:rsid w:val="00EF1F70"/>
    <w:rsid w:val="00EF22E0"/>
    <w:rsid w:val="00EF263F"/>
    <w:rsid w:val="00EF264C"/>
    <w:rsid w:val="00EF2AE4"/>
    <w:rsid w:val="00EF2F39"/>
    <w:rsid w:val="00EF3066"/>
    <w:rsid w:val="00EF35B9"/>
    <w:rsid w:val="00EF36F9"/>
    <w:rsid w:val="00EF371B"/>
    <w:rsid w:val="00EF3E7B"/>
    <w:rsid w:val="00EF3F67"/>
    <w:rsid w:val="00EF3F9F"/>
    <w:rsid w:val="00EF424B"/>
    <w:rsid w:val="00EF44D9"/>
    <w:rsid w:val="00EF4F6B"/>
    <w:rsid w:val="00EF57A9"/>
    <w:rsid w:val="00EF5E1B"/>
    <w:rsid w:val="00EF5EAF"/>
    <w:rsid w:val="00EF6082"/>
    <w:rsid w:val="00EF6531"/>
    <w:rsid w:val="00EF7045"/>
    <w:rsid w:val="00EF721E"/>
    <w:rsid w:val="00EF7909"/>
    <w:rsid w:val="00EF7C10"/>
    <w:rsid w:val="00EF7D84"/>
    <w:rsid w:val="00EF7DD3"/>
    <w:rsid w:val="00EF7ED7"/>
    <w:rsid w:val="00F00541"/>
    <w:rsid w:val="00F00A66"/>
    <w:rsid w:val="00F00B55"/>
    <w:rsid w:val="00F00DC5"/>
    <w:rsid w:val="00F00E1F"/>
    <w:rsid w:val="00F00E20"/>
    <w:rsid w:val="00F00EA7"/>
    <w:rsid w:val="00F0138C"/>
    <w:rsid w:val="00F01450"/>
    <w:rsid w:val="00F015C6"/>
    <w:rsid w:val="00F0190D"/>
    <w:rsid w:val="00F01AC3"/>
    <w:rsid w:val="00F01B31"/>
    <w:rsid w:val="00F01C5E"/>
    <w:rsid w:val="00F01EC1"/>
    <w:rsid w:val="00F01F16"/>
    <w:rsid w:val="00F01F65"/>
    <w:rsid w:val="00F020F8"/>
    <w:rsid w:val="00F021B4"/>
    <w:rsid w:val="00F02241"/>
    <w:rsid w:val="00F022FD"/>
    <w:rsid w:val="00F02D8E"/>
    <w:rsid w:val="00F03133"/>
    <w:rsid w:val="00F032AD"/>
    <w:rsid w:val="00F035B3"/>
    <w:rsid w:val="00F035FE"/>
    <w:rsid w:val="00F03E27"/>
    <w:rsid w:val="00F03FE4"/>
    <w:rsid w:val="00F045E8"/>
    <w:rsid w:val="00F04A45"/>
    <w:rsid w:val="00F04BCD"/>
    <w:rsid w:val="00F05001"/>
    <w:rsid w:val="00F0521D"/>
    <w:rsid w:val="00F05FC7"/>
    <w:rsid w:val="00F06396"/>
    <w:rsid w:val="00F071B0"/>
    <w:rsid w:val="00F07A4D"/>
    <w:rsid w:val="00F07B35"/>
    <w:rsid w:val="00F07C68"/>
    <w:rsid w:val="00F07D10"/>
    <w:rsid w:val="00F10169"/>
    <w:rsid w:val="00F104C7"/>
    <w:rsid w:val="00F10513"/>
    <w:rsid w:val="00F1054D"/>
    <w:rsid w:val="00F106B1"/>
    <w:rsid w:val="00F10C0D"/>
    <w:rsid w:val="00F10C9D"/>
    <w:rsid w:val="00F11932"/>
    <w:rsid w:val="00F121FF"/>
    <w:rsid w:val="00F12339"/>
    <w:rsid w:val="00F128E1"/>
    <w:rsid w:val="00F12ADE"/>
    <w:rsid w:val="00F12C12"/>
    <w:rsid w:val="00F12D27"/>
    <w:rsid w:val="00F12D87"/>
    <w:rsid w:val="00F12FAC"/>
    <w:rsid w:val="00F13012"/>
    <w:rsid w:val="00F1365F"/>
    <w:rsid w:val="00F13731"/>
    <w:rsid w:val="00F13EBA"/>
    <w:rsid w:val="00F13F15"/>
    <w:rsid w:val="00F13F53"/>
    <w:rsid w:val="00F13FF9"/>
    <w:rsid w:val="00F1406E"/>
    <w:rsid w:val="00F147F6"/>
    <w:rsid w:val="00F14B6C"/>
    <w:rsid w:val="00F153E1"/>
    <w:rsid w:val="00F15C59"/>
    <w:rsid w:val="00F160A8"/>
    <w:rsid w:val="00F1612E"/>
    <w:rsid w:val="00F161A6"/>
    <w:rsid w:val="00F1634B"/>
    <w:rsid w:val="00F16415"/>
    <w:rsid w:val="00F1709D"/>
    <w:rsid w:val="00F17A3B"/>
    <w:rsid w:val="00F17F83"/>
    <w:rsid w:val="00F20161"/>
    <w:rsid w:val="00F2035F"/>
    <w:rsid w:val="00F20515"/>
    <w:rsid w:val="00F207D9"/>
    <w:rsid w:val="00F20A0B"/>
    <w:rsid w:val="00F20A9E"/>
    <w:rsid w:val="00F20B25"/>
    <w:rsid w:val="00F20CA0"/>
    <w:rsid w:val="00F20D27"/>
    <w:rsid w:val="00F21958"/>
    <w:rsid w:val="00F21A88"/>
    <w:rsid w:val="00F21B25"/>
    <w:rsid w:val="00F2210C"/>
    <w:rsid w:val="00F2211B"/>
    <w:rsid w:val="00F22166"/>
    <w:rsid w:val="00F2220F"/>
    <w:rsid w:val="00F224A1"/>
    <w:rsid w:val="00F22535"/>
    <w:rsid w:val="00F22726"/>
    <w:rsid w:val="00F2348A"/>
    <w:rsid w:val="00F238C5"/>
    <w:rsid w:val="00F239DE"/>
    <w:rsid w:val="00F23E7A"/>
    <w:rsid w:val="00F2401D"/>
    <w:rsid w:val="00F24073"/>
    <w:rsid w:val="00F243B8"/>
    <w:rsid w:val="00F24516"/>
    <w:rsid w:val="00F2460D"/>
    <w:rsid w:val="00F24637"/>
    <w:rsid w:val="00F24A0C"/>
    <w:rsid w:val="00F24A72"/>
    <w:rsid w:val="00F24F9D"/>
    <w:rsid w:val="00F26822"/>
    <w:rsid w:val="00F2683D"/>
    <w:rsid w:val="00F26969"/>
    <w:rsid w:val="00F26AB8"/>
    <w:rsid w:val="00F26D4E"/>
    <w:rsid w:val="00F27320"/>
    <w:rsid w:val="00F278D0"/>
    <w:rsid w:val="00F27954"/>
    <w:rsid w:val="00F279E5"/>
    <w:rsid w:val="00F27CC7"/>
    <w:rsid w:val="00F27E2B"/>
    <w:rsid w:val="00F3001F"/>
    <w:rsid w:val="00F3005E"/>
    <w:rsid w:val="00F301CF"/>
    <w:rsid w:val="00F31338"/>
    <w:rsid w:val="00F317F8"/>
    <w:rsid w:val="00F31AE6"/>
    <w:rsid w:val="00F31F86"/>
    <w:rsid w:val="00F31FB3"/>
    <w:rsid w:val="00F32296"/>
    <w:rsid w:val="00F325FC"/>
    <w:rsid w:val="00F32933"/>
    <w:rsid w:val="00F329FC"/>
    <w:rsid w:val="00F32DE3"/>
    <w:rsid w:val="00F32E72"/>
    <w:rsid w:val="00F32FC9"/>
    <w:rsid w:val="00F33032"/>
    <w:rsid w:val="00F33371"/>
    <w:rsid w:val="00F33528"/>
    <w:rsid w:val="00F336A1"/>
    <w:rsid w:val="00F33ABF"/>
    <w:rsid w:val="00F33C0C"/>
    <w:rsid w:val="00F341BD"/>
    <w:rsid w:val="00F3425C"/>
    <w:rsid w:val="00F342E8"/>
    <w:rsid w:val="00F34499"/>
    <w:rsid w:val="00F34CD5"/>
    <w:rsid w:val="00F34F3A"/>
    <w:rsid w:val="00F34FCF"/>
    <w:rsid w:val="00F353B6"/>
    <w:rsid w:val="00F3554D"/>
    <w:rsid w:val="00F357DD"/>
    <w:rsid w:val="00F3589A"/>
    <w:rsid w:val="00F359ED"/>
    <w:rsid w:val="00F35F1A"/>
    <w:rsid w:val="00F36FED"/>
    <w:rsid w:val="00F37392"/>
    <w:rsid w:val="00F37639"/>
    <w:rsid w:val="00F3794A"/>
    <w:rsid w:val="00F37AED"/>
    <w:rsid w:val="00F40401"/>
    <w:rsid w:val="00F4085A"/>
    <w:rsid w:val="00F40B48"/>
    <w:rsid w:val="00F40C50"/>
    <w:rsid w:val="00F40DE8"/>
    <w:rsid w:val="00F40EB2"/>
    <w:rsid w:val="00F41BBB"/>
    <w:rsid w:val="00F41BC6"/>
    <w:rsid w:val="00F41C63"/>
    <w:rsid w:val="00F41CD4"/>
    <w:rsid w:val="00F41DAD"/>
    <w:rsid w:val="00F41DD4"/>
    <w:rsid w:val="00F421C0"/>
    <w:rsid w:val="00F42333"/>
    <w:rsid w:val="00F4287B"/>
    <w:rsid w:val="00F4299B"/>
    <w:rsid w:val="00F42D2B"/>
    <w:rsid w:val="00F436FD"/>
    <w:rsid w:val="00F43982"/>
    <w:rsid w:val="00F43D02"/>
    <w:rsid w:val="00F43EB3"/>
    <w:rsid w:val="00F43FB3"/>
    <w:rsid w:val="00F444D5"/>
    <w:rsid w:val="00F446D1"/>
    <w:rsid w:val="00F44B67"/>
    <w:rsid w:val="00F44FE9"/>
    <w:rsid w:val="00F4501F"/>
    <w:rsid w:val="00F45762"/>
    <w:rsid w:val="00F45EF4"/>
    <w:rsid w:val="00F46157"/>
    <w:rsid w:val="00F464DC"/>
    <w:rsid w:val="00F467B5"/>
    <w:rsid w:val="00F46A43"/>
    <w:rsid w:val="00F46E80"/>
    <w:rsid w:val="00F46F5D"/>
    <w:rsid w:val="00F47011"/>
    <w:rsid w:val="00F47329"/>
    <w:rsid w:val="00F474C3"/>
    <w:rsid w:val="00F47670"/>
    <w:rsid w:val="00F4778A"/>
    <w:rsid w:val="00F47AD6"/>
    <w:rsid w:val="00F47F69"/>
    <w:rsid w:val="00F507D9"/>
    <w:rsid w:val="00F50AC9"/>
    <w:rsid w:val="00F50C6B"/>
    <w:rsid w:val="00F50ECC"/>
    <w:rsid w:val="00F5116A"/>
    <w:rsid w:val="00F5139E"/>
    <w:rsid w:val="00F514DD"/>
    <w:rsid w:val="00F51A88"/>
    <w:rsid w:val="00F51F35"/>
    <w:rsid w:val="00F51F94"/>
    <w:rsid w:val="00F52170"/>
    <w:rsid w:val="00F5226B"/>
    <w:rsid w:val="00F52332"/>
    <w:rsid w:val="00F524B9"/>
    <w:rsid w:val="00F525C1"/>
    <w:rsid w:val="00F52866"/>
    <w:rsid w:val="00F5330A"/>
    <w:rsid w:val="00F5333F"/>
    <w:rsid w:val="00F53616"/>
    <w:rsid w:val="00F53808"/>
    <w:rsid w:val="00F538C8"/>
    <w:rsid w:val="00F53B02"/>
    <w:rsid w:val="00F542E5"/>
    <w:rsid w:val="00F54D44"/>
    <w:rsid w:val="00F54D78"/>
    <w:rsid w:val="00F54E4D"/>
    <w:rsid w:val="00F550AC"/>
    <w:rsid w:val="00F55F30"/>
    <w:rsid w:val="00F5607B"/>
    <w:rsid w:val="00F56401"/>
    <w:rsid w:val="00F56935"/>
    <w:rsid w:val="00F56A46"/>
    <w:rsid w:val="00F56CFD"/>
    <w:rsid w:val="00F56DE8"/>
    <w:rsid w:val="00F572F8"/>
    <w:rsid w:val="00F57334"/>
    <w:rsid w:val="00F5737D"/>
    <w:rsid w:val="00F5744F"/>
    <w:rsid w:val="00F57546"/>
    <w:rsid w:val="00F57725"/>
    <w:rsid w:val="00F57866"/>
    <w:rsid w:val="00F57994"/>
    <w:rsid w:val="00F57F72"/>
    <w:rsid w:val="00F6032B"/>
    <w:rsid w:val="00F60381"/>
    <w:rsid w:val="00F605FF"/>
    <w:rsid w:val="00F6091B"/>
    <w:rsid w:val="00F60D64"/>
    <w:rsid w:val="00F6115B"/>
    <w:rsid w:val="00F616C0"/>
    <w:rsid w:val="00F61DE6"/>
    <w:rsid w:val="00F62018"/>
    <w:rsid w:val="00F62211"/>
    <w:rsid w:val="00F622D9"/>
    <w:rsid w:val="00F62BB8"/>
    <w:rsid w:val="00F62CAD"/>
    <w:rsid w:val="00F62F24"/>
    <w:rsid w:val="00F6316A"/>
    <w:rsid w:val="00F632B1"/>
    <w:rsid w:val="00F6337B"/>
    <w:rsid w:val="00F6355D"/>
    <w:rsid w:val="00F63687"/>
    <w:rsid w:val="00F6386A"/>
    <w:rsid w:val="00F638AE"/>
    <w:rsid w:val="00F63D52"/>
    <w:rsid w:val="00F64A76"/>
    <w:rsid w:val="00F64BD2"/>
    <w:rsid w:val="00F65060"/>
    <w:rsid w:val="00F65290"/>
    <w:rsid w:val="00F652BE"/>
    <w:rsid w:val="00F65819"/>
    <w:rsid w:val="00F65BA7"/>
    <w:rsid w:val="00F66418"/>
    <w:rsid w:val="00F673E6"/>
    <w:rsid w:val="00F674FB"/>
    <w:rsid w:val="00F67A7A"/>
    <w:rsid w:val="00F67D0F"/>
    <w:rsid w:val="00F67E05"/>
    <w:rsid w:val="00F7054B"/>
    <w:rsid w:val="00F70918"/>
    <w:rsid w:val="00F70A47"/>
    <w:rsid w:val="00F71630"/>
    <w:rsid w:val="00F71867"/>
    <w:rsid w:val="00F71B3C"/>
    <w:rsid w:val="00F7227A"/>
    <w:rsid w:val="00F72306"/>
    <w:rsid w:val="00F72376"/>
    <w:rsid w:val="00F73659"/>
    <w:rsid w:val="00F73744"/>
    <w:rsid w:val="00F73921"/>
    <w:rsid w:val="00F73F62"/>
    <w:rsid w:val="00F7403F"/>
    <w:rsid w:val="00F7414E"/>
    <w:rsid w:val="00F7430C"/>
    <w:rsid w:val="00F743DD"/>
    <w:rsid w:val="00F744AE"/>
    <w:rsid w:val="00F74762"/>
    <w:rsid w:val="00F74943"/>
    <w:rsid w:val="00F74E4C"/>
    <w:rsid w:val="00F74E8A"/>
    <w:rsid w:val="00F74EBD"/>
    <w:rsid w:val="00F74F84"/>
    <w:rsid w:val="00F75042"/>
    <w:rsid w:val="00F75386"/>
    <w:rsid w:val="00F75572"/>
    <w:rsid w:val="00F755A9"/>
    <w:rsid w:val="00F7568A"/>
    <w:rsid w:val="00F75717"/>
    <w:rsid w:val="00F75FAB"/>
    <w:rsid w:val="00F76F6E"/>
    <w:rsid w:val="00F76FC8"/>
    <w:rsid w:val="00F7717E"/>
    <w:rsid w:val="00F774B1"/>
    <w:rsid w:val="00F7778F"/>
    <w:rsid w:val="00F77A5A"/>
    <w:rsid w:val="00F77AF6"/>
    <w:rsid w:val="00F77E48"/>
    <w:rsid w:val="00F80162"/>
    <w:rsid w:val="00F802F5"/>
    <w:rsid w:val="00F805B9"/>
    <w:rsid w:val="00F806D6"/>
    <w:rsid w:val="00F80974"/>
    <w:rsid w:val="00F80A64"/>
    <w:rsid w:val="00F80ABA"/>
    <w:rsid w:val="00F80FE2"/>
    <w:rsid w:val="00F81298"/>
    <w:rsid w:val="00F813FF"/>
    <w:rsid w:val="00F815A3"/>
    <w:rsid w:val="00F81789"/>
    <w:rsid w:val="00F8181F"/>
    <w:rsid w:val="00F81A3A"/>
    <w:rsid w:val="00F81C3B"/>
    <w:rsid w:val="00F8264C"/>
    <w:rsid w:val="00F827EB"/>
    <w:rsid w:val="00F82ADD"/>
    <w:rsid w:val="00F82CCD"/>
    <w:rsid w:val="00F83042"/>
    <w:rsid w:val="00F83114"/>
    <w:rsid w:val="00F83168"/>
    <w:rsid w:val="00F833A2"/>
    <w:rsid w:val="00F833E5"/>
    <w:rsid w:val="00F8345B"/>
    <w:rsid w:val="00F840C5"/>
    <w:rsid w:val="00F84526"/>
    <w:rsid w:val="00F845A9"/>
    <w:rsid w:val="00F846AD"/>
    <w:rsid w:val="00F84875"/>
    <w:rsid w:val="00F848D6"/>
    <w:rsid w:val="00F84A1F"/>
    <w:rsid w:val="00F84ACD"/>
    <w:rsid w:val="00F84C0D"/>
    <w:rsid w:val="00F852AC"/>
    <w:rsid w:val="00F853FB"/>
    <w:rsid w:val="00F85546"/>
    <w:rsid w:val="00F85625"/>
    <w:rsid w:val="00F85B2E"/>
    <w:rsid w:val="00F85D7F"/>
    <w:rsid w:val="00F85EE8"/>
    <w:rsid w:val="00F861FA"/>
    <w:rsid w:val="00F862EA"/>
    <w:rsid w:val="00F8638D"/>
    <w:rsid w:val="00F86400"/>
    <w:rsid w:val="00F86960"/>
    <w:rsid w:val="00F86B1D"/>
    <w:rsid w:val="00F86B3B"/>
    <w:rsid w:val="00F86B91"/>
    <w:rsid w:val="00F86FD1"/>
    <w:rsid w:val="00F87416"/>
    <w:rsid w:val="00F87748"/>
    <w:rsid w:val="00F87780"/>
    <w:rsid w:val="00F8779B"/>
    <w:rsid w:val="00F87857"/>
    <w:rsid w:val="00F87B61"/>
    <w:rsid w:val="00F87CAE"/>
    <w:rsid w:val="00F90912"/>
    <w:rsid w:val="00F90D3B"/>
    <w:rsid w:val="00F91003"/>
    <w:rsid w:val="00F91176"/>
    <w:rsid w:val="00F911D0"/>
    <w:rsid w:val="00F91395"/>
    <w:rsid w:val="00F91671"/>
    <w:rsid w:val="00F9185F"/>
    <w:rsid w:val="00F91B2E"/>
    <w:rsid w:val="00F91C1C"/>
    <w:rsid w:val="00F92091"/>
    <w:rsid w:val="00F9215C"/>
    <w:rsid w:val="00F921AF"/>
    <w:rsid w:val="00F922E9"/>
    <w:rsid w:val="00F92629"/>
    <w:rsid w:val="00F93142"/>
    <w:rsid w:val="00F93179"/>
    <w:rsid w:val="00F937B6"/>
    <w:rsid w:val="00F9381A"/>
    <w:rsid w:val="00F93D5D"/>
    <w:rsid w:val="00F94334"/>
    <w:rsid w:val="00F94887"/>
    <w:rsid w:val="00F949A7"/>
    <w:rsid w:val="00F94FD3"/>
    <w:rsid w:val="00F958FC"/>
    <w:rsid w:val="00F96047"/>
    <w:rsid w:val="00F964F8"/>
    <w:rsid w:val="00F965B1"/>
    <w:rsid w:val="00F96640"/>
    <w:rsid w:val="00F966E0"/>
    <w:rsid w:val="00F967A7"/>
    <w:rsid w:val="00F96C61"/>
    <w:rsid w:val="00F96E4E"/>
    <w:rsid w:val="00F97257"/>
    <w:rsid w:val="00F976A5"/>
    <w:rsid w:val="00F97B92"/>
    <w:rsid w:val="00F97BE7"/>
    <w:rsid w:val="00F97D56"/>
    <w:rsid w:val="00F97D9B"/>
    <w:rsid w:val="00F97F6B"/>
    <w:rsid w:val="00FA013E"/>
    <w:rsid w:val="00FA03D6"/>
    <w:rsid w:val="00FA0548"/>
    <w:rsid w:val="00FA13E3"/>
    <w:rsid w:val="00FA15D4"/>
    <w:rsid w:val="00FA18C1"/>
    <w:rsid w:val="00FA18E8"/>
    <w:rsid w:val="00FA1F1A"/>
    <w:rsid w:val="00FA1F35"/>
    <w:rsid w:val="00FA2098"/>
    <w:rsid w:val="00FA2489"/>
    <w:rsid w:val="00FA2687"/>
    <w:rsid w:val="00FA34E8"/>
    <w:rsid w:val="00FA3711"/>
    <w:rsid w:val="00FA3B3A"/>
    <w:rsid w:val="00FA3D44"/>
    <w:rsid w:val="00FA3DF5"/>
    <w:rsid w:val="00FA41C6"/>
    <w:rsid w:val="00FA47C7"/>
    <w:rsid w:val="00FA4B25"/>
    <w:rsid w:val="00FA4F48"/>
    <w:rsid w:val="00FA4F87"/>
    <w:rsid w:val="00FA5376"/>
    <w:rsid w:val="00FA551D"/>
    <w:rsid w:val="00FA5855"/>
    <w:rsid w:val="00FA5A8B"/>
    <w:rsid w:val="00FA5B3D"/>
    <w:rsid w:val="00FA5C8A"/>
    <w:rsid w:val="00FA5F52"/>
    <w:rsid w:val="00FA5FC9"/>
    <w:rsid w:val="00FA6597"/>
    <w:rsid w:val="00FA66F5"/>
    <w:rsid w:val="00FA67F3"/>
    <w:rsid w:val="00FA6BE7"/>
    <w:rsid w:val="00FA6FAE"/>
    <w:rsid w:val="00FA7400"/>
    <w:rsid w:val="00FA778F"/>
    <w:rsid w:val="00FA79E6"/>
    <w:rsid w:val="00FA7BB8"/>
    <w:rsid w:val="00FA7E2B"/>
    <w:rsid w:val="00FB055E"/>
    <w:rsid w:val="00FB0AFA"/>
    <w:rsid w:val="00FB0B2F"/>
    <w:rsid w:val="00FB0B50"/>
    <w:rsid w:val="00FB1044"/>
    <w:rsid w:val="00FB1603"/>
    <w:rsid w:val="00FB1D2C"/>
    <w:rsid w:val="00FB216C"/>
    <w:rsid w:val="00FB24C0"/>
    <w:rsid w:val="00FB2635"/>
    <w:rsid w:val="00FB2664"/>
    <w:rsid w:val="00FB2807"/>
    <w:rsid w:val="00FB298E"/>
    <w:rsid w:val="00FB2A60"/>
    <w:rsid w:val="00FB2D69"/>
    <w:rsid w:val="00FB3027"/>
    <w:rsid w:val="00FB3544"/>
    <w:rsid w:val="00FB3658"/>
    <w:rsid w:val="00FB3B00"/>
    <w:rsid w:val="00FB3C8F"/>
    <w:rsid w:val="00FB3F0D"/>
    <w:rsid w:val="00FB402A"/>
    <w:rsid w:val="00FB48EF"/>
    <w:rsid w:val="00FB5069"/>
    <w:rsid w:val="00FB55B6"/>
    <w:rsid w:val="00FB635A"/>
    <w:rsid w:val="00FB63A1"/>
    <w:rsid w:val="00FB63BC"/>
    <w:rsid w:val="00FB65C6"/>
    <w:rsid w:val="00FB6992"/>
    <w:rsid w:val="00FB69AF"/>
    <w:rsid w:val="00FB6BFA"/>
    <w:rsid w:val="00FB7063"/>
    <w:rsid w:val="00FB7078"/>
    <w:rsid w:val="00FB74DA"/>
    <w:rsid w:val="00FB75ED"/>
    <w:rsid w:val="00FB761E"/>
    <w:rsid w:val="00FB7932"/>
    <w:rsid w:val="00FB7B5F"/>
    <w:rsid w:val="00FB7D54"/>
    <w:rsid w:val="00FC01BD"/>
    <w:rsid w:val="00FC086F"/>
    <w:rsid w:val="00FC155D"/>
    <w:rsid w:val="00FC15B3"/>
    <w:rsid w:val="00FC1A8A"/>
    <w:rsid w:val="00FC1CFB"/>
    <w:rsid w:val="00FC21B0"/>
    <w:rsid w:val="00FC23C2"/>
    <w:rsid w:val="00FC2CD2"/>
    <w:rsid w:val="00FC2CE8"/>
    <w:rsid w:val="00FC33C8"/>
    <w:rsid w:val="00FC3D2F"/>
    <w:rsid w:val="00FC3EBF"/>
    <w:rsid w:val="00FC407F"/>
    <w:rsid w:val="00FC4167"/>
    <w:rsid w:val="00FC4273"/>
    <w:rsid w:val="00FC44A2"/>
    <w:rsid w:val="00FC4EEA"/>
    <w:rsid w:val="00FC50F6"/>
    <w:rsid w:val="00FC53D6"/>
    <w:rsid w:val="00FC552B"/>
    <w:rsid w:val="00FC5AF0"/>
    <w:rsid w:val="00FC63CD"/>
    <w:rsid w:val="00FC64A7"/>
    <w:rsid w:val="00FC6B12"/>
    <w:rsid w:val="00FC6C6E"/>
    <w:rsid w:val="00FC6CB0"/>
    <w:rsid w:val="00FC7006"/>
    <w:rsid w:val="00FC72F3"/>
    <w:rsid w:val="00FC749F"/>
    <w:rsid w:val="00FC750B"/>
    <w:rsid w:val="00FC78F4"/>
    <w:rsid w:val="00FD0028"/>
    <w:rsid w:val="00FD01DD"/>
    <w:rsid w:val="00FD0722"/>
    <w:rsid w:val="00FD0F8D"/>
    <w:rsid w:val="00FD132A"/>
    <w:rsid w:val="00FD1378"/>
    <w:rsid w:val="00FD16B6"/>
    <w:rsid w:val="00FD18D5"/>
    <w:rsid w:val="00FD1AD4"/>
    <w:rsid w:val="00FD1C93"/>
    <w:rsid w:val="00FD21FD"/>
    <w:rsid w:val="00FD268C"/>
    <w:rsid w:val="00FD2BCD"/>
    <w:rsid w:val="00FD2BEE"/>
    <w:rsid w:val="00FD2E6A"/>
    <w:rsid w:val="00FD2FAB"/>
    <w:rsid w:val="00FD36E3"/>
    <w:rsid w:val="00FD3755"/>
    <w:rsid w:val="00FD3800"/>
    <w:rsid w:val="00FD43E9"/>
    <w:rsid w:val="00FD48C2"/>
    <w:rsid w:val="00FD4AB1"/>
    <w:rsid w:val="00FD4C22"/>
    <w:rsid w:val="00FD4D02"/>
    <w:rsid w:val="00FD569F"/>
    <w:rsid w:val="00FD5F46"/>
    <w:rsid w:val="00FD60E9"/>
    <w:rsid w:val="00FD6461"/>
    <w:rsid w:val="00FD6616"/>
    <w:rsid w:val="00FD6D81"/>
    <w:rsid w:val="00FD6E71"/>
    <w:rsid w:val="00FD70F4"/>
    <w:rsid w:val="00FD735B"/>
    <w:rsid w:val="00FD77AD"/>
    <w:rsid w:val="00FD79F9"/>
    <w:rsid w:val="00FD7F04"/>
    <w:rsid w:val="00FE00F0"/>
    <w:rsid w:val="00FE0ACD"/>
    <w:rsid w:val="00FE0CCA"/>
    <w:rsid w:val="00FE1578"/>
    <w:rsid w:val="00FE190C"/>
    <w:rsid w:val="00FE1988"/>
    <w:rsid w:val="00FE198F"/>
    <w:rsid w:val="00FE19F4"/>
    <w:rsid w:val="00FE203A"/>
    <w:rsid w:val="00FE2300"/>
    <w:rsid w:val="00FE2379"/>
    <w:rsid w:val="00FE250C"/>
    <w:rsid w:val="00FE283B"/>
    <w:rsid w:val="00FE2B27"/>
    <w:rsid w:val="00FE2DFF"/>
    <w:rsid w:val="00FE2E82"/>
    <w:rsid w:val="00FE2F17"/>
    <w:rsid w:val="00FE331B"/>
    <w:rsid w:val="00FE38DA"/>
    <w:rsid w:val="00FE3BF6"/>
    <w:rsid w:val="00FE43C3"/>
    <w:rsid w:val="00FE4818"/>
    <w:rsid w:val="00FE4D7C"/>
    <w:rsid w:val="00FE4DD1"/>
    <w:rsid w:val="00FE4FF3"/>
    <w:rsid w:val="00FE542A"/>
    <w:rsid w:val="00FE5746"/>
    <w:rsid w:val="00FE57A4"/>
    <w:rsid w:val="00FE58E5"/>
    <w:rsid w:val="00FE5967"/>
    <w:rsid w:val="00FE5B7E"/>
    <w:rsid w:val="00FE5BA1"/>
    <w:rsid w:val="00FE6293"/>
    <w:rsid w:val="00FE6999"/>
    <w:rsid w:val="00FE6DD2"/>
    <w:rsid w:val="00FE720A"/>
    <w:rsid w:val="00FE7447"/>
    <w:rsid w:val="00FE763C"/>
    <w:rsid w:val="00FE7E19"/>
    <w:rsid w:val="00FE7FFA"/>
    <w:rsid w:val="00FF01B4"/>
    <w:rsid w:val="00FF0367"/>
    <w:rsid w:val="00FF04A9"/>
    <w:rsid w:val="00FF04DD"/>
    <w:rsid w:val="00FF06ED"/>
    <w:rsid w:val="00FF0915"/>
    <w:rsid w:val="00FF0A10"/>
    <w:rsid w:val="00FF0F48"/>
    <w:rsid w:val="00FF0F6D"/>
    <w:rsid w:val="00FF152D"/>
    <w:rsid w:val="00FF1840"/>
    <w:rsid w:val="00FF1E56"/>
    <w:rsid w:val="00FF209F"/>
    <w:rsid w:val="00FF20DC"/>
    <w:rsid w:val="00FF2537"/>
    <w:rsid w:val="00FF274C"/>
    <w:rsid w:val="00FF2AAB"/>
    <w:rsid w:val="00FF2FA9"/>
    <w:rsid w:val="00FF3145"/>
    <w:rsid w:val="00FF34BD"/>
    <w:rsid w:val="00FF3AC1"/>
    <w:rsid w:val="00FF4090"/>
    <w:rsid w:val="00FF453A"/>
    <w:rsid w:val="00FF4613"/>
    <w:rsid w:val="00FF4A53"/>
    <w:rsid w:val="00FF4F5B"/>
    <w:rsid w:val="00FF5223"/>
    <w:rsid w:val="00FF571D"/>
    <w:rsid w:val="00FF57E7"/>
    <w:rsid w:val="00FF58A8"/>
    <w:rsid w:val="00FF5B44"/>
    <w:rsid w:val="00FF5EDB"/>
    <w:rsid w:val="00FF5F9E"/>
    <w:rsid w:val="00FF6017"/>
    <w:rsid w:val="00FF6357"/>
    <w:rsid w:val="00FF6422"/>
    <w:rsid w:val="00FF692D"/>
    <w:rsid w:val="00FF69AF"/>
    <w:rsid w:val="00FF6B0E"/>
    <w:rsid w:val="00FF6F0A"/>
    <w:rsid w:val="00FF71C2"/>
    <w:rsid w:val="00FF7690"/>
    <w:rsid w:val="00FF77B1"/>
    <w:rsid w:val="00FF7B3E"/>
    <w:rsid w:val="00FF7C6B"/>
    <w:rsid w:val="00FF7D91"/>
    <w:rsid w:val="00FF7EE9"/>
    <w:rsid w:val="019C2027"/>
    <w:rsid w:val="01DCDC6D"/>
    <w:rsid w:val="029FECAC"/>
    <w:rsid w:val="03246364"/>
    <w:rsid w:val="038ED2E8"/>
    <w:rsid w:val="0537850B"/>
    <w:rsid w:val="059C80BD"/>
    <w:rsid w:val="06D34416"/>
    <w:rsid w:val="070F8EC9"/>
    <w:rsid w:val="07342F86"/>
    <w:rsid w:val="075DDD20"/>
    <w:rsid w:val="08773E6B"/>
    <w:rsid w:val="08DE7932"/>
    <w:rsid w:val="0A37ECF2"/>
    <w:rsid w:val="0ABFDDBD"/>
    <w:rsid w:val="0AFD2FA7"/>
    <w:rsid w:val="0C0AFAA8"/>
    <w:rsid w:val="0C99166B"/>
    <w:rsid w:val="0E3659E3"/>
    <w:rsid w:val="0EB58284"/>
    <w:rsid w:val="0EF6F178"/>
    <w:rsid w:val="0F00D641"/>
    <w:rsid w:val="0F29730D"/>
    <w:rsid w:val="0FA0E7D4"/>
    <w:rsid w:val="10BC5AC4"/>
    <w:rsid w:val="110A3683"/>
    <w:rsid w:val="11220C8C"/>
    <w:rsid w:val="11945907"/>
    <w:rsid w:val="12513AB9"/>
    <w:rsid w:val="126BCE74"/>
    <w:rsid w:val="12FFD3EC"/>
    <w:rsid w:val="141BD99C"/>
    <w:rsid w:val="1473333B"/>
    <w:rsid w:val="14A7D867"/>
    <w:rsid w:val="159EDBAF"/>
    <w:rsid w:val="15CA1A82"/>
    <w:rsid w:val="162C5C20"/>
    <w:rsid w:val="1637DCE6"/>
    <w:rsid w:val="168291C0"/>
    <w:rsid w:val="16F54E46"/>
    <w:rsid w:val="170DAE8E"/>
    <w:rsid w:val="173B7659"/>
    <w:rsid w:val="17449C6C"/>
    <w:rsid w:val="177B7BD8"/>
    <w:rsid w:val="17836C3D"/>
    <w:rsid w:val="1806040D"/>
    <w:rsid w:val="18C7D80E"/>
    <w:rsid w:val="1972462D"/>
    <w:rsid w:val="1A146057"/>
    <w:rsid w:val="1A304B3B"/>
    <w:rsid w:val="1A4101FD"/>
    <w:rsid w:val="1A432F28"/>
    <w:rsid w:val="1A63A86F"/>
    <w:rsid w:val="1A6C25B4"/>
    <w:rsid w:val="1A868799"/>
    <w:rsid w:val="1AC91610"/>
    <w:rsid w:val="1AFC1FAA"/>
    <w:rsid w:val="1BB3BA8C"/>
    <w:rsid w:val="1C456FB8"/>
    <w:rsid w:val="1C9B0B01"/>
    <w:rsid w:val="1D086BEB"/>
    <w:rsid w:val="1D3E3197"/>
    <w:rsid w:val="1E8D3EFE"/>
    <w:rsid w:val="1EBD2CBB"/>
    <w:rsid w:val="1FBF0874"/>
    <w:rsid w:val="201034BD"/>
    <w:rsid w:val="202D2536"/>
    <w:rsid w:val="20608A1D"/>
    <w:rsid w:val="2092FFE9"/>
    <w:rsid w:val="21797034"/>
    <w:rsid w:val="21F4D29A"/>
    <w:rsid w:val="221BE667"/>
    <w:rsid w:val="227F251F"/>
    <w:rsid w:val="22C19DAE"/>
    <w:rsid w:val="231CA2F2"/>
    <w:rsid w:val="23429091"/>
    <w:rsid w:val="23CCE9D4"/>
    <w:rsid w:val="2485C8CC"/>
    <w:rsid w:val="2489C2C3"/>
    <w:rsid w:val="24CF8D98"/>
    <w:rsid w:val="24E64D7D"/>
    <w:rsid w:val="25CA038E"/>
    <w:rsid w:val="27413332"/>
    <w:rsid w:val="27AC2C9F"/>
    <w:rsid w:val="27CA7F00"/>
    <w:rsid w:val="2823ABE1"/>
    <w:rsid w:val="285B2588"/>
    <w:rsid w:val="28A45E3C"/>
    <w:rsid w:val="28A88749"/>
    <w:rsid w:val="2A29ECA9"/>
    <w:rsid w:val="2A3271A7"/>
    <w:rsid w:val="2A69CAEA"/>
    <w:rsid w:val="2AB4C79A"/>
    <w:rsid w:val="2AD19570"/>
    <w:rsid w:val="2B43B8D8"/>
    <w:rsid w:val="2B760C71"/>
    <w:rsid w:val="2C2DEE52"/>
    <w:rsid w:val="3061DAA9"/>
    <w:rsid w:val="30957082"/>
    <w:rsid w:val="30CA9597"/>
    <w:rsid w:val="30FD1A01"/>
    <w:rsid w:val="31560DDA"/>
    <w:rsid w:val="31639422"/>
    <w:rsid w:val="31EBB27C"/>
    <w:rsid w:val="322198A8"/>
    <w:rsid w:val="323F8662"/>
    <w:rsid w:val="324CEC17"/>
    <w:rsid w:val="32C9416F"/>
    <w:rsid w:val="337CFB09"/>
    <w:rsid w:val="33BE629C"/>
    <w:rsid w:val="33CDA3E7"/>
    <w:rsid w:val="33DB3294"/>
    <w:rsid w:val="3545B0FF"/>
    <w:rsid w:val="35583971"/>
    <w:rsid w:val="35DFC2B1"/>
    <w:rsid w:val="35F92877"/>
    <w:rsid w:val="365C7885"/>
    <w:rsid w:val="36834EE9"/>
    <w:rsid w:val="36D3B875"/>
    <w:rsid w:val="36EAE799"/>
    <w:rsid w:val="3748DEAC"/>
    <w:rsid w:val="3798E954"/>
    <w:rsid w:val="37C6B11F"/>
    <w:rsid w:val="38FE56DE"/>
    <w:rsid w:val="39107307"/>
    <w:rsid w:val="3924C98C"/>
    <w:rsid w:val="393A495B"/>
    <w:rsid w:val="3961EA08"/>
    <w:rsid w:val="39624EAF"/>
    <w:rsid w:val="3981DB6A"/>
    <w:rsid w:val="39911957"/>
    <w:rsid w:val="3A0CC495"/>
    <w:rsid w:val="3A792960"/>
    <w:rsid w:val="3B0C32B9"/>
    <w:rsid w:val="3B4B355B"/>
    <w:rsid w:val="3B795DF3"/>
    <w:rsid w:val="3C033CBA"/>
    <w:rsid w:val="3C7D0D05"/>
    <w:rsid w:val="3D0E41C2"/>
    <w:rsid w:val="3D28F001"/>
    <w:rsid w:val="3D2ACDBB"/>
    <w:rsid w:val="3D88F79F"/>
    <w:rsid w:val="3DD3DDE6"/>
    <w:rsid w:val="3DFAE178"/>
    <w:rsid w:val="3E74CD0C"/>
    <w:rsid w:val="3E769374"/>
    <w:rsid w:val="3F4F2747"/>
    <w:rsid w:val="3F603DD2"/>
    <w:rsid w:val="3FD6ED08"/>
    <w:rsid w:val="4282874C"/>
    <w:rsid w:val="428FBB5E"/>
    <w:rsid w:val="441455DD"/>
    <w:rsid w:val="44C353B7"/>
    <w:rsid w:val="44F64D3F"/>
    <w:rsid w:val="454F4566"/>
    <w:rsid w:val="45ADC85E"/>
    <w:rsid w:val="45E497BB"/>
    <w:rsid w:val="46747970"/>
    <w:rsid w:val="4698267C"/>
    <w:rsid w:val="46E39B48"/>
    <w:rsid w:val="46E972C3"/>
    <w:rsid w:val="47F60309"/>
    <w:rsid w:val="480C9F8A"/>
    <w:rsid w:val="48AC1E5D"/>
    <w:rsid w:val="48F9D6B8"/>
    <w:rsid w:val="499EB260"/>
    <w:rsid w:val="4B1F94F7"/>
    <w:rsid w:val="4B73CE84"/>
    <w:rsid w:val="4B7F46DF"/>
    <w:rsid w:val="4BB415F7"/>
    <w:rsid w:val="4C0A4E3A"/>
    <w:rsid w:val="4C66158F"/>
    <w:rsid w:val="4C686A63"/>
    <w:rsid w:val="4E0540C4"/>
    <w:rsid w:val="4E75A817"/>
    <w:rsid w:val="4EA86F51"/>
    <w:rsid w:val="4EB1C835"/>
    <w:rsid w:val="4EF91C09"/>
    <w:rsid w:val="4FC6BA1B"/>
    <w:rsid w:val="501B396A"/>
    <w:rsid w:val="5058AC4F"/>
    <w:rsid w:val="5073400A"/>
    <w:rsid w:val="507DEF1C"/>
    <w:rsid w:val="509BDCD6"/>
    <w:rsid w:val="51DFE7DA"/>
    <w:rsid w:val="526E466D"/>
    <w:rsid w:val="530C5380"/>
    <w:rsid w:val="53CEBE8E"/>
    <w:rsid w:val="53D120B3"/>
    <w:rsid w:val="540F0DC3"/>
    <w:rsid w:val="54B3DAA5"/>
    <w:rsid w:val="551ED317"/>
    <w:rsid w:val="5589A546"/>
    <w:rsid w:val="55E5B581"/>
    <w:rsid w:val="55F2189A"/>
    <w:rsid w:val="56666AEB"/>
    <w:rsid w:val="572F2F58"/>
    <w:rsid w:val="577ED933"/>
    <w:rsid w:val="57990847"/>
    <w:rsid w:val="57BF1183"/>
    <w:rsid w:val="57DB09DE"/>
    <w:rsid w:val="58121FF5"/>
    <w:rsid w:val="586BF144"/>
    <w:rsid w:val="58E3082E"/>
    <w:rsid w:val="59847EA9"/>
    <w:rsid w:val="5ABE01D9"/>
    <w:rsid w:val="5AE3DC1E"/>
    <w:rsid w:val="5AE6072D"/>
    <w:rsid w:val="5D0EF732"/>
    <w:rsid w:val="5E67643B"/>
    <w:rsid w:val="5EC65F26"/>
    <w:rsid w:val="603097C0"/>
    <w:rsid w:val="60697344"/>
    <w:rsid w:val="6161C8C3"/>
    <w:rsid w:val="6171A2D4"/>
    <w:rsid w:val="61A9BBC8"/>
    <w:rsid w:val="61C6AB0A"/>
    <w:rsid w:val="61E4D78B"/>
    <w:rsid w:val="6257C15D"/>
    <w:rsid w:val="626832E6"/>
    <w:rsid w:val="6282CA6D"/>
    <w:rsid w:val="631C41E0"/>
    <w:rsid w:val="6356C700"/>
    <w:rsid w:val="63A11406"/>
    <w:rsid w:val="63B81BEC"/>
    <w:rsid w:val="63F02D27"/>
    <w:rsid w:val="63F4C0AE"/>
    <w:rsid w:val="63F7E7DC"/>
    <w:rsid w:val="64C7C8C8"/>
    <w:rsid w:val="65CE8934"/>
    <w:rsid w:val="65F342E7"/>
    <w:rsid w:val="662D4D5B"/>
    <w:rsid w:val="689974A5"/>
    <w:rsid w:val="694C26B1"/>
    <w:rsid w:val="6976F659"/>
    <w:rsid w:val="69F72D2D"/>
    <w:rsid w:val="6A89DC77"/>
    <w:rsid w:val="6B20D747"/>
    <w:rsid w:val="6B48B088"/>
    <w:rsid w:val="6CE7DEC2"/>
    <w:rsid w:val="6D743518"/>
    <w:rsid w:val="6D8BBE4B"/>
    <w:rsid w:val="6DFA953C"/>
    <w:rsid w:val="6F1D7712"/>
    <w:rsid w:val="6FCC1045"/>
    <w:rsid w:val="705B8229"/>
    <w:rsid w:val="70E91214"/>
    <w:rsid w:val="70F72BA8"/>
    <w:rsid w:val="7115781E"/>
    <w:rsid w:val="711C90C3"/>
    <w:rsid w:val="712661CF"/>
    <w:rsid w:val="71FADA36"/>
    <w:rsid w:val="722A78B7"/>
    <w:rsid w:val="7257E2DC"/>
    <w:rsid w:val="728B63A2"/>
    <w:rsid w:val="72D5E93C"/>
    <w:rsid w:val="733AF51A"/>
    <w:rsid w:val="741DE1DD"/>
    <w:rsid w:val="74E61686"/>
    <w:rsid w:val="7506C6C7"/>
    <w:rsid w:val="75495FD6"/>
    <w:rsid w:val="75EA7CD8"/>
    <w:rsid w:val="760634EB"/>
    <w:rsid w:val="7747F6E3"/>
    <w:rsid w:val="77480A48"/>
    <w:rsid w:val="776C64D0"/>
    <w:rsid w:val="777AC946"/>
    <w:rsid w:val="77EB5917"/>
    <w:rsid w:val="7814F202"/>
    <w:rsid w:val="78553206"/>
    <w:rsid w:val="78627B66"/>
    <w:rsid w:val="79257799"/>
    <w:rsid w:val="7955A6E1"/>
    <w:rsid w:val="7956D5D1"/>
    <w:rsid w:val="7973F957"/>
    <w:rsid w:val="797D15B8"/>
    <w:rsid w:val="79B6ED5B"/>
    <w:rsid w:val="7A1DCFAD"/>
    <w:rsid w:val="7B25B2A6"/>
    <w:rsid w:val="7B587F38"/>
    <w:rsid w:val="7B630332"/>
    <w:rsid w:val="7BE7FCBC"/>
    <w:rsid w:val="7C29B667"/>
    <w:rsid w:val="7C3811FC"/>
    <w:rsid w:val="7CB11F12"/>
    <w:rsid w:val="7CBB04D6"/>
    <w:rsid w:val="7D803C73"/>
    <w:rsid w:val="7F3C88AC"/>
    <w:rsid w:val="7FA45C83"/>
    <w:rsid w:val="7FCADCB2"/>
    <w:rsid w:val="7FE66EF6"/>
    <w:rsid w:val="7FFCA6D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3603A35"/>
  <w15:docId w15:val="{10F98C5C-DB86-4CEE-AA33-7009213F6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9" w:qFormat="1"/>
    <w:lsdException w:name="heading 2" w:semiHidden="1" w:uiPriority="19" w:unhideWhenUsed="1" w:qFormat="1"/>
    <w:lsdException w:name="heading 3" w:semiHidden="1" w:uiPriority="19" w:unhideWhenUsed="1" w:qFormat="1"/>
    <w:lsdException w:name="heading 4" w:semiHidden="1" w:uiPriority="19" w:unhideWhenUsed="1" w:qFormat="1"/>
    <w:lsdException w:name="heading 5" w:semiHidden="1" w:uiPriority="19" w:unhideWhenUsed="1" w:qFormat="1"/>
    <w:lsdException w:name="heading 6" w:semiHidden="1" w:uiPriority="19" w:unhideWhenUsed="1" w:qFormat="1"/>
    <w:lsdException w:name="heading 7" w:semiHidden="1" w:uiPriority="19" w:unhideWhenUsed="1"/>
    <w:lsdException w:name="heading 8" w:semiHidden="1" w:uiPriority="19" w:unhideWhenUsed="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8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75A8"/>
    <w:pPr>
      <w:spacing w:after="120" w:line="256" w:lineRule="auto"/>
    </w:pPr>
    <w:rPr>
      <w:rFonts w:ascii="Segoe UI" w:hAnsi="Segoe UI"/>
      <w:sz w:val="19"/>
      <w:lang w:val="en-AU"/>
    </w:rPr>
  </w:style>
  <w:style w:type="paragraph" w:styleId="Heading1">
    <w:name w:val="heading 1"/>
    <w:basedOn w:val="Normal"/>
    <w:next w:val="Normal"/>
    <w:link w:val="Heading1Char"/>
    <w:uiPriority w:val="19"/>
    <w:qFormat/>
    <w:rsid w:val="009275A8"/>
    <w:pPr>
      <w:keepNext/>
      <w:pageBreakBefore/>
      <w:numPr>
        <w:numId w:val="6"/>
      </w:numPr>
      <w:spacing w:after="600" w:line="560" w:lineRule="exact"/>
      <w:outlineLvl w:val="0"/>
    </w:pPr>
    <w:rPr>
      <w:rFonts w:eastAsia="Times New Roman" w:cs="Times New Roman"/>
      <w:b/>
      <w:color w:val="00264D"/>
      <w:sz w:val="36"/>
      <w:szCs w:val="19"/>
      <w:lang w:eastAsia="en-AU"/>
    </w:rPr>
  </w:style>
  <w:style w:type="paragraph" w:styleId="Heading2">
    <w:name w:val="heading 2"/>
    <w:basedOn w:val="Normal"/>
    <w:next w:val="Normal"/>
    <w:link w:val="Heading2Char"/>
    <w:uiPriority w:val="19"/>
    <w:qFormat/>
    <w:rsid w:val="009275A8"/>
    <w:pPr>
      <w:keepNext/>
      <w:numPr>
        <w:ilvl w:val="1"/>
        <w:numId w:val="6"/>
      </w:numPr>
      <w:spacing w:before="480" w:after="180" w:line="380" w:lineRule="exact"/>
      <w:outlineLvl w:val="1"/>
    </w:pPr>
    <w:rPr>
      <w:rFonts w:ascii="Segoe UI Semibold" w:eastAsia="Times New Roman" w:hAnsi="Segoe UI Semibold" w:cs="Times New Roman"/>
      <w:color w:val="00264D"/>
      <w:sz w:val="30"/>
      <w:szCs w:val="19"/>
      <w:lang w:eastAsia="en-AU"/>
    </w:rPr>
  </w:style>
  <w:style w:type="paragraph" w:styleId="Heading3">
    <w:name w:val="heading 3"/>
    <w:basedOn w:val="Normal"/>
    <w:next w:val="Normal"/>
    <w:link w:val="Heading3Char"/>
    <w:uiPriority w:val="19"/>
    <w:qFormat/>
    <w:rsid w:val="009275A8"/>
    <w:pPr>
      <w:keepNext/>
      <w:numPr>
        <w:ilvl w:val="2"/>
        <w:numId w:val="6"/>
      </w:numPr>
      <w:spacing w:before="480" w:after="60"/>
      <w:outlineLvl w:val="2"/>
    </w:pPr>
    <w:rPr>
      <w:rFonts w:ascii="Segoe UI Semibold" w:eastAsia="Times New Roman" w:hAnsi="Segoe UI Semibold" w:cs="Times New Roman"/>
      <w:color w:val="00264D"/>
      <w:sz w:val="26"/>
      <w:szCs w:val="19"/>
      <w:lang w:eastAsia="en-AU"/>
    </w:rPr>
  </w:style>
  <w:style w:type="paragraph" w:styleId="Heading4">
    <w:name w:val="heading 4"/>
    <w:basedOn w:val="Normal"/>
    <w:next w:val="Normal"/>
    <w:link w:val="Heading4Char"/>
    <w:uiPriority w:val="19"/>
    <w:qFormat/>
    <w:rsid w:val="009275A8"/>
    <w:pPr>
      <w:keepNext/>
      <w:spacing w:before="240" w:after="60"/>
      <w:outlineLvl w:val="3"/>
    </w:pPr>
    <w:rPr>
      <w:rFonts w:ascii="Segoe UI Semibold" w:eastAsia="Times New Roman" w:hAnsi="Segoe UI Semibold" w:cs="Times New Roman"/>
      <w:color w:val="00264D" w:themeColor="background2"/>
      <w:sz w:val="22"/>
      <w:szCs w:val="19"/>
      <w:lang w:eastAsia="en-AU"/>
    </w:rPr>
  </w:style>
  <w:style w:type="paragraph" w:styleId="Heading5">
    <w:name w:val="heading 5"/>
    <w:basedOn w:val="Normal"/>
    <w:next w:val="Normal"/>
    <w:link w:val="Heading5Char"/>
    <w:uiPriority w:val="19"/>
    <w:qFormat/>
    <w:rsid w:val="009275A8"/>
    <w:pPr>
      <w:keepNext/>
      <w:numPr>
        <w:ilvl w:val="4"/>
        <w:numId w:val="6"/>
      </w:numPr>
      <w:spacing w:before="240"/>
      <w:outlineLvl w:val="4"/>
    </w:pPr>
    <w:rPr>
      <w:rFonts w:eastAsia="Times New Roman" w:cs="Times New Roman"/>
      <w:b/>
      <w:color w:val="000000" w:themeColor="text1"/>
      <w:sz w:val="20"/>
      <w:szCs w:val="24"/>
      <w:lang w:eastAsia="en-AU"/>
    </w:rPr>
  </w:style>
  <w:style w:type="paragraph" w:styleId="Heading6">
    <w:name w:val="heading 6"/>
    <w:basedOn w:val="Normal"/>
    <w:next w:val="Normal"/>
    <w:link w:val="Heading6Char"/>
    <w:uiPriority w:val="19"/>
    <w:qFormat/>
    <w:rsid w:val="009275A8"/>
    <w:pPr>
      <w:keepNext/>
      <w:keepLines/>
      <w:numPr>
        <w:ilvl w:val="5"/>
        <w:numId w:val="6"/>
      </w:numPr>
      <w:spacing w:before="200" w:after="60"/>
      <w:outlineLvl w:val="5"/>
    </w:pPr>
    <w:rPr>
      <w:rFonts w:eastAsiaTheme="majorEastAsia" w:cstheme="majorBidi"/>
      <w:b/>
      <w:i/>
      <w:iCs/>
      <w:color w:val="000000" w:themeColor="text1"/>
      <w:szCs w:val="19"/>
      <w:lang w:eastAsia="en-AU"/>
    </w:rPr>
  </w:style>
  <w:style w:type="paragraph" w:styleId="Heading7">
    <w:name w:val="heading 7"/>
    <w:basedOn w:val="Normal"/>
    <w:next w:val="Normal"/>
    <w:link w:val="Heading7Char"/>
    <w:uiPriority w:val="19"/>
    <w:semiHidden/>
    <w:rsid w:val="009275A8"/>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19"/>
    <w:semiHidden/>
    <w:rsid w:val="009275A8"/>
    <w:pPr>
      <w:keepNext/>
      <w:keepLines/>
      <w:spacing w:before="200" w:after="0"/>
      <w:outlineLvl w:val="7"/>
    </w:pPr>
    <w:rPr>
      <w:rFonts w:eastAsiaTheme="majorEastAsia"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NousTable">
    <w:name w:val="Nous Table"/>
    <w:basedOn w:val="TableNormal"/>
    <w:uiPriority w:val="99"/>
    <w:rsid w:val="00653916"/>
    <w:pPr>
      <w:spacing w:after="0" w:line="240" w:lineRule="auto"/>
    </w:pPr>
    <w:rPr>
      <w:rFonts w:eastAsia="@MS PMincho"/>
      <w:lang w:val="en-AU" w:eastAsia="en-AU"/>
    </w:rPr>
    <w:tblPr>
      <w:tblStyleRowBandSize w:val="1"/>
      <w:jc w:val="center"/>
      <w:tblBorders>
        <w:insideH w:val="single" w:sz="4" w:space="0" w:color="FF888B" w:themeColor="accent1" w:themeTint="99"/>
        <w:insideV w:val="single" w:sz="4" w:space="0" w:color="FF888B" w:themeColor="accent1" w:themeTint="99"/>
      </w:tblBorders>
    </w:tblPr>
    <w:trPr>
      <w:cantSplit/>
      <w:jc w:val="center"/>
    </w:trPr>
    <w:tcPr>
      <w:tcMar>
        <w:top w:w="57" w:type="dxa"/>
        <w:left w:w="57" w:type="dxa"/>
        <w:bottom w:w="57" w:type="dxa"/>
        <w:right w:w="57" w:type="dxa"/>
      </w:tcMar>
      <w:vAlign w:val="center"/>
    </w:tcPr>
    <w:tblStylePr w:type="firstRow">
      <w:pPr>
        <w:keepNext/>
        <w:wordWrap/>
      </w:pPr>
      <w:rPr>
        <w:b w:val="0"/>
        <w:color w:val="FFFFFF" w:themeColor="background1"/>
      </w:rPr>
      <w:tblPr/>
      <w:trPr>
        <w:tblHeader/>
      </w:trPr>
      <w:tcPr>
        <w:shd w:val="clear" w:color="auto" w:fill="FF3A40" w:themeFill="accent1"/>
      </w:tcPr>
    </w:tblStylePr>
    <w:tblStylePr w:type="lastRow">
      <w:tblPr/>
      <w:tcPr>
        <w:tcBorders>
          <w:top w:val="double" w:sz="4" w:space="0" w:color="FF3A40" w:themeColor="accent1"/>
        </w:tcBorders>
      </w:tcPr>
    </w:tblStylePr>
    <w:tblStylePr w:type="firstCol">
      <w:rPr>
        <w:b w:val="0"/>
        <w:color w:val="FFFFFF" w:themeColor="background1"/>
      </w:rPr>
      <w:tblPr/>
      <w:tcPr>
        <w:shd w:val="clear" w:color="auto" w:fill="FF3A40" w:themeFill="accent1"/>
      </w:tcPr>
    </w:tblStylePr>
    <w:tblStylePr w:type="lastCol">
      <w:tblPr/>
      <w:tcPr>
        <w:tcBorders>
          <w:left w:val="double" w:sz="4" w:space="0" w:color="FF3A40" w:themeColor="accent1"/>
        </w:tcBorders>
      </w:tcPr>
    </w:tblStylePr>
  </w:style>
  <w:style w:type="character" w:customStyle="1" w:styleId="Heading1Char">
    <w:name w:val="Heading 1 Char"/>
    <w:basedOn w:val="DefaultParagraphFont"/>
    <w:link w:val="Heading1"/>
    <w:uiPriority w:val="19"/>
    <w:rsid w:val="009275A8"/>
    <w:rPr>
      <w:rFonts w:ascii="Segoe UI" w:eastAsia="Times New Roman" w:hAnsi="Segoe UI" w:cs="Times New Roman"/>
      <w:b/>
      <w:color w:val="00264D"/>
      <w:sz w:val="36"/>
      <w:szCs w:val="19"/>
      <w:lang w:val="en-AU" w:eastAsia="en-AU"/>
    </w:rPr>
  </w:style>
  <w:style w:type="character" w:customStyle="1" w:styleId="Heading2Char">
    <w:name w:val="Heading 2 Char"/>
    <w:basedOn w:val="DefaultParagraphFont"/>
    <w:link w:val="Heading2"/>
    <w:uiPriority w:val="19"/>
    <w:rsid w:val="009275A8"/>
    <w:rPr>
      <w:rFonts w:ascii="Segoe UI Semibold" w:eastAsia="Times New Roman" w:hAnsi="Segoe UI Semibold" w:cs="Times New Roman"/>
      <w:color w:val="00264D"/>
      <w:sz w:val="30"/>
      <w:szCs w:val="19"/>
      <w:lang w:val="en-AU" w:eastAsia="en-AU"/>
    </w:rPr>
  </w:style>
  <w:style w:type="character" w:customStyle="1" w:styleId="Heading3Char">
    <w:name w:val="Heading 3 Char"/>
    <w:basedOn w:val="DefaultParagraphFont"/>
    <w:link w:val="Heading3"/>
    <w:uiPriority w:val="19"/>
    <w:rsid w:val="009275A8"/>
    <w:rPr>
      <w:rFonts w:ascii="Segoe UI Semibold" w:eastAsia="Times New Roman" w:hAnsi="Segoe UI Semibold" w:cs="Times New Roman"/>
      <w:color w:val="00264D"/>
      <w:sz w:val="26"/>
      <w:szCs w:val="19"/>
      <w:lang w:val="en-AU" w:eastAsia="en-AU"/>
    </w:rPr>
  </w:style>
  <w:style w:type="character" w:customStyle="1" w:styleId="Heading4Char">
    <w:name w:val="Heading 4 Char"/>
    <w:basedOn w:val="DefaultParagraphFont"/>
    <w:link w:val="Heading4"/>
    <w:uiPriority w:val="19"/>
    <w:rsid w:val="009275A8"/>
    <w:rPr>
      <w:rFonts w:ascii="Segoe UI Semibold" w:eastAsia="Times New Roman" w:hAnsi="Segoe UI Semibold" w:cs="Times New Roman"/>
      <w:color w:val="00264D" w:themeColor="background2"/>
      <w:szCs w:val="19"/>
      <w:lang w:val="en-AU" w:eastAsia="en-AU"/>
    </w:rPr>
  </w:style>
  <w:style w:type="character" w:customStyle="1" w:styleId="Heading5Char">
    <w:name w:val="Heading 5 Char"/>
    <w:basedOn w:val="DefaultParagraphFont"/>
    <w:link w:val="Heading5"/>
    <w:uiPriority w:val="19"/>
    <w:rsid w:val="009275A8"/>
    <w:rPr>
      <w:rFonts w:ascii="Segoe UI" w:eastAsia="Times New Roman" w:hAnsi="Segoe UI" w:cs="Times New Roman"/>
      <w:b/>
      <w:color w:val="000000" w:themeColor="text1"/>
      <w:sz w:val="20"/>
      <w:szCs w:val="24"/>
      <w:lang w:val="en-AU" w:eastAsia="en-AU"/>
    </w:rPr>
  </w:style>
  <w:style w:type="character" w:customStyle="1" w:styleId="Heading6Char">
    <w:name w:val="Heading 6 Char"/>
    <w:basedOn w:val="DefaultParagraphFont"/>
    <w:link w:val="Heading6"/>
    <w:uiPriority w:val="19"/>
    <w:rsid w:val="009275A8"/>
    <w:rPr>
      <w:rFonts w:ascii="Segoe UI" w:eastAsiaTheme="majorEastAsia" w:hAnsi="Segoe UI" w:cstheme="majorBidi"/>
      <w:b/>
      <w:i/>
      <w:iCs/>
      <w:color w:val="000000" w:themeColor="text1"/>
      <w:sz w:val="19"/>
      <w:szCs w:val="19"/>
      <w:lang w:val="en-AU" w:eastAsia="en-AU"/>
    </w:rPr>
  </w:style>
  <w:style w:type="paragraph" w:customStyle="1" w:styleId="Bullet">
    <w:name w:val="Bullet"/>
    <w:basedOn w:val="Normal"/>
    <w:link w:val="BulletChar"/>
    <w:uiPriority w:val="2"/>
    <w:qFormat/>
    <w:rsid w:val="009275A8"/>
    <w:pPr>
      <w:numPr>
        <w:numId w:val="5"/>
      </w:numPr>
      <w:suppressAutoHyphens/>
    </w:pPr>
    <w:rPr>
      <w:rFonts w:eastAsia="Times New Roman" w:cs="Times New Roman"/>
      <w:szCs w:val="19"/>
      <w:lang w:eastAsia="en-AU"/>
    </w:rPr>
  </w:style>
  <w:style w:type="paragraph" w:customStyle="1" w:styleId="TableNheader">
    <w:name w:val="Table N header"/>
    <w:basedOn w:val="Normal"/>
    <w:uiPriority w:val="2"/>
    <w:qFormat/>
    <w:rsid w:val="009275A8"/>
    <w:pPr>
      <w:spacing w:before="40" w:after="40" w:line="240" w:lineRule="auto"/>
    </w:pPr>
    <w:rPr>
      <w:rFonts w:ascii="Segoe UI Semibold" w:hAnsi="Segoe UI Semibold"/>
      <w:color w:val="00264D" w:themeColor="background2"/>
      <w:sz w:val="18"/>
    </w:rPr>
  </w:style>
  <w:style w:type="paragraph" w:customStyle="1" w:styleId="TableNText">
    <w:name w:val="Table N Text"/>
    <w:basedOn w:val="Normal"/>
    <w:link w:val="TableNTextChar"/>
    <w:uiPriority w:val="2"/>
    <w:qFormat/>
    <w:rsid w:val="009275A8"/>
    <w:pPr>
      <w:spacing w:before="60" w:after="60"/>
    </w:pPr>
    <w:rPr>
      <w:sz w:val="17"/>
    </w:rPr>
  </w:style>
  <w:style w:type="paragraph" w:customStyle="1" w:styleId="BioHeading">
    <w:name w:val="Bio Heading"/>
    <w:basedOn w:val="TableNText"/>
    <w:uiPriority w:val="97"/>
    <w:qFormat/>
    <w:rsid w:val="009275A8"/>
    <w:pPr>
      <w:spacing w:before="240" w:after="120" w:line="240" w:lineRule="auto"/>
    </w:pPr>
    <w:rPr>
      <w:color w:val="00264D" w:themeColor="background2"/>
      <w:sz w:val="19"/>
      <w:szCs w:val="19"/>
    </w:rPr>
  </w:style>
  <w:style w:type="paragraph" w:styleId="Footer">
    <w:name w:val="footer"/>
    <w:aliases w:val="Foot note"/>
    <w:basedOn w:val="Normal"/>
    <w:link w:val="FooterChar"/>
    <w:uiPriority w:val="89"/>
    <w:unhideWhenUsed/>
    <w:rsid w:val="009275A8"/>
    <w:pPr>
      <w:tabs>
        <w:tab w:val="center" w:pos="4513"/>
        <w:tab w:val="right" w:pos="9026"/>
      </w:tabs>
      <w:spacing w:after="0"/>
    </w:pPr>
    <w:rPr>
      <w:sz w:val="15"/>
    </w:rPr>
  </w:style>
  <w:style w:type="character" w:customStyle="1" w:styleId="FooterChar">
    <w:name w:val="Footer Char"/>
    <w:aliases w:val="Foot note Char"/>
    <w:basedOn w:val="DefaultParagraphFont"/>
    <w:link w:val="Footer"/>
    <w:uiPriority w:val="89"/>
    <w:rsid w:val="009275A8"/>
    <w:rPr>
      <w:rFonts w:ascii="Segoe UI" w:hAnsi="Segoe UI"/>
      <w:sz w:val="15"/>
      <w:lang w:val="en-AU"/>
    </w:rPr>
  </w:style>
  <w:style w:type="paragraph" w:styleId="Caption">
    <w:name w:val="caption"/>
    <w:basedOn w:val="Normal"/>
    <w:next w:val="Normal"/>
    <w:uiPriority w:val="35"/>
    <w:qFormat/>
    <w:rsid w:val="009275A8"/>
    <w:pPr>
      <w:keepNext/>
      <w:spacing w:before="240"/>
    </w:pPr>
    <w:rPr>
      <w:rFonts w:ascii="Segoe UI Semibold" w:hAnsi="Segoe UI Semibold"/>
      <w:bCs/>
      <w:color w:val="00264D" w:themeColor="background2"/>
      <w:szCs w:val="18"/>
    </w:rPr>
  </w:style>
  <w:style w:type="paragraph" w:customStyle="1" w:styleId="TableNBullet">
    <w:name w:val="Table N Bullet"/>
    <w:basedOn w:val="Bullet"/>
    <w:link w:val="TableNBulletChar"/>
    <w:uiPriority w:val="2"/>
    <w:qFormat/>
    <w:rsid w:val="009275A8"/>
    <w:pPr>
      <w:numPr>
        <w:numId w:val="14"/>
      </w:numPr>
      <w:spacing w:before="60" w:after="60"/>
    </w:pPr>
    <w:rPr>
      <w:sz w:val="17"/>
    </w:rPr>
  </w:style>
  <w:style w:type="paragraph" w:customStyle="1" w:styleId="TableNListnumbered0">
    <w:name w:val="Table N List (numbered)"/>
    <w:basedOn w:val="TableNBullet"/>
    <w:uiPriority w:val="2"/>
    <w:qFormat/>
    <w:rsid w:val="009275A8"/>
    <w:pPr>
      <w:numPr>
        <w:numId w:val="15"/>
      </w:numPr>
    </w:pPr>
  </w:style>
  <w:style w:type="paragraph" w:customStyle="1" w:styleId="xAppendixLevel1">
    <w:name w:val="xAppendix Level 1"/>
    <w:basedOn w:val="Heading1"/>
    <w:next w:val="Normal"/>
    <w:uiPriority w:val="98"/>
    <w:qFormat/>
    <w:rsid w:val="009275A8"/>
    <w:pPr>
      <w:numPr>
        <w:numId w:val="16"/>
      </w:numPr>
    </w:pPr>
    <w:rPr>
      <w:bCs/>
      <w:sz w:val="44"/>
    </w:rPr>
  </w:style>
  <w:style w:type="paragraph" w:customStyle="1" w:styleId="xAppendixLevel2">
    <w:name w:val="xAppendix Level 2"/>
    <w:basedOn w:val="Heading2"/>
    <w:next w:val="Normal"/>
    <w:uiPriority w:val="98"/>
    <w:qFormat/>
    <w:rsid w:val="009275A8"/>
    <w:pPr>
      <w:numPr>
        <w:numId w:val="16"/>
      </w:numPr>
    </w:pPr>
    <w:rPr>
      <w:bCs/>
      <w:sz w:val="34"/>
    </w:rPr>
  </w:style>
  <w:style w:type="paragraph" w:customStyle="1" w:styleId="xAppendixLevel3">
    <w:name w:val="xAppendix Level 3"/>
    <w:basedOn w:val="Heading3"/>
    <w:next w:val="Normal"/>
    <w:uiPriority w:val="98"/>
    <w:qFormat/>
    <w:rsid w:val="009275A8"/>
    <w:pPr>
      <w:numPr>
        <w:numId w:val="16"/>
      </w:numPr>
    </w:pPr>
    <w:rPr>
      <w:bCs/>
    </w:rPr>
  </w:style>
  <w:style w:type="paragraph" w:customStyle="1" w:styleId="Listnumbered">
    <w:name w:val="List (numbered)"/>
    <w:basedOn w:val="Normal"/>
    <w:link w:val="ListnumberedChar"/>
    <w:uiPriority w:val="1"/>
    <w:qFormat/>
    <w:rsid w:val="009275A8"/>
    <w:pPr>
      <w:numPr>
        <w:numId w:val="9"/>
      </w:numPr>
    </w:pPr>
  </w:style>
  <w:style w:type="table" w:customStyle="1" w:styleId="NousTableStyletopandsideheading">
    <w:name w:val="Nous Table Style top and side heading"/>
    <w:basedOn w:val="TableNormal"/>
    <w:uiPriority w:val="99"/>
    <w:rsid w:val="0070191A"/>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Inter Bold" w:hAnsi="Inter Bold"/>
        <w:b/>
        <w:color w:val="00264D" w:themeColor="background2"/>
        <w:sz w:val="18"/>
      </w:rPr>
      <w:tblPr/>
      <w:trPr>
        <w:tblHeader/>
      </w:trPr>
      <w:tcPr>
        <w:tcBorders>
          <w:top w:val="single" w:sz="24" w:space="0" w:color="F8981D" w:themeColor="accent3"/>
          <w:insideV w:val="single" w:sz="8" w:space="0" w:color="FFFFFF" w:themeColor="background1"/>
        </w:tcBorders>
        <w:shd w:val="clear" w:color="auto" w:fill="EDEDE8" w:themeFill="accent5"/>
      </w:tcPr>
    </w:tblStylePr>
    <w:tblStylePr w:type="firstCol">
      <w:pPr>
        <w:jc w:val="center"/>
      </w:pPr>
      <w:rPr>
        <w:rFonts w:ascii="Inter Bold" w:hAnsi="Inter Bold"/>
        <w:b/>
        <w:color w:val="00264D" w:themeColor="background2"/>
        <w:sz w:val="18"/>
      </w:rPr>
      <w:tblPr/>
      <w:tcPr>
        <w:tcBorders>
          <w:left w:val="single" w:sz="24" w:space="0" w:color="F8981D" w:themeColor="accent3"/>
        </w:tcBorders>
        <w:shd w:val="clear" w:color="auto" w:fill="EDEDE8" w:themeFill="accent5"/>
        <w:vAlign w:val="center"/>
      </w:tcPr>
    </w:tblStylePr>
  </w:style>
  <w:style w:type="paragraph" w:customStyle="1" w:styleId="Source">
    <w:name w:val="Source"/>
    <w:basedOn w:val="Normal"/>
    <w:next w:val="Normal"/>
    <w:link w:val="SourceChar"/>
    <w:uiPriority w:val="39"/>
    <w:rsid w:val="009275A8"/>
    <w:pPr>
      <w:spacing w:before="120" w:after="240"/>
    </w:pPr>
    <w:rPr>
      <w:rFonts w:eastAsia="Times New Roman" w:cs="Times New Roman"/>
      <w:i/>
      <w:sz w:val="17"/>
      <w:szCs w:val="19"/>
      <w:lang w:eastAsia="en-AU"/>
    </w:rPr>
  </w:style>
  <w:style w:type="character" w:customStyle="1" w:styleId="SourceChar">
    <w:name w:val="Source Char"/>
    <w:basedOn w:val="DefaultParagraphFont"/>
    <w:link w:val="Source"/>
    <w:uiPriority w:val="39"/>
    <w:rsid w:val="009275A8"/>
    <w:rPr>
      <w:rFonts w:ascii="Segoe UI" w:eastAsia="Times New Roman" w:hAnsi="Segoe UI" w:cs="Times New Roman"/>
      <w:i/>
      <w:sz w:val="17"/>
      <w:szCs w:val="19"/>
      <w:lang w:val="en-AU" w:eastAsia="en-AU"/>
    </w:rPr>
  </w:style>
  <w:style w:type="paragraph" w:customStyle="1" w:styleId="TableExpBullet0">
    <w:name w:val="Table Exp Bullet"/>
    <w:basedOn w:val="TableNBullet"/>
    <w:qFormat/>
    <w:rsid w:val="00705FB6"/>
    <w:rPr>
      <w:sz w:val="16"/>
    </w:rPr>
  </w:style>
  <w:style w:type="paragraph" w:customStyle="1" w:styleId="Tableexpheader">
    <w:name w:val="Table exp header"/>
    <w:basedOn w:val="Normal"/>
    <w:uiPriority w:val="3"/>
    <w:qFormat/>
    <w:rsid w:val="009275A8"/>
    <w:pPr>
      <w:spacing w:before="40" w:after="40" w:line="240" w:lineRule="auto"/>
    </w:pPr>
    <w:rPr>
      <w:rFonts w:ascii="Segoe UI Semibold" w:hAnsi="Segoe UI Semibold"/>
      <w:sz w:val="17"/>
    </w:rPr>
  </w:style>
  <w:style w:type="paragraph" w:customStyle="1" w:styleId="TableexpListnumbered">
    <w:name w:val="Table exp List (numbered)"/>
    <w:basedOn w:val="Normal"/>
    <w:uiPriority w:val="3"/>
    <w:qFormat/>
    <w:rsid w:val="009275A8"/>
    <w:pPr>
      <w:numPr>
        <w:numId w:val="13"/>
      </w:numPr>
      <w:spacing w:before="60" w:after="60"/>
    </w:pPr>
    <w:rPr>
      <w:sz w:val="16"/>
    </w:rPr>
  </w:style>
  <w:style w:type="paragraph" w:customStyle="1" w:styleId="TableExpText">
    <w:name w:val="Table Exp Text"/>
    <w:basedOn w:val="Normal"/>
    <w:uiPriority w:val="3"/>
    <w:qFormat/>
    <w:rsid w:val="009275A8"/>
    <w:rPr>
      <w:sz w:val="16"/>
    </w:rPr>
  </w:style>
  <w:style w:type="character" w:customStyle="1" w:styleId="Heading7Char">
    <w:name w:val="Heading 7 Char"/>
    <w:basedOn w:val="DefaultParagraphFont"/>
    <w:link w:val="Heading7"/>
    <w:uiPriority w:val="19"/>
    <w:semiHidden/>
    <w:rsid w:val="009275A8"/>
    <w:rPr>
      <w:rFonts w:ascii="Segoe UI" w:eastAsiaTheme="majorEastAsia" w:hAnsi="Segoe UI" w:cstheme="majorBidi"/>
      <w:i/>
      <w:iCs/>
      <w:color w:val="404040" w:themeColor="text1" w:themeTint="BF"/>
      <w:sz w:val="19"/>
      <w:lang w:val="en-AU"/>
    </w:rPr>
  </w:style>
  <w:style w:type="paragraph" w:customStyle="1" w:styleId="TableText">
    <w:name w:val="Table Text"/>
    <w:link w:val="TableTextChar"/>
    <w:uiPriority w:val="2"/>
    <w:rsid w:val="00653916"/>
    <w:pPr>
      <w:spacing w:before="40" w:after="40" w:line="240" w:lineRule="auto"/>
    </w:pPr>
    <w:rPr>
      <w:rFonts w:ascii="Cambria Math" w:eastAsia="@MS PMincho" w:hAnsi="Cambria Math" w:cs="@MS PMincho"/>
      <w:sz w:val="17"/>
      <w:szCs w:val="19"/>
      <w:lang w:val="en-AU" w:eastAsia="en-AU"/>
    </w:rPr>
  </w:style>
  <w:style w:type="paragraph" w:customStyle="1" w:styleId="Tablecolumnheading">
    <w:name w:val="Table column heading"/>
    <w:basedOn w:val="Normal"/>
    <w:link w:val="TablecolumnheadingChar"/>
    <w:uiPriority w:val="2"/>
    <w:rsid w:val="00653916"/>
    <w:pPr>
      <w:keepNext/>
      <w:spacing w:before="40" w:after="40"/>
    </w:pPr>
    <w:rPr>
      <w:rFonts w:ascii="Arial Unicode MS" w:eastAsia="@MS PMincho" w:hAnsi="Arial Unicode MS" w:cs="@MS PMincho"/>
      <w:color w:val="00264D"/>
      <w:sz w:val="18"/>
      <w:szCs w:val="17"/>
      <w:lang w:eastAsia="en-AU"/>
    </w:rPr>
  </w:style>
  <w:style w:type="character" w:customStyle="1" w:styleId="TableTextChar">
    <w:name w:val="Table Text Char"/>
    <w:basedOn w:val="DefaultParagraphFont"/>
    <w:link w:val="TableText"/>
    <w:uiPriority w:val="2"/>
    <w:rsid w:val="0088498D"/>
    <w:rPr>
      <w:rFonts w:ascii="Cambria Math" w:eastAsia="@MS PMincho" w:hAnsi="Cambria Math" w:cs="@MS PMincho"/>
      <w:sz w:val="17"/>
      <w:szCs w:val="19"/>
      <w:lang w:val="en-AU" w:eastAsia="en-AU"/>
    </w:rPr>
  </w:style>
  <w:style w:type="character" w:customStyle="1" w:styleId="TablecolumnheadingChar">
    <w:name w:val="Table column heading Char"/>
    <w:basedOn w:val="DefaultParagraphFont"/>
    <w:link w:val="Tablecolumnheading"/>
    <w:uiPriority w:val="2"/>
    <w:rsid w:val="0088498D"/>
    <w:rPr>
      <w:rFonts w:ascii="Arial Unicode MS" w:eastAsia="@MS PMincho" w:hAnsi="Arial Unicode MS" w:cs="@MS PMincho"/>
      <w:color w:val="00264D"/>
      <w:sz w:val="18"/>
      <w:szCs w:val="17"/>
      <w:lang w:val="en-AU" w:eastAsia="en-AU"/>
    </w:rPr>
  </w:style>
  <w:style w:type="table" w:customStyle="1" w:styleId="NOUSSideTable">
    <w:name w:val="NOUS Side Table"/>
    <w:basedOn w:val="TableNormal"/>
    <w:uiPriority w:val="99"/>
    <w:rsid w:val="008D4B40"/>
    <w:pPr>
      <w:spacing w:after="0" w:line="240" w:lineRule="auto"/>
    </w:pPr>
    <w:rPr>
      <w:rFonts w:ascii="Cambria Math" w:hAnsi="Cambria Math"/>
      <w:sz w:val="17"/>
    </w:rPr>
    <w:tblPr>
      <w:tblBorders>
        <w:insideH w:val="single" w:sz="8" w:space="0" w:color="EDEDE8" w:themeColor="accent5"/>
      </w:tblBorders>
      <w:tblCellMar>
        <w:top w:w="57" w:type="dxa"/>
        <w:left w:w="85" w:type="dxa"/>
        <w:bottom w:w="57" w:type="dxa"/>
        <w:right w:w="85" w:type="dxa"/>
      </w:tblCellMar>
    </w:tblPr>
    <w:tcPr>
      <w:shd w:val="clear" w:color="auto" w:fill="FFFFFF" w:themeFill="background1"/>
    </w:tcPr>
    <w:tblStylePr w:type="firstCol">
      <w:pPr>
        <w:wordWrap/>
        <w:jc w:val="center"/>
      </w:pPr>
      <w:rPr>
        <w:rFonts w:ascii="Inter Bold" w:hAnsi="Inter Bold"/>
        <w:b/>
        <w:color w:val="00264D" w:themeColor="background2"/>
        <w:sz w:val="18"/>
      </w:rPr>
      <w:tblPr/>
      <w:tcPr>
        <w:tcBorders>
          <w:top w:val="single" w:sz="8" w:space="0" w:color="FFFFFF" w:themeColor="background1"/>
          <w:left w:val="single" w:sz="24" w:space="0" w:color="F8981D" w:themeColor="accent3"/>
          <w:bottom w:val="single" w:sz="8" w:space="0" w:color="FFFFFF" w:themeColor="background1"/>
          <w:right w:val="nil"/>
          <w:insideH w:val="nil"/>
          <w:insideV w:val="nil"/>
          <w:tl2br w:val="nil"/>
          <w:tr2bl w:val="nil"/>
        </w:tcBorders>
        <w:shd w:val="clear" w:color="auto" w:fill="EDEDE8" w:themeFill="accent5"/>
      </w:tcPr>
    </w:tblStylePr>
  </w:style>
  <w:style w:type="paragraph" w:styleId="BalloonText">
    <w:name w:val="Balloon Text"/>
    <w:basedOn w:val="Normal"/>
    <w:link w:val="BalloonTextChar"/>
    <w:uiPriority w:val="99"/>
    <w:semiHidden/>
    <w:unhideWhenUsed/>
    <w:rsid w:val="009275A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75A8"/>
    <w:rPr>
      <w:rFonts w:ascii="Tahoma" w:hAnsi="Tahoma" w:cs="Tahoma"/>
      <w:sz w:val="16"/>
      <w:szCs w:val="16"/>
      <w:lang w:val="en-AU"/>
    </w:rPr>
  </w:style>
  <w:style w:type="paragraph" w:customStyle="1" w:styleId="URL-groupcomau">
    <w:name w:val="URL - group.com.au"/>
    <w:basedOn w:val="Normal"/>
    <w:link w:val="URL-groupcomauChar"/>
    <w:uiPriority w:val="89"/>
    <w:semiHidden/>
    <w:qFormat/>
    <w:rsid w:val="009275A8"/>
    <w:pPr>
      <w:spacing w:after="0"/>
    </w:pPr>
    <w:rPr>
      <w:rFonts w:eastAsia="Times New Roman" w:cs="Times New Roman"/>
      <w:color w:val="2E368F" w:themeColor="text2"/>
      <w:spacing w:val="20"/>
      <w:sz w:val="14"/>
      <w:szCs w:val="19"/>
      <w:lang w:eastAsia="en-AU"/>
    </w:rPr>
  </w:style>
  <w:style w:type="character" w:customStyle="1" w:styleId="URL-groupcomauChar">
    <w:name w:val="URL - group.com.au Char"/>
    <w:basedOn w:val="DefaultParagraphFont"/>
    <w:link w:val="URL-groupcomau"/>
    <w:uiPriority w:val="89"/>
    <w:semiHidden/>
    <w:rsid w:val="009275A8"/>
    <w:rPr>
      <w:rFonts w:ascii="Segoe UI" w:eastAsia="Times New Roman" w:hAnsi="Segoe UI" w:cs="Times New Roman"/>
      <w:color w:val="2E368F" w:themeColor="text2"/>
      <w:spacing w:val="20"/>
      <w:sz w:val="14"/>
      <w:szCs w:val="19"/>
      <w:lang w:val="en-AU" w:eastAsia="en-AU"/>
    </w:rPr>
  </w:style>
  <w:style w:type="paragraph" w:customStyle="1" w:styleId="URL-nous">
    <w:name w:val="URL - nous"/>
    <w:basedOn w:val="Normal"/>
    <w:link w:val="URL-nousChar"/>
    <w:uiPriority w:val="89"/>
    <w:semiHidden/>
    <w:qFormat/>
    <w:rsid w:val="009275A8"/>
    <w:pPr>
      <w:spacing w:after="0"/>
    </w:pPr>
    <w:rPr>
      <w:rFonts w:eastAsia="Times New Roman" w:cs="Times New Roman"/>
      <w:color w:val="FF3A40" w:themeColor="accent1"/>
      <w:spacing w:val="20"/>
      <w:sz w:val="14"/>
      <w:szCs w:val="19"/>
      <w:lang w:eastAsia="en-AU"/>
    </w:rPr>
  </w:style>
  <w:style w:type="character" w:customStyle="1" w:styleId="URL-nousChar">
    <w:name w:val="URL - nous Char"/>
    <w:basedOn w:val="DefaultParagraphFont"/>
    <w:link w:val="URL-nous"/>
    <w:uiPriority w:val="89"/>
    <w:semiHidden/>
    <w:rsid w:val="009275A8"/>
    <w:rPr>
      <w:rFonts w:ascii="Segoe UI" w:eastAsia="Times New Roman" w:hAnsi="Segoe UI" w:cs="Times New Roman"/>
      <w:color w:val="FF3A40" w:themeColor="accent1"/>
      <w:spacing w:val="20"/>
      <w:sz w:val="14"/>
      <w:szCs w:val="19"/>
      <w:lang w:val="en-AU" w:eastAsia="en-AU"/>
    </w:rPr>
  </w:style>
  <w:style w:type="paragraph" w:customStyle="1" w:styleId="ContentsHeading">
    <w:name w:val="Contents Heading"/>
    <w:basedOn w:val="Normal"/>
    <w:uiPriority w:val="19"/>
    <w:rsid w:val="009275A8"/>
    <w:pPr>
      <w:spacing w:before="360" w:after="600" w:line="560" w:lineRule="exact"/>
    </w:pPr>
    <w:rPr>
      <w:rFonts w:eastAsia="Times New Roman" w:cs="Segoe UI"/>
      <w:b/>
      <w:color w:val="00264D"/>
      <w:sz w:val="36"/>
      <w:szCs w:val="36"/>
      <w:lang w:eastAsia="en-AU"/>
    </w:rPr>
  </w:style>
  <w:style w:type="paragraph" w:styleId="BodyText">
    <w:name w:val="Body Text"/>
    <w:basedOn w:val="Normal"/>
    <w:link w:val="BodyTextChar"/>
    <w:uiPriority w:val="1"/>
    <w:rsid w:val="00621CEB"/>
    <w:pPr>
      <w:widowControl w:val="0"/>
    </w:pPr>
    <w:rPr>
      <w:rFonts w:eastAsia="Source Sans Pro Light"/>
      <w:szCs w:val="17"/>
    </w:rPr>
  </w:style>
  <w:style w:type="character" w:customStyle="1" w:styleId="BodyTextChar">
    <w:name w:val="Body Text Char"/>
    <w:basedOn w:val="DefaultParagraphFont"/>
    <w:link w:val="BodyText"/>
    <w:uiPriority w:val="1"/>
    <w:rsid w:val="00621CEB"/>
    <w:rPr>
      <w:rFonts w:ascii="Cambria Math" w:eastAsia="Source Sans Pro Light" w:hAnsi="Cambria Math"/>
      <w:sz w:val="19"/>
      <w:szCs w:val="17"/>
    </w:rPr>
  </w:style>
  <w:style w:type="character" w:customStyle="1" w:styleId="BulletChar">
    <w:name w:val="Bullet Char"/>
    <w:basedOn w:val="DefaultParagraphFont"/>
    <w:link w:val="Bullet"/>
    <w:uiPriority w:val="2"/>
    <w:rsid w:val="009275A8"/>
    <w:rPr>
      <w:rFonts w:ascii="Segoe UI" w:eastAsia="Times New Roman" w:hAnsi="Segoe UI" w:cs="Times New Roman"/>
      <w:sz w:val="19"/>
      <w:szCs w:val="19"/>
      <w:lang w:val="en-AU" w:eastAsia="en-AU"/>
    </w:rPr>
  </w:style>
  <w:style w:type="paragraph" w:customStyle="1" w:styleId="Sectiondividerheading">
    <w:name w:val="Section divider heading"/>
    <w:basedOn w:val="Normal"/>
    <w:link w:val="SectiondividerheadingChar"/>
    <w:uiPriority w:val="99"/>
    <w:rsid w:val="00A10340"/>
    <w:pPr>
      <w:spacing w:after="0"/>
    </w:pPr>
    <w:rPr>
      <w:rFonts w:eastAsia="Source Sans Pro" w:cs="Cambria Math"/>
      <w:b/>
      <w:bCs/>
      <w:color w:val="F8981D"/>
      <w:sz w:val="56"/>
      <w:szCs w:val="56"/>
      <w:lang w:eastAsia="en-AU"/>
    </w:rPr>
  </w:style>
  <w:style w:type="character" w:customStyle="1" w:styleId="SectiondividerheadingChar">
    <w:name w:val="Section divider heading Char"/>
    <w:basedOn w:val="DefaultParagraphFont"/>
    <w:link w:val="Sectiondividerheading"/>
    <w:uiPriority w:val="99"/>
    <w:rsid w:val="0088498D"/>
    <w:rPr>
      <w:rFonts w:ascii="Cambria Math" w:eastAsia="Source Sans Pro" w:hAnsi="Cambria Math" w:cs="Cambria Math"/>
      <w:b/>
      <w:bCs/>
      <w:color w:val="F8981D"/>
      <w:sz w:val="56"/>
      <w:szCs w:val="56"/>
      <w:lang w:val="en-AU" w:eastAsia="en-AU"/>
    </w:rPr>
  </w:style>
  <w:style w:type="paragraph" w:styleId="TOC2">
    <w:name w:val="toc 2"/>
    <w:basedOn w:val="Normal"/>
    <w:next w:val="Normal"/>
    <w:autoRedefine/>
    <w:uiPriority w:val="39"/>
    <w:unhideWhenUsed/>
    <w:rsid w:val="009275A8"/>
    <w:pPr>
      <w:tabs>
        <w:tab w:val="left" w:pos="851"/>
        <w:tab w:val="right" w:leader="dot" w:pos="8920"/>
      </w:tabs>
      <w:spacing w:after="100" w:line="240" w:lineRule="auto"/>
      <w:ind w:left="426"/>
    </w:pPr>
    <w:rPr>
      <w:lang w:val="en-US"/>
    </w:rPr>
  </w:style>
  <w:style w:type="paragraph" w:styleId="TOC1">
    <w:name w:val="toc 1"/>
    <w:basedOn w:val="Normal"/>
    <w:next w:val="Normal"/>
    <w:autoRedefine/>
    <w:uiPriority w:val="39"/>
    <w:unhideWhenUsed/>
    <w:rsid w:val="009275A8"/>
    <w:pPr>
      <w:tabs>
        <w:tab w:val="left" w:pos="426"/>
        <w:tab w:val="left" w:pos="1134"/>
        <w:tab w:val="right" w:leader="dot" w:pos="8920"/>
      </w:tabs>
      <w:spacing w:after="100" w:line="240" w:lineRule="auto"/>
    </w:pPr>
    <w:rPr>
      <w:noProof/>
      <w:lang w:val="en-US"/>
    </w:rPr>
  </w:style>
  <w:style w:type="character" w:styleId="Hyperlink">
    <w:name w:val="Hyperlink"/>
    <w:basedOn w:val="DefaultParagraphFont"/>
    <w:uiPriority w:val="99"/>
    <w:unhideWhenUsed/>
    <w:rsid w:val="009275A8"/>
    <w:rPr>
      <w:color w:val="00264D" w:themeColor="background2"/>
      <w:u w:val="single"/>
    </w:rPr>
  </w:style>
  <w:style w:type="table" w:styleId="TableGrid">
    <w:name w:val="Table Grid"/>
    <w:aliases w:val="NOUS,NOUS Side Header,Table,DPS Table Grid"/>
    <w:basedOn w:val="TableNormal"/>
    <w:uiPriority w:val="99"/>
    <w:rsid w:val="00467440"/>
    <w:pPr>
      <w:spacing w:after="0" w:line="240" w:lineRule="auto"/>
    </w:pPr>
    <w:rPr>
      <w:rFonts w:ascii="Cambria Math" w:hAnsi="Cambria Math"/>
      <w:color w:val="000000" w:themeColor="text1"/>
      <w:sz w:val="17"/>
    </w:rPr>
    <w:tblPr>
      <w:tblBorders>
        <w:bottom w:val="single" w:sz="8" w:space="0" w:color="EDEDE8" w:themeColor="accent5"/>
        <w:insideH w:val="single" w:sz="8" w:space="0" w:color="EDEDE8" w:themeColor="accent5"/>
      </w:tblBorders>
      <w:tblCellMar>
        <w:top w:w="57" w:type="dxa"/>
        <w:left w:w="85" w:type="dxa"/>
        <w:bottom w:w="57" w:type="dxa"/>
        <w:right w:w="85" w:type="dxa"/>
      </w:tblCellMar>
    </w:tblPr>
    <w:tcPr>
      <w:shd w:val="clear" w:color="auto" w:fill="FFFFFF" w:themeFill="background1"/>
    </w:tcPr>
    <w:tblStylePr w:type="firstRow">
      <w:rPr>
        <w:rFonts w:ascii="Inter Bold" w:hAnsi="Inter Bold"/>
        <w:b/>
        <w:color w:val="00264D" w:themeColor="background2"/>
        <w:sz w:val="18"/>
      </w:rPr>
      <w:tbl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DEDE8" w:themeFill="accent5"/>
      </w:tcPr>
    </w:tblStylePr>
  </w:style>
  <w:style w:type="table" w:styleId="LightGrid-Accent5">
    <w:name w:val="Light Grid Accent 5"/>
    <w:basedOn w:val="TableNormal"/>
    <w:uiPriority w:val="62"/>
    <w:rsid w:val="00071DFF"/>
    <w:pPr>
      <w:spacing w:after="0" w:line="240" w:lineRule="auto"/>
    </w:pPr>
    <w:tblPr>
      <w:tblStyleRowBandSize w:val="1"/>
      <w:tblStyleColBandSize w:val="1"/>
      <w:tblBorders>
        <w:top w:val="single" w:sz="8" w:space="0" w:color="EDEDE8" w:themeColor="accent5"/>
        <w:left w:val="single" w:sz="8" w:space="0" w:color="EDEDE8" w:themeColor="accent5"/>
        <w:bottom w:val="single" w:sz="8" w:space="0" w:color="EDEDE8" w:themeColor="accent5"/>
        <w:right w:val="single" w:sz="8" w:space="0" w:color="EDEDE8" w:themeColor="accent5"/>
        <w:insideH w:val="single" w:sz="8" w:space="0" w:color="EDEDE8" w:themeColor="accent5"/>
        <w:insideV w:val="single" w:sz="8" w:space="0" w:color="EDEDE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EDE8" w:themeColor="accent5"/>
          <w:left w:val="single" w:sz="8" w:space="0" w:color="EDEDE8" w:themeColor="accent5"/>
          <w:bottom w:val="single" w:sz="18" w:space="0" w:color="EDEDE8" w:themeColor="accent5"/>
          <w:right w:val="single" w:sz="8" w:space="0" w:color="EDEDE8" w:themeColor="accent5"/>
          <w:insideH w:val="nil"/>
          <w:insideV w:val="single" w:sz="8" w:space="0" w:color="EDEDE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EDE8" w:themeColor="accent5"/>
          <w:left w:val="single" w:sz="8" w:space="0" w:color="EDEDE8" w:themeColor="accent5"/>
          <w:bottom w:val="single" w:sz="8" w:space="0" w:color="EDEDE8" w:themeColor="accent5"/>
          <w:right w:val="single" w:sz="8" w:space="0" w:color="EDEDE8" w:themeColor="accent5"/>
          <w:insideH w:val="nil"/>
          <w:insideV w:val="single" w:sz="8" w:space="0" w:color="EDEDE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EDE8" w:themeColor="accent5"/>
          <w:left w:val="single" w:sz="8" w:space="0" w:color="EDEDE8" w:themeColor="accent5"/>
          <w:bottom w:val="single" w:sz="8" w:space="0" w:color="EDEDE8" w:themeColor="accent5"/>
          <w:right w:val="single" w:sz="8" w:space="0" w:color="EDEDE8" w:themeColor="accent5"/>
        </w:tcBorders>
      </w:tcPr>
    </w:tblStylePr>
    <w:tblStylePr w:type="band1Vert">
      <w:tblPr/>
      <w:tcPr>
        <w:tcBorders>
          <w:top w:val="single" w:sz="8" w:space="0" w:color="EDEDE8" w:themeColor="accent5"/>
          <w:left w:val="single" w:sz="8" w:space="0" w:color="EDEDE8" w:themeColor="accent5"/>
          <w:bottom w:val="single" w:sz="8" w:space="0" w:color="EDEDE8" w:themeColor="accent5"/>
          <w:right w:val="single" w:sz="8" w:space="0" w:color="EDEDE8" w:themeColor="accent5"/>
        </w:tcBorders>
        <w:shd w:val="clear" w:color="auto" w:fill="FAFAF9" w:themeFill="accent5" w:themeFillTint="3F"/>
      </w:tcPr>
    </w:tblStylePr>
    <w:tblStylePr w:type="band1Horz">
      <w:tblPr/>
      <w:tcPr>
        <w:tcBorders>
          <w:top w:val="single" w:sz="8" w:space="0" w:color="EDEDE8" w:themeColor="accent5"/>
          <w:left w:val="single" w:sz="8" w:space="0" w:color="EDEDE8" w:themeColor="accent5"/>
          <w:bottom w:val="single" w:sz="8" w:space="0" w:color="EDEDE8" w:themeColor="accent5"/>
          <w:right w:val="single" w:sz="8" w:space="0" w:color="EDEDE8" w:themeColor="accent5"/>
          <w:insideV w:val="single" w:sz="8" w:space="0" w:color="EDEDE8" w:themeColor="accent5"/>
        </w:tcBorders>
        <w:shd w:val="clear" w:color="auto" w:fill="FAFAF9" w:themeFill="accent5" w:themeFillTint="3F"/>
      </w:tcPr>
    </w:tblStylePr>
    <w:tblStylePr w:type="band2Horz">
      <w:tblPr/>
      <w:tcPr>
        <w:tcBorders>
          <w:top w:val="single" w:sz="8" w:space="0" w:color="EDEDE8" w:themeColor="accent5"/>
          <w:left w:val="single" w:sz="8" w:space="0" w:color="EDEDE8" w:themeColor="accent5"/>
          <w:bottom w:val="single" w:sz="8" w:space="0" w:color="EDEDE8" w:themeColor="accent5"/>
          <w:right w:val="single" w:sz="8" w:space="0" w:color="EDEDE8" w:themeColor="accent5"/>
          <w:insideV w:val="single" w:sz="8" w:space="0" w:color="EDEDE8" w:themeColor="accent5"/>
        </w:tcBorders>
      </w:tcPr>
    </w:tblStylePr>
  </w:style>
  <w:style w:type="table" w:styleId="LightList-Accent5">
    <w:name w:val="Light List Accent 5"/>
    <w:basedOn w:val="TableNormal"/>
    <w:uiPriority w:val="61"/>
    <w:rsid w:val="009275A8"/>
    <w:pPr>
      <w:spacing w:after="0" w:line="240" w:lineRule="auto"/>
    </w:pPr>
    <w:tblPr>
      <w:tblStyleRowBandSize w:val="1"/>
      <w:tblStyleColBandSize w:val="1"/>
      <w:tblBorders>
        <w:top w:val="single" w:sz="8" w:space="0" w:color="EDEDE8" w:themeColor="accent5"/>
        <w:left w:val="single" w:sz="8" w:space="0" w:color="EDEDE8" w:themeColor="accent5"/>
        <w:bottom w:val="single" w:sz="8" w:space="0" w:color="EDEDE8" w:themeColor="accent5"/>
        <w:right w:val="single" w:sz="8" w:space="0" w:color="EDEDE8" w:themeColor="accent5"/>
      </w:tblBorders>
    </w:tblPr>
    <w:tblStylePr w:type="firstRow">
      <w:pPr>
        <w:spacing w:before="0" w:after="0" w:line="240" w:lineRule="auto"/>
      </w:pPr>
      <w:rPr>
        <w:b/>
        <w:bCs/>
        <w:color w:val="FFFFFF" w:themeColor="background1"/>
      </w:rPr>
      <w:tblPr/>
      <w:tcPr>
        <w:shd w:val="clear" w:color="auto" w:fill="EDEDE8" w:themeFill="accent5"/>
      </w:tcPr>
    </w:tblStylePr>
    <w:tblStylePr w:type="lastRow">
      <w:pPr>
        <w:spacing w:before="0" w:after="0" w:line="240" w:lineRule="auto"/>
      </w:pPr>
      <w:rPr>
        <w:b/>
        <w:bCs/>
      </w:rPr>
      <w:tblPr/>
      <w:tcPr>
        <w:tcBorders>
          <w:top w:val="double" w:sz="6" w:space="0" w:color="EDEDE8" w:themeColor="accent5"/>
          <w:left w:val="single" w:sz="8" w:space="0" w:color="EDEDE8" w:themeColor="accent5"/>
          <w:bottom w:val="single" w:sz="8" w:space="0" w:color="EDEDE8" w:themeColor="accent5"/>
          <w:right w:val="single" w:sz="8" w:space="0" w:color="EDEDE8" w:themeColor="accent5"/>
        </w:tcBorders>
      </w:tcPr>
    </w:tblStylePr>
    <w:tblStylePr w:type="firstCol">
      <w:rPr>
        <w:b/>
        <w:bCs/>
      </w:rPr>
    </w:tblStylePr>
    <w:tblStylePr w:type="lastCol">
      <w:rPr>
        <w:b/>
        <w:bCs/>
      </w:rPr>
    </w:tblStylePr>
    <w:tblStylePr w:type="band1Vert">
      <w:tblPr/>
      <w:tcPr>
        <w:tcBorders>
          <w:top w:val="single" w:sz="8" w:space="0" w:color="EDEDE8" w:themeColor="accent5"/>
          <w:left w:val="single" w:sz="8" w:space="0" w:color="EDEDE8" w:themeColor="accent5"/>
          <w:bottom w:val="single" w:sz="8" w:space="0" w:color="EDEDE8" w:themeColor="accent5"/>
          <w:right w:val="single" w:sz="8" w:space="0" w:color="EDEDE8" w:themeColor="accent5"/>
        </w:tcBorders>
      </w:tcPr>
    </w:tblStylePr>
    <w:tblStylePr w:type="band1Horz">
      <w:tblPr/>
      <w:tcPr>
        <w:tcBorders>
          <w:top w:val="single" w:sz="8" w:space="0" w:color="EDEDE8" w:themeColor="accent5"/>
          <w:left w:val="single" w:sz="8" w:space="0" w:color="EDEDE8" w:themeColor="accent5"/>
          <w:bottom w:val="single" w:sz="8" w:space="0" w:color="EDEDE8" w:themeColor="accent5"/>
          <w:right w:val="single" w:sz="8" w:space="0" w:color="EDEDE8" w:themeColor="accent5"/>
        </w:tcBorders>
      </w:tcPr>
    </w:tblStylePr>
  </w:style>
  <w:style w:type="table" w:styleId="MediumShading1-Accent5">
    <w:name w:val="Medium Shading 1 Accent 5"/>
    <w:basedOn w:val="TableNormal"/>
    <w:uiPriority w:val="63"/>
    <w:rsid w:val="009275A8"/>
    <w:pPr>
      <w:spacing w:after="0" w:line="240" w:lineRule="auto"/>
    </w:pPr>
    <w:tblPr>
      <w:tblStyleRowBandSize w:val="1"/>
      <w:tblStyleColBandSize w:val="1"/>
      <w:tblBorders>
        <w:top w:val="single" w:sz="8" w:space="0" w:color="F1F1ED" w:themeColor="accent5" w:themeTint="BF"/>
        <w:left w:val="single" w:sz="8" w:space="0" w:color="F1F1ED" w:themeColor="accent5" w:themeTint="BF"/>
        <w:bottom w:val="single" w:sz="8" w:space="0" w:color="F1F1ED" w:themeColor="accent5" w:themeTint="BF"/>
        <w:right w:val="single" w:sz="8" w:space="0" w:color="F1F1ED" w:themeColor="accent5" w:themeTint="BF"/>
        <w:insideH w:val="single" w:sz="8" w:space="0" w:color="F1F1ED" w:themeColor="accent5" w:themeTint="BF"/>
      </w:tblBorders>
    </w:tblPr>
    <w:tblStylePr w:type="firstRow">
      <w:pPr>
        <w:spacing w:before="0" w:after="0" w:line="240" w:lineRule="auto"/>
      </w:pPr>
      <w:rPr>
        <w:b/>
        <w:bCs/>
        <w:color w:val="FFFFFF" w:themeColor="background1"/>
      </w:rPr>
      <w:tblPr/>
      <w:tcPr>
        <w:tcBorders>
          <w:top w:val="single" w:sz="8" w:space="0" w:color="F1F1ED" w:themeColor="accent5" w:themeTint="BF"/>
          <w:left w:val="single" w:sz="8" w:space="0" w:color="F1F1ED" w:themeColor="accent5" w:themeTint="BF"/>
          <w:bottom w:val="single" w:sz="8" w:space="0" w:color="F1F1ED" w:themeColor="accent5" w:themeTint="BF"/>
          <w:right w:val="single" w:sz="8" w:space="0" w:color="F1F1ED" w:themeColor="accent5" w:themeTint="BF"/>
          <w:insideH w:val="nil"/>
          <w:insideV w:val="nil"/>
        </w:tcBorders>
        <w:shd w:val="clear" w:color="auto" w:fill="EDEDE8" w:themeFill="accent5"/>
      </w:tcPr>
    </w:tblStylePr>
    <w:tblStylePr w:type="lastRow">
      <w:pPr>
        <w:spacing w:before="0" w:after="0" w:line="240" w:lineRule="auto"/>
      </w:pPr>
      <w:rPr>
        <w:b/>
        <w:bCs/>
      </w:rPr>
      <w:tblPr/>
      <w:tcPr>
        <w:tcBorders>
          <w:top w:val="double" w:sz="6" w:space="0" w:color="F1F1ED" w:themeColor="accent5" w:themeTint="BF"/>
          <w:left w:val="single" w:sz="8" w:space="0" w:color="F1F1ED" w:themeColor="accent5" w:themeTint="BF"/>
          <w:bottom w:val="single" w:sz="8" w:space="0" w:color="F1F1ED" w:themeColor="accent5" w:themeTint="BF"/>
          <w:right w:val="single" w:sz="8" w:space="0" w:color="F1F1ED" w:themeColor="accent5" w:themeTint="BF"/>
          <w:insideH w:val="nil"/>
          <w:insideV w:val="nil"/>
        </w:tcBorders>
      </w:tcPr>
    </w:tblStylePr>
    <w:tblStylePr w:type="firstCol">
      <w:rPr>
        <w:b/>
        <w:bCs/>
      </w:rPr>
    </w:tblStylePr>
    <w:tblStylePr w:type="lastCol">
      <w:rPr>
        <w:b/>
        <w:bCs/>
      </w:rPr>
    </w:tblStylePr>
    <w:tblStylePr w:type="band1Vert">
      <w:tblPr/>
      <w:tcPr>
        <w:shd w:val="clear" w:color="auto" w:fill="FAFAF9" w:themeFill="accent5" w:themeFillTint="3F"/>
      </w:tcPr>
    </w:tblStylePr>
    <w:tblStylePr w:type="band1Horz">
      <w:tblPr/>
      <w:tcPr>
        <w:tcBorders>
          <w:insideH w:val="nil"/>
          <w:insideV w:val="nil"/>
        </w:tcBorders>
        <w:shd w:val="clear" w:color="auto" w:fill="FAFAF9" w:themeFill="accent5" w:themeFillTint="3F"/>
      </w:tcPr>
    </w:tblStylePr>
    <w:tblStylePr w:type="band2Horz">
      <w:tblPr/>
      <w:tcPr>
        <w:tcBorders>
          <w:insideH w:val="nil"/>
          <w:insideV w:val="nil"/>
        </w:tcBorders>
      </w:tcPr>
    </w:tblStylePr>
  </w:style>
  <w:style w:type="character" w:customStyle="1" w:styleId="TableNBulletChar">
    <w:name w:val="Table N Bullet Char"/>
    <w:basedOn w:val="DefaultParagraphFont"/>
    <w:link w:val="TableNBullet"/>
    <w:uiPriority w:val="2"/>
    <w:rsid w:val="009275A8"/>
    <w:rPr>
      <w:rFonts w:ascii="Segoe UI" w:eastAsia="Times New Roman" w:hAnsi="Segoe UI" w:cs="Times New Roman"/>
      <w:sz w:val="17"/>
      <w:szCs w:val="19"/>
      <w:lang w:val="en-AU" w:eastAsia="en-AU"/>
    </w:rPr>
  </w:style>
  <w:style w:type="paragraph" w:customStyle="1" w:styleId="Covertitle">
    <w:name w:val="Cover title"/>
    <w:basedOn w:val="Normal"/>
    <w:link w:val="CovertitleChar"/>
    <w:uiPriority w:val="99"/>
    <w:semiHidden/>
    <w:rsid w:val="009275A8"/>
    <w:pPr>
      <w:suppressAutoHyphens/>
      <w:spacing w:after="0" w:line="720" w:lineRule="exact"/>
    </w:pPr>
    <w:rPr>
      <w:rFonts w:eastAsia="Times New Roman" w:cs="Times New Roman"/>
      <w:color w:val="2E368F" w:themeColor="text2"/>
      <w:sz w:val="84"/>
      <w:szCs w:val="19"/>
      <w:lang w:eastAsia="en-AU"/>
    </w:rPr>
  </w:style>
  <w:style w:type="character" w:customStyle="1" w:styleId="CovertitleChar">
    <w:name w:val="Cover title Char"/>
    <w:basedOn w:val="DefaultParagraphFont"/>
    <w:link w:val="Covertitle"/>
    <w:uiPriority w:val="99"/>
    <w:semiHidden/>
    <w:rsid w:val="009275A8"/>
    <w:rPr>
      <w:rFonts w:ascii="Segoe UI" w:eastAsia="Times New Roman" w:hAnsi="Segoe UI" w:cs="Times New Roman"/>
      <w:color w:val="2E368F" w:themeColor="text2"/>
      <w:sz w:val="84"/>
      <w:szCs w:val="19"/>
      <w:lang w:val="en-AU" w:eastAsia="en-AU"/>
    </w:rPr>
  </w:style>
  <w:style w:type="paragraph" w:customStyle="1" w:styleId="CoverPage-Client">
    <w:name w:val="Cover Page - Client"/>
    <w:basedOn w:val="Normal"/>
    <w:link w:val="CoverPage-ClientChar"/>
    <w:uiPriority w:val="99"/>
    <w:semiHidden/>
    <w:rsid w:val="009275A8"/>
    <w:pPr>
      <w:suppressAutoHyphens/>
      <w:spacing w:before="480" w:after="0" w:line="380" w:lineRule="exact"/>
    </w:pPr>
    <w:rPr>
      <w:rFonts w:eastAsia="Times New Roman" w:cs="Times New Roman"/>
      <w:color w:val="2E368F" w:themeColor="text2"/>
      <w:sz w:val="36"/>
      <w:szCs w:val="19"/>
      <w:lang w:eastAsia="en-AU"/>
    </w:rPr>
  </w:style>
  <w:style w:type="character" w:customStyle="1" w:styleId="CoverPage-ClientChar">
    <w:name w:val="Cover Page - Client Char"/>
    <w:basedOn w:val="DefaultParagraphFont"/>
    <w:link w:val="CoverPage-Client"/>
    <w:uiPriority w:val="99"/>
    <w:semiHidden/>
    <w:rsid w:val="009275A8"/>
    <w:rPr>
      <w:rFonts w:ascii="Segoe UI" w:eastAsia="Times New Roman" w:hAnsi="Segoe UI" w:cs="Times New Roman"/>
      <w:color w:val="2E368F" w:themeColor="text2"/>
      <w:sz w:val="36"/>
      <w:szCs w:val="19"/>
      <w:lang w:val="en-AU" w:eastAsia="en-AU"/>
    </w:rPr>
  </w:style>
  <w:style w:type="paragraph" w:customStyle="1" w:styleId="CoverPage-Date">
    <w:name w:val="Cover Page - Date"/>
    <w:basedOn w:val="Normal"/>
    <w:link w:val="CoverPage-DateChar"/>
    <w:uiPriority w:val="99"/>
    <w:semiHidden/>
    <w:rsid w:val="009275A8"/>
    <w:pPr>
      <w:suppressAutoHyphens/>
      <w:spacing w:before="320" w:after="0" w:line="280" w:lineRule="exact"/>
    </w:pPr>
    <w:rPr>
      <w:rFonts w:eastAsia="Times New Roman" w:cs="Times New Roman"/>
      <w:color w:val="00264D" w:themeColor="background2"/>
      <w:sz w:val="24"/>
      <w:szCs w:val="19"/>
      <w:lang w:eastAsia="en-AU"/>
    </w:rPr>
  </w:style>
  <w:style w:type="character" w:customStyle="1" w:styleId="CoverPage-DateChar">
    <w:name w:val="Cover Page - Date Char"/>
    <w:basedOn w:val="DefaultParagraphFont"/>
    <w:link w:val="CoverPage-Date"/>
    <w:uiPriority w:val="99"/>
    <w:semiHidden/>
    <w:rsid w:val="009275A8"/>
    <w:rPr>
      <w:rFonts w:ascii="Segoe UI" w:eastAsia="Times New Roman" w:hAnsi="Segoe UI" w:cs="Times New Roman"/>
      <w:color w:val="00264D" w:themeColor="background2"/>
      <w:sz w:val="24"/>
      <w:szCs w:val="19"/>
      <w:lang w:val="en-AU" w:eastAsia="en-AU"/>
    </w:rPr>
  </w:style>
  <w:style w:type="character" w:styleId="PlaceholderText">
    <w:name w:val="Placeholder Text"/>
    <w:basedOn w:val="DefaultParagraphFont"/>
    <w:uiPriority w:val="99"/>
    <w:semiHidden/>
    <w:rsid w:val="009275A8"/>
    <w:rPr>
      <w:color w:val="808080"/>
    </w:rPr>
  </w:style>
  <w:style w:type="character" w:customStyle="1" w:styleId="Heading8Char">
    <w:name w:val="Heading 8 Char"/>
    <w:basedOn w:val="DefaultParagraphFont"/>
    <w:link w:val="Heading8"/>
    <w:uiPriority w:val="19"/>
    <w:semiHidden/>
    <w:rsid w:val="009275A8"/>
    <w:rPr>
      <w:rFonts w:ascii="Segoe UI" w:eastAsiaTheme="majorEastAsia" w:hAnsi="Segoe UI" w:cstheme="majorBidi"/>
      <w:color w:val="404040" w:themeColor="text1" w:themeTint="BF"/>
      <w:sz w:val="20"/>
      <w:szCs w:val="20"/>
      <w:lang w:val="en-AU"/>
    </w:rPr>
  </w:style>
  <w:style w:type="paragraph" w:styleId="Header">
    <w:name w:val="header"/>
    <w:basedOn w:val="Normal"/>
    <w:link w:val="HeaderChar"/>
    <w:uiPriority w:val="99"/>
    <w:unhideWhenUsed/>
    <w:rsid w:val="009275A8"/>
    <w:pPr>
      <w:tabs>
        <w:tab w:val="center" w:pos="4513"/>
        <w:tab w:val="right" w:pos="9026"/>
      </w:tabs>
      <w:spacing w:after="0"/>
    </w:pPr>
  </w:style>
  <w:style w:type="character" w:customStyle="1" w:styleId="HeaderChar">
    <w:name w:val="Header Char"/>
    <w:basedOn w:val="DefaultParagraphFont"/>
    <w:link w:val="Header"/>
    <w:uiPriority w:val="99"/>
    <w:rsid w:val="009275A8"/>
    <w:rPr>
      <w:rFonts w:ascii="Segoe UI" w:hAnsi="Segoe UI"/>
      <w:sz w:val="19"/>
      <w:lang w:val="en-AU"/>
    </w:rPr>
  </w:style>
  <w:style w:type="character" w:styleId="CommentReference">
    <w:name w:val="annotation reference"/>
    <w:basedOn w:val="DefaultParagraphFont"/>
    <w:uiPriority w:val="99"/>
    <w:semiHidden/>
    <w:unhideWhenUsed/>
    <w:rsid w:val="009275A8"/>
    <w:rPr>
      <w:sz w:val="16"/>
      <w:szCs w:val="16"/>
    </w:rPr>
  </w:style>
  <w:style w:type="paragraph" w:styleId="CommentText">
    <w:name w:val="annotation text"/>
    <w:basedOn w:val="Normal"/>
    <w:link w:val="CommentTextChar"/>
    <w:uiPriority w:val="99"/>
    <w:unhideWhenUsed/>
    <w:rsid w:val="009275A8"/>
    <w:pPr>
      <w:spacing w:line="240" w:lineRule="auto"/>
    </w:pPr>
    <w:rPr>
      <w:sz w:val="20"/>
      <w:szCs w:val="20"/>
    </w:rPr>
  </w:style>
  <w:style w:type="character" w:customStyle="1" w:styleId="CommentTextChar">
    <w:name w:val="Comment Text Char"/>
    <w:basedOn w:val="DefaultParagraphFont"/>
    <w:link w:val="CommentText"/>
    <w:uiPriority w:val="99"/>
    <w:rsid w:val="009275A8"/>
    <w:rPr>
      <w:rFonts w:ascii="Segoe UI" w:hAnsi="Segoe UI"/>
      <w:sz w:val="20"/>
      <w:szCs w:val="20"/>
      <w:lang w:val="en-AU"/>
    </w:rPr>
  </w:style>
  <w:style w:type="paragraph" w:styleId="CommentSubject">
    <w:name w:val="annotation subject"/>
    <w:basedOn w:val="CommentText"/>
    <w:next w:val="CommentText"/>
    <w:link w:val="CommentSubjectChar"/>
    <w:uiPriority w:val="99"/>
    <w:semiHidden/>
    <w:unhideWhenUsed/>
    <w:rsid w:val="002A4539"/>
    <w:rPr>
      <w:b/>
      <w:bCs/>
    </w:rPr>
  </w:style>
  <w:style w:type="character" w:customStyle="1" w:styleId="CommentSubjectChar">
    <w:name w:val="Comment Subject Char"/>
    <w:basedOn w:val="CommentTextChar"/>
    <w:link w:val="CommentSubject"/>
    <w:uiPriority w:val="99"/>
    <w:semiHidden/>
    <w:rsid w:val="002A4539"/>
    <w:rPr>
      <w:rFonts w:ascii="Cambria Math" w:hAnsi="Cambria Math"/>
      <w:b/>
      <w:bCs/>
      <w:sz w:val="20"/>
      <w:szCs w:val="20"/>
      <w:lang w:val="en-AU"/>
    </w:rPr>
  </w:style>
  <w:style w:type="paragraph" w:styleId="NormalWeb">
    <w:name w:val="Normal (Web)"/>
    <w:basedOn w:val="Normal"/>
    <w:uiPriority w:val="99"/>
    <w:unhideWhenUsed/>
    <w:rsid w:val="000E1858"/>
    <w:pPr>
      <w:spacing w:before="100" w:beforeAutospacing="1" w:after="100" w:afterAutospacing="1"/>
    </w:pPr>
    <w:rPr>
      <w:rFonts w:ascii="@MS PMincho" w:eastAsia="@MS PMincho" w:hAnsi="@MS PMincho" w:cs="@MS PMincho"/>
      <w:sz w:val="24"/>
      <w:szCs w:val="24"/>
      <w:lang w:eastAsia="en-AU"/>
    </w:rPr>
  </w:style>
  <w:style w:type="paragraph" w:styleId="FootnoteText">
    <w:name w:val="footnote text"/>
    <w:basedOn w:val="Normal"/>
    <w:link w:val="FootnoteTextChar"/>
    <w:uiPriority w:val="99"/>
    <w:unhideWhenUsed/>
    <w:rsid w:val="009275A8"/>
    <w:pPr>
      <w:spacing w:after="0" w:line="240" w:lineRule="auto"/>
    </w:pPr>
    <w:rPr>
      <w:sz w:val="15"/>
      <w:szCs w:val="20"/>
    </w:rPr>
  </w:style>
  <w:style w:type="character" w:customStyle="1" w:styleId="FootnoteTextChar">
    <w:name w:val="Footnote Text Char"/>
    <w:basedOn w:val="DefaultParagraphFont"/>
    <w:link w:val="FootnoteText"/>
    <w:uiPriority w:val="99"/>
    <w:rsid w:val="009275A8"/>
    <w:rPr>
      <w:rFonts w:ascii="Segoe UI" w:hAnsi="Segoe UI"/>
      <w:sz w:val="15"/>
      <w:szCs w:val="20"/>
      <w:lang w:val="en-AU"/>
    </w:rPr>
  </w:style>
  <w:style w:type="character" w:styleId="FootnoteReference">
    <w:name w:val="footnote reference"/>
    <w:basedOn w:val="DefaultParagraphFont"/>
    <w:uiPriority w:val="99"/>
    <w:unhideWhenUsed/>
    <w:rsid w:val="007C6690"/>
    <w:rPr>
      <w:vertAlign w:val="superscript"/>
    </w:rPr>
  </w:style>
  <w:style w:type="paragraph" w:styleId="ListParagraph">
    <w:name w:val="List Paragraph"/>
    <w:aliases w:val="List Paragraph1,Recommendation,Body text,Bullet Point,Bullet point,Bullet- First level,Figure_name,L,List NUmber,List Paragraph Number,List Paragraph11,List Paragraph111,Listenabsatz1,NAST Quote,Numbered Indented Text,lp1,standard lewis"/>
    <w:basedOn w:val="Normal"/>
    <w:link w:val="ListParagraphChar"/>
    <w:uiPriority w:val="34"/>
    <w:qFormat/>
    <w:rsid w:val="00757B54"/>
    <w:pPr>
      <w:ind w:left="720"/>
      <w:contextualSpacing/>
    </w:pPr>
  </w:style>
  <w:style w:type="character" w:customStyle="1" w:styleId="ListParagraphChar">
    <w:name w:val="List Paragraph Char"/>
    <w:aliases w:val="List Paragraph1 Char,Recommendation Char,Body text Char,Bullet Point Char,Bullet point Char,Bullet- First level Char,Figure_name Char,L Char,List NUmber Char,List Paragraph Number Char,List Paragraph11 Char,List Paragraph111 Char"/>
    <w:link w:val="ListParagraph"/>
    <w:uiPriority w:val="34"/>
    <w:locked/>
    <w:rsid w:val="00EE6030"/>
    <w:rPr>
      <w:rFonts w:ascii="Cambria Math" w:hAnsi="Cambria Math"/>
      <w:sz w:val="19"/>
    </w:rPr>
  </w:style>
  <w:style w:type="paragraph" w:styleId="TOC3">
    <w:name w:val="toc 3"/>
    <w:basedOn w:val="Normal"/>
    <w:next w:val="Normal"/>
    <w:autoRedefine/>
    <w:uiPriority w:val="39"/>
    <w:unhideWhenUsed/>
    <w:rsid w:val="00065D5C"/>
    <w:pPr>
      <w:spacing w:after="100"/>
      <w:ind w:left="380"/>
    </w:pPr>
  </w:style>
  <w:style w:type="paragraph" w:styleId="Revision">
    <w:name w:val="Revision"/>
    <w:hidden/>
    <w:uiPriority w:val="99"/>
    <w:semiHidden/>
    <w:rsid w:val="00D90412"/>
    <w:pPr>
      <w:spacing w:after="0" w:line="240" w:lineRule="auto"/>
    </w:pPr>
    <w:rPr>
      <w:rFonts w:ascii="Cambria Math" w:hAnsi="Cambria Math"/>
      <w:sz w:val="19"/>
    </w:rPr>
  </w:style>
  <w:style w:type="character" w:styleId="FollowedHyperlink">
    <w:name w:val="FollowedHyperlink"/>
    <w:basedOn w:val="DefaultParagraphFont"/>
    <w:uiPriority w:val="99"/>
    <w:semiHidden/>
    <w:unhideWhenUsed/>
    <w:rsid w:val="00074A9D"/>
    <w:rPr>
      <w:color w:val="0048C7" w:themeColor="followedHyperlink"/>
      <w:u w:val="single"/>
    </w:rPr>
  </w:style>
  <w:style w:type="character" w:customStyle="1" w:styleId="TableNTextChar">
    <w:name w:val="Table N Text Char"/>
    <w:basedOn w:val="DefaultParagraphFont"/>
    <w:link w:val="TableNText"/>
    <w:uiPriority w:val="2"/>
    <w:rsid w:val="009275A8"/>
    <w:rPr>
      <w:rFonts w:ascii="Segoe UI" w:hAnsi="Segoe UI"/>
      <w:sz w:val="17"/>
      <w:lang w:val="en-AU"/>
    </w:rPr>
  </w:style>
  <w:style w:type="paragraph" w:customStyle="1" w:styleId="TableNListNumbered">
    <w:name w:val="Table N List (Numbered)"/>
    <w:basedOn w:val="Normal"/>
    <w:link w:val="TableNListNumberedChar"/>
    <w:uiPriority w:val="9"/>
    <w:rsid w:val="003221B9"/>
    <w:pPr>
      <w:numPr>
        <w:numId w:val="1"/>
      </w:numPr>
      <w:suppressAutoHyphens/>
      <w:spacing w:before="60" w:after="60"/>
    </w:pPr>
    <w:rPr>
      <w:rFonts w:asciiTheme="minorHAnsi" w:eastAsia="@MS PMincho" w:hAnsiTheme="minorHAnsi" w:cs="@MS PMincho"/>
      <w:sz w:val="18"/>
      <w:szCs w:val="19"/>
      <w:lang w:eastAsia="en-AU"/>
    </w:rPr>
  </w:style>
  <w:style w:type="character" w:customStyle="1" w:styleId="TableNListNumberedChar">
    <w:name w:val="Table N List (Numbered) Char"/>
    <w:basedOn w:val="DefaultParagraphFont"/>
    <w:link w:val="TableNListNumbered"/>
    <w:uiPriority w:val="9"/>
    <w:rsid w:val="003221B9"/>
    <w:rPr>
      <w:rFonts w:eastAsia="@MS PMincho" w:cs="@MS PMincho"/>
      <w:sz w:val="18"/>
      <w:szCs w:val="19"/>
      <w:lang w:val="en-AU" w:eastAsia="en-AU"/>
    </w:rPr>
  </w:style>
  <w:style w:type="character" w:customStyle="1" w:styleId="ListnumberedChar">
    <w:name w:val="List (numbered) Char"/>
    <w:basedOn w:val="DefaultParagraphFont"/>
    <w:link w:val="Listnumbered"/>
    <w:uiPriority w:val="1"/>
    <w:rsid w:val="001668BE"/>
    <w:rPr>
      <w:rFonts w:ascii="Segoe UI" w:hAnsi="Segoe UI"/>
      <w:sz w:val="19"/>
      <w:lang w:val="en-AU"/>
    </w:rPr>
  </w:style>
  <w:style w:type="paragraph" w:customStyle="1" w:styleId="Table-ExpText">
    <w:name w:val="Table - Exp Text"/>
    <w:basedOn w:val="TableNText"/>
    <w:uiPriority w:val="10"/>
    <w:rsid w:val="00E45516"/>
    <w:rPr>
      <w:rFonts w:asciiTheme="minorHAnsi" w:hAnsiTheme="minorHAnsi"/>
      <w:sz w:val="18"/>
      <w:szCs w:val="17"/>
    </w:rPr>
  </w:style>
  <w:style w:type="paragraph" w:customStyle="1" w:styleId="TableExpbullet">
    <w:name w:val="Table Exp bullet"/>
    <w:basedOn w:val="Normal"/>
    <w:uiPriority w:val="3"/>
    <w:qFormat/>
    <w:rsid w:val="009275A8"/>
    <w:pPr>
      <w:numPr>
        <w:numId w:val="12"/>
      </w:numPr>
      <w:spacing w:before="60" w:after="60"/>
    </w:pPr>
    <w:rPr>
      <w:sz w:val="16"/>
    </w:rPr>
  </w:style>
  <w:style w:type="character" w:customStyle="1" w:styleId="UnresolvedMention1">
    <w:name w:val="Unresolved Mention1"/>
    <w:basedOn w:val="DefaultParagraphFont"/>
    <w:uiPriority w:val="99"/>
    <w:semiHidden/>
    <w:unhideWhenUsed/>
    <w:rsid w:val="005D1846"/>
    <w:rPr>
      <w:color w:val="808080"/>
      <w:shd w:val="clear" w:color="auto" w:fill="E6E6E6"/>
    </w:rPr>
  </w:style>
  <w:style w:type="paragraph" w:customStyle="1" w:styleId="Default">
    <w:name w:val="Default"/>
    <w:rsid w:val="00C407C4"/>
    <w:pPr>
      <w:autoSpaceDE w:val="0"/>
      <w:autoSpaceDN w:val="0"/>
      <w:adjustRightInd w:val="0"/>
      <w:spacing w:after="0" w:line="240" w:lineRule="auto"/>
    </w:pPr>
    <w:rPr>
      <w:rFonts w:ascii="Arial" w:hAnsi="Arial" w:cs="Arial"/>
      <w:color w:val="000000"/>
      <w:sz w:val="24"/>
      <w:szCs w:val="24"/>
      <w:lang w:val="en-AU"/>
    </w:rPr>
  </w:style>
  <w:style w:type="paragraph" w:customStyle="1" w:styleId="NormalBullet">
    <w:name w:val="Normal Bullet"/>
    <w:basedOn w:val="Normal"/>
    <w:rsid w:val="00BF22DC"/>
    <w:pPr>
      <w:numPr>
        <w:numId w:val="2"/>
      </w:numPr>
      <w:spacing w:before="60" w:after="60"/>
      <w:jc w:val="both"/>
    </w:pPr>
    <w:rPr>
      <w:rFonts w:ascii="Arial" w:eastAsia="@MS PMincho" w:hAnsi="Arial" w:cs="@MS PMincho"/>
      <w:sz w:val="22"/>
      <w:szCs w:val="20"/>
    </w:rPr>
  </w:style>
  <w:style w:type="paragraph" w:customStyle="1" w:styleId="Body">
    <w:name w:val="Body"/>
    <w:rsid w:val="001914B4"/>
    <w:pPr>
      <w:pBdr>
        <w:top w:val="nil"/>
        <w:left w:val="nil"/>
        <w:bottom w:val="nil"/>
        <w:right w:val="nil"/>
        <w:between w:val="nil"/>
        <w:bar w:val="nil"/>
      </w:pBdr>
      <w:spacing w:after="120" w:line="240" w:lineRule="auto"/>
    </w:pPr>
    <w:rPr>
      <w:rFonts w:ascii="Cambria Math" w:eastAsia="Cambria Math" w:hAnsi="Cambria Math" w:cs="Cambria Math"/>
      <w:color w:val="000000"/>
      <w:sz w:val="19"/>
      <w:szCs w:val="19"/>
      <w:u w:color="000000"/>
      <w:bdr w:val="nil"/>
      <w:lang w:val="en-AU" w:eastAsia="en-AU"/>
    </w:rPr>
  </w:style>
  <w:style w:type="paragraph" w:customStyle="1" w:styleId="BulletA">
    <w:name w:val="Bullet A"/>
    <w:rsid w:val="001914B4"/>
    <w:pPr>
      <w:pBdr>
        <w:top w:val="nil"/>
        <w:left w:val="nil"/>
        <w:bottom w:val="nil"/>
        <w:right w:val="nil"/>
        <w:between w:val="nil"/>
        <w:bar w:val="nil"/>
      </w:pBdr>
      <w:suppressAutoHyphens/>
      <w:spacing w:after="120" w:line="240" w:lineRule="auto"/>
    </w:pPr>
    <w:rPr>
      <w:rFonts w:ascii="Cambria Math" w:eastAsia="Cambria Math" w:hAnsi="Cambria Math" w:cs="Cambria Math"/>
      <w:color w:val="000000"/>
      <w:sz w:val="19"/>
      <w:szCs w:val="19"/>
      <w:u w:color="000000"/>
      <w:bdr w:val="nil"/>
      <w:lang w:eastAsia="en-AU"/>
    </w:rPr>
  </w:style>
  <w:style w:type="character" w:customStyle="1" w:styleId="Link">
    <w:name w:val="Link"/>
    <w:rsid w:val="001914B4"/>
    <w:rPr>
      <w:color w:val="0048C7"/>
      <w:u w:val="single" w:color="0048C7"/>
    </w:rPr>
  </w:style>
  <w:style w:type="character" w:customStyle="1" w:styleId="Hyperlink2">
    <w:name w:val="Hyperlink.2"/>
    <w:basedOn w:val="Link"/>
    <w:rsid w:val="001914B4"/>
    <w:rPr>
      <w:color w:val="0048C7"/>
      <w:u w:val="single" w:color="0048C7"/>
      <w:lang w:val="en-US"/>
    </w:rPr>
  </w:style>
  <w:style w:type="numbering" w:customStyle="1" w:styleId="Bullets">
    <w:name w:val="Bullets"/>
    <w:rsid w:val="001914B4"/>
    <w:pPr>
      <w:numPr>
        <w:numId w:val="3"/>
      </w:numPr>
    </w:pPr>
  </w:style>
  <w:style w:type="table" w:customStyle="1" w:styleId="SideTitle">
    <w:name w:val="Side Title"/>
    <w:basedOn w:val="TableNormal"/>
    <w:uiPriority w:val="99"/>
    <w:rsid w:val="009B555A"/>
    <w:pPr>
      <w:spacing w:after="0" w:line="240" w:lineRule="auto"/>
    </w:pPr>
    <w:rPr>
      <w:rFonts w:ascii="Cambria Math" w:hAnsi="Cambria Math"/>
      <w:sz w:val="18"/>
    </w:rPr>
    <w:tblPr>
      <w:tblBorders>
        <w:insideH w:val="single" w:sz="8" w:space="0" w:color="EDEDE8" w:themeColor="accent5"/>
      </w:tblBorders>
      <w:tblCellMar>
        <w:top w:w="57" w:type="dxa"/>
        <w:left w:w="85" w:type="dxa"/>
        <w:bottom w:w="57" w:type="dxa"/>
        <w:right w:w="85" w:type="dxa"/>
      </w:tblCellMar>
    </w:tblPr>
    <w:tblStylePr w:type="firstCol">
      <w:pPr>
        <w:jc w:val="center"/>
      </w:pPr>
      <w:rPr>
        <w:rFonts w:ascii="Inter Bold" w:hAnsi="Inter Bold"/>
        <w:b/>
        <w:color w:val="00264D" w:themeColor="background2"/>
        <w:sz w:val="18"/>
      </w:rPr>
      <w:tblPr/>
      <w:tcPr>
        <w:tcBorders>
          <w:top w:val="nil"/>
          <w:left w:val="single" w:sz="24" w:space="0" w:color="F8981D" w:themeColor="accent3"/>
          <w:bottom w:val="single" w:sz="8" w:space="0" w:color="FFFFFF" w:themeColor="background1"/>
          <w:right w:val="nil"/>
          <w:insideH w:val="nil"/>
          <w:insideV w:val="nil"/>
          <w:tl2br w:val="nil"/>
          <w:tr2bl w:val="nil"/>
        </w:tcBorders>
        <w:shd w:val="clear" w:color="auto" w:fill="EDEDE8" w:themeFill="accent5"/>
      </w:tcPr>
    </w:tblStylePr>
  </w:style>
  <w:style w:type="character" w:customStyle="1" w:styleId="UnresolvedMention2">
    <w:name w:val="Unresolved Mention2"/>
    <w:basedOn w:val="DefaultParagraphFont"/>
    <w:uiPriority w:val="99"/>
    <w:semiHidden/>
    <w:unhideWhenUsed/>
    <w:rsid w:val="000632E4"/>
    <w:rPr>
      <w:color w:val="808080"/>
      <w:shd w:val="clear" w:color="auto" w:fill="E6E6E6"/>
    </w:rPr>
  </w:style>
  <w:style w:type="table" w:styleId="LightList-Accent1">
    <w:name w:val="Light List Accent 1"/>
    <w:basedOn w:val="TableNormal"/>
    <w:uiPriority w:val="61"/>
    <w:rsid w:val="00F60381"/>
    <w:pPr>
      <w:spacing w:after="0" w:line="240" w:lineRule="auto"/>
    </w:pPr>
    <w:tblPr>
      <w:tblStyleRowBandSize w:val="1"/>
      <w:tblStyleColBandSize w:val="1"/>
      <w:tblBorders>
        <w:top w:val="single" w:sz="8" w:space="0" w:color="FF3A40" w:themeColor="accent1"/>
        <w:left w:val="single" w:sz="8" w:space="0" w:color="FF3A40" w:themeColor="accent1"/>
        <w:bottom w:val="single" w:sz="8" w:space="0" w:color="FF3A40" w:themeColor="accent1"/>
        <w:right w:val="single" w:sz="8" w:space="0" w:color="FF3A40" w:themeColor="accent1"/>
      </w:tblBorders>
    </w:tblPr>
    <w:tblStylePr w:type="firstRow">
      <w:pPr>
        <w:spacing w:before="0" w:after="0" w:line="240" w:lineRule="auto"/>
      </w:pPr>
      <w:rPr>
        <w:b/>
        <w:bCs/>
        <w:color w:val="FFFFFF" w:themeColor="background1"/>
      </w:rPr>
      <w:tblPr/>
      <w:tcPr>
        <w:shd w:val="clear" w:color="auto" w:fill="FF3A40" w:themeFill="accent1"/>
      </w:tcPr>
    </w:tblStylePr>
    <w:tblStylePr w:type="lastRow">
      <w:pPr>
        <w:spacing w:before="0" w:after="0" w:line="240" w:lineRule="auto"/>
      </w:pPr>
      <w:rPr>
        <w:b/>
        <w:bCs/>
      </w:rPr>
      <w:tblPr/>
      <w:tcPr>
        <w:tcBorders>
          <w:top w:val="double" w:sz="6" w:space="0" w:color="FF3A40" w:themeColor="accent1"/>
          <w:left w:val="single" w:sz="8" w:space="0" w:color="FF3A40" w:themeColor="accent1"/>
          <w:bottom w:val="single" w:sz="8" w:space="0" w:color="FF3A40" w:themeColor="accent1"/>
          <w:right w:val="single" w:sz="8" w:space="0" w:color="FF3A40" w:themeColor="accent1"/>
        </w:tcBorders>
      </w:tcPr>
    </w:tblStylePr>
    <w:tblStylePr w:type="firstCol">
      <w:rPr>
        <w:b/>
        <w:bCs/>
      </w:rPr>
    </w:tblStylePr>
    <w:tblStylePr w:type="lastCol">
      <w:rPr>
        <w:b/>
        <w:bCs/>
      </w:rPr>
    </w:tblStylePr>
    <w:tblStylePr w:type="band1Vert">
      <w:tblPr/>
      <w:tcPr>
        <w:tcBorders>
          <w:top w:val="single" w:sz="8" w:space="0" w:color="FF3A40" w:themeColor="accent1"/>
          <w:left w:val="single" w:sz="8" w:space="0" w:color="FF3A40" w:themeColor="accent1"/>
          <w:bottom w:val="single" w:sz="8" w:space="0" w:color="FF3A40" w:themeColor="accent1"/>
          <w:right w:val="single" w:sz="8" w:space="0" w:color="FF3A40" w:themeColor="accent1"/>
        </w:tcBorders>
      </w:tcPr>
    </w:tblStylePr>
    <w:tblStylePr w:type="band1Horz">
      <w:tblPr/>
      <w:tcPr>
        <w:tcBorders>
          <w:top w:val="single" w:sz="8" w:space="0" w:color="FF3A40" w:themeColor="accent1"/>
          <w:left w:val="single" w:sz="8" w:space="0" w:color="FF3A40" w:themeColor="accent1"/>
          <w:bottom w:val="single" w:sz="8" w:space="0" w:color="FF3A40" w:themeColor="accent1"/>
          <w:right w:val="single" w:sz="8" w:space="0" w:color="FF3A40" w:themeColor="accent1"/>
        </w:tcBorders>
      </w:tcPr>
    </w:tblStylePr>
  </w:style>
  <w:style w:type="table" w:styleId="LightList-Accent3">
    <w:name w:val="Light List Accent 3"/>
    <w:basedOn w:val="TableNormal"/>
    <w:uiPriority w:val="61"/>
    <w:rsid w:val="00F60381"/>
    <w:pPr>
      <w:spacing w:after="0" w:line="240" w:lineRule="auto"/>
    </w:pPr>
    <w:tblPr>
      <w:tblStyleRowBandSize w:val="1"/>
      <w:tblStyleColBandSize w:val="1"/>
      <w:tblBorders>
        <w:top w:val="single" w:sz="8" w:space="0" w:color="F8981D" w:themeColor="accent3"/>
        <w:left w:val="single" w:sz="8" w:space="0" w:color="F8981D" w:themeColor="accent3"/>
        <w:bottom w:val="single" w:sz="8" w:space="0" w:color="F8981D" w:themeColor="accent3"/>
        <w:right w:val="single" w:sz="8" w:space="0" w:color="F8981D" w:themeColor="accent3"/>
      </w:tblBorders>
    </w:tblPr>
    <w:tblStylePr w:type="firstRow">
      <w:pPr>
        <w:spacing w:before="0" w:after="0" w:line="240" w:lineRule="auto"/>
      </w:pPr>
      <w:rPr>
        <w:b/>
        <w:bCs/>
        <w:color w:val="FFFFFF" w:themeColor="background1"/>
      </w:rPr>
      <w:tblPr/>
      <w:tcPr>
        <w:shd w:val="clear" w:color="auto" w:fill="F8981D" w:themeFill="accent3"/>
      </w:tcPr>
    </w:tblStylePr>
    <w:tblStylePr w:type="lastRow">
      <w:pPr>
        <w:spacing w:before="0" w:after="0" w:line="240" w:lineRule="auto"/>
      </w:pPr>
      <w:rPr>
        <w:b/>
        <w:bCs/>
      </w:rPr>
      <w:tblPr/>
      <w:tcPr>
        <w:tcBorders>
          <w:top w:val="double" w:sz="6" w:space="0" w:color="F8981D" w:themeColor="accent3"/>
          <w:left w:val="single" w:sz="8" w:space="0" w:color="F8981D" w:themeColor="accent3"/>
          <w:bottom w:val="single" w:sz="8" w:space="0" w:color="F8981D" w:themeColor="accent3"/>
          <w:right w:val="single" w:sz="8" w:space="0" w:color="F8981D" w:themeColor="accent3"/>
        </w:tcBorders>
      </w:tcPr>
    </w:tblStylePr>
    <w:tblStylePr w:type="firstCol">
      <w:rPr>
        <w:b/>
        <w:bCs/>
      </w:rPr>
    </w:tblStylePr>
    <w:tblStylePr w:type="lastCol">
      <w:rPr>
        <w:b/>
        <w:bCs/>
      </w:rPr>
    </w:tblStylePr>
    <w:tblStylePr w:type="band1Vert">
      <w:tblPr/>
      <w:tcPr>
        <w:tcBorders>
          <w:top w:val="single" w:sz="8" w:space="0" w:color="F8981D" w:themeColor="accent3"/>
          <w:left w:val="single" w:sz="8" w:space="0" w:color="F8981D" w:themeColor="accent3"/>
          <w:bottom w:val="single" w:sz="8" w:space="0" w:color="F8981D" w:themeColor="accent3"/>
          <w:right w:val="single" w:sz="8" w:space="0" w:color="F8981D" w:themeColor="accent3"/>
        </w:tcBorders>
      </w:tcPr>
    </w:tblStylePr>
    <w:tblStylePr w:type="band1Horz">
      <w:tblPr/>
      <w:tcPr>
        <w:tcBorders>
          <w:top w:val="single" w:sz="8" w:space="0" w:color="F8981D" w:themeColor="accent3"/>
          <w:left w:val="single" w:sz="8" w:space="0" w:color="F8981D" w:themeColor="accent3"/>
          <w:bottom w:val="single" w:sz="8" w:space="0" w:color="F8981D" w:themeColor="accent3"/>
          <w:right w:val="single" w:sz="8" w:space="0" w:color="F8981D" w:themeColor="accent3"/>
        </w:tcBorders>
      </w:tcPr>
    </w:tblStylePr>
  </w:style>
  <w:style w:type="character" w:customStyle="1" w:styleId="label">
    <w:name w:val="label"/>
    <w:basedOn w:val="DefaultParagraphFont"/>
    <w:rsid w:val="00803587"/>
  </w:style>
  <w:style w:type="character" w:customStyle="1" w:styleId="bibref">
    <w:name w:val="bibref"/>
    <w:basedOn w:val="DefaultParagraphFont"/>
    <w:rsid w:val="00803587"/>
  </w:style>
  <w:style w:type="paragraph" w:customStyle="1" w:styleId="BioName">
    <w:name w:val="Bio Name"/>
    <w:basedOn w:val="Normal"/>
    <w:uiPriority w:val="97"/>
    <w:qFormat/>
    <w:rsid w:val="009275A8"/>
    <w:pPr>
      <w:spacing w:before="60" w:after="60" w:line="240" w:lineRule="auto"/>
      <w:jc w:val="center"/>
    </w:pPr>
    <w:rPr>
      <w:b/>
      <w:caps/>
      <w:color w:val="00264D" w:themeColor="background2"/>
      <w:szCs w:val="19"/>
    </w:rPr>
  </w:style>
  <w:style w:type="paragraph" w:customStyle="1" w:styleId="BioPosition">
    <w:name w:val="Bio Position"/>
    <w:basedOn w:val="Normal"/>
    <w:uiPriority w:val="97"/>
    <w:qFormat/>
    <w:rsid w:val="009275A8"/>
    <w:pPr>
      <w:spacing w:line="240" w:lineRule="auto"/>
      <w:jc w:val="center"/>
    </w:pPr>
    <w:rPr>
      <w:color w:val="00264D" w:themeColor="background2"/>
      <w:szCs w:val="19"/>
    </w:rPr>
  </w:style>
  <w:style w:type="paragraph" w:customStyle="1" w:styleId="BioQualifications">
    <w:name w:val="Bio Qualifications"/>
    <w:basedOn w:val="Normal"/>
    <w:uiPriority w:val="97"/>
    <w:qFormat/>
    <w:rsid w:val="009275A8"/>
    <w:pPr>
      <w:spacing w:before="240" w:after="60" w:line="240" w:lineRule="auto"/>
      <w:jc w:val="center"/>
    </w:pPr>
    <w:rPr>
      <w:b/>
      <w:color w:val="00264D" w:themeColor="background2"/>
      <w:szCs w:val="17"/>
    </w:rPr>
  </w:style>
  <w:style w:type="paragraph" w:customStyle="1" w:styleId="BioQualificationsText">
    <w:name w:val="Bio Qualifications Text"/>
    <w:basedOn w:val="Normal"/>
    <w:uiPriority w:val="97"/>
    <w:qFormat/>
    <w:rsid w:val="009275A8"/>
    <w:pPr>
      <w:spacing w:line="240" w:lineRule="auto"/>
      <w:jc w:val="center"/>
    </w:pPr>
  </w:style>
  <w:style w:type="paragraph" w:customStyle="1" w:styleId="Callout">
    <w:name w:val="Call out"/>
    <w:basedOn w:val="Normal"/>
    <w:uiPriority w:val="98"/>
    <w:qFormat/>
    <w:rsid w:val="009275A8"/>
    <w:pPr>
      <w:pBdr>
        <w:top w:val="single" w:sz="18" w:space="4" w:color="EDEDE8" w:themeColor="accent5"/>
      </w:pBdr>
    </w:pPr>
    <w:rPr>
      <w:rFonts w:ascii="Segoe UI Semilight" w:hAnsi="Segoe UI Semilight"/>
      <w:color w:val="F8981D" w:themeColor="accent3"/>
      <w:kern w:val="24"/>
      <w:sz w:val="22"/>
    </w:rPr>
  </w:style>
  <w:style w:type="paragraph" w:customStyle="1" w:styleId="CaseStudytitle">
    <w:name w:val="Case Study title"/>
    <w:basedOn w:val="Normal"/>
    <w:uiPriority w:val="98"/>
    <w:qFormat/>
    <w:rsid w:val="009275A8"/>
    <w:pPr>
      <w:spacing w:line="240" w:lineRule="auto"/>
    </w:pPr>
    <w:rPr>
      <w:rFonts w:asciiTheme="majorHAnsi" w:hAnsiTheme="majorHAnsi"/>
      <w:caps/>
      <w:color w:val="F25E21" w:themeColor="accent2"/>
      <w:sz w:val="24"/>
    </w:rPr>
  </w:style>
  <w:style w:type="paragraph" w:customStyle="1" w:styleId="Sectionintroduction">
    <w:name w:val="Section introduction"/>
    <w:uiPriority w:val="21"/>
    <w:qFormat/>
    <w:rsid w:val="009275A8"/>
    <w:pPr>
      <w:spacing w:before="120" w:after="120"/>
    </w:pPr>
    <w:rPr>
      <w:rFonts w:ascii="Segoe UI Semilight" w:hAnsi="Segoe UI Semilight"/>
      <w:color w:val="00264D" w:themeColor="background2"/>
      <w:sz w:val="21"/>
      <w:szCs w:val="21"/>
      <w:lang w:val="en-AU"/>
    </w:rPr>
  </w:style>
  <w:style w:type="paragraph" w:customStyle="1" w:styleId="intoductionbullet">
    <w:name w:val="intoduction bullet"/>
    <w:basedOn w:val="Sectionintroduction"/>
    <w:uiPriority w:val="21"/>
    <w:qFormat/>
    <w:rsid w:val="009275A8"/>
    <w:pPr>
      <w:numPr>
        <w:numId w:val="7"/>
      </w:numPr>
    </w:pPr>
  </w:style>
  <w:style w:type="paragraph" w:customStyle="1" w:styleId="introductionlist">
    <w:name w:val="introduction list"/>
    <w:basedOn w:val="Sectionintroduction"/>
    <w:uiPriority w:val="21"/>
    <w:qFormat/>
    <w:rsid w:val="009275A8"/>
    <w:pPr>
      <w:numPr>
        <w:numId w:val="8"/>
      </w:numPr>
      <w:spacing w:before="60"/>
    </w:pPr>
  </w:style>
  <w:style w:type="numbering" w:customStyle="1" w:styleId="Listnumberedmultilevel">
    <w:name w:val="List (numbered)_multilevel"/>
    <w:uiPriority w:val="99"/>
    <w:rsid w:val="009275A8"/>
    <w:pPr>
      <w:numPr>
        <w:numId w:val="9"/>
      </w:numPr>
    </w:pPr>
  </w:style>
  <w:style w:type="paragraph" w:customStyle="1" w:styleId="Longformcallout">
    <w:name w:val="Long form callout"/>
    <w:basedOn w:val="Normal"/>
    <w:uiPriority w:val="20"/>
    <w:qFormat/>
    <w:rsid w:val="009275A8"/>
    <w:pPr>
      <w:spacing w:before="60" w:after="60" w:line="240" w:lineRule="auto"/>
    </w:pPr>
    <w:rPr>
      <w:color w:val="00264D" w:themeColor="background2"/>
      <w:szCs w:val="19"/>
      <w:lang w:eastAsia="en-AU"/>
    </w:rPr>
  </w:style>
  <w:style w:type="paragraph" w:customStyle="1" w:styleId="longformcalloutbullet">
    <w:name w:val="long form call out bullet"/>
    <w:basedOn w:val="Longformcallout"/>
    <w:uiPriority w:val="20"/>
    <w:qFormat/>
    <w:rsid w:val="009275A8"/>
    <w:pPr>
      <w:numPr>
        <w:numId w:val="10"/>
      </w:numPr>
    </w:pPr>
  </w:style>
  <w:style w:type="paragraph" w:customStyle="1" w:styleId="longformcalloutnumber">
    <w:name w:val="long form callout number"/>
    <w:basedOn w:val="longformcalloutbullet"/>
    <w:uiPriority w:val="20"/>
    <w:qFormat/>
    <w:rsid w:val="009275A8"/>
    <w:pPr>
      <w:numPr>
        <w:numId w:val="11"/>
      </w:numPr>
    </w:pPr>
  </w:style>
  <w:style w:type="paragraph" w:customStyle="1" w:styleId="NousFooter">
    <w:name w:val="Nous Footer"/>
    <w:basedOn w:val="Normal"/>
    <w:uiPriority w:val="96"/>
    <w:qFormat/>
    <w:rsid w:val="009275A8"/>
    <w:pPr>
      <w:spacing w:after="0"/>
    </w:pPr>
    <w:rPr>
      <w:color w:val="808080" w:themeColor="background1" w:themeShade="80"/>
      <w:sz w:val="15"/>
      <w:szCs w:val="15"/>
      <w:lang w:eastAsia="en-AU"/>
    </w:rPr>
  </w:style>
  <w:style w:type="table" w:customStyle="1" w:styleId="NousTableSide">
    <w:name w:val="Nous Table_Side"/>
    <w:basedOn w:val="TableNormal"/>
    <w:uiPriority w:val="99"/>
    <w:rsid w:val="009275A8"/>
    <w:pPr>
      <w:spacing w:after="0" w:line="240" w:lineRule="auto"/>
    </w:pPr>
    <w:rPr>
      <w:rFonts w:ascii="Segoe UI" w:hAnsi="Segoe UI"/>
      <w:sz w:val="17"/>
    </w:rPr>
    <w:tblPr>
      <w:tblBorders>
        <w:top w:val="single" w:sz="8" w:space="0" w:color="EDEDE8" w:themeColor="accent5"/>
        <w:bottom w:val="single" w:sz="8" w:space="0" w:color="EDEDE8" w:themeColor="accent5"/>
        <w:insideH w:val="single" w:sz="8" w:space="0" w:color="EDEDE8" w:themeColor="accent5"/>
      </w:tblBorders>
      <w:tblCellMar>
        <w:top w:w="57" w:type="dxa"/>
        <w:left w:w="85" w:type="dxa"/>
        <w:bottom w:w="57" w:type="dxa"/>
        <w:right w:w="85" w:type="dxa"/>
      </w:tblCellMar>
    </w:tblPr>
    <w:tblStylePr w:type="firstCol">
      <w:pPr>
        <w:jc w:val="left"/>
      </w:pPr>
      <w:rPr>
        <w:rFonts w:ascii="Sitka Subheading" w:hAnsi="Sitka Subheading"/>
        <w:b w:val="0"/>
        <w:color w:val="00264D" w:themeColor="background2"/>
        <w:sz w:val="17"/>
      </w:rPr>
      <w:tblPr/>
      <w:tcPr>
        <w:tcBorders>
          <w:top w:val="single" w:sz="12" w:space="0" w:color="FFFFFF" w:themeColor="background1"/>
          <w:left w:val="single" w:sz="18" w:space="0" w:color="F8981D" w:themeColor="accent3"/>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EDEDE8" w:themeFill="accent5"/>
      </w:tcPr>
    </w:tblStylePr>
  </w:style>
  <w:style w:type="table" w:customStyle="1" w:styleId="NousTableTopandside">
    <w:name w:val="Nous Table_Top and side"/>
    <w:basedOn w:val="TableNormal"/>
    <w:uiPriority w:val="99"/>
    <w:rsid w:val="009275A8"/>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Sitka Subheading" w:hAnsi="Sitka Subheading"/>
        <w:b w:val="0"/>
        <w:color w:val="00264D" w:themeColor="background2"/>
        <w:sz w:val="18"/>
      </w:rPr>
      <w:tblPr/>
      <w:tcPr>
        <w:tcBorders>
          <w:top w:val="single" w:sz="24" w:space="0" w:color="F8981D" w:themeColor="accent3"/>
          <w:insideV w:val="single" w:sz="8" w:space="0" w:color="FFFFFF" w:themeColor="background1"/>
        </w:tcBorders>
        <w:shd w:val="clear" w:color="auto" w:fill="EDEDE8" w:themeFill="accent5"/>
        <w:vAlign w:val="center"/>
      </w:tcPr>
    </w:tblStylePr>
    <w:tblStylePr w:type="firstCol">
      <w:pPr>
        <w:jc w:val="left"/>
      </w:pPr>
      <w:rPr>
        <w:rFonts w:ascii="Sitka Subheading" w:hAnsi="Sitka Subheading"/>
        <w:b w:val="0"/>
        <w:color w:val="00264D" w:themeColor="background2"/>
        <w:sz w:val="18"/>
      </w:rPr>
      <w:tblPr/>
      <w:tcPr>
        <w:tcBorders>
          <w:left w:val="nil"/>
        </w:tcBorders>
        <w:shd w:val="clear" w:color="auto" w:fill="EDEDE8" w:themeFill="accent5"/>
      </w:tcPr>
    </w:tblStylePr>
  </w:style>
  <w:style w:type="table" w:customStyle="1" w:styleId="NousLongformcallout">
    <w:name w:val="Nous_Long form call out"/>
    <w:basedOn w:val="TableNormal"/>
    <w:uiPriority w:val="99"/>
    <w:rsid w:val="009275A8"/>
    <w:pPr>
      <w:spacing w:after="0" w:line="240" w:lineRule="auto"/>
    </w:pPr>
    <w:rPr>
      <w:color w:val="00264D" w:themeColor="background2"/>
    </w:rPr>
    <w:tblPr>
      <w:tblBorders>
        <w:left w:val="single" w:sz="18" w:space="0" w:color="F8981D" w:themeColor="accent3"/>
      </w:tblBorders>
      <w:tblCellMar>
        <w:top w:w="113" w:type="dxa"/>
        <w:bottom w:w="113" w:type="dxa"/>
      </w:tblCellMar>
    </w:tblPr>
    <w:tcPr>
      <w:shd w:val="clear" w:color="auto" w:fill="EDEDE8" w:themeFill="accent5"/>
    </w:tcPr>
  </w:style>
  <w:style w:type="table" w:customStyle="1" w:styleId="Sectionintroductiontable">
    <w:name w:val="Section introduction table"/>
    <w:basedOn w:val="TableNormal"/>
    <w:uiPriority w:val="99"/>
    <w:rsid w:val="009275A8"/>
    <w:pPr>
      <w:spacing w:after="0" w:line="240" w:lineRule="auto"/>
    </w:pPr>
    <w:tblPr>
      <w:tblCellMar>
        <w:top w:w="113" w:type="dxa"/>
        <w:left w:w="0" w:type="dxa"/>
        <w:bottom w:w="113" w:type="dxa"/>
        <w:right w:w="0" w:type="dxa"/>
      </w:tblCellMar>
    </w:tblPr>
    <w:tblStylePr w:type="firstRow">
      <w:pPr>
        <w:wordWrap/>
        <w:spacing w:beforeLines="0" w:before="0" w:beforeAutospacing="0" w:afterLines="0" w:after="0" w:afterAutospacing="0"/>
      </w:pPr>
      <w:rPr>
        <w:rFonts w:ascii="Sitka Heading" w:hAnsi="Sitka Heading"/>
        <w:color w:val="00264D" w:themeColor="background2"/>
        <w:sz w:val="21"/>
      </w:rPr>
      <w:tblPr/>
      <w:tcPr>
        <w:tcBorders>
          <w:top w:val="single" w:sz="8" w:space="0" w:color="00264D" w:themeColor="background2"/>
          <w:left w:val="nil"/>
          <w:bottom w:val="single" w:sz="8" w:space="0" w:color="00264D" w:themeColor="background2"/>
          <w:right w:val="nil"/>
        </w:tcBorders>
      </w:tcPr>
    </w:tblStylePr>
  </w:style>
  <w:style w:type="numbering" w:customStyle="1" w:styleId="TableexpListnumberedmultilevel">
    <w:name w:val="Table exp List (numbered) multilevel"/>
    <w:uiPriority w:val="99"/>
    <w:rsid w:val="009275A8"/>
    <w:pPr>
      <w:numPr>
        <w:numId w:val="13"/>
      </w:numPr>
    </w:pPr>
  </w:style>
  <w:style w:type="numbering" w:customStyle="1" w:styleId="TableNListnumberedmultilevel">
    <w:name w:val="Table N List (numbered) multilevel"/>
    <w:uiPriority w:val="99"/>
    <w:rsid w:val="009275A8"/>
    <w:pPr>
      <w:numPr>
        <w:numId w:val="15"/>
      </w:numPr>
    </w:pPr>
  </w:style>
  <w:style w:type="character" w:customStyle="1" w:styleId="UnresolvedMention3">
    <w:name w:val="Unresolved Mention3"/>
    <w:basedOn w:val="DefaultParagraphFont"/>
    <w:uiPriority w:val="99"/>
    <w:unhideWhenUsed/>
    <w:rsid w:val="00604A77"/>
    <w:rPr>
      <w:color w:val="605E5C"/>
      <w:shd w:val="clear" w:color="auto" w:fill="E1DFDD"/>
    </w:rPr>
  </w:style>
  <w:style w:type="character" w:customStyle="1" w:styleId="normaltextrun">
    <w:name w:val="normaltextrun"/>
    <w:basedOn w:val="DefaultParagraphFont"/>
    <w:rsid w:val="008D76AD"/>
  </w:style>
  <w:style w:type="character" w:customStyle="1" w:styleId="Mention1">
    <w:name w:val="Mention1"/>
    <w:basedOn w:val="DefaultParagraphFont"/>
    <w:uiPriority w:val="99"/>
    <w:unhideWhenUsed/>
    <w:rsid w:val="007106AC"/>
    <w:rPr>
      <w:color w:val="2B579A"/>
      <w:shd w:val="clear" w:color="auto" w:fill="E1DFDD"/>
    </w:rPr>
  </w:style>
  <w:style w:type="character" w:customStyle="1" w:styleId="a">
    <w:name w:val="_"/>
    <w:basedOn w:val="DefaultParagraphFont"/>
    <w:rsid w:val="001826E1"/>
  </w:style>
  <w:style w:type="table" w:customStyle="1" w:styleId="DPSTableGrid1">
    <w:name w:val="DPS Table Grid1"/>
    <w:basedOn w:val="TableNormal"/>
    <w:next w:val="TableGrid"/>
    <w:uiPriority w:val="99"/>
    <w:rsid w:val="0007227F"/>
    <w:pPr>
      <w:spacing w:after="0" w:line="240" w:lineRule="auto"/>
    </w:pPr>
    <w:rPr>
      <w:rFonts w:ascii="Segoe UI" w:hAnsi="Segoe UI"/>
      <w:sz w:val="17"/>
    </w:rPr>
    <w:tblPr>
      <w:tblStyleRowBandSize w:val="1"/>
      <w:tblBorders>
        <w:top w:val="single" w:sz="8" w:space="0" w:color="E6E6E1"/>
        <w:bottom w:val="single" w:sz="8" w:space="0" w:color="E6E6E1"/>
        <w:insideH w:val="single" w:sz="8" w:space="0" w:color="E6E6E1"/>
      </w:tblBorders>
      <w:tblCellMar>
        <w:top w:w="57" w:type="dxa"/>
        <w:left w:w="85" w:type="dxa"/>
        <w:bottom w:w="57" w:type="dxa"/>
        <w:right w:w="85" w:type="dxa"/>
      </w:tblCellMar>
    </w:tblPr>
    <w:tcPr>
      <w:vAlign w:val="center"/>
    </w:tcPr>
    <w:tblStylePr w:type="firstRow">
      <w:pPr>
        <w:jc w:val="left"/>
      </w:pPr>
      <w:rPr>
        <w:rFonts w:ascii="Sitka Subheading" w:hAnsi="Sitka Subheading"/>
        <w:b w:val="0"/>
        <w:color w:val="00264D"/>
        <w:sz w:val="18"/>
      </w:rPr>
      <w:tblPr/>
      <w:trPr>
        <w:cantSplit/>
        <w:tblHeader/>
      </w:trPr>
      <w:tcPr>
        <w:tcBorders>
          <w:top w:val="single" w:sz="24" w:space="0" w:color="F8981D"/>
          <w:left w:val="nil"/>
          <w:bottom w:val="nil"/>
          <w:right w:val="nil"/>
          <w:insideH w:val="nil"/>
          <w:insideV w:val="single" w:sz="8" w:space="0" w:color="FFFFFF"/>
          <w:tl2br w:val="nil"/>
          <w:tr2bl w:val="nil"/>
        </w:tcBorders>
        <w:shd w:val="clear" w:color="auto" w:fill="E6E6E1"/>
      </w:tcPr>
    </w:tblStylePr>
    <w:tblStylePr w:type="band1Horz">
      <w:rPr>
        <w:rFonts w:ascii="@SimSun" w:hAnsi="@SimSun"/>
        <w:sz w:val="17"/>
      </w:rPr>
    </w:tblStylePr>
    <w:tblStylePr w:type="band2Horz">
      <w:rPr>
        <w:rFonts w:ascii="@SimSun" w:hAnsi="@SimSun"/>
        <w:sz w:val="17"/>
      </w:rPr>
    </w:tblStylePr>
  </w:style>
  <w:style w:type="table" w:customStyle="1" w:styleId="DPSTableGrid2">
    <w:name w:val="DPS Table Grid2"/>
    <w:basedOn w:val="TableNormal"/>
    <w:next w:val="TableGrid"/>
    <w:uiPriority w:val="99"/>
    <w:rsid w:val="00C96350"/>
    <w:pPr>
      <w:spacing w:after="0" w:line="240" w:lineRule="auto"/>
    </w:pPr>
    <w:rPr>
      <w:rFonts w:ascii="Segoe UI" w:hAnsi="Segoe UI"/>
      <w:sz w:val="17"/>
    </w:rPr>
    <w:tblPr>
      <w:tblStyleRowBandSize w:val="1"/>
      <w:tblBorders>
        <w:top w:val="single" w:sz="8" w:space="0" w:color="EDEDE8" w:themeColor="accent5"/>
        <w:bottom w:val="single" w:sz="8" w:space="0" w:color="EDEDE8" w:themeColor="accent5"/>
        <w:insideH w:val="single" w:sz="8" w:space="0" w:color="EDEDE8" w:themeColor="accent5"/>
      </w:tblBorders>
      <w:tblCellMar>
        <w:top w:w="57" w:type="dxa"/>
        <w:left w:w="85" w:type="dxa"/>
        <w:bottom w:w="57" w:type="dxa"/>
        <w:right w:w="85" w:type="dxa"/>
      </w:tblCellMar>
    </w:tblPr>
    <w:tcPr>
      <w:vAlign w:val="center"/>
    </w:tcPr>
    <w:tblStylePr w:type="firstRow">
      <w:pPr>
        <w:jc w:val="left"/>
      </w:pPr>
      <w:rPr>
        <w:rFonts w:ascii="Sitka Subheading" w:hAnsi="Sitka Subheading"/>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DEDE8" w:themeFill="accent5"/>
      </w:tcPr>
    </w:tblStylePr>
    <w:tblStylePr w:type="band1Horz">
      <w:rPr>
        <w:rFonts w:ascii="@SimSun" w:hAnsi="@SimSun"/>
        <w:sz w:val="17"/>
      </w:rPr>
    </w:tblStylePr>
    <w:tblStylePr w:type="band2Horz">
      <w:rPr>
        <w:rFonts w:ascii="@SimSun" w:hAnsi="@SimSun"/>
        <w:sz w:val="17"/>
      </w:rPr>
    </w:tblStylePr>
  </w:style>
  <w:style w:type="table" w:customStyle="1" w:styleId="DPSTableGrid11">
    <w:name w:val="DPS Table Grid11"/>
    <w:basedOn w:val="TableNormal"/>
    <w:next w:val="TableGrid"/>
    <w:uiPriority w:val="99"/>
    <w:rsid w:val="004E5E84"/>
    <w:pPr>
      <w:spacing w:after="0" w:line="240" w:lineRule="auto"/>
    </w:pPr>
    <w:rPr>
      <w:rFonts w:ascii="Cambria Math" w:hAnsi="Cambria Math"/>
      <w:color w:val="000000"/>
      <w:sz w:val="17"/>
    </w:rPr>
    <w:tblPr>
      <w:tblBorders>
        <w:bottom w:val="single" w:sz="8" w:space="0" w:color="EDEDE8"/>
        <w:insideH w:val="single" w:sz="8" w:space="0" w:color="EDEDE8"/>
      </w:tblBorders>
      <w:tblCellMar>
        <w:top w:w="57" w:type="dxa"/>
        <w:left w:w="85" w:type="dxa"/>
        <w:bottom w:w="57" w:type="dxa"/>
        <w:right w:w="85" w:type="dxa"/>
      </w:tblCellMar>
    </w:tblPr>
    <w:tcPr>
      <w:shd w:val="clear" w:color="auto" w:fill="FFFFFF"/>
    </w:tcPr>
    <w:tblStylePr w:type="firstRow">
      <w:rPr>
        <w:rFonts w:ascii="Inter Bold" w:hAnsi="Inter Bold"/>
        <w:b/>
        <w:color w:val="00264D"/>
        <w:sz w:val="18"/>
      </w:rPr>
      <w:tblPr/>
      <w:tcPr>
        <w:tcBorders>
          <w:top w:val="single" w:sz="24" w:space="0" w:color="F8981D"/>
          <w:left w:val="nil"/>
          <w:bottom w:val="nil"/>
          <w:right w:val="nil"/>
          <w:insideH w:val="nil"/>
          <w:insideV w:val="single" w:sz="8" w:space="0" w:color="FFFFFF"/>
          <w:tl2br w:val="nil"/>
          <w:tr2bl w:val="nil"/>
        </w:tcBorders>
        <w:shd w:val="clear" w:color="auto" w:fill="EDEDE8"/>
      </w:tcPr>
    </w:tblStylePr>
  </w:style>
  <w:style w:type="table" w:customStyle="1" w:styleId="DPSTableGrid3">
    <w:name w:val="DPS Table Grid3"/>
    <w:basedOn w:val="TableNormal"/>
    <w:next w:val="TableGrid"/>
    <w:uiPriority w:val="99"/>
    <w:rsid w:val="00AE4859"/>
    <w:pPr>
      <w:spacing w:after="0" w:line="240" w:lineRule="auto"/>
    </w:pPr>
    <w:rPr>
      <w:rFonts w:ascii="Segoe UI" w:hAnsi="Segoe UI"/>
      <w:sz w:val="17"/>
    </w:rPr>
    <w:tblPr>
      <w:tblStyleRowBandSize w:val="1"/>
      <w:tblBorders>
        <w:top w:val="single" w:sz="8" w:space="0" w:color="E6E6E1"/>
        <w:bottom w:val="single" w:sz="8" w:space="0" w:color="E6E6E1"/>
        <w:insideH w:val="single" w:sz="8" w:space="0" w:color="E6E6E1"/>
      </w:tblBorders>
      <w:tblCellMar>
        <w:top w:w="57" w:type="dxa"/>
        <w:left w:w="85" w:type="dxa"/>
        <w:bottom w:w="57" w:type="dxa"/>
        <w:right w:w="85" w:type="dxa"/>
      </w:tblCellMar>
    </w:tblPr>
    <w:tcPr>
      <w:vAlign w:val="center"/>
    </w:tcPr>
    <w:tblStylePr w:type="firstRow">
      <w:pPr>
        <w:jc w:val="left"/>
      </w:pPr>
      <w:rPr>
        <w:rFonts w:ascii="Sitka Subheading" w:hAnsi="Sitka Subheading"/>
        <w:b w:val="0"/>
        <w:color w:val="00264D"/>
        <w:sz w:val="18"/>
      </w:rPr>
      <w:tblPr/>
      <w:trPr>
        <w:cantSplit/>
        <w:tblHeader/>
      </w:trPr>
      <w:tcPr>
        <w:tcBorders>
          <w:top w:val="single" w:sz="24" w:space="0" w:color="F8981D"/>
          <w:left w:val="nil"/>
          <w:bottom w:val="nil"/>
          <w:right w:val="nil"/>
          <w:insideH w:val="nil"/>
          <w:insideV w:val="single" w:sz="8" w:space="0" w:color="FFFFFF"/>
          <w:tl2br w:val="nil"/>
          <w:tr2bl w:val="nil"/>
        </w:tcBorders>
        <w:shd w:val="clear" w:color="auto" w:fill="E6E6E1"/>
      </w:tcPr>
    </w:tblStylePr>
    <w:tblStylePr w:type="band1Horz">
      <w:rPr>
        <w:rFonts w:ascii="@SimSun" w:hAnsi="@SimSun"/>
        <w:sz w:val="17"/>
      </w:rPr>
    </w:tblStylePr>
    <w:tblStylePr w:type="band2Horz">
      <w:rPr>
        <w:rFonts w:ascii="@SimSun" w:hAnsi="@SimSun"/>
        <w:sz w:val="17"/>
      </w:rPr>
    </w:tblStylePr>
  </w:style>
  <w:style w:type="character" w:styleId="UnresolvedMention">
    <w:name w:val="Unresolved Mention"/>
    <w:basedOn w:val="DefaultParagraphFont"/>
    <w:uiPriority w:val="99"/>
    <w:unhideWhenUsed/>
    <w:rsid w:val="00BB7E14"/>
    <w:rPr>
      <w:color w:val="605E5C"/>
      <w:shd w:val="clear" w:color="auto" w:fill="E1DFDD"/>
    </w:rPr>
  </w:style>
  <w:style w:type="character" w:styleId="Mention">
    <w:name w:val="Mention"/>
    <w:basedOn w:val="DefaultParagraphFont"/>
    <w:uiPriority w:val="99"/>
    <w:unhideWhenUsed/>
    <w:rsid w:val="00D0416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974877">
      <w:bodyDiv w:val="1"/>
      <w:marLeft w:val="0"/>
      <w:marRight w:val="0"/>
      <w:marTop w:val="0"/>
      <w:marBottom w:val="0"/>
      <w:divBdr>
        <w:top w:val="none" w:sz="0" w:space="0" w:color="auto"/>
        <w:left w:val="none" w:sz="0" w:space="0" w:color="auto"/>
        <w:bottom w:val="none" w:sz="0" w:space="0" w:color="auto"/>
        <w:right w:val="none" w:sz="0" w:space="0" w:color="auto"/>
      </w:divBdr>
    </w:div>
    <w:div w:id="77336988">
      <w:bodyDiv w:val="1"/>
      <w:marLeft w:val="0"/>
      <w:marRight w:val="0"/>
      <w:marTop w:val="0"/>
      <w:marBottom w:val="0"/>
      <w:divBdr>
        <w:top w:val="none" w:sz="0" w:space="0" w:color="auto"/>
        <w:left w:val="none" w:sz="0" w:space="0" w:color="auto"/>
        <w:bottom w:val="none" w:sz="0" w:space="0" w:color="auto"/>
        <w:right w:val="none" w:sz="0" w:space="0" w:color="auto"/>
      </w:divBdr>
    </w:div>
    <w:div w:id="101385439">
      <w:bodyDiv w:val="1"/>
      <w:marLeft w:val="0"/>
      <w:marRight w:val="0"/>
      <w:marTop w:val="0"/>
      <w:marBottom w:val="0"/>
      <w:divBdr>
        <w:top w:val="none" w:sz="0" w:space="0" w:color="auto"/>
        <w:left w:val="none" w:sz="0" w:space="0" w:color="auto"/>
        <w:bottom w:val="none" w:sz="0" w:space="0" w:color="auto"/>
        <w:right w:val="none" w:sz="0" w:space="0" w:color="auto"/>
      </w:divBdr>
    </w:div>
    <w:div w:id="110979170">
      <w:bodyDiv w:val="1"/>
      <w:marLeft w:val="0"/>
      <w:marRight w:val="0"/>
      <w:marTop w:val="0"/>
      <w:marBottom w:val="0"/>
      <w:divBdr>
        <w:top w:val="none" w:sz="0" w:space="0" w:color="auto"/>
        <w:left w:val="none" w:sz="0" w:space="0" w:color="auto"/>
        <w:bottom w:val="none" w:sz="0" w:space="0" w:color="auto"/>
        <w:right w:val="none" w:sz="0" w:space="0" w:color="auto"/>
      </w:divBdr>
    </w:div>
    <w:div w:id="135878597">
      <w:bodyDiv w:val="1"/>
      <w:marLeft w:val="0"/>
      <w:marRight w:val="0"/>
      <w:marTop w:val="0"/>
      <w:marBottom w:val="0"/>
      <w:divBdr>
        <w:top w:val="none" w:sz="0" w:space="0" w:color="auto"/>
        <w:left w:val="none" w:sz="0" w:space="0" w:color="auto"/>
        <w:bottom w:val="none" w:sz="0" w:space="0" w:color="auto"/>
        <w:right w:val="none" w:sz="0" w:space="0" w:color="auto"/>
      </w:divBdr>
    </w:div>
    <w:div w:id="141431513">
      <w:bodyDiv w:val="1"/>
      <w:marLeft w:val="0"/>
      <w:marRight w:val="0"/>
      <w:marTop w:val="0"/>
      <w:marBottom w:val="0"/>
      <w:divBdr>
        <w:top w:val="none" w:sz="0" w:space="0" w:color="auto"/>
        <w:left w:val="none" w:sz="0" w:space="0" w:color="auto"/>
        <w:bottom w:val="none" w:sz="0" w:space="0" w:color="auto"/>
        <w:right w:val="none" w:sz="0" w:space="0" w:color="auto"/>
      </w:divBdr>
    </w:div>
    <w:div w:id="153685740">
      <w:bodyDiv w:val="1"/>
      <w:marLeft w:val="0"/>
      <w:marRight w:val="0"/>
      <w:marTop w:val="0"/>
      <w:marBottom w:val="0"/>
      <w:divBdr>
        <w:top w:val="none" w:sz="0" w:space="0" w:color="auto"/>
        <w:left w:val="none" w:sz="0" w:space="0" w:color="auto"/>
        <w:bottom w:val="none" w:sz="0" w:space="0" w:color="auto"/>
        <w:right w:val="none" w:sz="0" w:space="0" w:color="auto"/>
      </w:divBdr>
    </w:div>
    <w:div w:id="237180931">
      <w:bodyDiv w:val="1"/>
      <w:marLeft w:val="0"/>
      <w:marRight w:val="0"/>
      <w:marTop w:val="0"/>
      <w:marBottom w:val="0"/>
      <w:divBdr>
        <w:top w:val="none" w:sz="0" w:space="0" w:color="auto"/>
        <w:left w:val="none" w:sz="0" w:space="0" w:color="auto"/>
        <w:bottom w:val="none" w:sz="0" w:space="0" w:color="auto"/>
        <w:right w:val="none" w:sz="0" w:space="0" w:color="auto"/>
      </w:divBdr>
    </w:div>
    <w:div w:id="296301953">
      <w:bodyDiv w:val="1"/>
      <w:marLeft w:val="0"/>
      <w:marRight w:val="0"/>
      <w:marTop w:val="0"/>
      <w:marBottom w:val="0"/>
      <w:divBdr>
        <w:top w:val="none" w:sz="0" w:space="0" w:color="auto"/>
        <w:left w:val="none" w:sz="0" w:space="0" w:color="auto"/>
        <w:bottom w:val="none" w:sz="0" w:space="0" w:color="auto"/>
        <w:right w:val="none" w:sz="0" w:space="0" w:color="auto"/>
      </w:divBdr>
    </w:div>
    <w:div w:id="340856380">
      <w:bodyDiv w:val="1"/>
      <w:marLeft w:val="0"/>
      <w:marRight w:val="0"/>
      <w:marTop w:val="0"/>
      <w:marBottom w:val="0"/>
      <w:divBdr>
        <w:top w:val="none" w:sz="0" w:space="0" w:color="auto"/>
        <w:left w:val="none" w:sz="0" w:space="0" w:color="auto"/>
        <w:bottom w:val="none" w:sz="0" w:space="0" w:color="auto"/>
        <w:right w:val="none" w:sz="0" w:space="0" w:color="auto"/>
      </w:divBdr>
    </w:div>
    <w:div w:id="355429625">
      <w:bodyDiv w:val="1"/>
      <w:marLeft w:val="0"/>
      <w:marRight w:val="0"/>
      <w:marTop w:val="0"/>
      <w:marBottom w:val="0"/>
      <w:divBdr>
        <w:top w:val="none" w:sz="0" w:space="0" w:color="auto"/>
        <w:left w:val="none" w:sz="0" w:space="0" w:color="auto"/>
        <w:bottom w:val="none" w:sz="0" w:space="0" w:color="auto"/>
        <w:right w:val="none" w:sz="0" w:space="0" w:color="auto"/>
      </w:divBdr>
    </w:div>
    <w:div w:id="385495779">
      <w:bodyDiv w:val="1"/>
      <w:marLeft w:val="0"/>
      <w:marRight w:val="0"/>
      <w:marTop w:val="0"/>
      <w:marBottom w:val="0"/>
      <w:divBdr>
        <w:top w:val="none" w:sz="0" w:space="0" w:color="auto"/>
        <w:left w:val="none" w:sz="0" w:space="0" w:color="auto"/>
        <w:bottom w:val="none" w:sz="0" w:space="0" w:color="auto"/>
        <w:right w:val="none" w:sz="0" w:space="0" w:color="auto"/>
      </w:divBdr>
    </w:div>
    <w:div w:id="397634178">
      <w:bodyDiv w:val="1"/>
      <w:marLeft w:val="0"/>
      <w:marRight w:val="0"/>
      <w:marTop w:val="0"/>
      <w:marBottom w:val="0"/>
      <w:divBdr>
        <w:top w:val="none" w:sz="0" w:space="0" w:color="auto"/>
        <w:left w:val="none" w:sz="0" w:space="0" w:color="auto"/>
        <w:bottom w:val="none" w:sz="0" w:space="0" w:color="auto"/>
        <w:right w:val="none" w:sz="0" w:space="0" w:color="auto"/>
      </w:divBdr>
      <w:divsChild>
        <w:div w:id="1411930829">
          <w:marLeft w:val="274"/>
          <w:marRight w:val="0"/>
          <w:marTop w:val="0"/>
          <w:marBottom w:val="0"/>
          <w:divBdr>
            <w:top w:val="none" w:sz="0" w:space="0" w:color="auto"/>
            <w:left w:val="none" w:sz="0" w:space="0" w:color="auto"/>
            <w:bottom w:val="none" w:sz="0" w:space="0" w:color="auto"/>
            <w:right w:val="none" w:sz="0" w:space="0" w:color="auto"/>
          </w:divBdr>
        </w:div>
      </w:divsChild>
    </w:div>
    <w:div w:id="403449899">
      <w:bodyDiv w:val="1"/>
      <w:marLeft w:val="0"/>
      <w:marRight w:val="0"/>
      <w:marTop w:val="0"/>
      <w:marBottom w:val="0"/>
      <w:divBdr>
        <w:top w:val="none" w:sz="0" w:space="0" w:color="auto"/>
        <w:left w:val="none" w:sz="0" w:space="0" w:color="auto"/>
        <w:bottom w:val="none" w:sz="0" w:space="0" w:color="auto"/>
        <w:right w:val="none" w:sz="0" w:space="0" w:color="auto"/>
      </w:divBdr>
    </w:div>
    <w:div w:id="426081962">
      <w:bodyDiv w:val="1"/>
      <w:marLeft w:val="0"/>
      <w:marRight w:val="0"/>
      <w:marTop w:val="0"/>
      <w:marBottom w:val="0"/>
      <w:divBdr>
        <w:top w:val="none" w:sz="0" w:space="0" w:color="auto"/>
        <w:left w:val="none" w:sz="0" w:space="0" w:color="auto"/>
        <w:bottom w:val="none" w:sz="0" w:space="0" w:color="auto"/>
        <w:right w:val="none" w:sz="0" w:space="0" w:color="auto"/>
      </w:divBdr>
    </w:div>
    <w:div w:id="447167390">
      <w:bodyDiv w:val="1"/>
      <w:marLeft w:val="0"/>
      <w:marRight w:val="0"/>
      <w:marTop w:val="0"/>
      <w:marBottom w:val="0"/>
      <w:divBdr>
        <w:top w:val="none" w:sz="0" w:space="0" w:color="auto"/>
        <w:left w:val="none" w:sz="0" w:space="0" w:color="auto"/>
        <w:bottom w:val="none" w:sz="0" w:space="0" w:color="auto"/>
        <w:right w:val="none" w:sz="0" w:space="0" w:color="auto"/>
      </w:divBdr>
    </w:div>
    <w:div w:id="460609383">
      <w:bodyDiv w:val="1"/>
      <w:marLeft w:val="0"/>
      <w:marRight w:val="0"/>
      <w:marTop w:val="0"/>
      <w:marBottom w:val="0"/>
      <w:divBdr>
        <w:top w:val="none" w:sz="0" w:space="0" w:color="auto"/>
        <w:left w:val="none" w:sz="0" w:space="0" w:color="auto"/>
        <w:bottom w:val="none" w:sz="0" w:space="0" w:color="auto"/>
        <w:right w:val="none" w:sz="0" w:space="0" w:color="auto"/>
      </w:divBdr>
    </w:div>
    <w:div w:id="462651288">
      <w:bodyDiv w:val="1"/>
      <w:marLeft w:val="0"/>
      <w:marRight w:val="0"/>
      <w:marTop w:val="0"/>
      <w:marBottom w:val="0"/>
      <w:divBdr>
        <w:top w:val="none" w:sz="0" w:space="0" w:color="auto"/>
        <w:left w:val="none" w:sz="0" w:space="0" w:color="auto"/>
        <w:bottom w:val="none" w:sz="0" w:space="0" w:color="auto"/>
        <w:right w:val="none" w:sz="0" w:space="0" w:color="auto"/>
      </w:divBdr>
    </w:div>
    <w:div w:id="467283514">
      <w:bodyDiv w:val="1"/>
      <w:marLeft w:val="0"/>
      <w:marRight w:val="0"/>
      <w:marTop w:val="0"/>
      <w:marBottom w:val="0"/>
      <w:divBdr>
        <w:top w:val="none" w:sz="0" w:space="0" w:color="auto"/>
        <w:left w:val="none" w:sz="0" w:space="0" w:color="auto"/>
        <w:bottom w:val="none" w:sz="0" w:space="0" w:color="auto"/>
        <w:right w:val="none" w:sz="0" w:space="0" w:color="auto"/>
      </w:divBdr>
    </w:div>
    <w:div w:id="472717854">
      <w:bodyDiv w:val="1"/>
      <w:marLeft w:val="0"/>
      <w:marRight w:val="0"/>
      <w:marTop w:val="0"/>
      <w:marBottom w:val="0"/>
      <w:divBdr>
        <w:top w:val="none" w:sz="0" w:space="0" w:color="auto"/>
        <w:left w:val="none" w:sz="0" w:space="0" w:color="auto"/>
        <w:bottom w:val="none" w:sz="0" w:space="0" w:color="auto"/>
        <w:right w:val="none" w:sz="0" w:space="0" w:color="auto"/>
      </w:divBdr>
    </w:div>
    <w:div w:id="473910186">
      <w:bodyDiv w:val="1"/>
      <w:marLeft w:val="0"/>
      <w:marRight w:val="0"/>
      <w:marTop w:val="0"/>
      <w:marBottom w:val="0"/>
      <w:divBdr>
        <w:top w:val="none" w:sz="0" w:space="0" w:color="auto"/>
        <w:left w:val="none" w:sz="0" w:space="0" w:color="auto"/>
        <w:bottom w:val="none" w:sz="0" w:space="0" w:color="auto"/>
        <w:right w:val="none" w:sz="0" w:space="0" w:color="auto"/>
      </w:divBdr>
    </w:div>
    <w:div w:id="487596722">
      <w:bodyDiv w:val="1"/>
      <w:marLeft w:val="0"/>
      <w:marRight w:val="0"/>
      <w:marTop w:val="0"/>
      <w:marBottom w:val="0"/>
      <w:divBdr>
        <w:top w:val="none" w:sz="0" w:space="0" w:color="auto"/>
        <w:left w:val="none" w:sz="0" w:space="0" w:color="auto"/>
        <w:bottom w:val="none" w:sz="0" w:space="0" w:color="auto"/>
        <w:right w:val="none" w:sz="0" w:space="0" w:color="auto"/>
      </w:divBdr>
    </w:div>
    <w:div w:id="492844536">
      <w:bodyDiv w:val="1"/>
      <w:marLeft w:val="0"/>
      <w:marRight w:val="0"/>
      <w:marTop w:val="0"/>
      <w:marBottom w:val="0"/>
      <w:divBdr>
        <w:top w:val="none" w:sz="0" w:space="0" w:color="auto"/>
        <w:left w:val="none" w:sz="0" w:space="0" w:color="auto"/>
        <w:bottom w:val="none" w:sz="0" w:space="0" w:color="auto"/>
        <w:right w:val="none" w:sz="0" w:space="0" w:color="auto"/>
      </w:divBdr>
    </w:div>
    <w:div w:id="532040600">
      <w:bodyDiv w:val="1"/>
      <w:marLeft w:val="0"/>
      <w:marRight w:val="0"/>
      <w:marTop w:val="0"/>
      <w:marBottom w:val="0"/>
      <w:divBdr>
        <w:top w:val="none" w:sz="0" w:space="0" w:color="auto"/>
        <w:left w:val="none" w:sz="0" w:space="0" w:color="auto"/>
        <w:bottom w:val="none" w:sz="0" w:space="0" w:color="auto"/>
        <w:right w:val="none" w:sz="0" w:space="0" w:color="auto"/>
      </w:divBdr>
    </w:div>
    <w:div w:id="552429617">
      <w:bodyDiv w:val="1"/>
      <w:marLeft w:val="0"/>
      <w:marRight w:val="0"/>
      <w:marTop w:val="0"/>
      <w:marBottom w:val="0"/>
      <w:divBdr>
        <w:top w:val="none" w:sz="0" w:space="0" w:color="auto"/>
        <w:left w:val="none" w:sz="0" w:space="0" w:color="auto"/>
        <w:bottom w:val="none" w:sz="0" w:space="0" w:color="auto"/>
        <w:right w:val="none" w:sz="0" w:space="0" w:color="auto"/>
      </w:divBdr>
      <w:divsChild>
        <w:div w:id="285821184">
          <w:marLeft w:val="821"/>
          <w:marRight w:val="0"/>
          <w:marTop w:val="80"/>
          <w:marBottom w:val="0"/>
          <w:divBdr>
            <w:top w:val="none" w:sz="0" w:space="0" w:color="auto"/>
            <w:left w:val="none" w:sz="0" w:space="0" w:color="auto"/>
            <w:bottom w:val="none" w:sz="0" w:space="0" w:color="auto"/>
            <w:right w:val="none" w:sz="0" w:space="0" w:color="auto"/>
          </w:divBdr>
        </w:div>
        <w:div w:id="492380242">
          <w:marLeft w:val="1339"/>
          <w:marRight w:val="0"/>
          <w:marTop w:val="80"/>
          <w:marBottom w:val="0"/>
          <w:divBdr>
            <w:top w:val="none" w:sz="0" w:space="0" w:color="auto"/>
            <w:left w:val="none" w:sz="0" w:space="0" w:color="auto"/>
            <w:bottom w:val="none" w:sz="0" w:space="0" w:color="auto"/>
            <w:right w:val="none" w:sz="0" w:space="0" w:color="auto"/>
          </w:divBdr>
        </w:div>
        <w:div w:id="605649815">
          <w:marLeft w:val="1238"/>
          <w:marRight w:val="0"/>
          <w:marTop w:val="80"/>
          <w:marBottom w:val="0"/>
          <w:divBdr>
            <w:top w:val="none" w:sz="0" w:space="0" w:color="auto"/>
            <w:left w:val="none" w:sz="0" w:space="0" w:color="auto"/>
            <w:bottom w:val="none" w:sz="0" w:space="0" w:color="auto"/>
            <w:right w:val="none" w:sz="0" w:space="0" w:color="auto"/>
          </w:divBdr>
        </w:div>
        <w:div w:id="670302399">
          <w:marLeft w:val="734"/>
          <w:marRight w:val="0"/>
          <w:marTop w:val="80"/>
          <w:marBottom w:val="0"/>
          <w:divBdr>
            <w:top w:val="none" w:sz="0" w:space="0" w:color="auto"/>
            <w:left w:val="none" w:sz="0" w:space="0" w:color="auto"/>
            <w:bottom w:val="none" w:sz="0" w:space="0" w:color="auto"/>
            <w:right w:val="none" w:sz="0" w:space="0" w:color="auto"/>
          </w:divBdr>
        </w:div>
        <w:div w:id="701831777">
          <w:marLeft w:val="1238"/>
          <w:marRight w:val="0"/>
          <w:marTop w:val="80"/>
          <w:marBottom w:val="0"/>
          <w:divBdr>
            <w:top w:val="none" w:sz="0" w:space="0" w:color="auto"/>
            <w:left w:val="none" w:sz="0" w:space="0" w:color="auto"/>
            <w:bottom w:val="none" w:sz="0" w:space="0" w:color="auto"/>
            <w:right w:val="none" w:sz="0" w:space="0" w:color="auto"/>
          </w:divBdr>
        </w:div>
        <w:div w:id="741873017">
          <w:marLeft w:val="821"/>
          <w:marRight w:val="0"/>
          <w:marTop w:val="80"/>
          <w:marBottom w:val="0"/>
          <w:divBdr>
            <w:top w:val="none" w:sz="0" w:space="0" w:color="auto"/>
            <w:left w:val="none" w:sz="0" w:space="0" w:color="auto"/>
            <w:bottom w:val="none" w:sz="0" w:space="0" w:color="auto"/>
            <w:right w:val="none" w:sz="0" w:space="0" w:color="auto"/>
          </w:divBdr>
        </w:div>
        <w:div w:id="813445351">
          <w:marLeft w:val="446"/>
          <w:marRight w:val="0"/>
          <w:marTop w:val="240"/>
          <w:marBottom w:val="0"/>
          <w:divBdr>
            <w:top w:val="none" w:sz="0" w:space="0" w:color="auto"/>
            <w:left w:val="none" w:sz="0" w:space="0" w:color="auto"/>
            <w:bottom w:val="none" w:sz="0" w:space="0" w:color="auto"/>
            <w:right w:val="none" w:sz="0" w:space="0" w:color="auto"/>
          </w:divBdr>
        </w:div>
        <w:div w:id="1047414958">
          <w:marLeft w:val="821"/>
          <w:marRight w:val="0"/>
          <w:marTop w:val="80"/>
          <w:marBottom w:val="0"/>
          <w:divBdr>
            <w:top w:val="none" w:sz="0" w:space="0" w:color="auto"/>
            <w:left w:val="none" w:sz="0" w:space="0" w:color="auto"/>
            <w:bottom w:val="none" w:sz="0" w:space="0" w:color="auto"/>
            <w:right w:val="none" w:sz="0" w:space="0" w:color="auto"/>
          </w:divBdr>
        </w:div>
        <w:div w:id="1752041290">
          <w:marLeft w:val="446"/>
          <w:marRight w:val="0"/>
          <w:marTop w:val="240"/>
          <w:marBottom w:val="0"/>
          <w:divBdr>
            <w:top w:val="none" w:sz="0" w:space="0" w:color="auto"/>
            <w:left w:val="none" w:sz="0" w:space="0" w:color="auto"/>
            <w:bottom w:val="none" w:sz="0" w:space="0" w:color="auto"/>
            <w:right w:val="none" w:sz="0" w:space="0" w:color="auto"/>
          </w:divBdr>
        </w:div>
      </w:divsChild>
    </w:div>
    <w:div w:id="695277086">
      <w:bodyDiv w:val="1"/>
      <w:marLeft w:val="0"/>
      <w:marRight w:val="0"/>
      <w:marTop w:val="0"/>
      <w:marBottom w:val="0"/>
      <w:divBdr>
        <w:top w:val="none" w:sz="0" w:space="0" w:color="auto"/>
        <w:left w:val="none" w:sz="0" w:space="0" w:color="auto"/>
        <w:bottom w:val="none" w:sz="0" w:space="0" w:color="auto"/>
        <w:right w:val="none" w:sz="0" w:space="0" w:color="auto"/>
      </w:divBdr>
    </w:div>
    <w:div w:id="743727068">
      <w:bodyDiv w:val="1"/>
      <w:marLeft w:val="150"/>
      <w:marRight w:val="150"/>
      <w:marTop w:val="0"/>
      <w:marBottom w:val="0"/>
      <w:divBdr>
        <w:top w:val="none" w:sz="0" w:space="0" w:color="auto"/>
        <w:left w:val="none" w:sz="0" w:space="0" w:color="auto"/>
        <w:bottom w:val="none" w:sz="0" w:space="0" w:color="auto"/>
        <w:right w:val="none" w:sz="0" w:space="0" w:color="auto"/>
      </w:divBdr>
      <w:divsChild>
        <w:div w:id="1352755448">
          <w:marLeft w:val="0"/>
          <w:marRight w:val="0"/>
          <w:marTop w:val="0"/>
          <w:marBottom w:val="0"/>
          <w:divBdr>
            <w:top w:val="none" w:sz="0" w:space="0" w:color="auto"/>
            <w:left w:val="none" w:sz="0" w:space="0" w:color="auto"/>
            <w:bottom w:val="none" w:sz="0" w:space="0" w:color="auto"/>
            <w:right w:val="none" w:sz="0" w:space="0" w:color="auto"/>
          </w:divBdr>
          <w:divsChild>
            <w:div w:id="1491169143">
              <w:marLeft w:val="0"/>
              <w:marRight w:val="0"/>
              <w:marTop w:val="0"/>
              <w:marBottom w:val="0"/>
              <w:divBdr>
                <w:top w:val="single" w:sz="18" w:space="0" w:color="auto"/>
                <w:left w:val="none" w:sz="0" w:space="0" w:color="auto"/>
                <w:bottom w:val="none" w:sz="0" w:space="0" w:color="auto"/>
                <w:right w:val="none" w:sz="0" w:space="0" w:color="auto"/>
              </w:divBdr>
              <w:divsChild>
                <w:div w:id="1133671057">
                  <w:marLeft w:val="0"/>
                  <w:marRight w:val="0"/>
                  <w:marTop w:val="0"/>
                  <w:marBottom w:val="150"/>
                  <w:divBdr>
                    <w:top w:val="single" w:sz="18" w:space="0" w:color="222222"/>
                    <w:left w:val="none" w:sz="0" w:space="0" w:color="auto"/>
                    <w:bottom w:val="none" w:sz="0" w:space="0" w:color="auto"/>
                    <w:right w:val="none" w:sz="0" w:space="0" w:color="auto"/>
                  </w:divBdr>
                  <w:divsChild>
                    <w:div w:id="1760637647">
                      <w:marLeft w:val="0"/>
                      <w:marRight w:val="0"/>
                      <w:marTop w:val="0"/>
                      <w:marBottom w:val="0"/>
                      <w:divBdr>
                        <w:top w:val="none" w:sz="0" w:space="0" w:color="auto"/>
                        <w:left w:val="none" w:sz="0" w:space="0" w:color="auto"/>
                        <w:bottom w:val="none" w:sz="0" w:space="0" w:color="auto"/>
                        <w:right w:val="none" w:sz="0" w:space="0" w:color="auto"/>
                      </w:divBdr>
                      <w:divsChild>
                        <w:div w:id="447356616">
                          <w:marLeft w:val="0"/>
                          <w:marRight w:val="0"/>
                          <w:marTop w:val="0"/>
                          <w:marBottom w:val="0"/>
                          <w:divBdr>
                            <w:top w:val="none" w:sz="0" w:space="0" w:color="auto"/>
                            <w:left w:val="none" w:sz="0" w:space="0" w:color="auto"/>
                            <w:bottom w:val="none" w:sz="0" w:space="0" w:color="auto"/>
                            <w:right w:val="none" w:sz="0" w:space="0" w:color="auto"/>
                          </w:divBdr>
                          <w:divsChild>
                            <w:div w:id="175554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7503521">
      <w:bodyDiv w:val="1"/>
      <w:marLeft w:val="0"/>
      <w:marRight w:val="0"/>
      <w:marTop w:val="0"/>
      <w:marBottom w:val="0"/>
      <w:divBdr>
        <w:top w:val="none" w:sz="0" w:space="0" w:color="auto"/>
        <w:left w:val="none" w:sz="0" w:space="0" w:color="auto"/>
        <w:bottom w:val="none" w:sz="0" w:space="0" w:color="auto"/>
        <w:right w:val="none" w:sz="0" w:space="0" w:color="auto"/>
      </w:divBdr>
    </w:div>
    <w:div w:id="867370759">
      <w:bodyDiv w:val="1"/>
      <w:marLeft w:val="0"/>
      <w:marRight w:val="0"/>
      <w:marTop w:val="0"/>
      <w:marBottom w:val="0"/>
      <w:divBdr>
        <w:top w:val="none" w:sz="0" w:space="0" w:color="auto"/>
        <w:left w:val="none" w:sz="0" w:space="0" w:color="auto"/>
        <w:bottom w:val="none" w:sz="0" w:space="0" w:color="auto"/>
        <w:right w:val="none" w:sz="0" w:space="0" w:color="auto"/>
      </w:divBdr>
    </w:div>
    <w:div w:id="978847508">
      <w:bodyDiv w:val="1"/>
      <w:marLeft w:val="0"/>
      <w:marRight w:val="0"/>
      <w:marTop w:val="0"/>
      <w:marBottom w:val="0"/>
      <w:divBdr>
        <w:top w:val="none" w:sz="0" w:space="0" w:color="auto"/>
        <w:left w:val="none" w:sz="0" w:space="0" w:color="auto"/>
        <w:bottom w:val="none" w:sz="0" w:space="0" w:color="auto"/>
        <w:right w:val="none" w:sz="0" w:space="0" w:color="auto"/>
      </w:divBdr>
    </w:div>
    <w:div w:id="985666251">
      <w:bodyDiv w:val="1"/>
      <w:marLeft w:val="0"/>
      <w:marRight w:val="0"/>
      <w:marTop w:val="0"/>
      <w:marBottom w:val="0"/>
      <w:divBdr>
        <w:top w:val="none" w:sz="0" w:space="0" w:color="auto"/>
        <w:left w:val="none" w:sz="0" w:space="0" w:color="auto"/>
        <w:bottom w:val="none" w:sz="0" w:space="0" w:color="auto"/>
        <w:right w:val="none" w:sz="0" w:space="0" w:color="auto"/>
      </w:divBdr>
      <w:divsChild>
        <w:div w:id="64767499">
          <w:marLeft w:val="446"/>
          <w:marRight w:val="0"/>
          <w:marTop w:val="240"/>
          <w:marBottom w:val="0"/>
          <w:divBdr>
            <w:top w:val="none" w:sz="0" w:space="0" w:color="auto"/>
            <w:left w:val="none" w:sz="0" w:space="0" w:color="auto"/>
            <w:bottom w:val="none" w:sz="0" w:space="0" w:color="auto"/>
            <w:right w:val="none" w:sz="0" w:space="0" w:color="auto"/>
          </w:divBdr>
        </w:div>
        <w:div w:id="228733446">
          <w:marLeft w:val="446"/>
          <w:marRight w:val="0"/>
          <w:marTop w:val="240"/>
          <w:marBottom w:val="0"/>
          <w:divBdr>
            <w:top w:val="none" w:sz="0" w:space="0" w:color="auto"/>
            <w:left w:val="none" w:sz="0" w:space="0" w:color="auto"/>
            <w:bottom w:val="none" w:sz="0" w:space="0" w:color="auto"/>
            <w:right w:val="none" w:sz="0" w:space="0" w:color="auto"/>
          </w:divBdr>
        </w:div>
        <w:div w:id="972321636">
          <w:marLeft w:val="446"/>
          <w:marRight w:val="0"/>
          <w:marTop w:val="240"/>
          <w:marBottom w:val="0"/>
          <w:divBdr>
            <w:top w:val="none" w:sz="0" w:space="0" w:color="auto"/>
            <w:left w:val="none" w:sz="0" w:space="0" w:color="auto"/>
            <w:bottom w:val="none" w:sz="0" w:space="0" w:color="auto"/>
            <w:right w:val="none" w:sz="0" w:space="0" w:color="auto"/>
          </w:divBdr>
        </w:div>
        <w:div w:id="1238976094">
          <w:marLeft w:val="446"/>
          <w:marRight w:val="0"/>
          <w:marTop w:val="240"/>
          <w:marBottom w:val="0"/>
          <w:divBdr>
            <w:top w:val="none" w:sz="0" w:space="0" w:color="auto"/>
            <w:left w:val="none" w:sz="0" w:space="0" w:color="auto"/>
            <w:bottom w:val="none" w:sz="0" w:space="0" w:color="auto"/>
            <w:right w:val="none" w:sz="0" w:space="0" w:color="auto"/>
          </w:divBdr>
        </w:div>
        <w:div w:id="1647319162">
          <w:marLeft w:val="446"/>
          <w:marRight w:val="0"/>
          <w:marTop w:val="240"/>
          <w:marBottom w:val="0"/>
          <w:divBdr>
            <w:top w:val="none" w:sz="0" w:space="0" w:color="auto"/>
            <w:left w:val="none" w:sz="0" w:space="0" w:color="auto"/>
            <w:bottom w:val="none" w:sz="0" w:space="0" w:color="auto"/>
            <w:right w:val="none" w:sz="0" w:space="0" w:color="auto"/>
          </w:divBdr>
        </w:div>
      </w:divsChild>
    </w:div>
    <w:div w:id="1033849025">
      <w:bodyDiv w:val="1"/>
      <w:marLeft w:val="0"/>
      <w:marRight w:val="0"/>
      <w:marTop w:val="0"/>
      <w:marBottom w:val="0"/>
      <w:divBdr>
        <w:top w:val="none" w:sz="0" w:space="0" w:color="auto"/>
        <w:left w:val="none" w:sz="0" w:space="0" w:color="auto"/>
        <w:bottom w:val="none" w:sz="0" w:space="0" w:color="auto"/>
        <w:right w:val="none" w:sz="0" w:space="0" w:color="auto"/>
      </w:divBdr>
    </w:div>
    <w:div w:id="1167818125">
      <w:bodyDiv w:val="1"/>
      <w:marLeft w:val="0"/>
      <w:marRight w:val="0"/>
      <w:marTop w:val="0"/>
      <w:marBottom w:val="0"/>
      <w:divBdr>
        <w:top w:val="none" w:sz="0" w:space="0" w:color="auto"/>
        <w:left w:val="none" w:sz="0" w:space="0" w:color="auto"/>
        <w:bottom w:val="none" w:sz="0" w:space="0" w:color="auto"/>
        <w:right w:val="none" w:sz="0" w:space="0" w:color="auto"/>
      </w:divBdr>
    </w:div>
    <w:div w:id="1202016730">
      <w:bodyDiv w:val="1"/>
      <w:marLeft w:val="0"/>
      <w:marRight w:val="0"/>
      <w:marTop w:val="0"/>
      <w:marBottom w:val="0"/>
      <w:divBdr>
        <w:top w:val="none" w:sz="0" w:space="0" w:color="auto"/>
        <w:left w:val="none" w:sz="0" w:space="0" w:color="auto"/>
        <w:bottom w:val="none" w:sz="0" w:space="0" w:color="auto"/>
        <w:right w:val="none" w:sz="0" w:space="0" w:color="auto"/>
      </w:divBdr>
    </w:div>
    <w:div w:id="1207328128">
      <w:bodyDiv w:val="1"/>
      <w:marLeft w:val="0"/>
      <w:marRight w:val="0"/>
      <w:marTop w:val="0"/>
      <w:marBottom w:val="0"/>
      <w:divBdr>
        <w:top w:val="none" w:sz="0" w:space="0" w:color="auto"/>
        <w:left w:val="none" w:sz="0" w:space="0" w:color="auto"/>
        <w:bottom w:val="none" w:sz="0" w:space="0" w:color="auto"/>
        <w:right w:val="none" w:sz="0" w:space="0" w:color="auto"/>
      </w:divBdr>
      <w:divsChild>
        <w:div w:id="1213342936">
          <w:marLeft w:val="446"/>
          <w:marRight w:val="0"/>
          <w:marTop w:val="240"/>
          <w:marBottom w:val="0"/>
          <w:divBdr>
            <w:top w:val="none" w:sz="0" w:space="0" w:color="auto"/>
            <w:left w:val="none" w:sz="0" w:space="0" w:color="auto"/>
            <w:bottom w:val="none" w:sz="0" w:space="0" w:color="auto"/>
            <w:right w:val="none" w:sz="0" w:space="0" w:color="auto"/>
          </w:divBdr>
        </w:div>
        <w:div w:id="2112359765">
          <w:marLeft w:val="446"/>
          <w:marRight w:val="0"/>
          <w:marTop w:val="240"/>
          <w:marBottom w:val="0"/>
          <w:divBdr>
            <w:top w:val="none" w:sz="0" w:space="0" w:color="auto"/>
            <w:left w:val="none" w:sz="0" w:space="0" w:color="auto"/>
            <w:bottom w:val="none" w:sz="0" w:space="0" w:color="auto"/>
            <w:right w:val="none" w:sz="0" w:space="0" w:color="auto"/>
          </w:divBdr>
        </w:div>
        <w:div w:id="2136409354">
          <w:marLeft w:val="446"/>
          <w:marRight w:val="0"/>
          <w:marTop w:val="240"/>
          <w:marBottom w:val="0"/>
          <w:divBdr>
            <w:top w:val="none" w:sz="0" w:space="0" w:color="auto"/>
            <w:left w:val="none" w:sz="0" w:space="0" w:color="auto"/>
            <w:bottom w:val="none" w:sz="0" w:space="0" w:color="auto"/>
            <w:right w:val="none" w:sz="0" w:space="0" w:color="auto"/>
          </w:divBdr>
        </w:div>
      </w:divsChild>
    </w:div>
    <w:div w:id="1207372015">
      <w:bodyDiv w:val="1"/>
      <w:marLeft w:val="0"/>
      <w:marRight w:val="0"/>
      <w:marTop w:val="0"/>
      <w:marBottom w:val="0"/>
      <w:divBdr>
        <w:top w:val="none" w:sz="0" w:space="0" w:color="auto"/>
        <w:left w:val="none" w:sz="0" w:space="0" w:color="auto"/>
        <w:bottom w:val="none" w:sz="0" w:space="0" w:color="auto"/>
        <w:right w:val="none" w:sz="0" w:space="0" w:color="auto"/>
      </w:divBdr>
    </w:div>
    <w:div w:id="1212763156">
      <w:bodyDiv w:val="1"/>
      <w:marLeft w:val="0"/>
      <w:marRight w:val="0"/>
      <w:marTop w:val="0"/>
      <w:marBottom w:val="0"/>
      <w:divBdr>
        <w:top w:val="none" w:sz="0" w:space="0" w:color="auto"/>
        <w:left w:val="none" w:sz="0" w:space="0" w:color="auto"/>
        <w:bottom w:val="none" w:sz="0" w:space="0" w:color="auto"/>
        <w:right w:val="none" w:sz="0" w:space="0" w:color="auto"/>
      </w:divBdr>
    </w:div>
    <w:div w:id="1218780603">
      <w:bodyDiv w:val="1"/>
      <w:marLeft w:val="0"/>
      <w:marRight w:val="0"/>
      <w:marTop w:val="0"/>
      <w:marBottom w:val="0"/>
      <w:divBdr>
        <w:top w:val="none" w:sz="0" w:space="0" w:color="auto"/>
        <w:left w:val="none" w:sz="0" w:space="0" w:color="auto"/>
        <w:bottom w:val="none" w:sz="0" w:space="0" w:color="auto"/>
        <w:right w:val="none" w:sz="0" w:space="0" w:color="auto"/>
      </w:divBdr>
    </w:div>
    <w:div w:id="1226989996">
      <w:bodyDiv w:val="1"/>
      <w:marLeft w:val="0"/>
      <w:marRight w:val="0"/>
      <w:marTop w:val="0"/>
      <w:marBottom w:val="0"/>
      <w:divBdr>
        <w:top w:val="none" w:sz="0" w:space="0" w:color="auto"/>
        <w:left w:val="none" w:sz="0" w:space="0" w:color="auto"/>
        <w:bottom w:val="none" w:sz="0" w:space="0" w:color="auto"/>
        <w:right w:val="none" w:sz="0" w:space="0" w:color="auto"/>
      </w:divBdr>
    </w:div>
    <w:div w:id="1276330266">
      <w:bodyDiv w:val="1"/>
      <w:marLeft w:val="0"/>
      <w:marRight w:val="0"/>
      <w:marTop w:val="0"/>
      <w:marBottom w:val="0"/>
      <w:divBdr>
        <w:top w:val="none" w:sz="0" w:space="0" w:color="auto"/>
        <w:left w:val="none" w:sz="0" w:space="0" w:color="auto"/>
        <w:bottom w:val="none" w:sz="0" w:space="0" w:color="auto"/>
        <w:right w:val="none" w:sz="0" w:space="0" w:color="auto"/>
      </w:divBdr>
    </w:div>
    <w:div w:id="1280261575">
      <w:bodyDiv w:val="1"/>
      <w:marLeft w:val="0"/>
      <w:marRight w:val="0"/>
      <w:marTop w:val="0"/>
      <w:marBottom w:val="0"/>
      <w:divBdr>
        <w:top w:val="none" w:sz="0" w:space="0" w:color="auto"/>
        <w:left w:val="none" w:sz="0" w:space="0" w:color="auto"/>
        <w:bottom w:val="none" w:sz="0" w:space="0" w:color="auto"/>
        <w:right w:val="none" w:sz="0" w:space="0" w:color="auto"/>
      </w:divBdr>
    </w:div>
    <w:div w:id="1334533553">
      <w:bodyDiv w:val="1"/>
      <w:marLeft w:val="0"/>
      <w:marRight w:val="0"/>
      <w:marTop w:val="0"/>
      <w:marBottom w:val="0"/>
      <w:divBdr>
        <w:top w:val="none" w:sz="0" w:space="0" w:color="auto"/>
        <w:left w:val="none" w:sz="0" w:space="0" w:color="auto"/>
        <w:bottom w:val="none" w:sz="0" w:space="0" w:color="auto"/>
        <w:right w:val="none" w:sz="0" w:space="0" w:color="auto"/>
      </w:divBdr>
    </w:div>
    <w:div w:id="1357728120">
      <w:bodyDiv w:val="1"/>
      <w:marLeft w:val="0"/>
      <w:marRight w:val="0"/>
      <w:marTop w:val="0"/>
      <w:marBottom w:val="0"/>
      <w:divBdr>
        <w:top w:val="none" w:sz="0" w:space="0" w:color="auto"/>
        <w:left w:val="none" w:sz="0" w:space="0" w:color="auto"/>
        <w:bottom w:val="none" w:sz="0" w:space="0" w:color="auto"/>
        <w:right w:val="none" w:sz="0" w:space="0" w:color="auto"/>
      </w:divBdr>
    </w:div>
    <w:div w:id="1365058599">
      <w:bodyDiv w:val="1"/>
      <w:marLeft w:val="0"/>
      <w:marRight w:val="0"/>
      <w:marTop w:val="0"/>
      <w:marBottom w:val="0"/>
      <w:divBdr>
        <w:top w:val="none" w:sz="0" w:space="0" w:color="auto"/>
        <w:left w:val="none" w:sz="0" w:space="0" w:color="auto"/>
        <w:bottom w:val="none" w:sz="0" w:space="0" w:color="auto"/>
        <w:right w:val="none" w:sz="0" w:space="0" w:color="auto"/>
      </w:divBdr>
    </w:div>
    <w:div w:id="1433430447">
      <w:bodyDiv w:val="1"/>
      <w:marLeft w:val="0"/>
      <w:marRight w:val="0"/>
      <w:marTop w:val="0"/>
      <w:marBottom w:val="0"/>
      <w:divBdr>
        <w:top w:val="none" w:sz="0" w:space="0" w:color="auto"/>
        <w:left w:val="none" w:sz="0" w:space="0" w:color="auto"/>
        <w:bottom w:val="none" w:sz="0" w:space="0" w:color="auto"/>
        <w:right w:val="none" w:sz="0" w:space="0" w:color="auto"/>
      </w:divBdr>
    </w:div>
    <w:div w:id="1447502157">
      <w:bodyDiv w:val="1"/>
      <w:marLeft w:val="0"/>
      <w:marRight w:val="0"/>
      <w:marTop w:val="0"/>
      <w:marBottom w:val="0"/>
      <w:divBdr>
        <w:top w:val="none" w:sz="0" w:space="0" w:color="auto"/>
        <w:left w:val="none" w:sz="0" w:space="0" w:color="auto"/>
        <w:bottom w:val="none" w:sz="0" w:space="0" w:color="auto"/>
        <w:right w:val="none" w:sz="0" w:space="0" w:color="auto"/>
      </w:divBdr>
    </w:div>
    <w:div w:id="1476680095">
      <w:bodyDiv w:val="1"/>
      <w:marLeft w:val="0"/>
      <w:marRight w:val="0"/>
      <w:marTop w:val="0"/>
      <w:marBottom w:val="0"/>
      <w:divBdr>
        <w:top w:val="none" w:sz="0" w:space="0" w:color="auto"/>
        <w:left w:val="none" w:sz="0" w:space="0" w:color="auto"/>
        <w:bottom w:val="none" w:sz="0" w:space="0" w:color="auto"/>
        <w:right w:val="none" w:sz="0" w:space="0" w:color="auto"/>
      </w:divBdr>
    </w:div>
    <w:div w:id="1482036563">
      <w:bodyDiv w:val="1"/>
      <w:marLeft w:val="0"/>
      <w:marRight w:val="0"/>
      <w:marTop w:val="0"/>
      <w:marBottom w:val="0"/>
      <w:divBdr>
        <w:top w:val="none" w:sz="0" w:space="0" w:color="auto"/>
        <w:left w:val="none" w:sz="0" w:space="0" w:color="auto"/>
        <w:bottom w:val="none" w:sz="0" w:space="0" w:color="auto"/>
        <w:right w:val="none" w:sz="0" w:space="0" w:color="auto"/>
      </w:divBdr>
    </w:div>
    <w:div w:id="1537934709">
      <w:bodyDiv w:val="1"/>
      <w:marLeft w:val="0"/>
      <w:marRight w:val="0"/>
      <w:marTop w:val="0"/>
      <w:marBottom w:val="0"/>
      <w:divBdr>
        <w:top w:val="none" w:sz="0" w:space="0" w:color="auto"/>
        <w:left w:val="none" w:sz="0" w:space="0" w:color="auto"/>
        <w:bottom w:val="none" w:sz="0" w:space="0" w:color="auto"/>
        <w:right w:val="none" w:sz="0" w:space="0" w:color="auto"/>
      </w:divBdr>
    </w:div>
    <w:div w:id="1620793384">
      <w:bodyDiv w:val="1"/>
      <w:marLeft w:val="150"/>
      <w:marRight w:val="150"/>
      <w:marTop w:val="0"/>
      <w:marBottom w:val="0"/>
      <w:divBdr>
        <w:top w:val="none" w:sz="0" w:space="0" w:color="auto"/>
        <w:left w:val="none" w:sz="0" w:space="0" w:color="auto"/>
        <w:bottom w:val="none" w:sz="0" w:space="0" w:color="auto"/>
        <w:right w:val="none" w:sz="0" w:space="0" w:color="auto"/>
      </w:divBdr>
      <w:divsChild>
        <w:div w:id="685979774">
          <w:marLeft w:val="0"/>
          <w:marRight w:val="0"/>
          <w:marTop w:val="0"/>
          <w:marBottom w:val="0"/>
          <w:divBdr>
            <w:top w:val="none" w:sz="0" w:space="0" w:color="auto"/>
            <w:left w:val="none" w:sz="0" w:space="0" w:color="auto"/>
            <w:bottom w:val="none" w:sz="0" w:space="0" w:color="auto"/>
            <w:right w:val="none" w:sz="0" w:space="0" w:color="auto"/>
          </w:divBdr>
          <w:divsChild>
            <w:div w:id="1034040828">
              <w:marLeft w:val="0"/>
              <w:marRight w:val="0"/>
              <w:marTop w:val="0"/>
              <w:marBottom w:val="0"/>
              <w:divBdr>
                <w:top w:val="single" w:sz="18" w:space="0" w:color="auto"/>
                <w:left w:val="none" w:sz="0" w:space="0" w:color="auto"/>
                <w:bottom w:val="none" w:sz="0" w:space="0" w:color="auto"/>
                <w:right w:val="none" w:sz="0" w:space="0" w:color="auto"/>
              </w:divBdr>
              <w:divsChild>
                <w:div w:id="211161885">
                  <w:marLeft w:val="0"/>
                  <w:marRight w:val="0"/>
                  <w:marTop w:val="0"/>
                  <w:marBottom w:val="150"/>
                  <w:divBdr>
                    <w:top w:val="single" w:sz="18" w:space="0" w:color="222222"/>
                    <w:left w:val="none" w:sz="0" w:space="0" w:color="auto"/>
                    <w:bottom w:val="none" w:sz="0" w:space="0" w:color="auto"/>
                    <w:right w:val="none" w:sz="0" w:space="0" w:color="auto"/>
                  </w:divBdr>
                  <w:divsChild>
                    <w:div w:id="352731921">
                      <w:marLeft w:val="0"/>
                      <w:marRight w:val="0"/>
                      <w:marTop w:val="0"/>
                      <w:marBottom w:val="0"/>
                      <w:divBdr>
                        <w:top w:val="none" w:sz="0" w:space="0" w:color="auto"/>
                        <w:left w:val="none" w:sz="0" w:space="0" w:color="auto"/>
                        <w:bottom w:val="none" w:sz="0" w:space="0" w:color="auto"/>
                        <w:right w:val="none" w:sz="0" w:space="0" w:color="auto"/>
                      </w:divBdr>
                      <w:divsChild>
                        <w:div w:id="1591237696">
                          <w:marLeft w:val="0"/>
                          <w:marRight w:val="0"/>
                          <w:marTop w:val="0"/>
                          <w:marBottom w:val="0"/>
                          <w:divBdr>
                            <w:top w:val="none" w:sz="0" w:space="0" w:color="auto"/>
                            <w:left w:val="none" w:sz="0" w:space="0" w:color="auto"/>
                            <w:bottom w:val="none" w:sz="0" w:space="0" w:color="auto"/>
                            <w:right w:val="none" w:sz="0" w:space="0" w:color="auto"/>
                          </w:divBdr>
                          <w:divsChild>
                            <w:div w:id="50208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299934">
      <w:bodyDiv w:val="1"/>
      <w:marLeft w:val="0"/>
      <w:marRight w:val="0"/>
      <w:marTop w:val="0"/>
      <w:marBottom w:val="0"/>
      <w:divBdr>
        <w:top w:val="none" w:sz="0" w:space="0" w:color="auto"/>
        <w:left w:val="none" w:sz="0" w:space="0" w:color="auto"/>
        <w:bottom w:val="none" w:sz="0" w:space="0" w:color="auto"/>
        <w:right w:val="none" w:sz="0" w:space="0" w:color="auto"/>
      </w:divBdr>
    </w:div>
    <w:div w:id="1694115064">
      <w:bodyDiv w:val="1"/>
      <w:marLeft w:val="150"/>
      <w:marRight w:val="150"/>
      <w:marTop w:val="0"/>
      <w:marBottom w:val="0"/>
      <w:divBdr>
        <w:top w:val="none" w:sz="0" w:space="0" w:color="auto"/>
        <w:left w:val="none" w:sz="0" w:space="0" w:color="auto"/>
        <w:bottom w:val="none" w:sz="0" w:space="0" w:color="auto"/>
        <w:right w:val="none" w:sz="0" w:space="0" w:color="auto"/>
      </w:divBdr>
      <w:divsChild>
        <w:div w:id="1323504701">
          <w:marLeft w:val="0"/>
          <w:marRight w:val="0"/>
          <w:marTop w:val="0"/>
          <w:marBottom w:val="0"/>
          <w:divBdr>
            <w:top w:val="none" w:sz="0" w:space="0" w:color="auto"/>
            <w:left w:val="none" w:sz="0" w:space="0" w:color="auto"/>
            <w:bottom w:val="none" w:sz="0" w:space="0" w:color="auto"/>
            <w:right w:val="none" w:sz="0" w:space="0" w:color="auto"/>
          </w:divBdr>
          <w:divsChild>
            <w:div w:id="581915162">
              <w:marLeft w:val="0"/>
              <w:marRight w:val="0"/>
              <w:marTop w:val="0"/>
              <w:marBottom w:val="0"/>
              <w:divBdr>
                <w:top w:val="single" w:sz="18" w:space="0" w:color="auto"/>
                <w:left w:val="none" w:sz="0" w:space="0" w:color="auto"/>
                <w:bottom w:val="none" w:sz="0" w:space="0" w:color="auto"/>
                <w:right w:val="none" w:sz="0" w:space="0" w:color="auto"/>
              </w:divBdr>
              <w:divsChild>
                <w:div w:id="701629938">
                  <w:marLeft w:val="0"/>
                  <w:marRight w:val="0"/>
                  <w:marTop w:val="0"/>
                  <w:marBottom w:val="150"/>
                  <w:divBdr>
                    <w:top w:val="single" w:sz="18" w:space="0" w:color="222222"/>
                    <w:left w:val="none" w:sz="0" w:space="0" w:color="auto"/>
                    <w:bottom w:val="none" w:sz="0" w:space="0" w:color="auto"/>
                    <w:right w:val="none" w:sz="0" w:space="0" w:color="auto"/>
                  </w:divBdr>
                  <w:divsChild>
                    <w:div w:id="122358636">
                      <w:marLeft w:val="0"/>
                      <w:marRight w:val="0"/>
                      <w:marTop w:val="0"/>
                      <w:marBottom w:val="0"/>
                      <w:divBdr>
                        <w:top w:val="none" w:sz="0" w:space="0" w:color="auto"/>
                        <w:left w:val="none" w:sz="0" w:space="0" w:color="auto"/>
                        <w:bottom w:val="none" w:sz="0" w:space="0" w:color="auto"/>
                        <w:right w:val="none" w:sz="0" w:space="0" w:color="auto"/>
                      </w:divBdr>
                      <w:divsChild>
                        <w:div w:id="962541602">
                          <w:marLeft w:val="0"/>
                          <w:marRight w:val="0"/>
                          <w:marTop w:val="0"/>
                          <w:marBottom w:val="0"/>
                          <w:divBdr>
                            <w:top w:val="none" w:sz="0" w:space="0" w:color="auto"/>
                            <w:left w:val="none" w:sz="0" w:space="0" w:color="auto"/>
                            <w:bottom w:val="none" w:sz="0" w:space="0" w:color="auto"/>
                            <w:right w:val="none" w:sz="0" w:space="0" w:color="auto"/>
                          </w:divBdr>
                          <w:divsChild>
                            <w:div w:id="176969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6954343">
      <w:bodyDiv w:val="1"/>
      <w:marLeft w:val="0"/>
      <w:marRight w:val="0"/>
      <w:marTop w:val="0"/>
      <w:marBottom w:val="0"/>
      <w:divBdr>
        <w:top w:val="none" w:sz="0" w:space="0" w:color="auto"/>
        <w:left w:val="none" w:sz="0" w:space="0" w:color="auto"/>
        <w:bottom w:val="none" w:sz="0" w:space="0" w:color="auto"/>
        <w:right w:val="none" w:sz="0" w:space="0" w:color="auto"/>
      </w:divBdr>
    </w:div>
    <w:div w:id="1740982269">
      <w:bodyDiv w:val="1"/>
      <w:marLeft w:val="0"/>
      <w:marRight w:val="0"/>
      <w:marTop w:val="0"/>
      <w:marBottom w:val="0"/>
      <w:divBdr>
        <w:top w:val="none" w:sz="0" w:space="0" w:color="auto"/>
        <w:left w:val="none" w:sz="0" w:space="0" w:color="auto"/>
        <w:bottom w:val="none" w:sz="0" w:space="0" w:color="auto"/>
        <w:right w:val="none" w:sz="0" w:space="0" w:color="auto"/>
      </w:divBdr>
    </w:div>
    <w:div w:id="1791899122">
      <w:bodyDiv w:val="1"/>
      <w:marLeft w:val="0"/>
      <w:marRight w:val="0"/>
      <w:marTop w:val="0"/>
      <w:marBottom w:val="0"/>
      <w:divBdr>
        <w:top w:val="none" w:sz="0" w:space="0" w:color="auto"/>
        <w:left w:val="none" w:sz="0" w:space="0" w:color="auto"/>
        <w:bottom w:val="none" w:sz="0" w:space="0" w:color="auto"/>
        <w:right w:val="none" w:sz="0" w:space="0" w:color="auto"/>
      </w:divBdr>
      <w:divsChild>
        <w:div w:id="1217279569">
          <w:marLeft w:val="576"/>
          <w:marRight w:val="0"/>
          <w:marTop w:val="80"/>
          <w:marBottom w:val="0"/>
          <w:divBdr>
            <w:top w:val="none" w:sz="0" w:space="0" w:color="auto"/>
            <w:left w:val="none" w:sz="0" w:space="0" w:color="auto"/>
            <w:bottom w:val="none" w:sz="0" w:space="0" w:color="auto"/>
            <w:right w:val="none" w:sz="0" w:space="0" w:color="auto"/>
          </w:divBdr>
        </w:div>
      </w:divsChild>
    </w:div>
    <w:div w:id="1797945886">
      <w:bodyDiv w:val="1"/>
      <w:marLeft w:val="0"/>
      <w:marRight w:val="0"/>
      <w:marTop w:val="0"/>
      <w:marBottom w:val="0"/>
      <w:divBdr>
        <w:top w:val="none" w:sz="0" w:space="0" w:color="auto"/>
        <w:left w:val="none" w:sz="0" w:space="0" w:color="auto"/>
        <w:bottom w:val="none" w:sz="0" w:space="0" w:color="auto"/>
        <w:right w:val="none" w:sz="0" w:space="0" w:color="auto"/>
      </w:divBdr>
    </w:div>
    <w:div w:id="1811941115">
      <w:bodyDiv w:val="1"/>
      <w:marLeft w:val="0"/>
      <w:marRight w:val="0"/>
      <w:marTop w:val="0"/>
      <w:marBottom w:val="0"/>
      <w:divBdr>
        <w:top w:val="none" w:sz="0" w:space="0" w:color="auto"/>
        <w:left w:val="none" w:sz="0" w:space="0" w:color="auto"/>
        <w:bottom w:val="none" w:sz="0" w:space="0" w:color="auto"/>
        <w:right w:val="none" w:sz="0" w:space="0" w:color="auto"/>
      </w:divBdr>
    </w:div>
    <w:div w:id="1861122655">
      <w:bodyDiv w:val="1"/>
      <w:marLeft w:val="0"/>
      <w:marRight w:val="0"/>
      <w:marTop w:val="0"/>
      <w:marBottom w:val="0"/>
      <w:divBdr>
        <w:top w:val="none" w:sz="0" w:space="0" w:color="auto"/>
        <w:left w:val="none" w:sz="0" w:space="0" w:color="auto"/>
        <w:bottom w:val="none" w:sz="0" w:space="0" w:color="auto"/>
        <w:right w:val="none" w:sz="0" w:space="0" w:color="auto"/>
      </w:divBdr>
      <w:divsChild>
        <w:div w:id="471824034">
          <w:marLeft w:val="0"/>
          <w:marRight w:val="0"/>
          <w:marTop w:val="0"/>
          <w:marBottom w:val="0"/>
          <w:divBdr>
            <w:top w:val="none" w:sz="0" w:space="0" w:color="auto"/>
            <w:left w:val="none" w:sz="0" w:space="0" w:color="auto"/>
            <w:bottom w:val="none" w:sz="0" w:space="0" w:color="auto"/>
            <w:right w:val="none" w:sz="0" w:space="0" w:color="auto"/>
          </w:divBdr>
        </w:div>
        <w:div w:id="1213618008">
          <w:marLeft w:val="0"/>
          <w:marRight w:val="0"/>
          <w:marTop w:val="0"/>
          <w:marBottom w:val="0"/>
          <w:divBdr>
            <w:top w:val="none" w:sz="0" w:space="0" w:color="auto"/>
            <w:left w:val="none" w:sz="0" w:space="0" w:color="auto"/>
            <w:bottom w:val="none" w:sz="0" w:space="0" w:color="auto"/>
            <w:right w:val="none" w:sz="0" w:space="0" w:color="auto"/>
          </w:divBdr>
        </w:div>
        <w:div w:id="2038196142">
          <w:marLeft w:val="0"/>
          <w:marRight w:val="0"/>
          <w:marTop w:val="0"/>
          <w:marBottom w:val="0"/>
          <w:divBdr>
            <w:top w:val="none" w:sz="0" w:space="0" w:color="auto"/>
            <w:left w:val="none" w:sz="0" w:space="0" w:color="auto"/>
            <w:bottom w:val="none" w:sz="0" w:space="0" w:color="auto"/>
            <w:right w:val="none" w:sz="0" w:space="0" w:color="auto"/>
          </w:divBdr>
        </w:div>
      </w:divsChild>
    </w:div>
    <w:div w:id="1940217463">
      <w:bodyDiv w:val="1"/>
      <w:marLeft w:val="0"/>
      <w:marRight w:val="0"/>
      <w:marTop w:val="0"/>
      <w:marBottom w:val="0"/>
      <w:divBdr>
        <w:top w:val="none" w:sz="0" w:space="0" w:color="auto"/>
        <w:left w:val="none" w:sz="0" w:space="0" w:color="auto"/>
        <w:bottom w:val="none" w:sz="0" w:space="0" w:color="auto"/>
        <w:right w:val="none" w:sz="0" w:space="0" w:color="auto"/>
      </w:divBdr>
    </w:div>
    <w:div w:id="1957442069">
      <w:bodyDiv w:val="1"/>
      <w:marLeft w:val="0"/>
      <w:marRight w:val="0"/>
      <w:marTop w:val="0"/>
      <w:marBottom w:val="0"/>
      <w:divBdr>
        <w:top w:val="none" w:sz="0" w:space="0" w:color="auto"/>
        <w:left w:val="none" w:sz="0" w:space="0" w:color="auto"/>
        <w:bottom w:val="none" w:sz="0" w:space="0" w:color="auto"/>
        <w:right w:val="none" w:sz="0" w:space="0" w:color="auto"/>
      </w:divBdr>
    </w:div>
    <w:div w:id="1964581667">
      <w:bodyDiv w:val="1"/>
      <w:marLeft w:val="0"/>
      <w:marRight w:val="0"/>
      <w:marTop w:val="0"/>
      <w:marBottom w:val="0"/>
      <w:divBdr>
        <w:top w:val="none" w:sz="0" w:space="0" w:color="auto"/>
        <w:left w:val="none" w:sz="0" w:space="0" w:color="auto"/>
        <w:bottom w:val="none" w:sz="0" w:space="0" w:color="auto"/>
        <w:right w:val="none" w:sz="0" w:space="0" w:color="auto"/>
      </w:divBdr>
    </w:div>
    <w:div w:id="1987709724">
      <w:bodyDiv w:val="1"/>
      <w:marLeft w:val="0"/>
      <w:marRight w:val="0"/>
      <w:marTop w:val="0"/>
      <w:marBottom w:val="0"/>
      <w:divBdr>
        <w:top w:val="none" w:sz="0" w:space="0" w:color="auto"/>
        <w:left w:val="none" w:sz="0" w:space="0" w:color="auto"/>
        <w:bottom w:val="none" w:sz="0" w:space="0" w:color="auto"/>
        <w:right w:val="none" w:sz="0" w:space="0" w:color="auto"/>
      </w:divBdr>
    </w:div>
    <w:div w:id="2001469699">
      <w:bodyDiv w:val="1"/>
      <w:marLeft w:val="0"/>
      <w:marRight w:val="0"/>
      <w:marTop w:val="0"/>
      <w:marBottom w:val="0"/>
      <w:divBdr>
        <w:top w:val="none" w:sz="0" w:space="0" w:color="auto"/>
        <w:left w:val="none" w:sz="0" w:space="0" w:color="auto"/>
        <w:bottom w:val="none" w:sz="0" w:space="0" w:color="auto"/>
        <w:right w:val="none" w:sz="0" w:space="0" w:color="auto"/>
      </w:divBdr>
    </w:div>
    <w:div w:id="2023316052">
      <w:bodyDiv w:val="1"/>
      <w:marLeft w:val="0"/>
      <w:marRight w:val="0"/>
      <w:marTop w:val="0"/>
      <w:marBottom w:val="0"/>
      <w:divBdr>
        <w:top w:val="none" w:sz="0" w:space="0" w:color="auto"/>
        <w:left w:val="none" w:sz="0" w:space="0" w:color="auto"/>
        <w:bottom w:val="none" w:sz="0" w:space="0" w:color="auto"/>
        <w:right w:val="none" w:sz="0" w:space="0" w:color="auto"/>
      </w:divBdr>
    </w:div>
    <w:div w:id="2056536333">
      <w:bodyDiv w:val="1"/>
      <w:marLeft w:val="0"/>
      <w:marRight w:val="0"/>
      <w:marTop w:val="0"/>
      <w:marBottom w:val="0"/>
      <w:divBdr>
        <w:top w:val="none" w:sz="0" w:space="0" w:color="auto"/>
        <w:left w:val="none" w:sz="0" w:space="0" w:color="auto"/>
        <w:bottom w:val="none" w:sz="0" w:space="0" w:color="auto"/>
        <w:right w:val="none" w:sz="0" w:space="0" w:color="auto"/>
      </w:divBdr>
    </w:div>
    <w:div w:id="2097480951">
      <w:bodyDiv w:val="1"/>
      <w:marLeft w:val="150"/>
      <w:marRight w:val="150"/>
      <w:marTop w:val="0"/>
      <w:marBottom w:val="0"/>
      <w:divBdr>
        <w:top w:val="none" w:sz="0" w:space="0" w:color="auto"/>
        <w:left w:val="none" w:sz="0" w:space="0" w:color="auto"/>
        <w:bottom w:val="none" w:sz="0" w:space="0" w:color="auto"/>
        <w:right w:val="none" w:sz="0" w:space="0" w:color="auto"/>
      </w:divBdr>
      <w:divsChild>
        <w:div w:id="1417359356">
          <w:marLeft w:val="0"/>
          <w:marRight w:val="0"/>
          <w:marTop w:val="0"/>
          <w:marBottom w:val="0"/>
          <w:divBdr>
            <w:top w:val="none" w:sz="0" w:space="0" w:color="auto"/>
            <w:left w:val="none" w:sz="0" w:space="0" w:color="auto"/>
            <w:bottom w:val="none" w:sz="0" w:space="0" w:color="auto"/>
            <w:right w:val="none" w:sz="0" w:space="0" w:color="auto"/>
          </w:divBdr>
          <w:divsChild>
            <w:div w:id="2056470298">
              <w:marLeft w:val="0"/>
              <w:marRight w:val="0"/>
              <w:marTop w:val="0"/>
              <w:marBottom w:val="0"/>
              <w:divBdr>
                <w:top w:val="single" w:sz="18" w:space="0" w:color="auto"/>
                <w:left w:val="none" w:sz="0" w:space="0" w:color="auto"/>
                <w:bottom w:val="none" w:sz="0" w:space="0" w:color="auto"/>
                <w:right w:val="none" w:sz="0" w:space="0" w:color="auto"/>
              </w:divBdr>
              <w:divsChild>
                <w:div w:id="1344668118">
                  <w:marLeft w:val="0"/>
                  <w:marRight w:val="0"/>
                  <w:marTop w:val="0"/>
                  <w:marBottom w:val="150"/>
                  <w:divBdr>
                    <w:top w:val="single" w:sz="18" w:space="0" w:color="222222"/>
                    <w:left w:val="none" w:sz="0" w:space="0" w:color="auto"/>
                    <w:bottom w:val="none" w:sz="0" w:space="0" w:color="auto"/>
                    <w:right w:val="none" w:sz="0" w:space="0" w:color="auto"/>
                  </w:divBdr>
                  <w:divsChild>
                    <w:div w:id="156041288">
                      <w:marLeft w:val="0"/>
                      <w:marRight w:val="0"/>
                      <w:marTop w:val="0"/>
                      <w:marBottom w:val="0"/>
                      <w:divBdr>
                        <w:top w:val="none" w:sz="0" w:space="0" w:color="auto"/>
                        <w:left w:val="none" w:sz="0" w:space="0" w:color="auto"/>
                        <w:bottom w:val="none" w:sz="0" w:space="0" w:color="auto"/>
                        <w:right w:val="none" w:sz="0" w:space="0" w:color="auto"/>
                      </w:divBdr>
                      <w:divsChild>
                        <w:div w:id="1565993470">
                          <w:marLeft w:val="0"/>
                          <w:marRight w:val="0"/>
                          <w:marTop w:val="0"/>
                          <w:marBottom w:val="0"/>
                          <w:divBdr>
                            <w:top w:val="none" w:sz="0" w:space="0" w:color="auto"/>
                            <w:left w:val="none" w:sz="0" w:space="0" w:color="auto"/>
                            <w:bottom w:val="none" w:sz="0" w:space="0" w:color="auto"/>
                            <w:right w:val="none" w:sz="0" w:space="0" w:color="auto"/>
                          </w:divBdr>
                          <w:divsChild>
                            <w:div w:id="190050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2601729">
      <w:bodyDiv w:val="1"/>
      <w:marLeft w:val="0"/>
      <w:marRight w:val="0"/>
      <w:marTop w:val="0"/>
      <w:marBottom w:val="0"/>
      <w:divBdr>
        <w:top w:val="none" w:sz="0" w:space="0" w:color="auto"/>
        <w:left w:val="none" w:sz="0" w:space="0" w:color="auto"/>
        <w:bottom w:val="none" w:sz="0" w:space="0" w:color="auto"/>
        <w:right w:val="none" w:sz="0" w:space="0" w:color="auto"/>
      </w:divBdr>
    </w:div>
    <w:div w:id="2127965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16.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image" Target="media/image8.png"/><Relationship Id="rId33"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emf"/><Relationship Id="rId32" Type="http://schemas.openxmlformats.org/officeDocument/2006/relationships/image" Target="media/image14.png"/><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6.emf"/><Relationship Id="rId28" Type="http://schemas.openxmlformats.org/officeDocument/2006/relationships/image" Target="media/image10.emf"/><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5.emf"/><Relationship Id="rId27" Type="http://schemas.openxmlformats.org/officeDocument/2006/relationships/footer" Target="footer4.xml"/><Relationship Id="rId30" Type="http://schemas.openxmlformats.org/officeDocument/2006/relationships/image" Target="media/image12.png"/><Relationship Id="rId35"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iffany.ayala\AppData\Roaming\Microsoft\Templates\1%20Proposal\Proposal%20template%20-%20Portrait.dotm" TargetMode="External"/></Relationships>
</file>

<file path=word/theme/theme1.xml><?xml version="1.0" encoding="utf-8"?>
<a:theme xmlns:a="http://schemas.openxmlformats.org/drawingml/2006/main" name="Office Theme">
  <a:themeElements>
    <a:clrScheme name="Nous">
      <a:dk1>
        <a:sysClr val="windowText" lastClr="000000"/>
      </a:dk1>
      <a:lt1>
        <a:sysClr val="window" lastClr="FFFFFF"/>
      </a:lt1>
      <a:dk2>
        <a:srgbClr val="2E368F"/>
      </a:dk2>
      <a:lt2>
        <a:srgbClr val="00264D"/>
      </a:lt2>
      <a:accent1>
        <a:srgbClr val="FF3A40"/>
      </a:accent1>
      <a:accent2>
        <a:srgbClr val="F25E21"/>
      </a:accent2>
      <a:accent3>
        <a:srgbClr val="F8981D"/>
      </a:accent3>
      <a:accent4>
        <a:srgbClr val="FED13B"/>
      </a:accent4>
      <a:accent5>
        <a:srgbClr val="EDEDE8"/>
      </a:accent5>
      <a:accent6>
        <a:srgbClr val="25B3E0"/>
      </a:accent6>
      <a:hlink>
        <a:srgbClr val="0048C7"/>
      </a:hlink>
      <a:folHlink>
        <a:srgbClr val="0048C7"/>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2020-11-30T00:00:00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E683A8B31335E4C86F0F45B97CAC206" ma:contentTypeVersion="6" ma:contentTypeDescription="Create a new document." ma:contentTypeScope="" ma:versionID="49e6f9e9c5ea247fbd5ddb1574843ee7">
  <xsd:schema xmlns:xsd="http://www.w3.org/2001/XMLSchema" xmlns:xs="http://www.w3.org/2001/XMLSchema" xmlns:p="http://schemas.microsoft.com/office/2006/metadata/properties" xmlns:ns2="584f6a3b-b52e-48b5-a6be-548249931c8e" xmlns:ns3="76c87db2-f3bd-4b8e-b412-3958b0db335d" targetNamespace="http://schemas.microsoft.com/office/2006/metadata/properties" ma:root="true" ma:fieldsID="8b35a16297f4ca58c6f751960d4d91b0" ns2:_="" ns3:_="">
    <xsd:import namespace="584f6a3b-b52e-48b5-a6be-548249931c8e"/>
    <xsd:import namespace="76c87db2-f3bd-4b8e-b412-3958b0db335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4f6a3b-b52e-48b5-a6be-548249931c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6c87db2-f3bd-4b8e-b412-3958b0db335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76c87db2-f3bd-4b8e-b412-3958b0db335d">
      <UserInfo>
        <DisplayName>DHA57 Evaluation of the Comprehensive Palliative Care in Aged Care Measure Members</DisplayName>
        <AccountId>7</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73EB9CA-7B41-4528-8B99-7FF743EE77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4f6a3b-b52e-48b5-a6be-548249931c8e"/>
    <ds:schemaRef ds:uri="76c87db2-f3bd-4b8e-b412-3958b0db33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B462EA-10A7-4754-94DC-A6846B7C0C55}">
  <ds:schemaRefs>
    <ds:schemaRef ds:uri="http://purl.org/dc/dcmitype/"/>
    <ds:schemaRef ds:uri="http://schemas.microsoft.com/office/infopath/2007/PartnerControls"/>
    <ds:schemaRef ds:uri="584f6a3b-b52e-48b5-a6be-548249931c8e"/>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76c87db2-f3bd-4b8e-b412-3958b0db335d"/>
    <ds:schemaRef ds:uri="http://www.w3.org/XML/1998/namespace"/>
  </ds:schemaRefs>
</ds:datastoreItem>
</file>

<file path=customXml/itemProps4.xml><?xml version="1.0" encoding="utf-8"?>
<ds:datastoreItem xmlns:ds="http://schemas.openxmlformats.org/officeDocument/2006/customXml" ds:itemID="{D51B4A30-4335-4615-B531-124E826026D8}">
  <ds:schemaRefs>
    <ds:schemaRef ds:uri="http://schemas.microsoft.com/sharepoint/v3/contenttype/forms"/>
  </ds:schemaRefs>
</ds:datastoreItem>
</file>

<file path=customXml/itemProps5.xml><?xml version="1.0" encoding="utf-8"?>
<ds:datastoreItem xmlns:ds="http://schemas.openxmlformats.org/officeDocument/2006/customXml" ds:itemID="{2FF4798C-C29A-428B-B38E-9E93BC9DDA52}">
  <ds:schemaRefs>
    <ds:schemaRef ds:uri="http://schemas.openxmlformats.org/officeDocument/2006/bibliography"/>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Proposal template - Portrait.dotm</Template>
  <TotalTime>6</TotalTime>
  <Pages>57</Pages>
  <Words>17795</Words>
  <Characters>101436</Characters>
  <Application>Microsoft Office Word</Application>
  <DocSecurity>0</DocSecurity>
  <Lines>845</Lines>
  <Paragraphs>237</Paragraphs>
  <ScaleCrop>false</ScaleCrop>
  <HeadingPairs>
    <vt:vector size="2" baseType="variant">
      <vt:variant>
        <vt:lpstr>Title</vt:lpstr>
      </vt:variant>
      <vt:variant>
        <vt:i4>1</vt:i4>
      </vt:variant>
    </vt:vector>
  </HeadingPairs>
  <TitlesOfParts>
    <vt:vector size="1" baseType="lpstr">
      <vt:lpstr>The National Evaluation of the Comprehensive Palliative Care in Aged Care Measure</vt:lpstr>
    </vt:vector>
  </TitlesOfParts>
  <Company>The Nous Group</Company>
  <LinksUpToDate>false</LinksUpToDate>
  <CharactersWithSpaces>118994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Literature Review Summary Report -  National Evaluation of the Comprehensive Palliative Care in Aged Care Measure</dc:title>
  <dc:subject>Department of Health</dc:subject>
  <dc:creator>ent Department of Health</dc:creator>
  <cp:keywords>Palliative care; aged care</cp:keywords>
  <cp:lastModifiedBy>EDGE, Felicity</cp:lastModifiedBy>
  <cp:revision>3</cp:revision>
  <cp:lastPrinted>2021-09-09T04:04:00Z</cp:lastPrinted>
  <dcterms:created xsi:type="dcterms:W3CDTF">2021-10-11T03:16:00Z</dcterms:created>
  <dcterms:modified xsi:type="dcterms:W3CDTF">2021-10-11T03:20:00Z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0x0101002E683A8B31335E4C86F0F45B97CAC206</vt:lpwstr>
  </property>
  <property fmtid="{D5CDD505-2E9C-101B-9397-08002B2CF9AE}" pid="3" name="Document type">
    <vt:lpwstr>15;#Proposal (draft)|5388d702-2596-4c4c-a485-311bbbb96d1e</vt:lpwstr>
  </property>
  <property fmtid="{D5CDD505-2E9C-101B-9397-08002B2CF9AE}" pid="4" name="Project doc type">
    <vt:lpwstr>48;#E. Deliverables|0f05b71d-e5f3-4d2e-afe4-cc2f30331a3f</vt:lpwstr>
  </property>
  <property fmtid="{D5CDD505-2E9C-101B-9397-08002B2CF9AE}" pid="5" name="Doc type - level 2">
    <vt:lpwstr/>
  </property>
</Properties>
</file>