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E6FF2" w14:textId="5BCA9F5B" w:rsidR="00E90764" w:rsidRPr="00CF6322" w:rsidRDefault="00CF6322" w:rsidP="00477636">
      <w:pPr>
        <w:pStyle w:val="BodyText"/>
        <w:spacing w:after="520"/>
      </w:pPr>
      <w:r w:rsidRPr="00CF6322">
        <w:rPr>
          <w:noProof/>
          <w:lang w:val="en-AU" w:eastAsia="en-AU"/>
        </w:rPr>
        <w:drawing>
          <wp:inline distT="0" distB="0" distL="0" distR="0" wp14:anchorId="70AEFDE4" wp14:editId="10F7F8E6">
            <wp:extent cx="2674533" cy="643127"/>
            <wp:effectExtent l="0" t="0" r="0" b="0"/>
            <wp:docPr id="1" name="image5.png"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descr="Australian Government Department of Health crest"/>
                    <pic:cNvPicPr/>
                  </pic:nvPicPr>
                  <pic:blipFill>
                    <a:blip r:embed="rId11" cstate="print"/>
                    <a:stretch>
                      <a:fillRect/>
                    </a:stretch>
                  </pic:blipFill>
                  <pic:spPr>
                    <a:xfrm>
                      <a:off x="0" y="0"/>
                      <a:ext cx="2674533" cy="643127"/>
                    </a:xfrm>
                    <a:prstGeom prst="rect">
                      <a:avLst/>
                    </a:prstGeom>
                  </pic:spPr>
                </pic:pic>
              </a:graphicData>
            </a:graphic>
          </wp:inline>
        </w:drawing>
      </w:r>
    </w:p>
    <w:p w14:paraId="632E6FF4" w14:textId="30551C12" w:rsidR="00E90764" w:rsidRPr="00CF6322" w:rsidRDefault="0099166C" w:rsidP="00A11D75">
      <w:pPr>
        <w:pStyle w:val="Heading1"/>
      </w:pPr>
      <w:bookmarkStart w:id="0" w:name="_Toc83043004"/>
      <w:r w:rsidRPr="00A11D75">
        <w:t>Department of Health</w:t>
      </w:r>
      <w:r w:rsidR="00A11D75">
        <w:t xml:space="preserve"> </w:t>
      </w:r>
      <w:r w:rsidR="00477636">
        <w:br/>
      </w:r>
      <w:r w:rsidRPr="00A11D75">
        <w:t>Corporate Plan</w:t>
      </w:r>
      <w:r w:rsidRPr="00CF6322">
        <w:t xml:space="preserve"> 2021–22</w:t>
      </w:r>
      <w:bookmarkEnd w:id="0"/>
    </w:p>
    <w:p w14:paraId="27B51305" w14:textId="77777777" w:rsidR="001D1CF9" w:rsidRDefault="001D1CF9" w:rsidP="00B13845">
      <w:pPr>
        <w:pStyle w:val="Heading3"/>
        <w:sectPr w:rsidR="001D1CF9" w:rsidSect="00DD2F20">
          <w:footerReference w:type="default" r:id="rId12"/>
          <w:type w:val="continuous"/>
          <w:pgSz w:w="11910" w:h="16840"/>
          <w:pgMar w:top="720" w:right="720" w:bottom="720" w:left="720" w:header="0" w:footer="410" w:gutter="0"/>
          <w:cols w:space="294"/>
        </w:sectPr>
      </w:pPr>
    </w:p>
    <w:p w14:paraId="632E6FF6" w14:textId="0226DB3B" w:rsidR="00E90764" w:rsidRPr="00B13845" w:rsidRDefault="0099166C" w:rsidP="001004D3">
      <w:pPr>
        <w:pStyle w:val="Heading2"/>
      </w:pPr>
      <w:r w:rsidRPr="00B13845">
        <w:lastRenderedPageBreak/>
        <w:t xml:space="preserve">Acknowledgement of </w:t>
      </w:r>
      <w:r w:rsidR="0035741B" w:rsidRPr="00B13845">
        <w:t>C</w:t>
      </w:r>
      <w:r w:rsidRPr="00B13845">
        <w:t>ountry</w:t>
      </w:r>
    </w:p>
    <w:p w14:paraId="632E6FF8" w14:textId="050DCB36" w:rsidR="00E90764" w:rsidRPr="00CF6322" w:rsidRDefault="0099166C" w:rsidP="001D1CF9">
      <w:pPr>
        <w:pStyle w:val="BodyText"/>
      </w:pPr>
      <w:r w:rsidRPr="00CF6322">
        <w:t>We, the Department of Health, acknowledge the Traditional</w:t>
      </w:r>
      <w:r w:rsidR="001A69EB" w:rsidRPr="00CF6322">
        <w:t xml:space="preserve"> Owners</w:t>
      </w:r>
      <w:r w:rsidRPr="00CF6322">
        <w:t xml:space="preserve"> and Custodians of Country throughout Australia.</w:t>
      </w:r>
      <w:r w:rsidR="0035741B" w:rsidRPr="00CF6322">
        <w:t xml:space="preserve"> </w:t>
      </w:r>
      <w:r w:rsidRPr="00CF6322">
        <w:t xml:space="preserve">We </w:t>
      </w:r>
      <w:proofErr w:type="spellStart"/>
      <w:r w:rsidRPr="00CF6322">
        <w:t>recognise</w:t>
      </w:r>
      <w:proofErr w:type="spellEnd"/>
      <w:r w:rsidRPr="00CF6322">
        <w:t xml:space="preserve"> the strength and resilience of Aboriginal and Torres Strait Islander people, and acknowledge and respect their continuing connections and relationships to</w:t>
      </w:r>
      <w:r w:rsidR="001A69EB" w:rsidRPr="00CF6322">
        <w:t xml:space="preserve"> country</w:t>
      </w:r>
      <w:r w:rsidRPr="00CF6322">
        <w:t>, rivers, land and sea.</w:t>
      </w:r>
    </w:p>
    <w:p w14:paraId="632E7007" w14:textId="30BDFAA1" w:rsidR="00E90764" w:rsidRPr="00CF6322" w:rsidRDefault="0099166C" w:rsidP="001D1CF9">
      <w:pPr>
        <w:pStyle w:val="BodyText"/>
      </w:pPr>
      <w:r w:rsidRPr="00CF6322">
        <w:t>We acknowledge the ongoing</w:t>
      </w:r>
      <w:r w:rsidR="001A69EB" w:rsidRPr="00CF6322">
        <w:t xml:space="preserve"> </w:t>
      </w:r>
      <w:r w:rsidRPr="00CF6322">
        <w:t>contribution Aboriginal and Torres Strait Islander people make across the Healt</w:t>
      </w:r>
      <w:r w:rsidR="0035741B" w:rsidRPr="00CF6322">
        <w:t xml:space="preserve">h </w:t>
      </w:r>
      <w:r w:rsidRPr="00CF6322">
        <w:t>system and wider community. We also pay our respects to</w:t>
      </w:r>
      <w:r w:rsidR="00B13845">
        <w:t xml:space="preserve"> </w:t>
      </w:r>
      <w:r w:rsidRPr="00CF6322">
        <w:t>Elders past, present and future and extend that respect to all Traditional Custodians of this land.</w:t>
      </w:r>
      <w:r w:rsidR="00B13845">
        <w:t xml:space="preserve"> </w:t>
      </w:r>
      <w:r w:rsidRPr="00CF6322">
        <w:t>We acknowledge and respect the Traditional Custodians whose ancestral lands are where our Health offices</w:t>
      </w:r>
      <w:r w:rsidR="00B13845">
        <w:t xml:space="preserve"> </w:t>
      </w:r>
      <w:r w:rsidRPr="00CF6322">
        <w:t>are located.</w:t>
      </w:r>
    </w:p>
    <w:p w14:paraId="0B5CC7CE" w14:textId="77777777" w:rsidR="0035741B" w:rsidRPr="001004D3" w:rsidRDefault="0035741B" w:rsidP="001004D3">
      <w:pPr>
        <w:rPr>
          <w:rStyle w:val="Strong"/>
        </w:rPr>
      </w:pPr>
      <w:r w:rsidRPr="001004D3">
        <w:rPr>
          <w:rStyle w:val="Strong"/>
        </w:rPr>
        <w:t>Artwork</w:t>
      </w:r>
    </w:p>
    <w:p w14:paraId="586CD46D" w14:textId="3DCE6739" w:rsidR="0035741B" w:rsidRPr="00CF6322" w:rsidRDefault="0035741B" w:rsidP="001D1CF9">
      <w:pPr>
        <w:pStyle w:val="BodyText"/>
      </w:pPr>
      <w:r w:rsidRPr="00B13845">
        <w:rPr>
          <w:i/>
          <w:iCs/>
        </w:rPr>
        <w:t>Stand together for a healthy</w:t>
      </w:r>
      <w:r w:rsidRPr="00CF6322">
        <w:t xml:space="preserve"> future</w:t>
      </w:r>
      <w:r w:rsidR="00B13845">
        <w:t xml:space="preserve"> </w:t>
      </w:r>
      <w:proofErr w:type="spellStart"/>
      <w:r w:rsidRPr="00CF6322">
        <w:t>Jordana</w:t>
      </w:r>
      <w:proofErr w:type="spellEnd"/>
      <w:r w:rsidRPr="00CF6322">
        <w:t xml:space="preserve"> Angus for the Australian Government Department of Health December 2020</w:t>
      </w:r>
      <w:r w:rsidR="001A69EB" w:rsidRPr="00CF6322">
        <w:t>.</w:t>
      </w:r>
    </w:p>
    <w:p w14:paraId="632E700C" w14:textId="3FC10F39" w:rsidR="00E90764" w:rsidRPr="001004D3" w:rsidRDefault="0099166C" w:rsidP="001004D3">
      <w:pPr>
        <w:rPr>
          <w:rStyle w:val="Strong"/>
        </w:rPr>
      </w:pPr>
      <w:r w:rsidRPr="001004D3">
        <w:rPr>
          <w:rStyle w:val="Strong"/>
        </w:rPr>
        <w:t>Artist Statement</w:t>
      </w:r>
    </w:p>
    <w:p w14:paraId="632E7012" w14:textId="28C6646B" w:rsidR="00E90764" w:rsidRPr="00CF6322" w:rsidRDefault="0099166C" w:rsidP="001D1CF9">
      <w:pPr>
        <w:pStyle w:val="BodyText"/>
      </w:pPr>
      <w:r w:rsidRPr="00CF6322">
        <w:t>This painting represents standing together to support each other in healthy living practices both physically and mentally. By being connected to community and staying informed on</w:t>
      </w:r>
      <w:r w:rsidR="00B13845">
        <w:t xml:space="preserve"> </w:t>
      </w:r>
      <w:r w:rsidRPr="00CF6322">
        <w:t>the latest reputable health advice we become stronger as a whole community.</w:t>
      </w:r>
      <w:r w:rsidR="00B13845">
        <w:t xml:space="preserve"> </w:t>
      </w:r>
      <w:r w:rsidRPr="00CF6322">
        <w:t>The impacts of coronavirus show how important it is</w:t>
      </w:r>
      <w:r w:rsidR="00B13845">
        <w:t xml:space="preserve"> </w:t>
      </w:r>
      <w:r w:rsidRPr="00CF6322">
        <w:t>to unite and take the steps required to keep ourselves, loved ones and our community safe; something we can apply to all areas of health and wellbeing.</w:t>
      </w:r>
      <w:r w:rsidR="00B13845">
        <w:t xml:space="preserve"> </w:t>
      </w:r>
    </w:p>
    <w:p w14:paraId="1A2B6642" w14:textId="77777777" w:rsidR="001D1CF9" w:rsidRDefault="001D1CF9" w:rsidP="00B13845">
      <w:pPr>
        <w:pStyle w:val="Heading2"/>
        <w:sectPr w:rsidR="001D1CF9" w:rsidSect="001D1CF9">
          <w:pgSz w:w="11910" w:h="16840"/>
          <w:pgMar w:top="720" w:right="720" w:bottom="720" w:left="720" w:header="0" w:footer="410" w:gutter="0"/>
          <w:cols w:space="294"/>
        </w:sectPr>
      </w:pPr>
      <w:bookmarkStart w:id="1" w:name="_Contents"/>
      <w:bookmarkStart w:id="2" w:name="_Toc83043005"/>
      <w:bookmarkEnd w:id="1"/>
    </w:p>
    <w:p w14:paraId="3383F34A" w14:textId="77777777" w:rsidR="00AA64E9" w:rsidRDefault="00AA64E9" w:rsidP="00B13845">
      <w:pPr>
        <w:pStyle w:val="Heading2"/>
        <w:sectPr w:rsidR="00AA64E9" w:rsidSect="00DD2F20">
          <w:headerReference w:type="default" r:id="rId13"/>
          <w:footerReference w:type="default" r:id="rId14"/>
          <w:type w:val="continuous"/>
          <w:pgSz w:w="11910" w:h="16840"/>
          <w:pgMar w:top="720" w:right="720" w:bottom="720" w:left="720" w:header="0" w:footer="330" w:gutter="0"/>
          <w:cols w:space="720"/>
        </w:sectPr>
      </w:pPr>
    </w:p>
    <w:p w14:paraId="632E7014" w14:textId="785A1927" w:rsidR="00E90764" w:rsidRPr="00CF6322" w:rsidRDefault="0099166C" w:rsidP="00B13845">
      <w:pPr>
        <w:pStyle w:val="Heading2"/>
      </w:pPr>
      <w:r w:rsidRPr="00B13845">
        <w:lastRenderedPageBreak/>
        <w:t>Contents</w:t>
      </w:r>
      <w:bookmarkStart w:id="3" w:name="_GoBack"/>
      <w:bookmarkEnd w:id="2"/>
      <w:bookmarkEnd w:id="3"/>
    </w:p>
    <w:p w14:paraId="567EEFAC" w14:textId="4A8154B2" w:rsidR="00A37C57" w:rsidRDefault="00A37C57" w:rsidP="00545AAA">
      <w:pPr>
        <w:pStyle w:val="TOC1"/>
        <w:tabs>
          <w:tab w:val="right" w:leader="dot" w:pos="10460"/>
        </w:tabs>
        <w:rPr>
          <w:rFonts w:cstheme="minorBidi"/>
          <w:noProof/>
          <w:sz w:val="24"/>
          <w:szCs w:val="24"/>
          <w:lang w:val="en-AU" w:eastAsia="en-GB"/>
        </w:rPr>
      </w:pPr>
      <w:r>
        <w:fldChar w:fldCharType="begin"/>
      </w:r>
      <w:r>
        <w:instrText xml:space="preserve"> TOC \o "1-2" \h \z </w:instrText>
      </w:r>
      <w:r>
        <w:fldChar w:fldCharType="separate"/>
      </w:r>
      <w:hyperlink w:anchor="_Toc83043006" w:history="1">
        <w:r w:rsidRPr="00E4512D">
          <w:rPr>
            <w:rStyle w:val="Hyperlink"/>
            <w:noProof/>
          </w:rPr>
          <w:t>Message from the Secretary</w:t>
        </w:r>
        <w:r>
          <w:rPr>
            <w:noProof/>
            <w:webHidden/>
          </w:rPr>
          <w:tab/>
        </w:r>
        <w:r>
          <w:rPr>
            <w:noProof/>
            <w:webHidden/>
          </w:rPr>
          <w:fldChar w:fldCharType="begin"/>
        </w:r>
        <w:r>
          <w:rPr>
            <w:noProof/>
            <w:webHidden/>
          </w:rPr>
          <w:instrText xml:space="preserve"> PAGEREF _Toc83043006 \h </w:instrText>
        </w:r>
        <w:r>
          <w:rPr>
            <w:noProof/>
            <w:webHidden/>
          </w:rPr>
        </w:r>
        <w:r>
          <w:rPr>
            <w:noProof/>
            <w:webHidden/>
          </w:rPr>
          <w:fldChar w:fldCharType="separate"/>
        </w:r>
        <w:r w:rsidR="00545AAA">
          <w:rPr>
            <w:noProof/>
            <w:webHidden/>
          </w:rPr>
          <w:t>4</w:t>
        </w:r>
        <w:r>
          <w:rPr>
            <w:noProof/>
            <w:webHidden/>
          </w:rPr>
          <w:fldChar w:fldCharType="end"/>
        </w:r>
      </w:hyperlink>
    </w:p>
    <w:p w14:paraId="5EBD7EA3" w14:textId="656904C0" w:rsidR="00A37C57" w:rsidRPr="00545AAA" w:rsidRDefault="00F97577" w:rsidP="00545AAA">
      <w:pPr>
        <w:pStyle w:val="TOC1"/>
        <w:tabs>
          <w:tab w:val="right" w:leader="dot" w:pos="10460"/>
        </w:tabs>
        <w:rPr>
          <w:rStyle w:val="Hyperlink"/>
        </w:rPr>
      </w:pPr>
      <w:hyperlink w:anchor="_Toc83043007" w:history="1">
        <w:r w:rsidR="00A37C57" w:rsidRPr="00E4512D">
          <w:rPr>
            <w:rStyle w:val="Hyperlink"/>
            <w:noProof/>
          </w:rPr>
          <w:t>Our Vision</w:t>
        </w:r>
        <w:r w:rsidR="00A37C57" w:rsidRPr="00545AAA">
          <w:rPr>
            <w:rStyle w:val="Hyperlink"/>
            <w:webHidden/>
          </w:rPr>
          <w:tab/>
        </w:r>
        <w:r w:rsidR="00A37C57" w:rsidRPr="00545AAA">
          <w:rPr>
            <w:rStyle w:val="Hyperlink"/>
            <w:webHidden/>
          </w:rPr>
          <w:fldChar w:fldCharType="begin"/>
        </w:r>
        <w:r w:rsidR="00A37C57" w:rsidRPr="00545AAA">
          <w:rPr>
            <w:rStyle w:val="Hyperlink"/>
            <w:webHidden/>
          </w:rPr>
          <w:instrText xml:space="preserve"> PAGEREF _Toc83043007 \h </w:instrText>
        </w:r>
        <w:r w:rsidR="00A37C57" w:rsidRPr="00545AAA">
          <w:rPr>
            <w:rStyle w:val="Hyperlink"/>
            <w:webHidden/>
          </w:rPr>
        </w:r>
        <w:r w:rsidR="00A37C57" w:rsidRPr="00545AAA">
          <w:rPr>
            <w:rStyle w:val="Hyperlink"/>
            <w:webHidden/>
          </w:rPr>
          <w:fldChar w:fldCharType="separate"/>
        </w:r>
        <w:r w:rsidR="00545AAA" w:rsidRPr="00545AAA">
          <w:rPr>
            <w:rStyle w:val="Hyperlink"/>
            <w:webHidden/>
          </w:rPr>
          <w:t>5</w:t>
        </w:r>
        <w:r w:rsidR="00A37C57" w:rsidRPr="00545AAA">
          <w:rPr>
            <w:rStyle w:val="Hyperlink"/>
            <w:webHidden/>
          </w:rPr>
          <w:fldChar w:fldCharType="end"/>
        </w:r>
      </w:hyperlink>
    </w:p>
    <w:p w14:paraId="26B0154C" w14:textId="2CE24422" w:rsidR="00A37C57" w:rsidRPr="00545AAA" w:rsidRDefault="00F97577" w:rsidP="00545AAA">
      <w:pPr>
        <w:pStyle w:val="TOC1"/>
        <w:tabs>
          <w:tab w:val="right" w:leader="dot" w:pos="10460"/>
        </w:tabs>
        <w:rPr>
          <w:rStyle w:val="Hyperlink"/>
        </w:rPr>
      </w:pPr>
      <w:hyperlink w:anchor="_Toc83043008" w:history="1">
        <w:r w:rsidR="00A37C57" w:rsidRPr="00E4512D">
          <w:rPr>
            <w:rStyle w:val="Hyperlink"/>
            <w:noProof/>
          </w:rPr>
          <w:t>Our Purpose</w:t>
        </w:r>
        <w:r w:rsidR="00A37C57" w:rsidRPr="00545AAA">
          <w:rPr>
            <w:rStyle w:val="Hyperlink"/>
            <w:webHidden/>
          </w:rPr>
          <w:tab/>
        </w:r>
        <w:r w:rsidR="00A37C57" w:rsidRPr="00545AAA">
          <w:rPr>
            <w:rStyle w:val="Hyperlink"/>
            <w:webHidden/>
          </w:rPr>
          <w:fldChar w:fldCharType="begin"/>
        </w:r>
        <w:r w:rsidR="00A37C57" w:rsidRPr="00545AAA">
          <w:rPr>
            <w:rStyle w:val="Hyperlink"/>
            <w:webHidden/>
          </w:rPr>
          <w:instrText xml:space="preserve"> PAGEREF _Toc83043008 \h </w:instrText>
        </w:r>
        <w:r w:rsidR="00A37C57" w:rsidRPr="00545AAA">
          <w:rPr>
            <w:rStyle w:val="Hyperlink"/>
            <w:webHidden/>
          </w:rPr>
        </w:r>
        <w:r w:rsidR="00A37C57" w:rsidRPr="00545AAA">
          <w:rPr>
            <w:rStyle w:val="Hyperlink"/>
            <w:webHidden/>
          </w:rPr>
          <w:fldChar w:fldCharType="separate"/>
        </w:r>
        <w:r w:rsidR="00545AAA" w:rsidRPr="00545AAA">
          <w:rPr>
            <w:rStyle w:val="Hyperlink"/>
            <w:webHidden/>
          </w:rPr>
          <w:t>5</w:t>
        </w:r>
        <w:r w:rsidR="00A37C57" w:rsidRPr="00545AAA">
          <w:rPr>
            <w:rStyle w:val="Hyperlink"/>
            <w:webHidden/>
          </w:rPr>
          <w:fldChar w:fldCharType="end"/>
        </w:r>
      </w:hyperlink>
    </w:p>
    <w:p w14:paraId="4C2DD588" w14:textId="7D4906CC" w:rsidR="00A37C57" w:rsidRPr="00545AAA" w:rsidRDefault="00F97577" w:rsidP="00545AAA">
      <w:pPr>
        <w:pStyle w:val="TOC1"/>
        <w:tabs>
          <w:tab w:val="right" w:leader="dot" w:pos="10460"/>
        </w:tabs>
        <w:rPr>
          <w:rStyle w:val="Hyperlink"/>
        </w:rPr>
      </w:pPr>
      <w:hyperlink w:anchor="_Toc83043009" w:history="1">
        <w:r w:rsidR="00A37C57" w:rsidRPr="00E4512D">
          <w:rPr>
            <w:rStyle w:val="Hyperlink"/>
            <w:noProof/>
          </w:rPr>
          <w:t>Our Values and Behaviours</w:t>
        </w:r>
        <w:r w:rsidR="00A37C57" w:rsidRPr="00545AAA">
          <w:rPr>
            <w:rStyle w:val="Hyperlink"/>
            <w:webHidden/>
          </w:rPr>
          <w:tab/>
        </w:r>
        <w:r w:rsidR="00A37C57" w:rsidRPr="00545AAA">
          <w:rPr>
            <w:rStyle w:val="Hyperlink"/>
            <w:webHidden/>
          </w:rPr>
          <w:fldChar w:fldCharType="begin"/>
        </w:r>
        <w:r w:rsidR="00A37C57" w:rsidRPr="00545AAA">
          <w:rPr>
            <w:rStyle w:val="Hyperlink"/>
            <w:webHidden/>
          </w:rPr>
          <w:instrText xml:space="preserve"> PAGEREF _Toc83043009 \h </w:instrText>
        </w:r>
        <w:r w:rsidR="00A37C57" w:rsidRPr="00545AAA">
          <w:rPr>
            <w:rStyle w:val="Hyperlink"/>
            <w:webHidden/>
          </w:rPr>
        </w:r>
        <w:r w:rsidR="00A37C57" w:rsidRPr="00545AAA">
          <w:rPr>
            <w:rStyle w:val="Hyperlink"/>
            <w:webHidden/>
          </w:rPr>
          <w:fldChar w:fldCharType="separate"/>
        </w:r>
        <w:r w:rsidR="00545AAA" w:rsidRPr="00545AAA">
          <w:rPr>
            <w:rStyle w:val="Hyperlink"/>
            <w:webHidden/>
          </w:rPr>
          <w:t>5</w:t>
        </w:r>
        <w:r w:rsidR="00A37C57" w:rsidRPr="00545AAA">
          <w:rPr>
            <w:rStyle w:val="Hyperlink"/>
            <w:webHidden/>
          </w:rPr>
          <w:fldChar w:fldCharType="end"/>
        </w:r>
      </w:hyperlink>
    </w:p>
    <w:p w14:paraId="1565A2D8" w14:textId="75982039" w:rsidR="00A37C57" w:rsidRPr="00545AAA" w:rsidRDefault="00F97577" w:rsidP="00545AAA">
      <w:pPr>
        <w:pStyle w:val="TOC1"/>
        <w:tabs>
          <w:tab w:val="right" w:leader="dot" w:pos="10460"/>
        </w:tabs>
        <w:rPr>
          <w:rStyle w:val="Hyperlink"/>
        </w:rPr>
      </w:pPr>
      <w:hyperlink w:anchor="_Toc83043010" w:history="1">
        <w:r w:rsidR="00A37C57" w:rsidRPr="00E4512D">
          <w:rPr>
            <w:rStyle w:val="Hyperlink"/>
            <w:noProof/>
          </w:rPr>
          <w:t>Our Outcomes</w:t>
        </w:r>
        <w:r w:rsidR="00A37C57" w:rsidRPr="00545AAA">
          <w:rPr>
            <w:rStyle w:val="Hyperlink"/>
            <w:webHidden/>
          </w:rPr>
          <w:tab/>
        </w:r>
        <w:r w:rsidR="00A37C57" w:rsidRPr="00545AAA">
          <w:rPr>
            <w:rStyle w:val="Hyperlink"/>
            <w:webHidden/>
          </w:rPr>
          <w:fldChar w:fldCharType="begin"/>
        </w:r>
        <w:r w:rsidR="00A37C57" w:rsidRPr="00545AAA">
          <w:rPr>
            <w:rStyle w:val="Hyperlink"/>
            <w:webHidden/>
          </w:rPr>
          <w:instrText xml:space="preserve"> PAGEREF _Toc83043010 \h </w:instrText>
        </w:r>
        <w:r w:rsidR="00A37C57" w:rsidRPr="00545AAA">
          <w:rPr>
            <w:rStyle w:val="Hyperlink"/>
            <w:webHidden/>
          </w:rPr>
        </w:r>
        <w:r w:rsidR="00A37C57" w:rsidRPr="00545AAA">
          <w:rPr>
            <w:rStyle w:val="Hyperlink"/>
            <w:webHidden/>
          </w:rPr>
          <w:fldChar w:fldCharType="separate"/>
        </w:r>
        <w:r w:rsidR="00545AAA" w:rsidRPr="00545AAA">
          <w:rPr>
            <w:rStyle w:val="Hyperlink"/>
            <w:webHidden/>
          </w:rPr>
          <w:t>6</w:t>
        </w:r>
        <w:r w:rsidR="00A37C57" w:rsidRPr="00545AAA">
          <w:rPr>
            <w:rStyle w:val="Hyperlink"/>
            <w:webHidden/>
          </w:rPr>
          <w:fldChar w:fldCharType="end"/>
        </w:r>
      </w:hyperlink>
    </w:p>
    <w:p w14:paraId="7724E32D" w14:textId="0DDB0D0B" w:rsidR="00A37C57" w:rsidRPr="00545AAA" w:rsidRDefault="00F97577" w:rsidP="00545AAA">
      <w:pPr>
        <w:pStyle w:val="TOC1"/>
        <w:tabs>
          <w:tab w:val="right" w:leader="dot" w:pos="10460"/>
        </w:tabs>
        <w:rPr>
          <w:rStyle w:val="Hyperlink"/>
        </w:rPr>
      </w:pPr>
      <w:hyperlink w:anchor="_Toc83043011" w:history="1">
        <w:r w:rsidR="00A37C57" w:rsidRPr="00E4512D">
          <w:rPr>
            <w:rStyle w:val="Hyperlink"/>
            <w:noProof/>
          </w:rPr>
          <w:t>Our Operating Context</w:t>
        </w:r>
        <w:r w:rsidR="00A37C57" w:rsidRPr="00545AAA">
          <w:rPr>
            <w:rStyle w:val="Hyperlink"/>
            <w:webHidden/>
          </w:rPr>
          <w:tab/>
        </w:r>
        <w:r w:rsidR="00A37C57" w:rsidRPr="00545AAA">
          <w:rPr>
            <w:rStyle w:val="Hyperlink"/>
            <w:webHidden/>
          </w:rPr>
          <w:fldChar w:fldCharType="begin"/>
        </w:r>
        <w:r w:rsidR="00A37C57" w:rsidRPr="00545AAA">
          <w:rPr>
            <w:rStyle w:val="Hyperlink"/>
            <w:webHidden/>
          </w:rPr>
          <w:instrText xml:space="preserve"> PAGEREF _Toc83043011 \h </w:instrText>
        </w:r>
        <w:r w:rsidR="00A37C57" w:rsidRPr="00545AAA">
          <w:rPr>
            <w:rStyle w:val="Hyperlink"/>
            <w:webHidden/>
          </w:rPr>
        </w:r>
        <w:r w:rsidR="00A37C57" w:rsidRPr="00545AAA">
          <w:rPr>
            <w:rStyle w:val="Hyperlink"/>
            <w:webHidden/>
          </w:rPr>
          <w:fldChar w:fldCharType="separate"/>
        </w:r>
        <w:r w:rsidR="00545AAA" w:rsidRPr="00545AAA">
          <w:rPr>
            <w:rStyle w:val="Hyperlink"/>
            <w:webHidden/>
          </w:rPr>
          <w:t>7</w:t>
        </w:r>
        <w:r w:rsidR="00A37C57" w:rsidRPr="00545AAA">
          <w:rPr>
            <w:rStyle w:val="Hyperlink"/>
            <w:webHidden/>
          </w:rPr>
          <w:fldChar w:fldCharType="end"/>
        </w:r>
      </w:hyperlink>
    </w:p>
    <w:p w14:paraId="5D2C23B7" w14:textId="006AC24A" w:rsidR="00A37C57" w:rsidRPr="00545AAA" w:rsidRDefault="00F97577" w:rsidP="00545AAA">
      <w:pPr>
        <w:pStyle w:val="TOC1"/>
        <w:tabs>
          <w:tab w:val="right" w:leader="dot" w:pos="10460"/>
        </w:tabs>
        <w:rPr>
          <w:rStyle w:val="Hyperlink"/>
        </w:rPr>
      </w:pPr>
      <w:hyperlink w:anchor="_Toc83043012" w:history="1">
        <w:r w:rsidR="00A37C57" w:rsidRPr="00E4512D">
          <w:rPr>
            <w:rStyle w:val="Hyperlink"/>
            <w:noProof/>
          </w:rPr>
          <w:t>Our Structure</w:t>
        </w:r>
        <w:r w:rsidR="00A37C57" w:rsidRPr="00545AAA">
          <w:rPr>
            <w:rStyle w:val="Hyperlink"/>
            <w:webHidden/>
          </w:rPr>
          <w:tab/>
        </w:r>
        <w:r w:rsidR="00A37C57" w:rsidRPr="00545AAA">
          <w:rPr>
            <w:rStyle w:val="Hyperlink"/>
            <w:webHidden/>
          </w:rPr>
          <w:fldChar w:fldCharType="begin"/>
        </w:r>
        <w:r w:rsidR="00A37C57" w:rsidRPr="00545AAA">
          <w:rPr>
            <w:rStyle w:val="Hyperlink"/>
            <w:webHidden/>
          </w:rPr>
          <w:instrText xml:space="preserve"> PAGEREF _Toc83043012 \h </w:instrText>
        </w:r>
        <w:r w:rsidR="00A37C57" w:rsidRPr="00545AAA">
          <w:rPr>
            <w:rStyle w:val="Hyperlink"/>
            <w:webHidden/>
          </w:rPr>
        </w:r>
        <w:r w:rsidR="00A37C57" w:rsidRPr="00545AAA">
          <w:rPr>
            <w:rStyle w:val="Hyperlink"/>
            <w:webHidden/>
          </w:rPr>
          <w:fldChar w:fldCharType="separate"/>
        </w:r>
        <w:r w:rsidR="00545AAA" w:rsidRPr="00545AAA">
          <w:rPr>
            <w:rStyle w:val="Hyperlink"/>
            <w:webHidden/>
          </w:rPr>
          <w:t>8</w:t>
        </w:r>
        <w:r w:rsidR="00A37C57" w:rsidRPr="00545AAA">
          <w:rPr>
            <w:rStyle w:val="Hyperlink"/>
            <w:webHidden/>
          </w:rPr>
          <w:fldChar w:fldCharType="end"/>
        </w:r>
      </w:hyperlink>
    </w:p>
    <w:p w14:paraId="016312C1" w14:textId="7352F098" w:rsidR="00A37C57" w:rsidRPr="00545AAA" w:rsidRDefault="00F97577" w:rsidP="00545AAA">
      <w:pPr>
        <w:pStyle w:val="TOC1"/>
        <w:tabs>
          <w:tab w:val="right" w:leader="dot" w:pos="10460"/>
        </w:tabs>
        <w:rPr>
          <w:rStyle w:val="Hyperlink"/>
        </w:rPr>
      </w:pPr>
      <w:hyperlink w:anchor="_Toc83043013" w:history="1">
        <w:r w:rsidR="00A37C57" w:rsidRPr="00E4512D">
          <w:rPr>
            <w:rStyle w:val="Hyperlink"/>
            <w:noProof/>
          </w:rPr>
          <w:t>Our Partners</w:t>
        </w:r>
        <w:r w:rsidR="00A37C57" w:rsidRPr="00545AAA">
          <w:rPr>
            <w:rStyle w:val="Hyperlink"/>
            <w:webHidden/>
          </w:rPr>
          <w:tab/>
        </w:r>
        <w:r w:rsidR="00A37C57" w:rsidRPr="00545AAA">
          <w:rPr>
            <w:rStyle w:val="Hyperlink"/>
            <w:webHidden/>
          </w:rPr>
          <w:fldChar w:fldCharType="begin"/>
        </w:r>
        <w:r w:rsidR="00A37C57" w:rsidRPr="00545AAA">
          <w:rPr>
            <w:rStyle w:val="Hyperlink"/>
            <w:webHidden/>
          </w:rPr>
          <w:instrText xml:space="preserve"> PAGEREF _Toc83043013 \h </w:instrText>
        </w:r>
        <w:r w:rsidR="00A37C57" w:rsidRPr="00545AAA">
          <w:rPr>
            <w:rStyle w:val="Hyperlink"/>
            <w:webHidden/>
          </w:rPr>
        </w:r>
        <w:r w:rsidR="00A37C57" w:rsidRPr="00545AAA">
          <w:rPr>
            <w:rStyle w:val="Hyperlink"/>
            <w:webHidden/>
          </w:rPr>
          <w:fldChar w:fldCharType="separate"/>
        </w:r>
        <w:r w:rsidR="00545AAA" w:rsidRPr="00545AAA">
          <w:rPr>
            <w:rStyle w:val="Hyperlink"/>
            <w:webHidden/>
          </w:rPr>
          <w:t>10</w:t>
        </w:r>
        <w:r w:rsidR="00A37C57" w:rsidRPr="00545AAA">
          <w:rPr>
            <w:rStyle w:val="Hyperlink"/>
            <w:webHidden/>
          </w:rPr>
          <w:fldChar w:fldCharType="end"/>
        </w:r>
      </w:hyperlink>
    </w:p>
    <w:p w14:paraId="50D31F79" w14:textId="74AFCFF3" w:rsidR="00A37C57" w:rsidRPr="00545AAA" w:rsidRDefault="00F97577" w:rsidP="00545AAA">
      <w:pPr>
        <w:pStyle w:val="TOC1"/>
        <w:tabs>
          <w:tab w:val="right" w:leader="dot" w:pos="10460"/>
        </w:tabs>
        <w:rPr>
          <w:rStyle w:val="Hyperlink"/>
        </w:rPr>
      </w:pPr>
      <w:hyperlink w:anchor="_Toc83043014" w:history="1">
        <w:r w:rsidR="00A37C57" w:rsidRPr="00E4512D">
          <w:rPr>
            <w:rStyle w:val="Hyperlink"/>
            <w:noProof/>
          </w:rPr>
          <w:t>National Agreement on Closing the Gap</w:t>
        </w:r>
        <w:r w:rsidR="00A37C57" w:rsidRPr="00545AAA">
          <w:rPr>
            <w:rStyle w:val="Hyperlink"/>
            <w:webHidden/>
          </w:rPr>
          <w:tab/>
        </w:r>
        <w:r w:rsidR="00A37C57" w:rsidRPr="00545AAA">
          <w:rPr>
            <w:rStyle w:val="Hyperlink"/>
            <w:webHidden/>
          </w:rPr>
          <w:fldChar w:fldCharType="begin"/>
        </w:r>
        <w:r w:rsidR="00A37C57" w:rsidRPr="00545AAA">
          <w:rPr>
            <w:rStyle w:val="Hyperlink"/>
            <w:webHidden/>
          </w:rPr>
          <w:instrText xml:space="preserve"> PAGEREF _Toc83043014 \h </w:instrText>
        </w:r>
        <w:r w:rsidR="00A37C57" w:rsidRPr="00545AAA">
          <w:rPr>
            <w:rStyle w:val="Hyperlink"/>
            <w:webHidden/>
          </w:rPr>
        </w:r>
        <w:r w:rsidR="00A37C57" w:rsidRPr="00545AAA">
          <w:rPr>
            <w:rStyle w:val="Hyperlink"/>
            <w:webHidden/>
          </w:rPr>
          <w:fldChar w:fldCharType="separate"/>
        </w:r>
        <w:r w:rsidR="00545AAA" w:rsidRPr="00545AAA">
          <w:rPr>
            <w:rStyle w:val="Hyperlink"/>
            <w:webHidden/>
          </w:rPr>
          <w:t>11</w:t>
        </w:r>
        <w:r w:rsidR="00A37C57" w:rsidRPr="00545AAA">
          <w:rPr>
            <w:rStyle w:val="Hyperlink"/>
            <w:webHidden/>
          </w:rPr>
          <w:fldChar w:fldCharType="end"/>
        </w:r>
      </w:hyperlink>
    </w:p>
    <w:p w14:paraId="4E6B48FD" w14:textId="68036607" w:rsidR="00A37C57" w:rsidRPr="00545AAA" w:rsidRDefault="00F97577" w:rsidP="00545AAA">
      <w:pPr>
        <w:pStyle w:val="TOC1"/>
        <w:tabs>
          <w:tab w:val="right" w:leader="dot" w:pos="10460"/>
        </w:tabs>
        <w:rPr>
          <w:rStyle w:val="Hyperlink"/>
        </w:rPr>
      </w:pPr>
      <w:hyperlink w:anchor="_Toc83043015" w:history="1">
        <w:r w:rsidR="00A37C57" w:rsidRPr="00E4512D">
          <w:rPr>
            <w:rStyle w:val="Hyperlink"/>
            <w:noProof/>
          </w:rPr>
          <w:t>Our Corporate Governance</w:t>
        </w:r>
        <w:r w:rsidR="00A37C57" w:rsidRPr="00545AAA">
          <w:rPr>
            <w:rStyle w:val="Hyperlink"/>
            <w:webHidden/>
          </w:rPr>
          <w:tab/>
        </w:r>
        <w:r w:rsidR="00A37C57" w:rsidRPr="00545AAA">
          <w:rPr>
            <w:rStyle w:val="Hyperlink"/>
            <w:webHidden/>
          </w:rPr>
          <w:fldChar w:fldCharType="begin"/>
        </w:r>
        <w:r w:rsidR="00A37C57" w:rsidRPr="00545AAA">
          <w:rPr>
            <w:rStyle w:val="Hyperlink"/>
            <w:webHidden/>
          </w:rPr>
          <w:instrText xml:space="preserve"> PAGEREF _Toc83043015 \h </w:instrText>
        </w:r>
        <w:r w:rsidR="00A37C57" w:rsidRPr="00545AAA">
          <w:rPr>
            <w:rStyle w:val="Hyperlink"/>
            <w:webHidden/>
          </w:rPr>
        </w:r>
        <w:r w:rsidR="00A37C57" w:rsidRPr="00545AAA">
          <w:rPr>
            <w:rStyle w:val="Hyperlink"/>
            <w:webHidden/>
          </w:rPr>
          <w:fldChar w:fldCharType="separate"/>
        </w:r>
        <w:r w:rsidR="00545AAA" w:rsidRPr="00545AAA">
          <w:rPr>
            <w:rStyle w:val="Hyperlink"/>
            <w:webHidden/>
          </w:rPr>
          <w:t>12</w:t>
        </w:r>
        <w:r w:rsidR="00A37C57" w:rsidRPr="00545AAA">
          <w:rPr>
            <w:rStyle w:val="Hyperlink"/>
            <w:webHidden/>
          </w:rPr>
          <w:fldChar w:fldCharType="end"/>
        </w:r>
      </w:hyperlink>
    </w:p>
    <w:p w14:paraId="04DBE3A9" w14:textId="539CDA63" w:rsidR="00A37C57" w:rsidRPr="00545AAA" w:rsidRDefault="00F97577" w:rsidP="00545AAA">
      <w:pPr>
        <w:pStyle w:val="TOC1"/>
        <w:tabs>
          <w:tab w:val="right" w:leader="dot" w:pos="10460"/>
        </w:tabs>
        <w:rPr>
          <w:rStyle w:val="Hyperlink"/>
        </w:rPr>
      </w:pPr>
      <w:hyperlink w:anchor="_Toc83043016" w:history="1">
        <w:r w:rsidR="00A37C57" w:rsidRPr="00E4512D">
          <w:rPr>
            <w:rStyle w:val="Hyperlink"/>
            <w:noProof/>
          </w:rPr>
          <w:t>Our Capability</w:t>
        </w:r>
        <w:r w:rsidR="00A37C57" w:rsidRPr="00545AAA">
          <w:rPr>
            <w:rStyle w:val="Hyperlink"/>
            <w:webHidden/>
          </w:rPr>
          <w:tab/>
        </w:r>
        <w:r w:rsidR="00A37C57" w:rsidRPr="00545AAA">
          <w:rPr>
            <w:rStyle w:val="Hyperlink"/>
            <w:webHidden/>
          </w:rPr>
          <w:fldChar w:fldCharType="begin"/>
        </w:r>
        <w:r w:rsidR="00A37C57" w:rsidRPr="00545AAA">
          <w:rPr>
            <w:rStyle w:val="Hyperlink"/>
            <w:webHidden/>
          </w:rPr>
          <w:instrText xml:space="preserve"> PAGEREF _Toc83043016 \h </w:instrText>
        </w:r>
        <w:r w:rsidR="00A37C57" w:rsidRPr="00545AAA">
          <w:rPr>
            <w:rStyle w:val="Hyperlink"/>
            <w:webHidden/>
          </w:rPr>
        </w:r>
        <w:r w:rsidR="00A37C57" w:rsidRPr="00545AAA">
          <w:rPr>
            <w:rStyle w:val="Hyperlink"/>
            <w:webHidden/>
          </w:rPr>
          <w:fldChar w:fldCharType="separate"/>
        </w:r>
        <w:r w:rsidR="00545AAA" w:rsidRPr="00545AAA">
          <w:rPr>
            <w:rStyle w:val="Hyperlink"/>
            <w:webHidden/>
          </w:rPr>
          <w:t>15</w:t>
        </w:r>
        <w:r w:rsidR="00A37C57" w:rsidRPr="00545AAA">
          <w:rPr>
            <w:rStyle w:val="Hyperlink"/>
            <w:webHidden/>
          </w:rPr>
          <w:fldChar w:fldCharType="end"/>
        </w:r>
      </w:hyperlink>
    </w:p>
    <w:p w14:paraId="02B98465" w14:textId="6E866564" w:rsidR="00A37C57" w:rsidRPr="00545AAA" w:rsidRDefault="00F97577" w:rsidP="00545AAA">
      <w:pPr>
        <w:pStyle w:val="TOC1"/>
        <w:tabs>
          <w:tab w:val="right" w:leader="dot" w:pos="10460"/>
        </w:tabs>
        <w:rPr>
          <w:rStyle w:val="Hyperlink"/>
        </w:rPr>
      </w:pPr>
      <w:hyperlink w:anchor="_Toc83043017" w:history="1">
        <w:r w:rsidR="00A37C57" w:rsidRPr="00E4512D">
          <w:rPr>
            <w:rStyle w:val="Hyperlink"/>
            <w:noProof/>
          </w:rPr>
          <w:t>Our Performance</w:t>
        </w:r>
        <w:r w:rsidR="00A37C57" w:rsidRPr="00545AAA">
          <w:rPr>
            <w:rStyle w:val="Hyperlink"/>
            <w:webHidden/>
          </w:rPr>
          <w:tab/>
        </w:r>
        <w:r w:rsidR="00A37C57" w:rsidRPr="00545AAA">
          <w:rPr>
            <w:rStyle w:val="Hyperlink"/>
            <w:webHidden/>
          </w:rPr>
          <w:fldChar w:fldCharType="begin"/>
        </w:r>
        <w:r w:rsidR="00A37C57" w:rsidRPr="00545AAA">
          <w:rPr>
            <w:rStyle w:val="Hyperlink"/>
            <w:webHidden/>
          </w:rPr>
          <w:instrText xml:space="preserve"> PAGEREF _Toc83043017 \h </w:instrText>
        </w:r>
        <w:r w:rsidR="00A37C57" w:rsidRPr="00545AAA">
          <w:rPr>
            <w:rStyle w:val="Hyperlink"/>
            <w:webHidden/>
          </w:rPr>
        </w:r>
        <w:r w:rsidR="00A37C57" w:rsidRPr="00545AAA">
          <w:rPr>
            <w:rStyle w:val="Hyperlink"/>
            <w:webHidden/>
          </w:rPr>
          <w:fldChar w:fldCharType="separate"/>
        </w:r>
        <w:r w:rsidR="00545AAA" w:rsidRPr="00545AAA">
          <w:rPr>
            <w:rStyle w:val="Hyperlink"/>
            <w:webHidden/>
          </w:rPr>
          <w:t>18</w:t>
        </w:r>
        <w:r w:rsidR="00A37C57" w:rsidRPr="00545AAA">
          <w:rPr>
            <w:rStyle w:val="Hyperlink"/>
            <w:webHidden/>
          </w:rPr>
          <w:fldChar w:fldCharType="end"/>
        </w:r>
      </w:hyperlink>
    </w:p>
    <w:p w14:paraId="2218BA6F" w14:textId="7998F64D" w:rsidR="00A37C57" w:rsidRPr="00545AAA" w:rsidRDefault="00F97577" w:rsidP="00545AAA">
      <w:pPr>
        <w:pStyle w:val="TOC1"/>
        <w:tabs>
          <w:tab w:val="right" w:leader="dot" w:pos="10460"/>
        </w:tabs>
        <w:rPr>
          <w:rStyle w:val="Hyperlink"/>
        </w:rPr>
      </w:pPr>
      <w:hyperlink w:anchor="_Toc83043018" w:history="1">
        <w:r w:rsidR="00A37C57" w:rsidRPr="00E4512D">
          <w:rPr>
            <w:rStyle w:val="Hyperlink"/>
            <w:noProof/>
          </w:rPr>
          <w:t>OUTCOME 1 – Health Policy, Access and Support</w:t>
        </w:r>
        <w:r w:rsidR="00A37C57" w:rsidRPr="00545AAA">
          <w:rPr>
            <w:rStyle w:val="Hyperlink"/>
            <w:webHidden/>
          </w:rPr>
          <w:tab/>
        </w:r>
        <w:r w:rsidR="00A37C57" w:rsidRPr="00545AAA">
          <w:rPr>
            <w:rStyle w:val="Hyperlink"/>
            <w:webHidden/>
          </w:rPr>
          <w:fldChar w:fldCharType="begin"/>
        </w:r>
        <w:r w:rsidR="00A37C57" w:rsidRPr="00545AAA">
          <w:rPr>
            <w:rStyle w:val="Hyperlink"/>
            <w:webHidden/>
          </w:rPr>
          <w:instrText xml:space="preserve"> PAGEREF _Toc83043018 \h </w:instrText>
        </w:r>
        <w:r w:rsidR="00A37C57" w:rsidRPr="00545AAA">
          <w:rPr>
            <w:rStyle w:val="Hyperlink"/>
            <w:webHidden/>
          </w:rPr>
        </w:r>
        <w:r w:rsidR="00A37C57" w:rsidRPr="00545AAA">
          <w:rPr>
            <w:rStyle w:val="Hyperlink"/>
            <w:webHidden/>
          </w:rPr>
          <w:fldChar w:fldCharType="separate"/>
        </w:r>
        <w:r w:rsidR="00545AAA" w:rsidRPr="00545AAA">
          <w:rPr>
            <w:rStyle w:val="Hyperlink"/>
            <w:webHidden/>
          </w:rPr>
          <w:t>20</w:t>
        </w:r>
        <w:r w:rsidR="00A37C57" w:rsidRPr="00545AAA">
          <w:rPr>
            <w:rStyle w:val="Hyperlink"/>
            <w:webHidden/>
          </w:rPr>
          <w:fldChar w:fldCharType="end"/>
        </w:r>
      </w:hyperlink>
    </w:p>
    <w:p w14:paraId="29B50075" w14:textId="0AA74504" w:rsidR="00A37C57" w:rsidRPr="00545AAA" w:rsidRDefault="00F97577" w:rsidP="00545AAA">
      <w:pPr>
        <w:pStyle w:val="TOC1"/>
        <w:tabs>
          <w:tab w:val="right" w:leader="dot" w:pos="10460"/>
        </w:tabs>
        <w:rPr>
          <w:rStyle w:val="Hyperlink"/>
        </w:rPr>
      </w:pPr>
      <w:hyperlink w:anchor="_Toc83043019" w:history="1">
        <w:r w:rsidR="00A37C57" w:rsidRPr="00E4512D">
          <w:rPr>
            <w:rStyle w:val="Hyperlink"/>
            <w:noProof/>
          </w:rPr>
          <w:t>OUTCOME 2 – Individual Health Benefits</w:t>
        </w:r>
        <w:r w:rsidR="00A37C57" w:rsidRPr="00545AAA">
          <w:rPr>
            <w:rStyle w:val="Hyperlink"/>
            <w:webHidden/>
          </w:rPr>
          <w:tab/>
        </w:r>
        <w:r w:rsidR="00A37C57" w:rsidRPr="00545AAA">
          <w:rPr>
            <w:rStyle w:val="Hyperlink"/>
            <w:webHidden/>
          </w:rPr>
          <w:fldChar w:fldCharType="begin"/>
        </w:r>
        <w:r w:rsidR="00A37C57" w:rsidRPr="00545AAA">
          <w:rPr>
            <w:rStyle w:val="Hyperlink"/>
            <w:webHidden/>
          </w:rPr>
          <w:instrText xml:space="preserve"> PAGEREF _Toc83043019 \h </w:instrText>
        </w:r>
        <w:r w:rsidR="00A37C57" w:rsidRPr="00545AAA">
          <w:rPr>
            <w:rStyle w:val="Hyperlink"/>
            <w:webHidden/>
          </w:rPr>
        </w:r>
        <w:r w:rsidR="00A37C57" w:rsidRPr="00545AAA">
          <w:rPr>
            <w:rStyle w:val="Hyperlink"/>
            <w:webHidden/>
          </w:rPr>
          <w:fldChar w:fldCharType="separate"/>
        </w:r>
        <w:r w:rsidR="00545AAA" w:rsidRPr="00545AAA">
          <w:rPr>
            <w:rStyle w:val="Hyperlink"/>
            <w:webHidden/>
          </w:rPr>
          <w:t>50</w:t>
        </w:r>
        <w:r w:rsidR="00A37C57" w:rsidRPr="00545AAA">
          <w:rPr>
            <w:rStyle w:val="Hyperlink"/>
            <w:webHidden/>
          </w:rPr>
          <w:fldChar w:fldCharType="end"/>
        </w:r>
      </w:hyperlink>
    </w:p>
    <w:p w14:paraId="1FDF419A" w14:textId="0CDA60ED" w:rsidR="00A37C57" w:rsidRPr="00545AAA" w:rsidRDefault="00F97577" w:rsidP="00545AAA">
      <w:pPr>
        <w:pStyle w:val="TOC1"/>
        <w:tabs>
          <w:tab w:val="right" w:leader="dot" w:pos="10460"/>
        </w:tabs>
        <w:rPr>
          <w:rStyle w:val="Hyperlink"/>
        </w:rPr>
      </w:pPr>
      <w:hyperlink w:anchor="_Toc83043020" w:history="1">
        <w:r w:rsidR="00A37C57" w:rsidRPr="00E4512D">
          <w:rPr>
            <w:rStyle w:val="Hyperlink"/>
            <w:noProof/>
          </w:rPr>
          <w:t>Respect, Care and Dignity for Senior Australians – The Australian Government’s Aged Care Reform Plan</w:t>
        </w:r>
        <w:r w:rsidR="00A37C57" w:rsidRPr="00545AAA">
          <w:rPr>
            <w:rStyle w:val="Hyperlink"/>
            <w:webHidden/>
          </w:rPr>
          <w:tab/>
        </w:r>
        <w:r w:rsidR="00A37C57" w:rsidRPr="00545AAA">
          <w:rPr>
            <w:rStyle w:val="Hyperlink"/>
            <w:webHidden/>
          </w:rPr>
          <w:fldChar w:fldCharType="begin"/>
        </w:r>
        <w:r w:rsidR="00A37C57" w:rsidRPr="00545AAA">
          <w:rPr>
            <w:rStyle w:val="Hyperlink"/>
            <w:webHidden/>
          </w:rPr>
          <w:instrText xml:space="preserve"> PAGEREF _Toc83043020 \h </w:instrText>
        </w:r>
        <w:r w:rsidR="00A37C57" w:rsidRPr="00545AAA">
          <w:rPr>
            <w:rStyle w:val="Hyperlink"/>
            <w:webHidden/>
          </w:rPr>
        </w:r>
        <w:r w:rsidR="00A37C57" w:rsidRPr="00545AAA">
          <w:rPr>
            <w:rStyle w:val="Hyperlink"/>
            <w:webHidden/>
          </w:rPr>
          <w:fldChar w:fldCharType="separate"/>
        </w:r>
        <w:r w:rsidR="00545AAA" w:rsidRPr="00545AAA">
          <w:rPr>
            <w:rStyle w:val="Hyperlink"/>
            <w:webHidden/>
          </w:rPr>
          <w:t>65</w:t>
        </w:r>
        <w:r w:rsidR="00A37C57" w:rsidRPr="00545AAA">
          <w:rPr>
            <w:rStyle w:val="Hyperlink"/>
            <w:webHidden/>
          </w:rPr>
          <w:fldChar w:fldCharType="end"/>
        </w:r>
      </w:hyperlink>
    </w:p>
    <w:p w14:paraId="52E47428" w14:textId="7C92C01D" w:rsidR="00A37C57" w:rsidRPr="00545AAA" w:rsidRDefault="00F97577" w:rsidP="00545AAA">
      <w:pPr>
        <w:pStyle w:val="TOC1"/>
        <w:tabs>
          <w:tab w:val="right" w:leader="dot" w:pos="10460"/>
        </w:tabs>
        <w:rPr>
          <w:rStyle w:val="Hyperlink"/>
        </w:rPr>
      </w:pPr>
      <w:hyperlink w:anchor="_Toc83043021" w:history="1">
        <w:r w:rsidR="00A37C57" w:rsidRPr="00E4512D">
          <w:rPr>
            <w:rStyle w:val="Hyperlink"/>
            <w:noProof/>
          </w:rPr>
          <w:t>OUTCOME 3 – Ageing and Aged Care</w:t>
        </w:r>
        <w:r w:rsidR="00A37C57" w:rsidRPr="00545AAA">
          <w:rPr>
            <w:rStyle w:val="Hyperlink"/>
            <w:webHidden/>
          </w:rPr>
          <w:tab/>
        </w:r>
        <w:r w:rsidR="00A37C57" w:rsidRPr="00545AAA">
          <w:rPr>
            <w:rStyle w:val="Hyperlink"/>
            <w:webHidden/>
          </w:rPr>
          <w:fldChar w:fldCharType="begin"/>
        </w:r>
        <w:r w:rsidR="00A37C57" w:rsidRPr="00545AAA">
          <w:rPr>
            <w:rStyle w:val="Hyperlink"/>
            <w:webHidden/>
          </w:rPr>
          <w:instrText xml:space="preserve"> PAGEREF _Toc83043021 \h </w:instrText>
        </w:r>
        <w:r w:rsidR="00A37C57" w:rsidRPr="00545AAA">
          <w:rPr>
            <w:rStyle w:val="Hyperlink"/>
            <w:webHidden/>
          </w:rPr>
        </w:r>
        <w:r w:rsidR="00A37C57" w:rsidRPr="00545AAA">
          <w:rPr>
            <w:rStyle w:val="Hyperlink"/>
            <w:webHidden/>
          </w:rPr>
          <w:fldChar w:fldCharType="separate"/>
        </w:r>
        <w:r w:rsidR="00545AAA" w:rsidRPr="00545AAA">
          <w:rPr>
            <w:rStyle w:val="Hyperlink"/>
            <w:webHidden/>
          </w:rPr>
          <w:t>70</w:t>
        </w:r>
        <w:r w:rsidR="00A37C57" w:rsidRPr="00545AAA">
          <w:rPr>
            <w:rStyle w:val="Hyperlink"/>
            <w:webHidden/>
          </w:rPr>
          <w:fldChar w:fldCharType="end"/>
        </w:r>
      </w:hyperlink>
    </w:p>
    <w:p w14:paraId="2148F9C0" w14:textId="284CDE46" w:rsidR="00A37C57" w:rsidRPr="00545AAA" w:rsidRDefault="00F97577" w:rsidP="00545AAA">
      <w:pPr>
        <w:pStyle w:val="TOC1"/>
        <w:tabs>
          <w:tab w:val="right" w:leader="dot" w:pos="10460"/>
        </w:tabs>
        <w:rPr>
          <w:rStyle w:val="Hyperlink"/>
        </w:rPr>
      </w:pPr>
      <w:hyperlink w:anchor="_Toc83043022" w:history="1">
        <w:r w:rsidR="00A37C57" w:rsidRPr="00E4512D">
          <w:rPr>
            <w:rStyle w:val="Hyperlink"/>
            <w:noProof/>
          </w:rPr>
          <w:t>OUTCOME 4 – Sport and Recreation</w:t>
        </w:r>
        <w:r w:rsidR="00A37C57" w:rsidRPr="00545AAA">
          <w:rPr>
            <w:rStyle w:val="Hyperlink"/>
            <w:webHidden/>
          </w:rPr>
          <w:tab/>
        </w:r>
        <w:r w:rsidR="00A37C57" w:rsidRPr="00545AAA">
          <w:rPr>
            <w:rStyle w:val="Hyperlink"/>
            <w:webHidden/>
          </w:rPr>
          <w:fldChar w:fldCharType="begin"/>
        </w:r>
        <w:r w:rsidR="00A37C57" w:rsidRPr="00545AAA">
          <w:rPr>
            <w:rStyle w:val="Hyperlink"/>
            <w:webHidden/>
          </w:rPr>
          <w:instrText xml:space="preserve"> PAGEREF _Toc83043022 \h </w:instrText>
        </w:r>
        <w:r w:rsidR="00A37C57" w:rsidRPr="00545AAA">
          <w:rPr>
            <w:rStyle w:val="Hyperlink"/>
            <w:webHidden/>
          </w:rPr>
        </w:r>
        <w:r w:rsidR="00A37C57" w:rsidRPr="00545AAA">
          <w:rPr>
            <w:rStyle w:val="Hyperlink"/>
            <w:webHidden/>
          </w:rPr>
          <w:fldChar w:fldCharType="separate"/>
        </w:r>
        <w:r w:rsidR="00545AAA" w:rsidRPr="00545AAA">
          <w:rPr>
            <w:rStyle w:val="Hyperlink"/>
            <w:webHidden/>
          </w:rPr>
          <w:t>82</w:t>
        </w:r>
        <w:r w:rsidR="00A37C57" w:rsidRPr="00545AAA">
          <w:rPr>
            <w:rStyle w:val="Hyperlink"/>
            <w:webHidden/>
          </w:rPr>
          <w:fldChar w:fldCharType="end"/>
        </w:r>
      </w:hyperlink>
    </w:p>
    <w:p w14:paraId="07A1FEB7" w14:textId="29256013" w:rsidR="00A37C57" w:rsidRPr="00545AAA" w:rsidRDefault="00F97577" w:rsidP="00545AAA">
      <w:pPr>
        <w:pStyle w:val="TOC1"/>
        <w:tabs>
          <w:tab w:val="right" w:leader="dot" w:pos="10460"/>
        </w:tabs>
        <w:rPr>
          <w:rStyle w:val="Hyperlink"/>
        </w:rPr>
      </w:pPr>
      <w:hyperlink w:anchor="_Toc83043023" w:history="1">
        <w:r w:rsidR="00A37C57" w:rsidRPr="00E4512D">
          <w:rPr>
            <w:rStyle w:val="Hyperlink"/>
            <w:noProof/>
          </w:rPr>
          <w:t>List of Requirements</w:t>
        </w:r>
        <w:r w:rsidR="00A37C57" w:rsidRPr="00545AAA">
          <w:rPr>
            <w:rStyle w:val="Hyperlink"/>
            <w:webHidden/>
          </w:rPr>
          <w:tab/>
        </w:r>
        <w:r w:rsidR="00A37C57" w:rsidRPr="00545AAA">
          <w:rPr>
            <w:rStyle w:val="Hyperlink"/>
            <w:webHidden/>
          </w:rPr>
          <w:fldChar w:fldCharType="begin"/>
        </w:r>
        <w:r w:rsidR="00A37C57" w:rsidRPr="00545AAA">
          <w:rPr>
            <w:rStyle w:val="Hyperlink"/>
            <w:webHidden/>
          </w:rPr>
          <w:instrText xml:space="preserve"> PAGEREF _Toc83043023 \h </w:instrText>
        </w:r>
        <w:r w:rsidR="00A37C57" w:rsidRPr="00545AAA">
          <w:rPr>
            <w:rStyle w:val="Hyperlink"/>
            <w:webHidden/>
          </w:rPr>
        </w:r>
        <w:r w:rsidR="00A37C57" w:rsidRPr="00545AAA">
          <w:rPr>
            <w:rStyle w:val="Hyperlink"/>
            <w:webHidden/>
          </w:rPr>
          <w:fldChar w:fldCharType="separate"/>
        </w:r>
        <w:r w:rsidR="00545AAA" w:rsidRPr="00545AAA">
          <w:rPr>
            <w:rStyle w:val="Hyperlink"/>
            <w:webHidden/>
          </w:rPr>
          <w:t>87</w:t>
        </w:r>
        <w:r w:rsidR="00A37C57" w:rsidRPr="00545AAA">
          <w:rPr>
            <w:rStyle w:val="Hyperlink"/>
            <w:webHidden/>
          </w:rPr>
          <w:fldChar w:fldCharType="end"/>
        </w:r>
      </w:hyperlink>
    </w:p>
    <w:p w14:paraId="632E7019" w14:textId="6CB55C4A" w:rsidR="00E90764" w:rsidRPr="00CF6322" w:rsidRDefault="00A37C57" w:rsidP="001D1CF9">
      <w:pPr>
        <w:pStyle w:val="BodyText"/>
      </w:pPr>
      <w:r>
        <w:fldChar w:fldCharType="end"/>
      </w:r>
    </w:p>
    <w:p w14:paraId="17150AEE" w14:textId="670F7B42" w:rsidR="001D1CF9" w:rsidRDefault="001D1CF9" w:rsidP="00AA64E9">
      <w:bookmarkStart w:id="4" w:name="_Message_from_the"/>
      <w:bookmarkStart w:id="5" w:name="_Toc83043006"/>
      <w:bookmarkEnd w:id="4"/>
    </w:p>
    <w:p w14:paraId="36947505" w14:textId="77777777" w:rsidR="00AA64E9" w:rsidRDefault="00AA64E9" w:rsidP="00B13845">
      <w:pPr>
        <w:pStyle w:val="Heading2"/>
        <w:sectPr w:rsidR="00AA64E9" w:rsidSect="00AA64E9">
          <w:pgSz w:w="11910" w:h="16840"/>
          <w:pgMar w:top="720" w:right="720" w:bottom="720" w:left="720" w:header="0" w:footer="330" w:gutter="0"/>
          <w:cols w:space="720"/>
        </w:sectPr>
      </w:pPr>
    </w:p>
    <w:p w14:paraId="632E7021" w14:textId="70C0FC1A" w:rsidR="00E90764" w:rsidRPr="00CF6322" w:rsidRDefault="0099166C" w:rsidP="00B13845">
      <w:pPr>
        <w:pStyle w:val="Heading2"/>
      </w:pPr>
      <w:r w:rsidRPr="00CF6322">
        <w:lastRenderedPageBreak/>
        <w:t>Message from the Secretary</w:t>
      </w:r>
      <w:bookmarkEnd w:id="5"/>
    </w:p>
    <w:p w14:paraId="632E7022" w14:textId="66F51336" w:rsidR="00E90764" w:rsidRPr="00CF6322" w:rsidRDefault="0099166C" w:rsidP="001D1CF9">
      <w:pPr>
        <w:pStyle w:val="BodyText"/>
      </w:pPr>
      <w:r w:rsidRPr="00CF6322">
        <w:t>Welcome to the Department of Health’s 2021–22 Corporate Plan. As our primary planning document, the Corporate Plan outlines how we will, with our partners, support the Government to lead and shape Australia’s health and aged care system and sporting outcomes through evidence-based policy, well targeted programs, and best practice regulation.</w:t>
      </w:r>
    </w:p>
    <w:p w14:paraId="632E7027" w14:textId="21126CA9" w:rsidR="00E90764" w:rsidRPr="00CF6322" w:rsidRDefault="0099166C" w:rsidP="001D1CF9">
      <w:pPr>
        <w:pStyle w:val="BodyText"/>
      </w:pPr>
      <w:r w:rsidRPr="00CF6322">
        <w:t>The COVID-19 pandemic has presented the greatest test of our health system since the Department was established</w:t>
      </w:r>
      <w:r w:rsidR="00D64977" w:rsidRPr="00CF6322">
        <w:t xml:space="preserve"> </w:t>
      </w:r>
      <w:r w:rsidRPr="00CF6322">
        <w:t xml:space="preserve">over 100 years ago in 1921. It has turned the world in which we live, work, </w:t>
      </w:r>
      <w:proofErr w:type="spellStart"/>
      <w:r w:rsidRPr="00CF6322">
        <w:t>socialise</w:t>
      </w:r>
      <w:proofErr w:type="spellEnd"/>
      <w:r w:rsidRPr="00CF6322">
        <w:t xml:space="preserve"> and play, upside down. Australia’s health system has been fundamental in supporting</w:t>
      </w:r>
      <w:r w:rsidR="00D64977" w:rsidRPr="00CF6322">
        <w:t xml:space="preserve"> </w:t>
      </w:r>
      <w:r w:rsidRPr="00CF6322">
        <w:t>our community to manage the health impacts of these challenging circumstances. We have worked to ensure all areas of the health sector are prepared, informed and</w:t>
      </w:r>
      <w:r w:rsidR="00D64977" w:rsidRPr="00CF6322">
        <w:t xml:space="preserve"> </w:t>
      </w:r>
      <w:r w:rsidRPr="00CF6322">
        <w:t>engaged in the ongoing national response, supporting the outstanding collaboration between governments, public and private health systems, and industry.</w:t>
      </w:r>
    </w:p>
    <w:p w14:paraId="632E7029" w14:textId="336D4721" w:rsidR="00E90764" w:rsidRPr="00CF6322" w:rsidRDefault="0099166C" w:rsidP="001D1CF9">
      <w:pPr>
        <w:pStyle w:val="BodyText"/>
      </w:pPr>
      <w:r w:rsidRPr="00CF6322">
        <w:t>Managing the Australian Government’s health response</w:t>
      </w:r>
      <w:r w:rsidR="001A69EB" w:rsidRPr="00CF6322">
        <w:t xml:space="preserve"> to </w:t>
      </w:r>
      <w:r w:rsidRPr="00CF6322">
        <w:t>the COVID-19 pandemic continues to see integration</w:t>
      </w:r>
      <w:r w:rsidR="001A69EB" w:rsidRPr="00CF6322">
        <w:t xml:space="preserve"> across</w:t>
      </w:r>
      <w:r w:rsidRPr="00CF6322">
        <w:t xml:space="preserve"> health protection, primary care, aged care, mental health, disability care, hospitals and research.</w:t>
      </w:r>
      <w:r w:rsidR="00D64977" w:rsidRPr="00CF6322">
        <w:t xml:space="preserve"> </w:t>
      </w:r>
      <w:r w:rsidRPr="00CF6322">
        <w:t>Advancements in telehealth have been transformational, enabling patients to continue receiving quality, ongoing care from health professionals who know their medical history and individual needs.</w:t>
      </w:r>
    </w:p>
    <w:p w14:paraId="632E702A" w14:textId="77777777" w:rsidR="00E90764" w:rsidRPr="00CF6322" w:rsidRDefault="0099166C" w:rsidP="001D1CF9">
      <w:pPr>
        <w:pStyle w:val="BodyText"/>
      </w:pPr>
      <w:r w:rsidRPr="00CF6322">
        <w:t>The vaccine rollout is now at the forefront of the health response and suppression strategy. Ensuring safe and effective COVID-19 vaccines are available to all people living in Australia who choose to be vaccinated is vital in protecting the health and wellbeing of the community and opening our economy. Through Operation COVID Shield,</w:t>
      </w:r>
    </w:p>
    <w:p w14:paraId="632E702B" w14:textId="77777777" w:rsidR="00E90764" w:rsidRPr="00CF6322" w:rsidRDefault="0099166C" w:rsidP="001D1CF9">
      <w:pPr>
        <w:pStyle w:val="BodyText"/>
      </w:pPr>
      <w:proofErr w:type="gramStart"/>
      <w:r w:rsidRPr="00CF6322">
        <w:t>we</w:t>
      </w:r>
      <w:proofErr w:type="gramEnd"/>
      <w:r w:rsidRPr="00CF6322">
        <w:t xml:space="preserve"> are working to ensure public confidence in the Australian COVID-19 vaccine rollout and that all eligible Australians have the opportunity to be vaccinated as soon as possible.</w:t>
      </w:r>
    </w:p>
    <w:p w14:paraId="632E702C" w14:textId="3A0EC610" w:rsidR="00E90764" w:rsidRPr="00CF6322" w:rsidRDefault="0099166C" w:rsidP="001D1CF9">
      <w:pPr>
        <w:pStyle w:val="BodyText"/>
      </w:pPr>
      <w:r w:rsidRPr="00CF6322">
        <w:t xml:space="preserve">We will implement the Government’s aged care reform package, which responds to the Royal Commission into Aged Care Quality and Safety and includes a $17.7 </w:t>
      </w:r>
      <w:r w:rsidR="00F334EC" w:rsidRPr="00CF6322">
        <w:t xml:space="preserve">billion, </w:t>
      </w:r>
      <w:proofErr w:type="gramStart"/>
      <w:r w:rsidR="00F334EC" w:rsidRPr="00CF6322">
        <w:t>5</w:t>
      </w:r>
      <w:r w:rsidRPr="00CF6322">
        <w:t xml:space="preserve"> </w:t>
      </w:r>
      <w:r w:rsidR="00C53817" w:rsidRPr="00CF6322">
        <w:t xml:space="preserve"> year</w:t>
      </w:r>
      <w:proofErr w:type="gramEnd"/>
      <w:r w:rsidRPr="00CF6322">
        <w:t xml:space="preserve"> implementation plan, underpinned by 5 pillars. This will transform aged care and ensure senior Australians are treated with respect, care and dignity.</w:t>
      </w:r>
    </w:p>
    <w:p w14:paraId="632E702D" w14:textId="77777777" w:rsidR="00E90764" w:rsidRPr="00CF6322" w:rsidRDefault="0099166C" w:rsidP="001D1CF9">
      <w:pPr>
        <w:pStyle w:val="BodyText"/>
      </w:pPr>
      <w:r w:rsidRPr="00CF6322">
        <w:t xml:space="preserve">We will </w:t>
      </w:r>
      <w:proofErr w:type="spellStart"/>
      <w:r w:rsidRPr="00CF6322">
        <w:t>prioritise</w:t>
      </w:r>
      <w:proofErr w:type="spellEnd"/>
      <w:r w:rsidRPr="00CF6322">
        <w:t xml:space="preserve"> the mental health of Australia’s adults, youth and children, and improve Australia’s mental health system to ensure all Australians have access to mental health and suicide prevention services when and where they need them. This will involve collaboration with the states and territories to enable a nationally consistent and integrated approach and achieve better mental health outcomes for all Australians.</w:t>
      </w:r>
    </w:p>
    <w:p w14:paraId="632E702F" w14:textId="1F07B969" w:rsidR="00E90764" w:rsidRPr="00CF6322" w:rsidRDefault="0099166C" w:rsidP="001D1CF9">
      <w:pPr>
        <w:pStyle w:val="BodyText"/>
      </w:pPr>
      <w:r w:rsidRPr="00CF6322">
        <w:t xml:space="preserve">We will also </w:t>
      </w:r>
      <w:proofErr w:type="spellStart"/>
      <w:r w:rsidRPr="00CF6322">
        <w:t>prioritise</w:t>
      </w:r>
      <w:proofErr w:type="spellEnd"/>
      <w:r w:rsidRPr="00CF6322">
        <w:t xml:space="preserve"> health outcomes for women and girls under the National Women’s Health Strategy </w:t>
      </w:r>
      <w:r w:rsidR="00C53817" w:rsidRPr="00CF6322">
        <w:br/>
      </w:r>
      <w:r w:rsidRPr="00CF6322">
        <w:t xml:space="preserve">2020–2030. Their health is critical to their overall wellbeing and ability to participate in society. While women and girls have experienced significant health gains in recent years, underpinned by Australia’s world class health system, our emphasis will be on building new and expanding existing initiatives that support their maternal health, sexual and reproductive health, preventive health and their mental health, as well as supporting them through ageing and chronic </w:t>
      </w:r>
      <w:proofErr w:type="spellStart"/>
      <w:r w:rsidRPr="00CF6322">
        <w:t>conditions.The</w:t>
      </w:r>
      <w:proofErr w:type="spellEnd"/>
      <w:r w:rsidRPr="00CF6322">
        <w:t xml:space="preserve"> new National Agreement on Closing the Gap will fundamentally change the way we work with Aboriginal and Torres Strait Islander people, </w:t>
      </w:r>
      <w:proofErr w:type="spellStart"/>
      <w:r w:rsidRPr="00CF6322">
        <w:t>emphasising</w:t>
      </w:r>
      <w:proofErr w:type="spellEnd"/>
      <w:r w:rsidRPr="00CF6322">
        <w:t xml:space="preserve"> working together in genuine partnership and continuing to grow and support</w:t>
      </w:r>
      <w:r w:rsidR="00C53817" w:rsidRPr="00CF6322">
        <w:t xml:space="preserve"> the</w:t>
      </w:r>
      <w:r w:rsidRPr="00CF6322">
        <w:t xml:space="preserve"> Aboriginal Community Controlled Health Services sector. We look forward to continuing to strengthen these partnerships to bring about the changes needed to</w:t>
      </w:r>
      <w:r w:rsidR="00C53817" w:rsidRPr="00CF6322">
        <w:t xml:space="preserve"> improve health</w:t>
      </w:r>
      <w:r w:rsidRPr="00CF6322">
        <w:t xml:space="preserve"> and wellbeing outcomes for Aboriginal and Torres Strait Islander people.</w:t>
      </w:r>
    </w:p>
    <w:p w14:paraId="632E7031" w14:textId="25C16A49" w:rsidR="00E90764" w:rsidRPr="00CF6322" w:rsidRDefault="0099166C" w:rsidP="001D1CF9">
      <w:pPr>
        <w:pStyle w:val="BodyText"/>
      </w:pPr>
      <w:r w:rsidRPr="00CF6322">
        <w:t xml:space="preserve">The COVID-19 pandemic propelled us into our New Ways of </w:t>
      </w:r>
      <w:proofErr w:type="gramStart"/>
      <w:r w:rsidRPr="00CF6322">
        <w:t>Working</w:t>
      </w:r>
      <w:proofErr w:type="gramEnd"/>
      <w:r w:rsidRPr="00CF6322">
        <w:t xml:space="preserve"> program, which aims to develop a modern workplace for our staff, with a flexible culture supported by strong leadership and better technology. This represents an opportunity for our Department to be a leader across Government, supporting best practice and empowering our staff and teams to do their best work in a location that best supports that work. The workplace solutions put</w:t>
      </w:r>
      <w:r w:rsidR="00D64977" w:rsidRPr="00CF6322">
        <w:t xml:space="preserve"> </w:t>
      </w:r>
      <w:r w:rsidRPr="00CF6322">
        <w:t xml:space="preserve">into practice across the Department are an example of our ability to adapt and respond to an uncertain and </w:t>
      </w:r>
      <w:r w:rsidR="00C53817" w:rsidRPr="00CF6322">
        <w:t>ever changing</w:t>
      </w:r>
      <w:r w:rsidRPr="00CF6322">
        <w:t xml:space="preserve"> environment.</w:t>
      </w:r>
    </w:p>
    <w:p w14:paraId="632E7032" w14:textId="7CD42564" w:rsidR="00E90764" w:rsidRPr="00CF6322" w:rsidRDefault="0099166C" w:rsidP="001D1CF9">
      <w:pPr>
        <w:pStyle w:val="BodyText"/>
      </w:pPr>
      <w:r w:rsidRPr="00CF6322">
        <w:t>Recent circumstances have been extremely challenging, and we have a large and diverse agenda of work over the next 4 years. I would like to thank each and every member of our staff, not only for their hard work and dedication, but for supporting me, the executive team, and each other</w:t>
      </w:r>
      <w:proofErr w:type="gramStart"/>
      <w:r w:rsidRPr="00CF6322">
        <w:t xml:space="preserve">, </w:t>
      </w:r>
      <w:r w:rsidR="00C53817" w:rsidRPr="00CF6322">
        <w:t xml:space="preserve"> </w:t>
      </w:r>
      <w:r w:rsidRPr="00CF6322">
        <w:t>and</w:t>
      </w:r>
      <w:proofErr w:type="gramEnd"/>
      <w:r w:rsidRPr="00CF6322">
        <w:t xml:space="preserve"> for making this an </w:t>
      </w:r>
      <w:proofErr w:type="spellStart"/>
      <w:r w:rsidRPr="00CF6322">
        <w:t>organisation</w:t>
      </w:r>
      <w:proofErr w:type="spellEnd"/>
      <w:r w:rsidRPr="00CF6322">
        <w:t xml:space="preserve"> where people want to come and work.</w:t>
      </w:r>
    </w:p>
    <w:p w14:paraId="632E7034" w14:textId="0817318A" w:rsidR="00E90764" w:rsidRPr="00CF6322" w:rsidRDefault="0099166C" w:rsidP="001D1CF9">
      <w:pPr>
        <w:pStyle w:val="BodyText"/>
      </w:pPr>
      <w:r w:rsidRPr="00CF6322">
        <w:t>As the accountable authority of the Department of Health</w:t>
      </w:r>
      <w:proofErr w:type="gramStart"/>
      <w:r w:rsidRPr="00CF6322">
        <w:t>,</w:t>
      </w:r>
      <w:r w:rsidR="00C53817" w:rsidRPr="00CF6322">
        <w:t xml:space="preserve"> </w:t>
      </w:r>
      <w:r w:rsidRPr="00CF6322">
        <w:t xml:space="preserve"> I</w:t>
      </w:r>
      <w:proofErr w:type="gramEnd"/>
      <w:r w:rsidRPr="00CF6322">
        <w:t xml:space="preserve"> am proud to present the </w:t>
      </w:r>
      <w:r w:rsidRPr="00D57D83">
        <w:rPr>
          <w:i/>
          <w:iCs/>
        </w:rPr>
        <w:t>2021–22 Department of Health Corporate Plan</w:t>
      </w:r>
      <w:r w:rsidRPr="00CF6322">
        <w:t>, which covers the period 2021–25 as</w:t>
      </w:r>
      <w:r w:rsidR="00D64977" w:rsidRPr="00CF6322">
        <w:t xml:space="preserve"> </w:t>
      </w:r>
      <w:r w:rsidRPr="00CF6322">
        <w:t xml:space="preserve">required under paragraph 35(1)(b) of the </w:t>
      </w:r>
      <w:r w:rsidRPr="00D57D83">
        <w:rPr>
          <w:i/>
          <w:iCs/>
        </w:rPr>
        <w:t>Public Governance, Performance and Accountability Act 2013</w:t>
      </w:r>
      <w:r w:rsidRPr="00CF6322">
        <w:t>.</w:t>
      </w:r>
    </w:p>
    <w:p w14:paraId="7C7444F7" w14:textId="258987DC" w:rsidR="001D1CF9" w:rsidRDefault="0099166C" w:rsidP="001D1CF9">
      <w:pPr>
        <w:pStyle w:val="BodyText"/>
        <w:rPr>
          <w:b/>
          <w:bCs/>
        </w:rPr>
      </w:pPr>
      <w:proofErr w:type="spellStart"/>
      <w:r w:rsidRPr="001D1CF9">
        <w:rPr>
          <w:b/>
          <w:bCs/>
        </w:rPr>
        <w:t>Dr</w:t>
      </w:r>
      <w:proofErr w:type="spellEnd"/>
      <w:r w:rsidRPr="001D1CF9">
        <w:rPr>
          <w:b/>
          <w:bCs/>
        </w:rPr>
        <w:t xml:space="preserve"> Brendan Murphy Secretary</w:t>
      </w:r>
    </w:p>
    <w:p w14:paraId="282DCB01" w14:textId="00909C73" w:rsidR="00AA64E9" w:rsidRDefault="00AA64E9" w:rsidP="001D1CF9">
      <w:pPr>
        <w:pStyle w:val="BodyText"/>
        <w:rPr>
          <w:b/>
          <w:bCs/>
        </w:rPr>
      </w:pPr>
    </w:p>
    <w:p w14:paraId="7433D1FA" w14:textId="77777777" w:rsidR="00AA64E9" w:rsidRDefault="00AA64E9" w:rsidP="00B13845">
      <w:pPr>
        <w:pStyle w:val="Heading2"/>
        <w:sectPr w:rsidR="00AA64E9" w:rsidSect="00AA64E9">
          <w:pgSz w:w="11910" w:h="16840"/>
          <w:pgMar w:top="720" w:right="720" w:bottom="720" w:left="720" w:header="0" w:footer="330" w:gutter="0"/>
          <w:cols w:space="720"/>
        </w:sectPr>
      </w:pPr>
      <w:bookmarkStart w:id="6" w:name="_Toc83043007"/>
    </w:p>
    <w:p w14:paraId="632E703B" w14:textId="441852F8" w:rsidR="00E90764" w:rsidRPr="00CF6322" w:rsidRDefault="0099166C" w:rsidP="00B13845">
      <w:pPr>
        <w:pStyle w:val="Heading2"/>
      </w:pPr>
      <w:r w:rsidRPr="00CF6322">
        <w:lastRenderedPageBreak/>
        <w:t xml:space="preserve">Our </w:t>
      </w:r>
      <w:r w:rsidRPr="00B13845">
        <w:t>Vision</w:t>
      </w:r>
      <w:bookmarkEnd w:id="6"/>
    </w:p>
    <w:p w14:paraId="632E703C" w14:textId="77777777" w:rsidR="00E90764" w:rsidRPr="00CF6322" w:rsidRDefault="0099166C" w:rsidP="001D1CF9">
      <w:pPr>
        <w:pStyle w:val="BodyText"/>
      </w:pPr>
      <w:r w:rsidRPr="00CF6322">
        <w:t>Better health and wellbeing for all Australians, now and for future generations.</w:t>
      </w:r>
    </w:p>
    <w:p w14:paraId="632E703F" w14:textId="6C49EC75" w:rsidR="00E90764" w:rsidRPr="00CF6322" w:rsidRDefault="0099166C" w:rsidP="00B13845">
      <w:pPr>
        <w:pStyle w:val="Heading2"/>
      </w:pPr>
      <w:bookmarkStart w:id="7" w:name="_Our_Purpose"/>
      <w:bookmarkStart w:id="8" w:name="_Toc83043008"/>
      <w:bookmarkEnd w:id="7"/>
      <w:r w:rsidRPr="00CF6322">
        <w:t xml:space="preserve">Our </w:t>
      </w:r>
      <w:r w:rsidRPr="00B13845">
        <w:t>Purpose</w:t>
      </w:r>
      <w:bookmarkEnd w:id="8"/>
    </w:p>
    <w:p w14:paraId="632E7040" w14:textId="77777777" w:rsidR="00E90764" w:rsidRPr="00CF6322" w:rsidRDefault="0099166C" w:rsidP="001D1CF9">
      <w:pPr>
        <w:pStyle w:val="BodyText"/>
      </w:pPr>
      <w:r w:rsidRPr="00CF6322">
        <w:t>With our partners, support the Government to lead and shape Australia’s health and aged care system and sporting outcomes through evidence-based policy, well targeted programs, and best practice regulation.</w:t>
      </w:r>
    </w:p>
    <w:p w14:paraId="632E7043" w14:textId="7D82E2FC" w:rsidR="00E90764" w:rsidRPr="00CF6322" w:rsidRDefault="0099166C" w:rsidP="00B13845">
      <w:pPr>
        <w:pStyle w:val="Heading2"/>
      </w:pPr>
      <w:bookmarkStart w:id="9" w:name="_Toc83043009"/>
      <w:r w:rsidRPr="00CF6322">
        <w:t xml:space="preserve">Our Values and </w:t>
      </w:r>
      <w:proofErr w:type="spellStart"/>
      <w:r w:rsidRPr="00B13845">
        <w:t>Behaviours</w:t>
      </w:r>
      <w:bookmarkEnd w:id="9"/>
      <w:proofErr w:type="spellEnd"/>
    </w:p>
    <w:p w14:paraId="64B6069F" w14:textId="4230D95C" w:rsidR="00AA64E9" w:rsidRDefault="0099166C" w:rsidP="001D1CF9">
      <w:pPr>
        <w:pStyle w:val="BodyText"/>
      </w:pPr>
      <w:r w:rsidRPr="00CF6322">
        <w:t xml:space="preserve">The Australian Public Service (APS) Values (also known as the ICARE principles) set out the standard of </w:t>
      </w:r>
      <w:proofErr w:type="spellStart"/>
      <w:r w:rsidRPr="00CF6322">
        <w:t>behaviour</w:t>
      </w:r>
      <w:proofErr w:type="spellEnd"/>
      <w:r w:rsidRPr="00CF6322">
        <w:t xml:space="preserve"> expected of APS employees,</w:t>
      </w:r>
      <w:r w:rsidR="005E4A5C" w:rsidRPr="00CF6322">
        <w:t xml:space="preserve"> </w:t>
      </w:r>
      <w:r w:rsidRPr="00CF6322">
        <w:t>and are the foundation for everything we do.</w:t>
      </w:r>
      <w:r w:rsidR="00B13845">
        <w:rPr>
          <w:rStyle w:val="FootnoteReference"/>
        </w:rPr>
        <w:footnoteReference w:id="1"/>
      </w:r>
      <w:r w:rsidRPr="00CF6322">
        <w:t xml:space="preserve"> They are brought to life for our staff through the Department’s </w:t>
      </w:r>
      <w:proofErr w:type="spellStart"/>
      <w:r w:rsidRPr="00CF6322">
        <w:t>Behaviours</w:t>
      </w:r>
      <w:proofErr w:type="spellEnd"/>
      <w:r w:rsidRPr="00CF6322">
        <w:t xml:space="preserve"> in Action, which provide practical guidance to staff about what expected </w:t>
      </w:r>
      <w:proofErr w:type="spellStart"/>
      <w:r w:rsidRPr="00CF6322">
        <w:t>behaviours</w:t>
      </w:r>
      <w:proofErr w:type="spellEnd"/>
      <w:r w:rsidRPr="00CF6322">
        <w:t xml:space="preserve"> look like in the workplace. The ICARE principles are embedded into staff members’ performance agreements, which are regularly revisited during the year to ensure staff are familiar with the expected </w:t>
      </w:r>
      <w:proofErr w:type="spellStart"/>
      <w:r w:rsidRPr="00CF6322">
        <w:t>behaviours</w:t>
      </w:r>
      <w:proofErr w:type="spellEnd"/>
      <w:r w:rsidRPr="00CF6322">
        <w:t>.</w:t>
      </w:r>
    </w:p>
    <w:p w14:paraId="27F9644C" w14:textId="77777777" w:rsidR="00AA64E9" w:rsidRDefault="00AA64E9" w:rsidP="001D1CF9">
      <w:pPr>
        <w:pStyle w:val="BodyText"/>
        <w:sectPr w:rsidR="00AA64E9" w:rsidSect="00AA64E9">
          <w:pgSz w:w="11910" w:h="16840"/>
          <w:pgMar w:top="720" w:right="720" w:bottom="720" w:left="720" w:header="0" w:footer="330" w:gutter="0"/>
          <w:cols w:space="720"/>
        </w:sectPr>
      </w:pPr>
    </w:p>
    <w:p w14:paraId="632E7047" w14:textId="2CEF9854" w:rsidR="00E90764" w:rsidRPr="00CF6322" w:rsidRDefault="0099166C" w:rsidP="00B13845">
      <w:pPr>
        <w:pStyle w:val="Heading2"/>
      </w:pPr>
      <w:bookmarkStart w:id="10" w:name="_Toc83043010"/>
      <w:r w:rsidRPr="00CF6322">
        <w:lastRenderedPageBreak/>
        <w:t xml:space="preserve">Our </w:t>
      </w:r>
      <w:r w:rsidRPr="00B13845">
        <w:t>Outcomes</w:t>
      </w:r>
      <w:bookmarkEnd w:id="10"/>
    </w:p>
    <w:p w14:paraId="0C2348A7" w14:textId="01371A6A" w:rsidR="00B1052A" w:rsidRDefault="0099166C" w:rsidP="001D1CF9">
      <w:pPr>
        <w:pStyle w:val="BodyText"/>
      </w:pPr>
      <w:r w:rsidRPr="00CF6322">
        <w:t>Our purpose is achieved through our</w:t>
      </w:r>
      <w:r w:rsidR="00B13845">
        <w:t xml:space="preserve"> </w:t>
      </w:r>
      <w:r w:rsidR="00053B57" w:rsidRPr="00CF6322">
        <w:t xml:space="preserve">outcomes </w:t>
      </w:r>
      <w:r w:rsidRPr="00CF6322">
        <w:t>and programs.</w:t>
      </w:r>
    </w:p>
    <w:p w14:paraId="0D110463" w14:textId="3897F8AA" w:rsidR="00B13845" w:rsidRPr="00CC07CD" w:rsidRDefault="00B13845" w:rsidP="00CC07CD">
      <w:pPr>
        <w:pStyle w:val="Heading3"/>
      </w:pPr>
      <w:bookmarkStart w:id="11" w:name="_Outcome_1_–"/>
      <w:bookmarkEnd w:id="11"/>
      <w:r w:rsidRPr="00B13845">
        <w:t>Out</w:t>
      </w:r>
      <w:r w:rsidRPr="00B1052A">
        <w:t>c</w:t>
      </w:r>
      <w:r w:rsidRPr="00B13845">
        <w:t>ome 1</w:t>
      </w:r>
      <w:r w:rsidR="00CC07CD">
        <w:t xml:space="preserve"> </w:t>
      </w:r>
      <w:r w:rsidR="0015531E">
        <w:t>–</w:t>
      </w:r>
      <w:r w:rsidR="00CC07CD">
        <w:t xml:space="preserve"> </w:t>
      </w:r>
      <w:r w:rsidRPr="00CC07CD">
        <w:t>Health Policy, Access and Support</w:t>
      </w:r>
    </w:p>
    <w:p w14:paraId="455694BC" w14:textId="2D04BA23" w:rsidR="00B13845" w:rsidRPr="00CC07CD" w:rsidRDefault="00B13845" w:rsidP="001D1CF9">
      <w:pPr>
        <w:pStyle w:val="BodyText"/>
      </w:pPr>
      <w:r w:rsidRPr="00CC07CD">
        <w:t>1.1 Health Research, Coordination and Access</w:t>
      </w:r>
    </w:p>
    <w:p w14:paraId="2594B828" w14:textId="11E91A19" w:rsidR="00B13845" w:rsidRPr="00CC07CD" w:rsidRDefault="00B13845" w:rsidP="001D1CF9">
      <w:pPr>
        <w:pStyle w:val="BodyText"/>
      </w:pPr>
      <w:r w:rsidRPr="00CC07CD">
        <w:t>1.2 Mental Health</w:t>
      </w:r>
    </w:p>
    <w:p w14:paraId="4DFCD398" w14:textId="59785083" w:rsidR="00B13845" w:rsidRPr="00CC07CD" w:rsidRDefault="00B13845" w:rsidP="001D1CF9">
      <w:pPr>
        <w:pStyle w:val="BodyText"/>
      </w:pPr>
      <w:r w:rsidRPr="00CC07CD">
        <w:t>1.3 Aboriginal and Torres Strait Islander Health</w:t>
      </w:r>
    </w:p>
    <w:p w14:paraId="133781B7" w14:textId="4E7A4F38" w:rsidR="00B13845" w:rsidRPr="00CC07CD" w:rsidRDefault="00B13845" w:rsidP="001D1CF9">
      <w:pPr>
        <w:pStyle w:val="BodyText"/>
      </w:pPr>
      <w:r w:rsidRPr="00CC07CD">
        <w:t>1.4 Health Workforce</w:t>
      </w:r>
    </w:p>
    <w:p w14:paraId="4054F077" w14:textId="0BF40931" w:rsidR="00B13845" w:rsidRPr="00CC07CD" w:rsidRDefault="00B13845" w:rsidP="001D1CF9">
      <w:pPr>
        <w:pStyle w:val="BodyText"/>
      </w:pPr>
      <w:r w:rsidRPr="00CC07CD">
        <w:t>1.5 Preventive Health and Chronic Disease Support</w:t>
      </w:r>
    </w:p>
    <w:p w14:paraId="4A8B4D29" w14:textId="77996ABB" w:rsidR="00B13845" w:rsidRPr="00CC07CD" w:rsidRDefault="00B13845" w:rsidP="001D1CF9">
      <w:pPr>
        <w:pStyle w:val="BodyText"/>
      </w:pPr>
      <w:r w:rsidRPr="00CC07CD">
        <w:t>1.6 Primary Health Care Quality and Coordination</w:t>
      </w:r>
    </w:p>
    <w:p w14:paraId="14943DA1" w14:textId="5FD0193C" w:rsidR="00B13845" w:rsidRPr="00CC07CD" w:rsidRDefault="00B13845" w:rsidP="001D1CF9">
      <w:pPr>
        <w:pStyle w:val="BodyText"/>
      </w:pPr>
      <w:r w:rsidRPr="00CC07CD">
        <w:t>1.7 Primary Care Practice Incentives and Medical Indemnity</w:t>
      </w:r>
    </w:p>
    <w:p w14:paraId="0A7CAAFA" w14:textId="77746433" w:rsidR="00B13845" w:rsidRPr="00CC07CD" w:rsidRDefault="00B13845" w:rsidP="001D1CF9">
      <w:pPr>
        <w:pStyle w:val="BodyText"/>
      </w:pPr>
      <w:r w:rsidRPr="00CC07CD">
        <w:t>1.8 Health Protection, Emergency Response and Regulation</w:t>
      </w:r>
    </w:p>
    <w:p w14:paraId="5D6ECE33" w14:textId="462BAFC5" w:rsidR="00B13845" w:rsidRPr="00CC07CD" w:rsidRDefault="00B13845" w:rsidP="001D1CF9">
      <w:pPr>
        <w:pStyle w:val="BodyText"/>
      </w:pPr>
      <w:r w:rsidRPr="00CC07CD">
        <w:t>1.9 Immunisation</w:t>
      </w:r>
    </w:p>
    <w:p w14:paraId="77F5334E" w14:textId="4E6A70A5" w:rsidR="00B1052A" w:rsidRPr="00B1052A" w:rsidRDefault="00B1052A" w:rsidP="00CC07CD">
      <w:pPr>
        <w:pStyle w:val="Heading3"/>
      </w:pPr>
      <w:bookmarkStart w:id="12" w:name="_Outcome_2_–"/>
      <w:bookmarkEnd w:id="12"/>
      <w:r w:rsidRPr="00B1052A">
        <w:t>Outcome 2</w:t>
      </w:r>
      <w:r w:rsidR="00CC07CD">
        <w:t xml:space="preserve"> </w:t>
      </w:r>
      <w:r w:rsidR="0015531E">
        <w:t>–</w:t>
      </w:r>
      <w:r w:rsidR="00CC07CD">
        <w:t xml:space="preserve"> </w:t>
      </w:r>
      <w:r w:rsidRPr="00B1052A">
        <w:t>Individual Health Benefits</w:t>
      </w:r>
    </w:p>
    <w:p w14:paraId="685ABB53" w14:textId="048DDC7A" w:rsidR="00B1052A" w:rsidRPr="00CC07CD" w:rsidRDefault="00B1052A" w:rsidP="001D1CF9">
      <w:pPr>
        <w:pStyle w:val="BodyText"/>
      </w:pPr>
      <w:r w:rsidRPr="00CC07CD">
        <w:t>2.1 Medical Benefits</w:t>
      </w:r>
    </w:p>
    <w:p w14:paraId="2A1E996A" w14:textId="5F6CF1FE" w:rsidR="00B1052A" w:rsidRPr="00CC07CD" w:rsidRDefault="00B1052A" w:rsidP="001D1CF9">
      <w:pPr>
        <w:pStyle w:val="BodyText"/>
      </w:pPr>
      <w:r w:rsidRPr="00CC07CD">
        <w:t>2.2 Hearing Services</w:t>
      </w:r>
    </w:p>
    <w:p w14:paraId="04E6FD9E" w14:textId="5C8C3F21" w:rsidR="00B1052A" w:rsidRPr="00CC07CD" w:rsidRDefault="00B1052A" w:rsidP="001D1CF9">
      <w:pPr>
        <w:pStyle w:val="BodyText"/>
      </w:pPr>
      <w:r w:rsidRPr="00CC07CD">
        <w:t>2.3 Pharmaceutical Benefits</w:t>
      </w:r>
    </w:p>
    <w:p w14:paraId="012CFAAD" w14:textId="74A1A478" w:rsidR="00B1052A" w:rsidRPr="00CC07CD" w:rsidRDefault="00B1052A" w:rsidP="001D1CF9">
      <w:pPr>
        <w:pStyle w:val="BodyText"/>
      </w:pPr>
      <w:r w:rsidRPr="00CC07CD">
        <w:t>2.4 Private Health Insurance</w:t>
      </w:r>
    </w:p>
    <w:p w14:paraId="57A48FC7" w14:textId="0826836B" w:rsidR="00B1052A" w:rsidRPr="00CC07CD" w:rsidRDefault="00B1052A" w:rsidP="001D1CF9">
      <w:pPr>
        <w:pStyle w:val="BodyText"/>
      </w:pPr>
      <w:r w:rsidRPr="00CC07CD">
        <w:t>2.5 Dental Services</w:t>
      </w:r>
    </w:p>
    <w:p w14:paraId="4EBF0311" w14:textId="022E6FBC" w:rsidR="00B1052A" w:rsidRPr="00CC07CD" w:rsidRDefault="00B1052A" w:rsidP="001D1CF9">
      <w:pPr>
        <w:pStyle w:val="BodyText"/>
      </w:pPr>
      <w:r w:rsidRPr="00CC07CD">
        <w:t>2.6 Health Benefit Compliance</w:t>
      </w:r>
    </w:p>
    <w:p w14:paraId="4D5906E0" w14:textId="1502E9DE" w:rsidR="00B1052A" w:rsidRPr="00CC07CD" w:rsidRDefault="00B1052A" w:rsidP="001D1CF9">
      <w:pPr>
        <w:pStyle w:val="BodyText"/>
      </w:pPr>
      <w:r w:rsidRPr="00CC07CD">
        <w:t>2.7 Assistance through Aids and Appliances</w:t>
      </w:r>
    </w:p>
    <w:p w14:paraId="6840F3F3" w14:textId="65797D0B" w:rsidR="00B1052A" w:rsidRPr="00B1052A" w:rsidRDefault="00B1052A" w:rsidP="00CC07CD">
      <w:pPr>
        <w:pStyle w:val="Heading3"/>
      </w:pPr>
      <w:bookmarkStart w:id="13" w:name="_Outcome_3_–"/>
      <w:bookmarkEnd w:id="13"/>
      <w:r w:rsidRPr="00B1052A">
        <w:t>Outcome 3</w:t>
      </w:r>
      <w:r w:rsidR="00CC07CD">
        <w:t xml:space="preserve"> </w:t>
      </w:r>
      <w:r w:rsidR="0015531E">
        <w:t>–</w:t>
      </w:r>
      <w:r w:rsidR="00CC07CD">
        <w:t xml:space="preserve"> </w:t>
      </w:r>
      <w:r w:rsidRPr="00B1052A">
        <w:t>Ageing and Aged Care</w:t>
      </w:r>
    </w:p>
    <w:p w14:paraId="23FE5F15" w14:textId="3345D20B" w:rsidR="00B1052A" w:rsidRPr="00CC07CD" w:rsidRDefault="00B1052A" w:rsidP="001D1CF9">
      <w:pPr>
        <w:pStyle w:val="BodyText"/>
      </w:pPr>
      <w:r w:rsidRPr="00CC07CD">
        <w:t>3.1 Access and Information</w:t>
      </w:r>
    </w:p>
    <w:p w14:paraId="3CAA498A" w14:textId="224B0685" w:rsidR="00B1052A" w:rsidRPr="00CC07CD" w:rsidRDefault="00B1052A" w:rsidP="001D1CF9">
      <w:pPr>
        <w:pStyle w:val="BodyText"/>
      </w:pPr>
      <w:r w:rsidRPr="00CC07CD">
        <w:t>3.2 Aged Care Services</w:t>
      </w:r>
    </w:p>
    <w:p w14:paraId="6BD3F824" w14:textId="0C261E3E" w:rsidR="00B1052A" w:rsidRPr="00CC07CD" w:rsidRDefault="00B1052A" w:rsidP="001D1CF9">
      <w:pPr>
        <w:pStyle w:val="BodyText"/>
      </w:pPr>
      <w:r w:rsidRPr="00CC07CD">
        <w:t>3.3 Aged Care Quality</w:t>
      </w:r>
    </w:p>
    <w:p w14:paraId="7EE6F19F" w14:textId="5864EEE1" w:rsidR="00B1052A" w:rsidRPr="00B1052A" w:rsidRDefault="00B1052A" w:rsidP="00CC07CD">
      <w:pPr>
        <w:pStyle w:val="Heading3"/>
      </w:pPr>
      <w:bookmarkStart w:id="14" w:name="_Outcome_4_–"/>
      <w:bookmarkEnd w:id="14"/>
      <w:r w:rsidRPr="00B1052A">
        <w:t>Outcome 4</w:t>
      </w:r>
      <w:r w:rsidR="00CC07CD">
        <w:t xml:space="preserve"> </w:t>
      </w:r>
      <w:r w:rsidR="0015531E">
        <w:t>–</w:t>
      </w:r>
      <w:r w:rsidR="00CC07CD">
        <w:t xml:space="preserve"> </w:t>
      </w:r>
      <w:r w:rsidRPr="00B1052A">
        <w:t>Sport and Recreation</w:t>
      </w:r>
    </w:p>
    <w:p w14:paraId="760E022E" w14:textId="49FC3C9D" w:rsidR="00B1052A" w:rsidRPr="00CC07CD" w:rsidRDefault="00B1052A" w:rsidP="001D1CF9">
      <w:pPr>
        <w:pStyle w:val="BodyText"/>
      </w:pPr>
      <w:r w:rsidRPr="00CC07CD">
        <w:t>4.1</w:t>
      </w:r>
      <w:r w:rsidR="00CC07CD">
        <w:t xml:space="preserve"> </w:t>
      </w:r>
      <w:r w:rsidRPr="00CC07CD">
        <w:t>Sport and Recreation</w:t>
      </w:r>
    </w:p>
    <w:p w14:paraId="1787B959" w14:textId="1DE38609" w:rsidR="001D1CF9" w:rsidRDefault="001D1CF9" w:rsidP="00AA64E9">
      <w:bookmarkStart w:id="15" w:name="_Our_Operating_Context"/>
      <w:bookmarkStart w:id="16" w:name="_Toc83043011"/>
      <w:bookmarkEnd w:id="15"/>
    </w:p>
    <w:p w14:paraId="7948EB6D" w14:textId="77777777" w:rsidR="00AA64E9" w:rsidRDefault="00AA64E9" w:rsidP="00B1052A">
      <w:pPr>
        <w:pStyle w:val="Heading2"/>
        <w:sectPr w:rsidR="00AA64E9" w:rsidSect="00AA64E9">
          <w:pgSz w:w="11910" w:h="16840"/>
          <w:pgMar w:top="720" w:right="720" w:bottom="720" w:left="720" w:header="0" w:footer="330" w:gutter="0"/>
          <w:cols w:space="720"/>
        </w:sectPr>
      </w:pPr>
    </w:p>
    <w:p w14:paraId="632E7058" w14:textId="3099045B" w:rsidR="00E90764" w:rsidRPr="00CF6322" w:rsidRDefault="0099166C" w:rsidP="00B1052A">
      <w:pPr>
        <w:pStyle w:val="Heading2"/>
      </w:pPr>
      <w:r w:rsidRPr="00CF6322">
        <w:lastRenderedPageBreak/>
        <w:t xml:space="preserve">Our Operating </w:t>
      </w:r>
      <w:r w:rsidRPr="00B1052A">
        <w:t>Context</w:t>
      </w:r>
      <w:bookmarkEnd w:id="16"/>
    </w:p>
    <w:p w14:paraId="632E7059" w14:textId="77777777" w:rsidR="00E90764" w:rsidRPr="00CF6322" w:rsidRDefault="0099166C" w:rsidP="001D1CF9">
      <w:pPr>
        <w:pStyle w:val="BodyText"/>
      </w:pPr>
      <w:r w:rsidRPr="00CF6322">
        <w:t>Our operating environment is universally influenced by the COVID-19 pandemic as we manage the Australian</w:t>
      </w:r>
    </w:p>
    <w:p w14:paraId="632E705A" w14:textId="5750490F" w:rsidR="00E90764" w:rsidRPr="00CF6322" w:rsidRDefault="0099166C" w:rsidP="001D1CF9">
      <w:pPr>
        <w:pStyle w:val="BodyText"/>
      </w:pPr>
      <w:r w:rsidRPr="00CF6322">
        <w:t>Government’s health response, within a public health system</w:t>
      </w:r>
      <w:r w:rsidR="00B1052A">
        <w:t xml:space="preserve"> </w:t>
      </w:r>
      <w:r w:rsidRPr="00CF6322">
        <w:t>jointly administered by the Commonwealth and states and territories. Effective delivery of the COVID-19 vaccine rollout</w:t>
      </w:r>
      <w:r w:rsidR="00B1052A">
        <w:t xml:space="preserve"> </w:t>
      </w:r>
      <w:r w:rsidRPr="00CF6322">
        <w:t>will be paramount in managing the public health impacts of COVID-19 and our ability to achieve our outcomes across the next 4 years. Delivery of the rollout is also key to opening</w:t>
      </w:r>
      <w:r w:rsidR="005E4A5C" w:rsidRPr="00CF6322">
        <w:t xml:space="preserve"> Australia</w:t>
      </w:r>
      <w:r w:rsidRPr="00CF6322">
        <w:t xml:space="preserve"> and supporting its economic recovery.</w:t>
      </w:r>
    </w:p>
    <w:p w14:paraId="632E705B" w14:textId="791E4435" w:rsidR="00E90764" w:rsidRPr="00CF6322" w:rsidRDefault="0099166C" w:rsidP="001D1CF9">
      <w:pPr>
        <w:pStyle w:val="BodyText"/>
      </w:pPr>
      <w:r w:rsidRPr="00CF6322">
        <w:t>While responding to the pandemic remains our number one priority, it is far from our only priority. This Corporate Plan describes our strategy to achieve all our outcomes for</w:t>
      </w:r>
      <w:r w:rsidR="00B1052A">
        <w:t xml:space="preserve"> </w:t>
      </w:r>
      <w:r w:rsidRPr="00CF6322">
        <w:t>all Australians.</w:t>
      </w:r>
    </w:p>
    <w:p w14:paraId="632E705C" w14:textId="36FC3358" w:rsidR="00E90764" w:rsidRPr="00D57D83" w:rsidRDefault="0099166C" w:rsidP="001D1CF9">
      <w:pPr>
        <w:pStyle w:val="BodyText"/>
      </w:pPr>
      <w:r w:rsidRPr="00D57D83">
        <w:t>We are well resourced to achieve our outcomes and support</w:t>
      </w:r>
      <w:r w:rsidR="005E4A5C" w:rsidRPr="00D57D83">
        <w:t xml:space="preserve"> our</w:t>
      </w:r>
      <w:r w:rsidRPr="00D57D83">
        <w:t xml:space="preserve"> staff to meet the challenges of today’s changeable and fast paced environment. We also benefit from a high level of</w:t>
      </w:r>
      <w:r w:rsidR="005E4A5C" w:rsidRPr="00D57D83">
        <w:t xml:space="preserve"> public</w:t>
      </w:r>
      <w:r w:rsidRPr="00D57D83">
        <w:t xml:space="preserve"> trust in health experts and strong public engagement</w:t>
      </w:r>
      <w:r w:rsidR="00B1052A" w:rsidRPr="00D57D83">
        <w:t xml:space="preserve"> </w:t>
      </w:r>
      <w:r w:rsidRPr="00D57D83">
        <w:t>with our communication platforms.</w:t>
      </w:r>
    </w:p>
    <w:p w14:paraId="73CAA48D" w14:textId="151807AA" w:rsidR="00E90764" w:rsidRPr="00D57D83" w:rsidRDefault="0099166C" w:rsidP="001D1CF9">
      <w:pPr>
        <w:pStyle w:val="BodyText"/>
      </w:pPr>
      <w:r w:rsidRPr="00D57D83">
        <w:t>We will continue adapting to meet the needs of the Australian community through the activities outlined within this plan.</w:t>
      </w:r>
    </w:p>
    <w:p w14:paraId="4123D7CB" w14:textId="77777777" w:rsidR="005D1C61" w:rsidRDefault="005D1C61" w:rsidP="008555FD"/>
    <w:p w14:paraId="27DE800F" w14:textId="77777777" w:rsidR="00AA64E9" w:rsidRDefault="00AA64E9" w:rsidP="003061EA">
      <w:pPr>
        <w:pStyle w:val="Heading2"/>
        <w:sectPr w:rsidR="00AA64E9" w:rsidSect="00AA64E9">
          <w:pgSz w:w="11910" w:h="16840"/>
          <w:pgMar w:top="720" w:right="720" w:bottom="720" w:left="720" w:header="0" w:footer="330" w:gutter="0"/>
          <w:cols w:space="720"/>
        </w:sectPr>
      </w:pPr>
      <w:bookmarkStart w:id="17" w:name="_Toc83043012"/>
    </w:p>
    <w:p w14:paraId="04089C3E" w14:textId="2C1B2170" w:rsidR="005D1C61" w:rsidRPr="003061EA" w:rsidRDefault="005D1C61" w:rsidP="003061EA">
      <w:pPr>
        <w:pStyle w:val="Heading2"/>
      </w:pPr>
      <w:r w:rsidRPr="00CF6322">
        <w:lastRenderedPageBreak/>
        <w:t xml:space="preserve">Our </w:t>
      </w:r>
      <w:r w:rsidRPr="00B1052A">
        <w:t>Structure</w:t>
      </w:r>
      <w:bookmarkEnd w:id="17"/>
    </w:p>
    <w:p w14:paraId="595E9DB6" w14:textId="77777777" w:rsidR="005D1C61" w:rsidRPr="003061EA" w:rsidRDefault="005D1C61" w:rsidP="003061EA">
      <w:pPr>
        <w:pStyle w:val="Bullets"/>
      </w:pPr>
      <w:r w:rsidRPr="003061EA">
        <w:t>The Hon Greg Hunt MP, Minister for Health and Aged Care</w:t>
      </w:r>
    </w:p>
    <w:p w14:paraId="1DD528E2" w14:textId="77777777" w:rsidR="005D1C61" w:rsidRPr="003061EA" w:rsidRDefault="005D1C61" w:rsidP="003061EA">
      <w:pPr>
        <w:pStyle w:val="Bullets"/>
      </w:pPr>
      <w:r w:rsidRPr="003061EA">
        <w:t xml:space="preserve">Senator the Hon Richard </w:t>
      </w:r>
      <w:proofErr w:type="spellStart"/>
      <w:r w:rsidRPr="003061EA">
        <w:t>Colbeck</w:t>
      </w:r>
      <w:proofErr w:type="spellEnd"/>
      <w:r w:rsidRPr="003061EA">
        <w:t>, Minister for Senior Australians and Aged Care Services and the Minister for Sport</w:t>
      </w:r>
    </w:p>
    <w:p w14:paraId="158E30CF" w14:textId="77777777" w:rsidR="005D1C61" w:rsidRPr="003061EA" w:rsidRDefault="005D1C61" w:rsidP="003061EA">
      <w:pPr>
        <w:pStyle w:val="Bullets"/>
      </w:pPr>
      <w:r w:rsidRPr="003061EA">
        <w:t xml:space="preserve">The Hon </w:t>
      </w:r>
      <w:proofErr w:type="spellStart"/>
      <w:r w:rsidRPr="003061EA">
        <w:t>Dr</w:t>
      </w:r>
      <w:proofErr w:type="spellEnd"/>
      <w:r w:rsidRPr="003061EA">
        <w:t xml:space="preserve"> David Gillespie MP, Minister for Regional Health and Minister Assisting the Minister for Trade and Investment</w:t>
      </w:r>
    </w:p>
    <w:p w14:paraId="0AF32C5A" w14:textId="77777777" w:rsidR="005D1C61" w:rsidRPr="00D57D83" w:rsidRDefault="005D1C61" w:rsidP="003061EA">
      <w:pPr>
        <w:pStyle w:val="Bullets"/>
      </w:pPr>
      <w:r w:rsidRPr="003061EA">
        <w:t>The Hon David Coleman MP, Assistant Minister to the Prime</w:t>
      </w:r>
      <w:r w:rsidRPr="00D57D83">
        <w:t xml:space="preserve"> Minister for Mental Health and Suicide Prevention</w:t>
      </w:r>
    </w:p>
    <w:p w14:paraId="2DF9202F" w14:textId="77777777" w:rsidR="005D1C61" w:rsidRPr="00D57D83" w:rsidRDefault="005D1C61" w:rsidP="007065BF">
      <w:pPr>
        <w:pStyle w:val="Heading3"/>
      </w:pPr>
      <w:r w:rsidRPr="00D57D83">
        <w:t xml:space="preserve">Secretary, </w:t>
      </w:r>
      <w:proofErr w:type="spellStart"/>
      <w:r w:rsidRPr="00D57D83">
        <w:t>Dr</w:t>
      </w:r>
      <w:proofErr w:type="spellEnd"/>
      <w:r w:rsidRPr="00D57D83">
        <w:t xml:space="preserve"> Brendan Murphy</w:t>
      </w:r>
    </w:p>
    <w:p w14:paraId="49547A59" w14:textId="77777777" w:rsidR="005D1C61" w:rsidRDefault="005D1C61" w:rsidP="007065BF">
      <w:pPr>
        <w:pStyle w:val="Heading4"/>
      </w:pPr>
      <w:r>
        <w:t xml:space="preserve">Health Products </w:t>
      </w:r>
      <w:r w:rsidRPr="00B1052A">
        <w:t>Regulation</w:t>
      </w:r>
    </w:p>
    <w:p w14:paraId="48E688EA" w14:textId="77777777" w:rsidR="005D1C61" w:rsidRPr="00B1052A" w:rsidRDefault="005D1C61" w:rsidP="005D1C61">
      <w:pPr>
        <w:pStyle w:val="Bullets"/>
      </w:pPr>
      <w:r>
        <w:t xml:space="preserve">Medicines </w:t>
      </w:r>
      <w:r w:rsidRPr="00B1052A">
        <w:t>Regulation</w:t>
      </w:r>
    </w:p>
    <w:p w14:paraId="4F1F5804" w14:textId="77777777" w:rsidR="005D1C61" w:rsidRPr="00B1052A" w:rsidRDefault="005D1C61" w:rsidP="005D1C61">
      <w:pPr>
        <w:pStyle w:val="Bullets"/>
      </w:pPr>
      <w:r w:rsidRPr="00B1052A">
        <w:t>Medical Devices and Product Quality</w:t>
      </w:r>
    </w:p>
    <w:p w14:paraId="00807796" w14:textId="77777777" w:rsidR="005D1C61" w:rsidRPr="00B1052A" w:rsidRDefault="005D1C61" w:rsidP="005D1C61">
      <w:pPr>
        <w:pStyle w:val="Bullets"/>
      </w:pPr>
      <w:r w:rsidRPr="00B1052A">
        <w:t>Regulatory Practice and Support</w:t>
      </w:r>
    </w:p>
    <w:p w14:paraId="5B7858B5" w14:textId="77777777" w:rsidR="005D1C61" w:rsidRDefault="005D1C61" w:rsidP="005D1C61">
      <w:pPr>
        <w:pStyle w:val="Bullets"/>
      </w:pPr>
      <w:r w:rsidRPr="00B1052A">
        <w:t>Regulatory Legal Servi</w:t>
      </w:r>
      <w:r>
        <w:t>ces Unit</w:t>
      </w:r>
    </w:p>
    <w:p w14:paraId="32EFFFD5" w14:textId="77777777" w:rsidR="005D1C61" w:rsidRDefault="005D1C61" w:rsidP="007065BF">
      <w:pPr>
        <w:pStyle w:val="Heading4"/>
      </w:pPr>
      <w:r w:rsidRPr="00B1052A">
        <w:t>Chief</w:t>
      </w:r>
      <w:r>
        <w:t xml:space="preserve"> Medical Officer</w:t>
      </w:r>
    </w:p>
    <w:p w14:paraId="3C3658C9" w14:textId="77777777" w:rsidR="005D1C61" w:rsidRPr="00B1052A" w:rsidRDefault="005D1C61" w:rsidP="005D1C61">
      <w:pPr>
        <w:pStyle w:val="Bullets"/>
      </w:pPr>
      <w:r w:rsidRPr="00B1052A">
        <w:t>Deputy Chief Medical Officers</w:t>
      </w:r>
    </w:p>
    <w:p w14:paraId="0BF8D8A9" w14:textId="77777777" w:rsidR="005D1C61" w:rsidRPr="00B1052A" w:rsidRDefault="005D1C61" w:rsidP="005D1C61">
      <w:pPr>
        <w:pStyle w:val="Bullets"/>
      </w:pPr>
      <w:r w:rsidRPr="00B1052A">
        <w:t>Office of Health Protection and Response</w:t>
      </w:r>
    </w:p>
    <w:p w14:paraId="649C835D" w14:textId="77777777" w:rsidR="005D1C61" w:rsidRDefault="005D1C61" w:rsidP="005D1C61">
      <w:pPr>
        <w:pStyle w:val="Bullets"/>
      </w:pPr>
      <w:r w:rsidRPr="00B1052A">
        <w:t>Chief</w:t>
      </w:r>
      <w:r>
        <w:t xml:space="preserve"> Nursing and Midwifery Officer</w:t>
      </w:r>
    </w:p>
    <w:p w14:paraId="63687AEC" w14:textId="77777777" w:rsidR="005D1C61" w:rsidRDefault="005D1C61" w:rsidP="007065BF">
      <w:pPr>
        <w:pStyle w:val="Heading4"/>
      </w:pPr>
      <w:r>
        <w:t>Ageing and Aged Care</w:t>
      </w:r>
    </w:p>
    <w:p w14:paraId="3A409E67" w14:textId="77777777" w:rsidR="005D1C61" w:rsidRPr="00B1052A" w:rsidRDefault="005D1C61" w:rsidP="005D1C61">
      <w:pPr>
        <w:pStyle w:val="Bullets"/>
      </w:pPr>
      <w:r>
        <w:t xml:space="preserve">Reform </w:t>
      </w:r>
      <w:r w:rsidRPr="00B1052A">
        <w:t>Implementation</w:t>
      </w:r>
    </w:p>
    <w:p w14:paraId="5C09BA1F" w14:textId="77777777" w:rsidR="005D1C61" w:rsidRPr="00B1052A" w:rsidRDefault="005D1C61" w:rsidP="005D1C61">
      <w:pPr>
        <w:pStyle w:val="Bullets"/>
      </w:pPr>
      <w:r w:rsidRPr="00B1052A">
        <w:t>Home and Residential</w:t>
      </w:r>
    </w:p>
    <w:p w14:paraId="7C3615E5" w14:textId="77777777" w:rsidR="005D1C61" w:rsidRPr="00B1052A" w:rsidRDefault="005D1C61" w:rsidP="005D1C61">
      <w:pPr>
        <w:pStyle w:val="Bullets"/>
      </w:pPr>
      <w:r w:rsidRPr="00B1052A">
        <w:t>Market and Workforce</w:t>
      </w:r>
    </w:p>
    <w:p w14:paraId="41F2DBD7" w14:textId="77777777" w:rsidR="005D1C61" w:rsidRPr="00B1052A" w:rsidRDefault="005D1C61" w:rsidP="005D1C61">
      <w:pPr>
        <w:pStyle w:val="Bullets"/>
      </w:pPr>
      <w:r w:rsidRPr="00B1052A">
        <w:t>Quality and Assurance</w:t>
      </w:r>
    </w:p>
    <w:p w14:paraId="1CE8A571" w14:textId="77777777" w:rsidR="005D1C61" w:rsidRDefault="005D1C61" w:rsidP="005D1C61">
      <w:pPr>
        <w:pStyle w:val="Bullets"/>
      </w:pPr>
      <w:r w:rsidRPr="00B1052A">
        <w:t>Serv</w:t>
      </w:r>
      <w:r>
        <w:t>ice Delivery</w:t>
      </w:r>
    </w:p>
    <w:p w14:paraId="241FADD4" w14:textId="77777777" w:rsidR="005D1C61" w:rsidRDefault="005D1C61" w:rsidP="007065BF">
      <w:pPr>
        <w:pStyle w:val="Heading4"/>
      </w:pPr>
      <w:r>
        <w:t xml:space="preserve">Primary and </w:t>
      </w:r>
      <w:r w:rsidRPr="00B1052A">
        <w:t>Community</w:t>
      </w:r>
      <w:r>
        <w:t xml:space="preserve"> Care</w:t>
      </w:r>
    </w:p>
    <w:p w14:paraId="6E5C6652" w14:textId="77777777" w:rsidR="005D1C61" w:rsidRPr="00B1052A" w:rsidRDefault="005D1C61" w:rsidP="005D1C61">
      <w:pPr>
        <w:pStyle w:val="Bullets"/>
      </w:pPr>
      <w:r w:rsidRPr="00B1052A">
        <w:t>Indigenous Health</w:t>
      </w:r>
    </w:p>
    <w:p w14:paraId="69CE3C7E" w14:textId="77777777" w:rsidR="005D1C61" w:rsidRPr="00B1052A" w:rsidRDefault="005D1C61" w:rsidP="005D1C61">
      <w:pPr>
        <w:pStyle w:val="Bullets"/>
      </w:pPr>
      <w:r w:rsidRPr="00B1052A">
        <w:t>Cancer Hearing and Program Support</w:t>
      </w:r>
    </w:p>
    <w:p w14:paraId="27F38C69" w14:textId="77777777" w:rsidR="005D1C61" w:rsidRPr="00B1052A" w:rsidRDefault="005D1C61" w:rsidP="005D1C61">
      <w:pPr>
        <w:pStyle w:val="Bullets"/>
      </w:pPr>
      <w:r w:rsidRPr="00B1052A">
        <w:t>Population Health</w:t>
      </w:r>
    </w:p>
    <w:p w14:paraId="455E5B6E" w14:textId="77777777" w:rsidR="005D1C61" w:rsidRPr="00B1052A" w:rsidRDefault="005D1C61" w:rsidP="005D1C61">
      <w:pPr>
        <w:pStyle w:val="Bullets"/>
      </w:pPr>
      <w:r w:rsidRPr="00B1052A">
        <w:t>Primary Care</w:t>
      </w:r>
    </w:p>
    <w:p w14:paraId="4FE66925" w14:textId="77777777" w:rsidR="005D1C61" w:rsidRDefault="005D1C61" w:rsidP="005D1C61">
      <w:pPr>
        <w:pStyle w:val="Bullets"/>
      </w:pPr>
      <w:r w:rsidRPr="00B1052A">
        <w:t>Ment</w:t>
      </w:r>
      <w:r>
        <w:t>al Health</w:t>
      </w:r>
    </w:p>
    <w:p w14:paraId="555C96A5" w14:textId="77777777" w:rsidR="005D1C61" w:rsidRDefault="005D1C61" w:rsidP="007065BF">
      <w:pPr>
        <w:pStyle w:val="Heading4"/>
      </w:pPr>
      <w:r>
        <w:t>Health Resourcin</w:t>
      </w:r>
      <w:r w:rsidRPr="00D57D83">
        <w:t>g</w:t>
      </w:r>
    </w:p>
    <w:p w14:paraId="5C0C087D" w14:textId="77777777" w:rsidR="005D1C61" w:rsidRPr="00B1052A" w:rsidRDefault="005D1C61" w:rsidP="005D1C61">
      <w:pPr>
        <w:pStyle w:val="Bullets"/>
      </w:pPr>
      <w:r>
        <w:t xml:space="preserve">Benefits </w:t>
      </w:r>
      <w:r w:rsidRPr="00B1052A">
        <w:t>Integrity and Digital Health</w:t>
      </w:r>
    </w:p>
    <w:p w14:paraId="54AE875D" w14:textId="77777777" w:rsidR="005D1C61" w:rsidRPr="00B1052A" w:rsidRDefault="005D1C61" w:rsidP="005D1C61">
      <w:pPr>
        <w:pStyle w:val="Bullets"/>
      </w:pPr>
      <w:r w:rsidRPr="00B1052A">
        <w:t>Medical Benefits</w:t>
      </w:r>
    </w:p>
    <w:p w14:paraId="468BE076" w14:textId="77777777" w:rsidR="005D1C61" w:rsidRPr="00B1052A" w:rsidRDefault="005D1C61" w:rsidP="005D1C61">
      <w:pPr>
        <w:pStyle w:val="Bullets"/>
      </w:pPr>
      <w:r w:rsidRPr="00B1052A">
        <w:t>Technology Assessment and Access</w:t>
      </w:r>
    </w:p>
    <w:p w14:paraId="7F2EFB5C" w14:textId="77777777" w:rsidR="005D1C61" w:rsidRDefault="005D1C61" w:rsidP="005D1C61">
      <w:pPr>
        <w:pStyle w:val="Bullets"/>
      </w:pPr>
      <w:r w:rsidRPr="00B1052A">
        <w:t>He</w:t>
      </w:r>
      <w:r>
        <w:t>alth Workforce</w:t>
      </w:r>
    </w:p>
    <w:p w14:paraId="486DF939" w14:textId="77777777" w:rsidR="005D1C61" w:rsidRDefault="005D1C61" w:rsidP="007065BF">
      <w:pPr>
        <w:pStyle w:val="Heading4"/>
      </w:pPr>
      <w:r>
        <w:t>Strategic Evidence and Research</w:t>
      </w:r>
    </w:p>
    <w:p w14:paraId="3DFEE2D6" w14:textId="77777777" w:rsidR="005D1C61" w:rsidRPr="00B1052A" w:rsidRDefault="005D1C61" w:rsidP="005D1C61">
      <w:pPr>
        <w:pStyle w:val="Bullets"/>
      </w:pPr>
      <w:r>
        <w:t xml:space="preserve">Health </w:t>
      </w:r>
      <w:r w:rsidRPr="00B1052A">
        <w:t>Economics and Research</w:t>
      </w:r>
    </w:p>
    <w:p w14:paraId="7651117E" w14:textId="77777777" w:rsidR="005D1C61" w:rsidRDefault="005D1C61" w:rsidP="005D1C61">
      <w:pPr>
        <w:pStyle w:val="Bullets"/>
      </w:pPr>
      <w:r w:rsidRPr="00B1052A">
        <w:t>Portfolio</w:t>
      </w:r>
      <w:r>
        <w:t xml:space="preserve"> Strategies</w:t>
      </w:r>
    </w:p>
    <w:p w14:paraId="1F19023E" w14:textId="77777777" w:rsidR="005D1C61" w:rsidRDefault="005D1C61" w:rsidP="007065BF">
      <w:pPr>
        <w:pStyle w:val="Heading4"/>
      </w:pPr>
      <w:r>
        <w:t xml:space="preserve">Corporate </w:t>
      </w:r>
      <w:r w:rsidRPr="00D57D83">
        <w:t>Operations</w:t>
      </w:r>
    </w:p>
    <w:p w14:paraId="1D77B48E" w14:textId="77777777" w:rsidR="005D1C61" w:rsidRPr="00B1052A" w:rsidRDefault="005D1C61" w:rsidP="005D1C61">
      <w:pPr>
        <w:pStyle w:val="Bullets"/>
      </w:pPr>
      <w:r w:rsidRPr="00B1052A">
        <w:t>Sport</w:t>
      </w:r>
    </w:p>
    <w:p w14:paraId="14566FA0" w14:textId="77777777" w:rsidR="005D1C61" w:rsidRPr="00B1052A" w:rsidRDefault="005D1C61" w:rsidP="005D1C61">
      <w:pPr>
        <w:pStyle w:val="Bullets"/>
      </w:pPr>
      <w:r w:rsidRPr="00B1052A">
        <w:t>Information Technology</w:t>
      </w:r>
    </w:p>
    <w:p w14:paraId="5304FDE7" w14:textId="77777777" w:rsidR="005D1C61" w:rsidRPr="00B1052A" w:rsidRDefault="005D1C61" w:rsidP="005D1C61">
      <w:pPr>
        <w:pStyle w:val="Bullets"/>
      </w:pPr>
      <w:r w:rsidRPr="00B1052A">
        <w:t>People, Communication and Parliamentary</w:t>
      </w:r>
    </w:p>
    <w:p w14:paraId="018D6A47" w14:textId="77777777" w:rsidR="005D1C61" w:rsidRDefault="005D1C61" w:rsidP="005D1C61">
      <w:pPr>
        <w:pStyle w:val="Bullets"/>
      </w:pPr>
      <w:r w:rsidRPr="00B1052A">
        <w:t>Financial</w:t>
      </w:r>
      <w:r>
        <w:t xml:space="preserve"> Management</w:t>
      </w:r>
    </w:p>
    <w:p w14:paraId="2932D3BA" w14:textId="77777777" w:rsidR="005D1C61" w:rsidRPr="00B1052A" w:rsidRDefault="005D1C61" w:rsidP="005D1C61">
      <w:pPr>
        <w:pStyle w:val="Bullets"/>
      </w:pPr>
      <w:r w:rsidRPr="00B1052A">
        <w:t>Legal and Assurance</w:t>
      </w:r>
    </w:p>
    <w:p w14:paraId="260B5517" w14:textId="77777777" w:rsidR="00545AAA" w:rsidRDefault="00545AAA" w:rsidP="00545AAA">
      <w:r>
        <w:br w:type="page"/>
      </w:r>
    </w:p>
    <w:p w14:paraId="1DF14750" w14:textId="316C627E" w:rsidR="005D1C61" w:rsidRPr="00B1052A" w:rsidRDefault="005D1C61" w:rsidP="007065BF">
      <w:pPr>
        <w:pStyle w:val="Heading3"/>
      </w:pPr>
      <w:r w:rsidRPr="00B1052A">
        <w:lastRenderedPageBreak/>
        <w:t xml:space="preserve">Operation COVID </w:t>
      </w:r>
      <w:r w:rsidRPr="001D1CF9">
        <w:t>Shield</w:t>
      </w:r>
      <w:r>
        <w:t xml:space="preserve">, </w:t>
      </w:r>
      <w:r w:rsidRPr="00B1052A">
        <w:t xml:space="preserve">Lieutenant General John </w:t>
      </w:r>
      <w:proofErr w:type="spellStart"/>
      <w:r w:rsidRPr="00B1052A">
        <w:t>Frewen</w:t>
      </w:r>
      <w:proofErr w:type="spellEnd"/>
    </w:p>
    <w:p w14:paraId="4C4984A4" w14:textId="77777777" w:rsidR="005D1C61" w:rsidRPr="00B1052A" w:rsidRDefault="005D1C61" w:rsidP="007065BF">
      <w:pPr>
        <w:pStyle w:val="Heading4"/>
      </w:pPr>
      <w:r w:rsidRPr="00B1052A">
        <w:t>COVID-19 Primary Care Response Taskforce</w:t>
      </w:r>
    </w:p>
    <w:p w14:paraId="3B726F18" w14:textId="77777777" w:rsidR="005D1C61" w:rsidRPr="00B1052A" w:rsidRDefault="005D1C61" w:rsidP="005D1C61">
      <w:pPr>
        <w:pStyle w:val="Bullets"/>
      </w:pPr>
      <w:r w:rsidRPr="00B1052A">
        <w:t>Program Policy and Design</w:t>
      </w:r>
    </w:p>
    <w:p w14:paraId="301CAFE8" w14:textId="77777777" w:rsidR="005D1C61" w:rsidRPr="00B1052A" w:rsidRDefault="005D1C61" w:rsidP="005D1C61">
      <w:pPr>
        <w:pStyle w:val="Bullets"/>
      </w:pPr>
      <w:r w:rsidRPr="00B1052A">
        <w:t>Operation Command</w:t>
      </w:r>
    </w:p>
    <w:p w14:paraId="579515FF" w14:textId="77777777" w:rsidR="005D1C61" w:rsidRPr="00B1052A" w:rsidRDefault="005D1C61" w:rsidP="005D1C61">
      <w:pPr>
        <w:pStyle w:val="Bullets"/>
      </w:pPr>
      <w:r w:rsidRPr="00B1052A">
        <w:t>Strategic Communications</w:t>
      </w:r>
      <w:r>
        <w:t xml:space="preserve"> </w:t>
      </w:r>
      <w:r w:rsidRPr="00B1052A">
        <w:t>and Media</w:t>
      </w:r>
    </w:p>
    <w:p w14:paraId="0D79B2C1" w14:textId="77777777" w:rsidR="005D1C61" w:rsidRPr="00B1052A" w:rsidRDefault="005D1C61" w:rsidP="005D1C61">
      <w:pPr>
        <w:pStyle w:val="Bullets"/>
      </w:pPr>
      <w:r w:rsidRPr="00B1052A">
        <w:t>Ofﬁce of the Coordinator General</w:t>
      </w:r>
    </w:p>
    <w:p w14:paraId="10CB44CC" w14:textId="77777777" w:rsidR="005D1C61" w:rsidRPr="00B1052A" w:rsidRDefault="005D1C61" w:rsidP="005D1C61">
      <w:pPr>
        <w:pStyle w:val="Bullets"/>
      </w:pPr>
      <w:r w:rsidRPr="00B1052A">
        <w:t>Disability</w:t>
      </w:r>
    </w:p>
    <w:p w14:paraId="611AFFCD" w14:textId="77777777" w:rsidR="005D1C61" w:rsidRPr="00CF6322" w:rsidRDefault="005D1C61" w:rsidP="007065BF">
      <w:pPr>
        <w:pStyle w:val="Heading3"/>
      </w:pPr>
      <w:r w:rsidRPr="00CF6322">
        <w:t>Statutory ofﬁ</w:t>
      </w:r>
      <w:r w:rsidRPr="00B1052A">
        <w:t>c</w:t>
      </w:r>
      <w:r w:rsidRPr="00CF6322">
        <w:t xml:space="preserve">e </w:t>
      </w:r>
      <w:r w:rsidRPr="001D1CF9">
        <w:t>holders</w:t>
      </w:r>
    </w:p>
    <w:p w14:paraId="63D4566E" w14:textId="77777777" w:rsidR="005D1C61" w:rsidRPr="003061EA" w:rsidRDefault="005D1C61" w:rsidP="003061EA">
      <w:pPr>
        <w:pStyle w:val="Bullets"/>
      </w:pPr>
      <w:r w:rsidRPr="00B1052A">
        <w:t xml:space="preserve">Acting Aged Care Pricing </w:t>
      </w:r>
      <w:r w:rsidRPr="003061EA">
        <w:t>Commissioner, David Weiss</w:t>
      </w:r>
    </w:p>
    <w:p w14:paraId="64049692" w14:textId="77777777" w:rsidR="005D1C61" w:rsidRPr="003061EA" w:rsidRDefault="005D1C61" w:rsidP="003061EA">
      <w:pPr>
        <w:pStyle w:val="Bullets"/>
      </w:pPr>
      <w:r w:rsidRPr="003061EA">
        <w:t>Aged Care Quality and Safety Commissioner, Janet Anderson PSM</w:t>
      </w:r>
    </w:p>
    <w:p w14:paraId="1F114C5D" w14:textId="77777777" w:rsidR="005D1C61" w:rsidRPr="003061EA" w:rsidRDefault="005D1C61" w:rsidP="003061EA">
      <w:pPr>
        <w:pStyle w:val="Bullets"/>
      </w:pPr>
      <w:r w:rsidRPr="003061EA">
        <w:t>Executive Director, Office of Chemical Safety, Graeme Barden</w:t>
      </w:r>
    </w:p>
    <w:p w14:paraId="75AB3FC8" w14:textId="77777777" w:rsidR="005D1C61" w:rsidRPr="003061EA" w:rsidRDefault="005D1C61" w:rsidP="003061EA">
      <w:pPr>
        <w:pStyle w:val="Bullets"/>
      </w:pPr>
      <w:r w:rsidRPr="003061EA">
        <w:t xml:space="preserve">Gene Technology Regulator, </w:t>
      </w:r>
      <w:proofErr w:type="spellStart"/>
      <w:r w:rsidRPr="003061EA">
        <w:t>Dr</w:t>
      </w:r>
      <w:proofErr w:type="spellEnd"/>
      <w:r w:rsidRPr="003061EA">
        <w:t xml:space="preserve"> Raj </w:t>
      </w:r>
      <w:proofErr w:type="spellStart"/>
      <w:r w:rsidRPr="003061EA">
        <w:t>Bhula</w:t>
      </w:r>
      <w:proofErr w:type="spellEnd"/>
    </w:p>
    <w:p w14:paraId="2CE794CA" w14:textId="6E4BB76B" w:rsidR="005D1C61" w:rsidRPr="003061EA" w:rsidRDefault="005D1C61" w:rsidP="003061EA">
      <w:pPr>
        <w:pStyle w:val="Bullets"/>
      </w:pPr>
      <w:r w:rsidRPr="003061EA">
        <w:t>National Health Funding Pool Administrator</w:t>
      </w:r>
      <w:r w:rsidR="00D57D83" w:rsidRPr="003061EA">
        <w:t xml:space="preserve">, </w:t>
      </w:r>
      <w:r w:rsidRPr="003061EA">
        <w:t>Michael Lambert</w:t>
      </w:r>
    </w:p>
    <w:p w14:paraId="062336E0" w14:textId="591B44F0" w:rsidR="005D1C61" w:rsidRPr="003061EA" w:rsidRDefault="005D1C61" w:rsidP="003061EA">
      <w:pPr>
        <w:pStyle w:val="Bullets"/>
      </w:pPr>
      <w:r w:rsidRPr="003061EA">
        <w:t>National Rural Health Commissioner</w:t>
      </w:r>
      <w:r w:rsidR="00D57D83" w:rsidRPr="003061EA">
        <w:t xml:space="preserve">, </w:t>
      </w:r>
      <w:r w:rsidRPr="003061EA">
        <w:t>Professor Ruth Stewart</w:t>
      </w:r>
    </w:p>
    <w:p w14:paraId="2C6EB333" w14:textId="73CB02B3" w:rsidR="001D1CF9" w:rsidRDefault="005D1C61" w:rsidP="00AD6006">
      <w:pPr>
        <w:pStyle w:val="Bullets"/>
      </w:pPr>
      <w:r w:rsidRPr="003061EA">
        <w:t>Chief Executive Officer, National</w:t>
      </w:r>
      <w:r w:rsidRPr="00D57D83">
        <w:t xml:space="preserve"> Sports Tribunal</w:t>
      </w:r>
      <w:r w:rsidR="00D57D83">
        <w:t xml:space="preserve">, </w:t>
      </w:r>
      <w:r w:rsidRPr="00D57D83">
        <w:t xml:space="preserve">John </w:t>
      </w:r>
      <w:proofErr w:type="spellStart"/>
      <w:r w:rsidRPr="00D57D83">
        <w:t>Boultbee</w:t>
      </w:r>
      <w:proofErr w:type="spellEnd"/>
      <w:r w:rsidRPr="00D57D83">
        <w:t>, AM</w:t>
      </w:r>
      <w:bookmarkStart w:id="18" w:name="_Toc83043013"/>
    </w:p>
    <w:p w14:paraId="29CC6D0C" w14:textId="7C0658B6" w:rsidR="00AD6006" w:rsidRDefault="00AD6006" w:rsidP="00AA64E9"/>
    <w:p w14:paraId="73D72641" w14:textId="77777777" w:rsidR="00AA64E9" w:rsidRDefault="00AA64E9" w:rsidP="008555FD">
      <w:pPr>
        <w:pStyle w:val="Heading2"/>
        <w:sectPr w:rsidR="00AA64E9" w:rsidSect="00AA64E9">
          <w:pgSz w:w="11910" w:h="16840"/>
          <w:pgMar w:top="720" w:right="720" w:bottom="720" w:left="720" w:header="0" w:footer="330" w:gutter="0"/>
          <w:cols w:space="720"/>
        </w:sectPr>
      </w:pPr>
    </w:p>
    <w:p w14:paraId="61620419" w14:textId="2C988FF3" w:rsidR="008555FD" w:rsidRPr="00CF6322" w:rsidRDefault="008555FD" w:rsidP="008555FD">
      <w:pPr>
        <w:pStyle w:val="Heading2"/>
      </w:pPr>
      <w:r w:rsidRPr="00CF6322">
        <w:lastRenderedPageBreak/>
        <w:t xml:space="preserve">Our </w:t>
      </w:r>
      <w:r w:rsidRPr="008555FD">
        <w:t>Partners</w:t>
      </w:r>
      <w:bookmarkEnd w:id="18"/>
    </w:p>
    <w:p w14:paraId="632E70B2" w14:textId="476E92F4" w:rsidR="00E90764" w:rsidRPr="00CF6322" w:rsidRDefault="0099166C" w:rsidP="001D1CF9">
      <w:pPr>
        <w:pStyle w:val="BodyText"/>
      </w:pPr>
      <w:r w:rsidRPr="00CF6322">
        <w:t>In supporting the Australian Government to lead and shape</w:t>
      </w:r>
      <w:r w:rsidR="008555FD">
        <w:t xml:space="preserve"> </w:t>
      </w:r>
      <w:r w:rsidRPr="00CF6322">
        <w:t>Australia’s health and aged care system and sporting outcomes, we rely on cooperation with a wide range of internal and external stakeholders.</w:t>
      </w:r>
    </w:p>
    <w:p w14:paraId="632E70B4" w14:textId="445E127D" w:rsidR="00E90764" w:rsidRPr="00CF6322" w:rsidRDefault="0099166C" w:rsidP="001D1CF9">
      <w:pPr>
        <w:pStyle w:val="BodyText"/>
      </w:pPr>
      <w:r w:rsidRPr="00CF6322">
        <w:t xml:space="preserve">To ensure Australian people are at the </w:t>
      </w:r>
      <w:proofErr w:type="spellStart"/>
      <w:r w:rsidRPr="00CF6322">
        <w:t>centre</w:t>
      </w:r>
      <w:proofErr w:type="spellEnd"/>
      <w:r w:rsidRPr="00CF6322">
        <w:t xml:space="preserve"> of design and implementation, we work in partnership with</w:t>
      </w:r>
      <w:r w:rsidR="00D57D83">
        <w:t xml:space="preserve"> </w:t>
      </w:r>
      <w:r w:rsidRPr="00CF6322">
        <w:t>our stakeholders to develop, implement and oversee policies and programs that are coherent, connected and</w:t>
      </w:r>
      <w:r w:rsidR="00D100BA" w:rsidRPr="00CF6322">
        <w:t xml:space="preserve"> </w:t>
      </w:r>
      <w:r w:rsidRPr="00CF6322">
        <w:t>evidence-based.</w:t>
      </w:r>
    </w:p>
    <w:p w14:paraId="632E70B5" w14:textId="67F82158" w:rsidR="00E90764" w:rsidRPr="00CF6322" w:rsidRDefault="0099166C" w:rsidP="001D1CF9">
      <w:pPr>
        <w:pStyle w:val="BodyText"/>
      </w:pPr>
      <w:r w:rsidRPr="00CF6322">
        <w:t xml:space="preserve">We work closely with other Commonwealth entities, </w:t>
      </w:r>
      <w:r w:rsidR="00D100BA" w:rsidRPr="00CF6322">
        <w:t>state and</w:t>
      </w:r>
      <w:r w:rsidRPr="00CF6322">
        <w:t xml:space="preserve"> territory governments and our portfolio entities to deliver and administer our programs. These partnerships are crucial for joint planning and co-investment in services, and opportunities to better integrate across the healthcare system.</w:t>
      </w:r>
    </w:p>
    <w:p w14:paraId="632E70B6" w14:textId="131FE706" w:rsidR="00E90764" w:rsidRPr="00CF6322" w:rsidRDefault="0099166C" w:rsidP="001D1CF9">
      <w:pPr>
        <w:pStyle w:val="BodyText"/>
      </w:pPr>
      <w:r w:rsidRPr="00CF6322">
        <w:t>Collaboration with states and territories on long term, system wide health reform is a key priority, and will enable a nationally consistent approach and achieve better health</w:t>
      </w:r>
      <w:r w:rsidR="00D100BA" w:rsidRPr="00CF6322">
        <w:t xml:space="preserve"> </w:t>
      </w:r>
      <w:r w:rsidRPr="00CF6322">
        <w:t>outcomes for all Australians. We also collaborate with consumers, health care providers, the broader healthcare sector and other key stakeholders to develop services based on assessed need and implement new initiatives.</w:t>
      </w:r>
    </w:p>
    <w:p w14:paraId="632E70B8" w14:textId="6001E014" w:rsidR="00E90764" w:rsidRPr="00CF6322" w:rsidRDefault="0099166C" w:rsidP="001D1CF9">
      <w:pPr>
        <w:pStyle w:val="BodyText"/>
      </w:pPr>
      <w:r w:rsidRPr="00CF6322">
        <w:t>We continue to learn from and share our experience and expertise with partners in Australia and around the world, improving health in our region and globally.</w:t>
      </w:r>
      <w:r w:rsidR="00CF4E87" w:rsidRPr="00CF6322">
        <w:t xml:space="preserve"> </w:t>
      </w:r>
      <w:r w:rsidRPr="00CF6322">
        <w:t xml:space="preserve">We engage internationally to drive more integrated and strategic activities across the health portfolio. This includes strategic engagement with the World Health Organization, and bilaterally with key partners both in our region and more broadly through the G20 and the </w:t>
      </w:r>
      <w:proofErr w:type="spellStart"/>
      <w:r w:rsidRPr="00CF6322">
        <w:t>Organisation</w:t>
      </w:r>
      <w:proofErr w:type="spellEnd"/>
      <w:r w:rsidRPr="00CF6322">
        <w:t xml:space="preserve"> for Economic Co-operation and Development.</w:t>
      </w:r>
    </w:p>
    <w:p w14:paraId="632E70B9" w14:textId="30DE3015" w:rsidR="00E90764" w:rsidRPr="00CF6322" w:rsidRDefault="0099166C" w:rsidP="001D1CF9">
      <w:pPr>
        <w:pStyle w:val="BodyText"/>
      </w:pPr>
      <w:r w:rsidRPr="00CF6322">
        <w:t>Through our commitment to the National Agreement on Closing the Gap, we are partnering with Aboriginal and Torres Strait Islander people, communities,</w:t>
      </w:r>
      <w:r w:rsidR="00CF4E87" w:rsidRPr="00CF6322">
        <w:t xml:space="preserve"> </w:t>
      </w:r>
      <w:proofErr w:type="spellStart"/>
      <w:r w:rsidRPr="00CF6322">
        <w:t>organisations</w:t>
      </w:r>
      <w:proofErr w:type="spellEnd"/>
      <w:r w:rsidR="008555FD">
        <w:t xml:space="preserve"> </w:t>
      </w:r>
      <w:r w:rsidRPr="00CF6322">
        <w:t>and mainstream services to improve access to effective health care services and health outcomes for Aboriginal and Torres Strait Islander people.</w:t>
      </w:r>
    </w:p>
    <w:p w14:paraId="632E70BA" w14:textId="0A415803" w:rsidR="00E90764" w:rsidRDefault="0099166C" w:rsidP="001D1CF9">
      <w:pPr>
        <w:pStyle w:val="BodyText"/>
      </w:pPr>
      <w:r w:rsidRPr="00CF6322">
        <w:t>Our partnerships are critical to achieving our purpose and</w:t>
      </w:r>
      <w:r w:rsidR="00D100BA" w:rsidRPr="00CF6322">
        <w:t xml:space="preserve"> </w:t>
      </w:r>
      <w:r w:rsidRPr="00CF6322">
        <w:t xml:space="preserve">contribute significantly to the impact we have within the Australian community, helping us achieve our vision of better health and wellbeing for all Australians, now and </w:t>
      </w:r>
      <w:r w:rsidR="00D100BA" w:rsidRPr="00CF6322">
        <w:t xml:space="preserve">for future </w:t>
      </w:r>
      <w:r w:rsidRPr="00CF6322">
        <w:t>generations.</w:t>
      </w:r>
    </w:p>
    <w:p w14:paraId="301C0CC0" w14:textId="77777777" w:rsidR="008555FD" w:rsidRPr="007065BF" w:rsidRDefault="008555FD" w:rsidP="007065BF">
      <w:pPr>
        <w:rPr>
          <w:rStyle w:val="Strong"/>
        </w:rPr>
      </w:pPr>
      <w:r w:rsidRPr="007065BF">
        <w:rPr>
          <w:rStyle w:val="Strong"/>
        </w:rPr>
        <w:t xml:space="preserve">Engagement for better health outcomes </w:t>
      </w:r>
    </w:p>
    <w:p w14:paraId="3F21FF56" w14:textId="77777777" w:rsidR="008555FD" w:rsidRPr="008555FD" w:rsidRDefault="008555FD" w:rsidP="008555FD">
      <w:pPr>
        <w:pStyle w:val="Bullets"/>
      </w:pPr>
      <w:r w:rsidRPr="008555FD">
        <w:t>Portfolio entities</w:t>
      </w:r>
    </w:p>
    <w:p w14:paraId="164D5B10" w14:textId="77777777" w:rsidR="008555FD" w:rsidRPr="008555FD" w:rsidRDefault="008555FD" w:rsidP="008555FD">
      <w:pPr>
        <w:pStyle w:val="Bullets"/>
      </w:pPr>
      <w:r w:rsidRPr="008555FD">
        <w:t>Statutory office holders</w:t>
      </w:r>
    </w:p>
    <w:p w14:paraId="30AB3FF8" w14:textId="77777777" w:rsidR="008555FD" w:rsidRPr="008555FD" w:rsidRDefault="008555FD" w:rsidP="008555FD">
      <w:pPr>
        <w:pStyle w:val="Bullets"/>
      </w:pPr>
      <w:r w:rsidRPr="008555FD">
        <w:t>Other Commonwealth entities</w:t>
      </w:r>
    </w:p>
    <w:p w14:paraId="34C1C7B0" w14:textId="77777777" w:rsidR="008555FD" w:rsidRPr="008555FD" w:rsidRDefault="008555FD" w:rsidP="008555FD">
      <w:pPr>
        <w:pStyle w:val="Bullets"/>
      </w:pPr>
      <w:r w:rsidRPr="008555FD">
        <w:t>State and territory governments</w:t>
      </w:r>
    </w:p>
    <w:p w14:paraId="0916866E" w14:textId="77777777" w:rsidR="008555FD" w:rsidRPr="008555FD" w:rsidRDefault="008555FD" w:rsidP="008555FD">
      <w:pPr>
        <w:pStyle w:val="Bullets"/>
      </w:pPr>
      <w:r w:rsidRPr="008555FD">
        <w:t>Health care providers</w:t>
      </w:r>
    </w:p>
    <w:p w14:paraId="402FD51F" w14:textId="77777777" w:rsidR="008555FD" w:rsidRPr="008555FD" w:rsidRDefault="008555FD" w:rsidP="008555FD">
      <w:pPr>
        <w:pStyle w:val="Bullets"/>
      </w:pPr>
      <w:r w:rsidRPr="008555FD">
        <w:t>Peak bodies</w:t>
      </w:r>
    </w:p>
    <w:p w14:paraId="060FD1B8" w14:textId="77777777" w:rsidR="008555FD" w:rsidRPr="008555FD" w:rsidRDefault="008555FD" w:rsidP="008555FD">
      <w:pPr>
        <w:pStyle w:val="Bullets"/>
      </w:pPr>
      <w:r w:rsidRPr="008555FD">
        <w:t xml:space="preserve">International </w:t>
      </w:r>
      <w:proofErr w:type="spellStart"/>
      <w:r w:rsidRPr="008555FD">
        <w:t>organisations</w:t>
      </w:r>
      <w:proofErr w:type="spellEnd"/>
    </w:p>
    <w:p w14:paraId="2D32DAD8" w14:textId="15ECB89B" w:rsidR="001D1CF9" w:rsidRPr="001D1CF9" w:rsidRDefault="008555FD" w:rsidP="001D1CF9">
      <w:pPr>
        <w:pStyle w:val="Bullets"/>
      </w:pPr>
      <w:r w:rsidRPr="008555FD">
        <w:t>The Australian commu</w:t>
      </w:r>
      <w:r w:rsidR="00D54C5E">
        <w:t>nit</w:t>
      </w:r>
      <w:r w:rsidR="001D1CF9">
        <w:t>y</w:t>
      </w:r>
      <w:bookmarkStart w:id="19" w:name="_National_Agreement_on"/>
      <w:bookmarkStart w:id="20" w:name="_Toc83043014"/>
      <w:bookmarkEnd w:id="19"/>
    </w:p>
    <w:p w14:paraId="28622E9D" w14:textId="116DC32C" w:rsidR="00AD6006" w:rsidRDefault="00AD6006" w:rsidP="00AA64E9"/>
    <w:p w14:paraId="7B516115" w14:textId="77777777" w:rsidR="00AA64E9" w:rsidRDefault="00AA64E9" w:rsidP="002F2887">
      <w:pPr>
        <w:pStyle w:val="Heading2"/>
        <w:sectPr w:rsidR="00AA64E9" w:rsidSect="00AA64E9">
          <w:pgSz w:w="11910" w:h="16840"/>
          <w:pgMar w:top="720" w:right="720" w:bottom="720" w:left="720" w:header="0" w:footer="330" w:gutter="0"/>
          <w:cols w:space="720"/>
        </w:sectPr>
      </w:pPr>
    </w:p>
    <w:p w14:paraId="7FD0BF44" w14:textId="03735A07" w:rsidR="002F2887" w:rsidRDefault="0099166C" w:rsidP="002F2887">
      <w:pPr>
        <w:pStyle w:val="Heading2"/>
      </w:pPr>
      <w:r w:rsidRPr="00CF6322">
        <w:lastRenderedPageBreak/>
        <w:t>National Agreement on Closing the Gap</w:t>
      </w:r>
      <w:bookmarkEnd w:id="20"/>
    </w:p>
    <w:p w14:paraId="632E70C5" w14:textId="14FF769F" w:rsidR="00E90764" w:rsidRPr="00CF6322" w:rsidRDefault="0099166C" w:rsidP="001D1CF9">
      <w:pPr>
        <w:pStyle w:val="BodyText"/>
      </w:pPr>
      <w:r w:rsidRPr="00CF6322">
        <w:t>Aboriginal and Torres Strait Islander people experience poorer health outcomes than the rest of the</w:t>
      </w:r>
      <w:r w:rsidR="002F2887">
        <w:t xml:space="preserve"> </w:t>
      </w:r>
      <w:r w:rsidRPr="00CF6322">
        <w:t>Australian population.</w:t>
      </w:r>
      <w:r w:rsidR="002F2887">
        <w:t xml:space="preserve"> </w:t>
      </w:r>
      <w:r w:rsidRPr="00CF6322">
        <w:t>Closing this gap is everyone’s business – it requires partnerships across departments, at all levels of government, and in the mainstream and community controlled health sectors to ensure Aboriginal and Torres Strait Islander people have access to</w:t>
      </w:r>
      <w:r w:rsidR="00E66F70" w:rsidRPr="00CF6322">
        <w:t xml:space="preserve"> </w:t>
      </w:r>
      <w:r w:rsidRPr="00CF6322">
        <w:t>culturally safe and responsive care, when and where they need it. Most importantly it requires a genuine partnership with Aboriginal and Torres Strait Islander people in the development of policies and programs affecting them.</w:t>
      </w:r>
    </w:p>
    <w:p w14:paraId="632E70C6" w14:textId="77777777" w:rsidR="00E90764" w:rsidRPr="00CF6322" w:rsidRDefault="0099166C" w:rsidP="001D1CF9">
      <w:pPr>
        <w:pStyle w:val="BodyText"/>
      </w:pPr>
      <w:r w:rsidRPr="00CF6322">
        <w:t>To make this happen, all Australian governments have signed up to the new National Agreement on Closing the Gap (National Agreement). Through this agreement, we have made a clear commitment to change the way we work with, and for, Aboriginal and Torres Strait Islander people. This includes 4 new Priority Reforms:</w:t>
      </w:r>
    </w:p>
    <w:p w14:paraId="632E70C7" w14:textId="53CFCE0A" w:rsidR="00E90764" w:rsidRPr="002F2887" w:rsidRDefault="0099166C" w:rsidP="002F2887">
      <w:pPr>
        <w:pStyle w:val="Bullets"/>
      </w:pPr>
      <w:r w:rsidRPr="00CF6322">
        <w:t>Priority Reform One: Formal Partnerships and</w:t>
      </w:r>
      <w:r w:rsidR="00E66F70" w:rsidRPr="00CF6322">
        <w:t xml:space="preserve"> </w:t>
      </w:r>
      <w:r w:rsidRPr="00CF6322">
        <w:t>Shared</w:t>
      </w:r>
      <w:r w:rsidR="00E66F70" w:rsidRPr="00CF6322">
        <w:t xml:space="preserve"> </w:t>
      </w:r>
      <w:r w:rsidR="00E66F70" w:rsidRPr="002F2887">
        <w:t>Decision Making</w:t>
      </w:r>
      <w:r w:rsidRPr="002F2887">
        <w:t>.</w:t>
      </w:r>
    </w:p>
    <w:p w14:paraId="632E70C8" w14:textId="571A4DC5" w:rsidR="00E90764" w:rsidRPr="002F2887" w:rsidRDefault="0099166C" w:rsidP="002F2887">
      <w:pPr>
        <w:pStyle w:val="Bullets"/>
      </w:pPr>
      <w:r w:rsidRPr="002F2887">
        <w:t>Priority Reform Two: Building the Community</w:t>
      </w:r>
      <w:r w:rsidR="00E66F70" w:rsidRPr="002F2887">
        <w:t xml:space="preserve"> Controlled Sector</w:t>
      </w:r>
      <w:r w:rsidRPr="002F2887">
        <w:t>.</w:t>
      </w:r>
    </w:p>
    <w:p w14:paraId="632E70C9" w14:textId="64FC0368" w:rsidR="00E90764" w:rsidRPr="002F2887" w:rsidRDefault="0099166C" w:rsidP="002F2887">
      <w:pPr>
        <w:pStyle w:val="Bullets"/>
      </w:pPr>
      <w:r w:rsidRPr="002F2887">
        <w:t>Priority Reform Three: Transforming Government</w:t>
      </w:r>
      <w:r w:rsidR="00E66F70" w:rsidRPr="002F2887">
        <w:t xml:space="preserve"> </w:t>
      </w:r>
      <w:proofErr w:type="spellStart"/>
      <w:r w:rsidR="00E66F70" w:rsidRPr="002F2887">
        <w:t>Organisations</w:t>
      </w:r>
      <w:proofErr w:type="spellEnd"/>
      <w:r w:rsidRPr="002F2887">
        <w:t>.</w:t>
      </w:r>
    </w:p>
    <w:p w14:paraId="632E70CA" w14:textId="77777777" w:rsidR="00E90764" w:rsidRPr="00CF6322" w:rsidRDefault="0099166C" w:rsidP="002F2887">
      <w:pPr>
        <w:pStyle w:val="Bullets"/>
      </w:pPr>
      <w:r w:rsidRPr="002F2887">
        <w:t>Priority Reform Four: Shared Access to Data and Information</w:t>
      </w:r>
      <w:r w:rsidRPr="00CF6322">
        <w:t xml:space="preserve"> at a Regional Level.</w:t>
      </w:r>
    </w:p>
    <w:p w14:paraId="60646061" w14:textId="77777777" w:rsidR="002F2887" w:rsidRDefault="0099166C" w:rsidP="001D1CF9">
      <w:pPr>
        <w:pStyle w:val="BodyText"/>
      </w:pPr>
      <w:r w:rsidRPr="00CF6322">
        <w:t xml:space="preserve">Mainstream services often don’t align with Aboriginal and Torres Strait Islander cultures, identities and histories. In recognition of this, we administer funding for Aboriginal Community Controlled Health Services to provide culturally safe and responsive access to health care for Aboriginal and Torres Strait Islander people. However, </w:t>
      </w:r>
      <w:r w:rsidR="00DD303D" w:rsidRPr="00CF6322">
        <w:t>we acknowledge</w:t>
      </w:r>
      <w:r w:rsidRPr="00CF6322">
        <w:t xml:space="preserve"> more needs to be done across all policies, programs and services throughout the whole health system in order to achieve real change.</w:t>
      </w:r>
      <w:r w:rsidR="002F2887">
        <w:t xml:space="preserve"> </w:t>
      </w:r>
    </w:p>
    <w:p w14:paraId="632E70CC" w14:textId="3524284D" w:rsidR="00E90764" w:rsidRPr="00CF6322" w:rsidRDefault="0099166C" w:rsidP="001D1CF9">
      <w:pPr>
        <w:pStyle w:val="BodyText"/>
      </w:pPr>
      <w:r w:rsidRPr="00CF6322">
        <w:t xml:space="preserve">We </w:t>
      </w:r>
      <w:proofErr w:type="spellStart"/>
      <w:r w:rsidRPr="00CF6322">
        <w:t>recognise</w:t>
      </w:r>
      <w:proofErr w:type="spellEnd"/>
      <w:r w:rsidRPr="00CF6322">
        <w:t xml:space="preserve"> the knowledge, strengths and skills of people with lived experience must be at the heart of our work. There is no single Aboriginal and/or Torres Strait Islander identity. For health, social and emotional </w:t>
      </w:r>
      <w:r w:rsidR="00DD303D" w:rsidRPr="00CF6322">
        <w:t>wellbeing services</w:t>
      </w:r>
      <w:r w:rsidRPr="00CF6322">
        <w:t xml:space="preserve"> to be responsive, these services must be tailored. This means Aboriginal and Torres Strait Islander people must be able to determine and lead priorities and actions.</w:t>
      </w:r>
    </w:p>
    <w:p w14:paraId="632E70CD" w14:textId="77777777" w:rsidR="00E90764" w:rsidRPr="00CF6322" w:rsidRDefault="0099166C" w:rsidP="001D1CF9">
      <w:pPr>
        <w:pStyle w:val="BodyText"/>
      </w:pPr>
      <w:r w:rsidRPr="00CF6322">
        <w:t>To put our commitments under the National Agreement into action, our Executive Committee will establish and oversee structured mechanisms to:</w:t>
      </w:r>
    </w:p>
    <w:p w14:paraId="632E70CE" w14:textId="77777777" w:rsidR="00E90764" w:rsidRPr="002F2887" w:rsidRDefault="0099166C" w:rsidP="002F2887">
      <w:pPr>
        <w:pStyle w:val="Bullets"/>
      </w:pPr>
      <w:r w:rsidRPr="00CF6322">
        <w:t xml:space="preserve">Strengthen departmental policies, </w:t>
      </w:r>
      <w:r w:rsidRPr="002F2887">
        <w:t>procedures and committees to better reflect Aboriginal and Torres Strait Islander views and participation in our workforce, our policies and our programs.</w:t>
      </w:r>
    </w:p>
    <w:p w14:paraId="632E70CF" w14:textId="77777777" w:rsidR="00E90764" w:rsidRPr="002F2887" w:rsidRDefault="0099166C" w:rsidP="002F2887">
      <w:pPr>
        <w:pStyle w:val="Bullets"/>
      </w:pPr>
      <w:r w:rsidRPr="002F2887">
        <w:t>Improve Australia’s health systems to drive better outcomes for Aboriginal and Torres Strait Islander people.</w:t>
      </w:r>
    </w:p>
    <w:p w14:paraId="632E70D0" w14:textId="77777777" w:rsidR="00E90764" w:rsidRPr="002F2887" w:rsidRDefault="0099166C" w:rsidP="002F2887">
      <w:pPr>
        <w:pStyle w:val="Bullets"/>
      </w:pPr>
      <w:r w:rsidRPr="002F2887">
        <w:t>Build the Department of Health as a leading Australian Public Service employer for Aboriginal and Torres Strait Islander people.</w:t>
      </w:r>
    </w:p>
    <w:p w14:paraId="632E70D1" w14:textId="77777777" w:rsidR="00E90764" w:rsidRPr="00CF6322" w:rsidRDefault="0099166C" w:rsidP="002F2887">
      <w:pPr>
        <w:pStyle w:val="Bullets"/>
      </w:pPr>
      <w:r w:rsidRPr="002F2887">
        <w:t>Strengthen our partnerships with Aboriginal</w:t>
      </w:r>
      <w:r w:rsidRPr="00CF6322">
        <w:t xml:space="preserve"> and Torres Strait Islander health stakeholders.</w:t>
      </w:r>
    </w:p>
    <w:p w14:paraId="632E70D4" w14:textId="05D241EB" w:rsidR="00E90764" w:rsidRPr="00CF6322" w:rsidRDefault="0099166C" w:rsidP="001D1CF9">
      <w:pPr>
        <w:pStyle w:val="BodyText"/>
      </w:pPr>
      <w:r w:rsidRPr="00CF6322">
        <w:t>Importantly, this will ensure Aboriginal and Torres Strait Islander voices guide reforms across health, mental health, aged care and health workforce programs, services</w:t>
      </w:r>
      <w:r w:rsidR="00E66F70" w:rsidRPr="00CF6322">
        <w:t xml:space="preserve"> </w:t>
      </w:r>
      <w:r w:rsidRPr="00CF6322">
        <w:t xml:space="preserve">and policies. Advice on health issues related to the COVID-19 pandemic response and the vaccine rollout </w:t>
      </w:r>
      <w:r w:rsidR="00DD303D" w:rsidRPr="00CF6322">
        <w:t>as it r</w:t>
      </w:r>
      <w:r w:rsidRPr="00CF6322">
        <w:t>elates to Aboriginal and Torres Strait Islander people is guided by the expertise of the National Aboriginal and Torres Strait Islander Advisory Group on COVID-19. This</w:t>
      </w:r>
      <w:r w:rsidR="00E66F70" w:rsidRPr="00CF6322">
        <w:t xml:space="preserve"> </w:t>
      </w:r>
      <w:r w:rsidRPr="00CF6322">
        <w:t xml:space="preserve">genuine partnership approach has been taken during </w:t>
      </w:r>
      <w:r w:rsidR="00DD303D" w:rsidRPr="00CF6322">
        <w:t>the development</w:t>
      </w:r>
      <w:r w:rsidRPr="00CF6322">
        <w:t xml:space="preserve"> of the refreshed 10 year National Aboriginal and Torres Strait Islander Health Plan, which will form the overarching policy framework for Aboriginal and Torres Strait Islander health.</w:t>
      </w:r>
    </w:p>
    <w:p w14:paraId="4EDECB7B" w14:textId="2400FC71" w:rsidR="001D1CF9" w:rsidRDefault="001D1CF9" w:rsidP="00AA64E9">
      <w:bookmarkStart w:id="21" w:name="_Our_Corporate_Governance"/>
      <w:bookmarkStart w:id="22" w:name="_Toc83043015"/>
      <w:bookmarkEnd w:id="21"/>
    </w:p>
    <w:p w14:paraId="48842AE1" w14:textId="77777777" w:rsidR="00AA64E9" w:rsidRDefault="00AA64E9" w:rsidP="002F2887">
      <w:pPr>
        <w:pStyle w:val="Heading2"/>
        <w:sectPr w:rsidR="00AA64E9" w:rsidSect="00AA64E9">
          <w:pgSz w:w="11910" w:h="16840"/>
          <w:pgMar w:top="720" w:right="720" w:bottom="720" w:left="720" w:header="0" w:footer="330" w:gutter="0"/>
          <w:cols w:space="720"/>
        </w:sectPr>
      </w:pPr>
    </w:p>
    <w:p w14:paraId="632E70E9" w14:textId="5FEAA9E2" w:rsidR="00E90764" w:rsidRPr="00CF6322" w:rsidRDefault="0099166C" w:rsidP="002F2887">
      <w:pPr>
        <w:pStyle w:val="Heading2"/>
      </w:pPr>
      <w:r w:rsidRPr="00CF6322">
        <w:lastRenderedPageBreak/>
        <w:t xml:space="preserve">Our Corporate </w:t>
      </w:r>
      <w:r w:rsidRPr="002F2887">
        <w:t>Governance</w:t>
      </w:r>
      <w:bookmarkEnd w:id="22"/>
    </w:p>
    <w:p w14:paraId="632E70EC" w14:textId="77777777" w:rsidR="00E90764" w:rsidRPr="00CF6322" w:rsidRDefault="0099166C" w:rsidP="001D1CF9">
      <w:pPr>
        <w:pStyle w:val="BodyText"/>
      </w:pPr>
      <w:r w:rsidRPr="00CF6322">
        <w:t>Corporate governance plays an integral role in ensuring Australian Government priorities and program outcomes are delivered efficiently and effectively.</w:t>
      </w:r>
    </w:p>
    <w:p w14:paraId="632E70EE" w14:textId="6A4C594C" w:rsidR="00E90764" w:rsidRPr="00CF6322" w:rsidRDefault="0099166C" w:rsidP="001D1CF9">
      <w:pPr>
        <w:pStyle w:val="BodyText"/>
      </w:pPr>
      <w:r w:rsidRPr="00CF6322">
        <w:t xml:space="preserve">There are 5 senior governance committees that provide advice and make recommendations to our executives on </w:t>
      </w:r>
      <w:proofErr w:type="spellStart"/>
      <w:r w:rsidRPr="00CF6322">
        <w:t>organisational</w:t>
      </w:r>
      <w:proofErr w:type="spellEnd"/>
      <w:r w:rsidRPr="00CF6322">
        <w:t xml:space="preserve"> performance, delivery of administered programs, implementation of our highest risk change projects, and strategic portfolio policy issues, to improve</w:t>
      </w:r>
      <w:r w:rsidR="00E66F70" w:rsidRPr="00CF6322">
        <w:t xml:space="preserve"> </w:t>
      </w:r>
      <w:r w:rsidRPr="00CF6322">
        <w:t>the performance of health, aged care and sport systems.</w:t>
      </w:r>
    </w:p>
    <w:p w14:paraId="632E70F0" w14:textId="72A2BA2B" w:rsidR="00E90764" w:rsidRPr="00CF6322" w:rsidRDefault="0099166C" w:rsidP="001D1CF9">
      <w:pPr>
        <w:pStyle w:val="BodyText"/>
      </w:pPr>
      <w:r w:rsidRPr="00CF6322">
        <w:t xml:space="preserve">The </w:t>
      </w:r>
      <w:r w:rsidRPr="00D57D83">
        <w:rPr>
          <w:b/>
          <w:bCs/>
        </w:rPr>
        <w:t>Executive Committee</w:t>
      </w:r>
      <w:r w:rsidRPr="00CF6322">
        <w:t xml:space="preserve"> provides strategic direction and leadership to ensure the outcomes documented</w:t>
      </w:r>
      <w:r w:rsidR="00E66F70" w:rsidRPr="00CF6322">
        <w:t xml:space="preserve"> </w:t>
      </w:r>
      <w:r w:rsidRPr="00CF6322">
        <w:t xml:space="preserve">in our Corporate Plan and Portfolio Budget Statements (PB Statements) are achieved. The Executive </w:t>
      </w:r>
      <w:r w:rsidR="00DD303D" w:rsidRPr="00CF6322">
        <w:t>Committee operates</w:t>
      </w:r>
      <w:r w:rsidRPr="00CF6322">
        <w:t xml:space="preserve"> in an advisory capacity to the Secretary as the Chief Executive and has no legal status.</w:t>
      </w:r>
    </w:p>
    <w:p w14:paraId="632E70F1" w14:textId="77777777" w:rsidR="00E90764" w:rsidRPr="00CF6322" w:rsidRDefault="0099166C" w:rsidP="001D1CF9">
      <w:pPr>
        <w:pStyle w:val="BodyText"/>
      </w:pPr>
      <w:r w:rsidRPr="00CF6322">
        <w:t xml:space="preserve">The </w:t>
      </w:r>
      <w:r w:rsidRPr="00D57D83">
        <w:rPr>
          <w:b/>
          <w:bCs/>
        </w:rPr>
        <w:t>Audit and Risk Committee</w:t>
      </w:r>
      <w:r w:rsidRPr="00CF6322">
        <w:t xml:space="preserve"> provides independent advice and assurance to the Secretary on the appropriateness of our financial reporting, systems of internal control, performance reporting, and systems of risk oversight and management.</w:t>
      </w:r>
    </w:p>
    <w:p w14:paraId="632E70F2" w14:textId="72865907" w:rsidR="00E90764" w:rsidRPr="00CF6322" w:rsidRDefault="0099166C" w:rsidP="001D1CF9">
      <w:pPr>
        <w:pStyle w:val="BodyText"/>
      </w:pPr>
      <w:r w:rsidRPr="00CF6322">
        <w:t xml:space="preserve">The </w:t>
      </w:r>
      <w:r w:rsidRPr="00D57D83">
        <w:rPr>
          <w:b/>
          <w:bCs/>
        </w:rPr>
        <w:t>Program Assurance Committee</w:t>
      </w:r>
      <w:r w:rsidRPr="00CF6322">
        <w:t xml:space="preserve"> is an advisory body, reporting to the Executive Committee. This Committee drives excellence in program delivery across all programs, which are mapped to the outcome and program</w:t>
      </w:r>
      <w:r w:rsidR="00DD303D" w:rsidRPr="00CF6322">
        <w:t xml:space="preserve"> </w:t>
      </w:r>
      <w:r w:rsidRPr="00CF6322">
        <w:t>structure reflected in the PB Statements. This committee considers both the ongoing delivery of programs and the implementation of new programs and measures.</w:t>
      </w:r>
    </w:p>
    <w:p w14:paraId="632E70F4" w14:textId="27125695" w:rsidR="00E90764" w:rsidRPr="00CF6322" w:rsidRDefault="0099166C" w:rsidP="001D1CF9">
      <w:pPr>
        <w:pStyle w:val="BodyText"/>
      </w:pPr>
      <w:r w:rsidRPr="00CF6322">
        <w:t xml:space="preserve">The </w:t>
      </w:r>
      <w:r w:rsidRPr="00D57D83">
        <w:rPr>
          <w:b/>
          <w:bCs/>
        </w:rPr>
        <w:t>Investment and Implementation Board</w:t>
      </w:r>
      <w:r w:rsidRPr="00CF6322">
        <w:t xml:space="preserve"> provides oversight, advice and assurance to the Executive Committee on effective management and ongoing viability of our high risk change projects, assessment of</w:t>
      </w:r>
      <w:r w:rsidR="00E66F70" w:rsidRPr="00CF6322">
        <w:t xml:space="preserve"> </w:t>
      </w:r>
      <w:r w:rsidRPr="00CF6322">
        <w:t>performance impacts and delivery related to our COVID-</w:t>
      </w:r>
      <w:proofErr w:type="gramStart"/>
      <w:r w:rsidRPr="00CF6322">
        <w:t>19</w:t>
      </w:r>
      <w:r w:rsidR="00DD303D" w:rsidRPr="00CF6322">
        <w:t xml:space="preserve"> </w:t>
      </w:r>
      <w:r w:rsidRPr="00CF6322">
        <w:t xml:space="preserve"> pandemic</w:t>
      </w:r>
      <w:proofErr w:type="gramEnd"/>
      <w:r w:rsidRPr="00CF6322">
        <w:t xml:space="preserve"> response, strengthening and maturing project capability and independent project assurance. The board also approves and tracks proposals relating to the use of departmental capital.</w:t>
      </w:r>
    </w:p>
    <w:p w14:paraId="632E70F5" w14:textId="5176BC3A" w:rsidR="00E90764" w:rsidRPr="00CF6322" w:rsidRDefault="0099166C" w:rsidP="001D1CF9">
      <w:pPr>
        <w:pStyle w:val="BodyText"/>
      </w:pPr>
      <w:r w:rsidRPr="00CF6322">
        <w:t xml:space="preserve">The </w:t>
      </w:r>
      <w:r w:rsidRPr="00D57D83">
        <w:rPr>
          <w:b/>
          <w:bCs/>
        </w:rPr>
        <w:t>Security and Workforce Integrity Assurance Committee</w:t>
      </w:r>
      <w:r w:rsidRPr="00CF6322">
        <w:t xml:space="preserve"> supports the Secretary and Executive Committee to manage security and workforce integrity risks. This committee also sets priorities to deliver the Government’s Protective Security and Policy Framework reforms, and monitors the effectiveness of policy and process controls associated with our Professional </w:t>
      </w:r>
      <w:proofErr w:type="gramStart"/>
      <w:r w:rsidRPr="00CF6322">
        <w:t xml:space="preserve">Integrity </w:t>
      </w:r>
      <w:r w:rsidR="00DD303D" w:rsidRPr="00CF6322">
        <w:t xml:space="preserve"> </w:t>
      </w:r>
      <w:r w:rsidRPr="00CF6322">
        <w:t>and</w:t>
      </w:r>
      <w:proofErr w:type="gramEnd"/>
      <w:r w:rsidRPr="00CF6322">
        <w:t xml:space="preserve"> Security Framework.</w:t>
      </w:r>
    </w:p>
    <w:p w14:paraId="632E70F6" w14:textId="0590617B" w:rsidR="00E90764" w:rsidRPr="00CF6322" w:rsidRDefault="0099166C" w:rsidP="002F2887">
      <w:pPr>
        <w:pStyle w:val="Heading3"/>
      </w:pPr>
      <w:r w:rsidRPr="00CF6322">
        <w:t>Our Risk Management Framework</w:t>
      </w:r>
    </w:p>
    <w:p w14:paraId="632E70F7" w14:textId="2CEA4C3F" w:rsidR="00E90764" w:rsidRPr="00CF6322" w:rsidRDefault="0099166C" w:rsidP="001D1CF9">
      <w:pPr>
        <w:pStyle w:val="BodyText"/>
      </w:pPr>
      <w:r w:rsidRPr="00CF6322">
        <w:t xml:space="preserve">Our risk management framework is designed to assist us in making better business decisions and increase our risk maturity to make us as agile as possible as we respond </w:t>
      </w:r>
      <w:r w:rsidR="004C6AAF" w:rsidRPr="00CF6322">
        <w:t>to the</w:t>
      </w:r>
      <w:r w:rsidRPr="00CF6322">
        <w:t xml:space="preserve"> COVID-19 pandemic environment.</w:t>
      </w:r>
    </w:p>
    <w:p w14:paraId="632E70F8" w14:textId="77777777" w:rsidR="00E90764" w:rsidRPr="00CF6322" w:rsidRDefault="0099166C" w:rsidP="001D1CF9">
      <w:pPr>
        <w:pStyle w:val="BodyText"/>
      </w:pPr>
      <w:r w:rsidRPr="00CF6322">
        <w:t xml:space="preserve">The risk management framework includes a Risk Management Policy, Enterprise Risk Appetite statement and Enterprise Level Risk themes. The framework aligns with the international standard AS/NZ ISO 31000:2018 - Risk Management, the </w:t>
      </w:r>
      <w:r w:rsidRPr="00D57D83">
        <w:rPr>
          <w:i/>
          <w:iCs/>
        </w:rPr>
        <w:t>Public Governance, Performance and Accountability Act 2013</w:t>
      </w:r>
      <w:r w:rsidRPr="00CF6322">
        <w:t xml:space="preserve"> and the Commonwealth Risk Management Policy.</w:t>
      </w:r>
    </w:p>
    <w:p w14:paraId="632E70F9" w14:textId="77777777" w:rsidR="00E90764" w:rsidRPr="00CF6322" w:rsidRDefault="0099166C" w:rsidP="001D1CF9">
      <w:pPr>
        <w:pStyle w:val="BodyText"/>
      </w:pPr>
      <w:r w:rsidRPr="00CF6322">
        <w:t>Our framework equips our staff at all levels to identify, communicate, assess and manage risks. It provides practical and relevant guidance to staff and ensures we can confidently identify, manage and implement new practices to deliver on our purpose and key initiatives.</w:t>
      </w:r>
    </w:p>
    <w:p w14:paraId="632E70FB" w14:textId="5EA3AFAD" w:rsidR="00E90764" w:rsidRPr="00CF6322" w:rsidRDefault="0099166C" w:rsidP="001D1CF9">
      <w:pPr>
        <w:pStyle w:val="BodyText"/>
      </w:pPr>
      <w:r w:rsidRPr="00CF6322">
        <w:t>We encourage an open and proactive approach to managing risk that considers both threats and</w:t>
      </w:r>
      <w:r w:rsidR="00E66F70" w:rsidRPr="00CF6322">
        <w:t xml:space="preserve"> </w:t>
      </w:r>
      <w:r w:rsidRPr="00CF6322">
        <w:t xml:space="preserve">opportunities. It is vital that we all take responsibility for our risk management, as there is risk and opportunity in everything we do. Our focus for the next 4 years will be to further develop our risk management framework, including strengthening our Risk Management Policy, training our people, embedding risk management into our policies, design, planning and project delivery, and building on our positive risk culture across the </w:t>
      </w:r>
      <w:proofErr w:type="spellStart"/>
      <w:r w:rsidRPr="00CF6322">
        <w:t>organisation</w:t>
      </w:r>
      <w:proofErr w:type="spellEnd"/>
      <w:r w:rsidRPr="00CF6322">
        <w:t>.</w:t>
      </w:r>
    </w:p>
    <w:p w14:paraId="632E70FD" w14:textId="534E1480" w:rsidR="00E90764" w:rsidRDefault="0099166C" w:rsidP="002F2887">
      <w:pPr>
        <w:pStyle w:val="Heading3"/>
      </w:pPr>
      <w:r w:rsidRPr="00CF6322">
        <w:t>Our Risk Appeti</w:t>
      </w:r>
      <w:r w:rsidRPr="002F2887">
        <w:t>t</w:t>
      </w:r>
      <w:r w:rsidRPr="00CF6322">
        <w:t>e Statement</w:t>
      </w:r>
    </w:p>
    <w:p w14:paraId="632E70FE" w14:textId="73339337" w:rsidR="00E90764" w:rsidRPr="00CF6322" w:rsidRDefault="002F2887" w:rsidP="001D1CF9">
      <w:pPr>
        <w:pStyle w:val="BodyText"/>
      </w:pPr>
      <w:r w:rsidRPr="002F2887">
        <w:t>The Department wants everyone to engage with, understand and appropriately manage its risks. Specifically, the Department is eager to engage with higher levels of risk and look for innovation in relation to its policy development and delivery outcomes, where the potential rewards may provide improvements to the health and wellbeing of the Australian public. Conversely</w:t>
      </w:r>
      <w:r>
        <w:t xml:space="preserve">, </w:t>
      </w:r>
      <w:r w:rsidRPr="002F2887">
        <w:t>the Department has little to no appetite for engaging with risk that could harm its people or the Australian public.</w:t>
      </w:r>
    </w:p>
    <w:p w14:paraId="0308290B" w14:textId="77777777" w:rsidR="007065BF" w:rsidRDefault="007065BF" w:rsidP="007065BF">
      <w:r>
        <w:br w:type="page"/>
      </w:r>
    </w:p>
    <w:p w14:paraId="632E7100" w14:textId="4E0DD098" w:rsidR="00E90764" w:rsidRDefault="0099166C" w:rsidP="002F2887">
      <w:pPr>
        <w:pStyle w:val="Heading3"/>
      </w:pPr>
      <w:r w:rsidRPr="00CF6322">
        <w:lastRenderedPageBreak/>
        <w:t>Enterprise Level Risk Themes</w:t>
      </w:r>
    </w:p>
    <w:p w14:paraId="632E7107" w14:textId="2E8EA6D6" w:rsidR="00E90764" w:rsidRPr="008D467B" w:rsidRDefault="0099166C" w:rsidP="001D1CF9">
      <w:pPr>
        <w:pStyle w:val="BodyText"/>
      </w:pPr>
      <w:r w:rsidRPr="00CF6322">
        <w:t>Enterprise level risk themes have been identified to assist our staff at all levels in understanding the boundaries in which we operate and where innovation and creativity are important, in achieving our strategic priorities. We have identified the 8 core enterprise level risk themes that have the most significant impact on our strategic priorities and operations. These provide a structured and systematic approach to identifying, managing and reporting risks relevant to our day to day business.</w:t>
      </w:r>
    </w:p>
    <w:tbl>
      <w:tblPr>
        <w:tblStyle w:val="TableGrid"/>
        <w:tblW w:w="0" w:type="auto"/>
        <w:tblLook w:val="04A0" w:firstRow="1" w:lastRow="0" w:firstColumn="1" w:lastColumn="0" w:noHBand="0" w:noVBand="1"/>
        <w:tblCaption w:val="Enterprise risk table"/>
        <w:tblDescription w:val="Table to be read left to right and top to bottom. It decribes our risks and mitigation strategies"/>
      </w:tblPr>
      <w:tblGrid>
        <w:gridCol w:w="1691"/>
        <w:gridCol w:w="4437"/>
        <w:gridCol w:w="4332"/>
      </w:tblGrid>
      <w:tr w:rsidR="002F2887" w14:paraId="49D94D93" w14:textId="77777777" w:rsidTr="001D1CF9">
        <w:trPr>
          <w:tblHeader/>
        </w:trPr>
        <w:tc>
          <w:tcPr>
            <w:tcW w:w="1696" w:type="dxa"/>
          </w:tcPr>
          <w:p w14:paraId="7D808889" w14:textId="219DFBBF" w:rsidR="002F2887" w:rsidRPr="001D1CF9" w:rsidRDefault="008D467B" w:rsidP="001D1CF9">
            <w:pPr>
              <w:pStyle w:val="BodyText"/>
              <w:rPr>
                <w:b/>
                <w:bCs/>
              </w:rPr>
            </w:pPr>
            <w:r w:rsidRPr="001D1CF9">
              <w:rPr>
                <w:b/>
                <w:bCs/>
              </w:rPr>
              <w:t>Themes Enterprise Level Risks</w:t>
            </w:r>
          </w:p>
        </w:tc>
        <w:tc>
          <w:tcPr>
            <w:tcW w:w="4536" w:type="dxa"/>
          </w:tcPr>
          <w:p w14:paraId="4702E58F" w14:textId="5528C597" w:rsidR="002F2887" w:rsidRPr="001D1CF9" w:rsidRDefault="008D467B" w:rsidP="001D1CF9">
            <w:pPr>
              <w:pStyle w:val="BodyText"/>
              <w:rPr>
                <w:b/>
                <w:bCs/>
              </w:rPr>
            </w:pPr>
            <w:r w:rsidRPr="001D1CF9">
              <w:rPr>
                <w:b/>
                <w:bCs/>
              </w:rPr>
              <w:t>Enterprise Level Risk</w:t>
            </w:r>
          </w:p>
        </w:tc>
        <w:tc>
          <w:tcPr>
            <w:tcW w:w="4428" w:type="dxa"/>
          </w:tcPr>
          <w:p w14:paraId="552D671B" w14:textId="0A5AB6F0" w:rsidR="002F2887" w:rsidRPr="001D1CF9" w:rsidRDefault="008D467B" w:rsidP="001D1CF9">
            <w:pPr>
              <w:pStyle w:val="BodyText"/>
              <w:rPr>
                <w:b/>
                <w:bCs/>
              </w:rPr>
            </w:pPr>
            <w:r w:rsidRPr="001D1CF9">
              <w:rPr>
                <w:b/>
                <w:bCs/>
              </w:rPr>
              <w:t>Mitigation Strategies</w:t>
            </w:r>
          </w:p>
        </w:tc>
      </w:tr>
      <w:tr w:rsidR="008D467B" w14:paraId="422F7218" w14:textId="77777777" w:rsidTr="008D467B">
        <w:tc>
          <w:tcPr>
            <w:tcW w:w="1696" w:type="dxa"/>
          </w:tcPr>
          <w:p w14:paraId="3081E748" w14:textId="3EC46300" w:rsidR="008D467B" w:rsidRDefault="008D467B" w:rsidP="001D1CF9">
            <w:pPr>
              <w:pStyle w:val="BodyText"/>
            </w:pPr>
            <w:r>
              <w:t>People</w:t>
            </w:r>
          </w:p>
        </w:tc>
        <w:tc>
          <w:tcPr>
            <w:tcW w:w="4536" w:type="dxa"/>
          </w:tcPr>
          <w:p w14:paraId="029277B2" w14:textId="4AA01E70" w:rsidR="008D467B" w:rsidRPr="008D467B" w:rsidRDefault="008D467B" w:rsidP="001D1CF9">
            <w:pPr>
              <w:pStyle w:val="BodyText"/>
            </w:pPr>
            <w:r w:rsidRPr="008D467B">
              <w:t>Inadequate assessment and management of the health and wellbeing of our people and in particular departmental inspectors, investigators and laboratory staff, resulting in diminished productivity, disengagement or injury.</w:t>
            </w:r>
          </w:p>
        </w:tc>
        <w:tc>
          <w:tcPr>
            <w:tcW w:w="4428" w:type="dxa"/>
          </w:tcPr>
          <w:p w14:paraId="6AE6D6EA" w14:textId="77777777" w:rsidR="008D467B" w:rsidRPr="008D467B" w:rsidRDefault="008D467B" w:rsidP="008D467B">
            <w:pPr>
              <w:pStyle w:val="Bullets"/>
            </w:pPr>
            <w:r w:rsidRPr="008D467B">
              <w:t>Uphold our duty of care for our staff.</w:t>
            </w:r>
          </w:p>
          <w:p w14:paraId="34CFC5C5" w14:textId="77777777" w:rsidR="008D467B" w:rsidRPr="008D467B" w:rsidRDefault="008D467B" w:rsidP="008D467B">
            <w:pPr>
              <w:pStyle w:val="Bullets"/>
            </w:pPr>
            <w:r w:rsidRPr="008D467B">
              <w:t>Conduct activities that ensure we provide and support a safe environment for both the physical and mental health of our staff and the community.</w:t>
            </w:r>
          </w:p>
          <w:p w14:paraId="21E2ECA9" w14:textId="77777777" w:rsidR="008D467B" w:rsidRPr="008D467B" w:rsidRDefault="008D467B" w:rsidP="008D467B">
            <w:pPr>
              <w:pStyle w:val="Bullets"/>
            </w:pPr>
            <w:r w:rsidRPr="008D467B">
              <w:t>Ensure engagement and performance of staff.</w:t>
            </w:r>
          </w:p>
          <w:p w14:paraId="199DDDEC" w14:textId="77777777" w:rsidR="008D467B" w:rsidRPr="008D467B" w:rsidRDefault="008D467B" w:rsidP="008D467B">
            <w:pPr>
              <w:pStyle w:val="Bullets"/>
            </w:pPr>
            <w:r w:rsidRPr="008D467B">
              <w:t>Attract, recruit and retain the right workforce to deliver business outcomes.</w:t>
            </w:r>
          </w:p>
          <w:p w14:paraId="4806A687" w14:textId="585767FF" w:rsidR="008D467B" w:rsidRPr="008D467B" w:rsidRDefault="008D467B" w:rsidP="008D467B">
            <w:pPr>
              <w:pStyle w:val="Bullets"/>
            </w:pPr>
            <w:r w:rsidRPr="008D467B">
              <w:t>Build capability through targeted learning and development programs.</w:t>
            </w:r>
          </w:p>
        </w:tc>
      </w:tr>
      <w:tr w:rsidR="008D467B" w14:paraId="6D1BED82" w14:textId="77777777" w:rsidTr="008D467B">
        <w:tc>
          <w:tcPr>
            <w:tcW w:w="1696" w:type="dxa"/>
          </w:tcPr>
          <w:p w14:paraId="3138E686" w14:textId="0364EA20" w:rsidR="008D467B" w:rsidRDefault="008D467B" w:rsidP="001D1CF9">
            <w:pPr>
              <w:pStyle w:val="BodyText"/>
            </w:pPr>
            <w:r>
              <w:t>Fraud</w:t>
            </w:r>
          </w:p>
        </w:tc>
        <w:tc>
          <w:tcPr>
            <w:tcW w:w="4536" w:type="dxa"/>
          </w:tcPr>
          <w:p w14:paraId="6EF07A6B" w14:textId="7BBC9842" w:rsidR="008D467B" w:rsidRPr="008D467B" w:rsidRDefault="008D467B" w:rsidP="001D1CF9">
            <w:pPr>
              <w:pStyle w:val="BodyText"/>
            </w:pPr>
            <w:r w:rsidRPr="008D467B">
              <w:t xml:space="preserve">Failure to </w:t>
            </w:r>
            <w:proofErr w:type="spellStart"/>
            <w:r w:rsidRPr="008D467B">
              <w:t>recognise</w:t>
            </w:r>
            <w:proofErr w:type="spellEnd"/>
            <w:r w:rsidRPr="008D467B">
              <w:t xml:space="preserve"> and respond to inappropriate influence or corruption, either in government or program providers, leading to loss of confidence in the Department and diversion of resources from intended purposes.</w:t>
            </w:r>
          </w:p>
        </w:tc>
        <w:tc>
          <w:tcPr>
            <w:tcW w:w="4428" w:type="dxa"/>
          </w:tcPr>
          <w:p w14:paraId="2C3D837F" w14:textId="77777777" w:rsidR="008D467B" w:rsidRPr="008D467B" w:rsidRDefault="008D467B" w:rsidP="008D467B">
            <w:pPr>
              <w:pStyle w:val="Bullets"/>
            </w:pPr>
            <w:r w:rsidRPr="008D467B">
              <w:t xml:space="preserve">Uphold ethical standards for our staff and contracted service providers and other funded providers in the execution of their roles. Identify, report and manage potentially fraudulent and/or corrupt </w:t>
            </w:r>
            <w:proofErr w:type="spellStart"/>
            <w:r w:rsidRPr="008D467B">
              <w:t>behaviour</w:t>
            </w:r>
            <w:proofErr w:type="spellEnd"/>
            <w:r w:rsidRPr="008D467B">
              <w:t>.</w:t>
            </w:r>
          </w:p>
          <w:p w14:paraId="1A954F9D" w14:textId="4EEA5B27" w:rsidR="008D467B" w:rsidRPr="008D467B" w:rsidRDefault="008D467B" w:rsidP="008D467B">
            <w:pPr>
              <w:pStyle w:val="Bullets"/>
            </w:pPr>
            <w:r w:rsidRPr="008D467B">
              <w:t>Expect transparency, accountability and integrity from our stakeholders as we deliver the services required of us by the Australian Government.</w:t>
            </w:r>
          </w:p>
        </w:tc>
      </w:tr>
      <w:tr w:rsidR="008D467B" w14:paraId="071DBF6F" w14:textId="77777777" w:rsidTr="008D467B">
        <w:tc>
          <w:tcPr>
            <w:tcW w:w="1696" w:type="dxa"/>
          </w:tcPr>
          <w:p w14:paraId="63738C43" w14:textId="65A23D25" w:rsidR="008D467B" w:rsidRDefault="008D467B" w:rsidP="001D1CF9">
            <w:pPr>
              <w:pStyle w:val="BodyText"/>
            </w:pPr>
            <w:r>
              <w:t>Policy</w:t>
            </w:r>
          </w:p>
        </w:tc>
        <w:tc>
          <w:tcPr>
            <w:tcW w:w="4536" w:type="dxa"/>
          </w:tcPr>
          <w:p w14:paraId="0D2A198F" w14:textId="77777777" w:rsidR="008D467B" w:rsidRPr="008D467B" w:rsidRDefault="008D467B" w:rsidP="001D1CF9">
            <w:pPr>
              <w:pStyle w:val="BodyText"/>
            </w:pPr>
            <w:r w:rsidRPr="008D467B">
              <w:t>The Department’s health system strategy and implementation, over the short, medium and long term, is insufficient to mitigate the growth in outlays.</w:t>
            </w:r>
          </w:p>
          <w:p w14:paraId="62D8BFE1" w14:textId="232346E9" w:rsidR="008D467B" w:rsidRPr="008D467B" w:rsidRDefault="008D467B" w:rsidP="001D1CF9">
            <w:pPr>
              <w:pStyle w:val="BodyText"/>
            </w:pPr>
            <w:r w:rsidRPr="008D467B">
              <w:t xml:space="preserve">Inadequate capability and tools to collect and </w:t>
            </w:r>
            <w:proofErr w:type="spellStart"/>
            <w:r w:rsidRPr="008D467B">
              <w:t>utilise</w:t>
            </w:r>
            <w:proofErr w:type="spellEnd"/>
            <w:r w:rsidRPr="008D467B">
              <w:t xml:space="preserve"> data sets and health system information to </w:t>
            </w:r>
            <w:proofErr w:type="spellStart"/>
            <w:r w:rsidRPr="008D467B">
              <w:t>optimise</w:t>
            </w:r>
            <w:proofErr w:type="spellEnd"/>
            <w:r w:rsidRPr="008D467B">
              <w:t xml:space="preserve"> health, ageing and sport policy outcomes.</w:t>
            </w:r>
          </w:p>
        </w:tc>
        <w:tc>
          <w:tcPr>
            <w:tcW w:w="4428" w:type="dxa"/>
          </w:tcPr>
          <w:p w14:paraId="3045F6E7" w14:textId="0FB7D3F8" w:rsidR="008D467B" w:rsidRPr="008D467B" w:rsidRDefault="008D467B" w:rsidP="008D467B">
            <w:pPr>
              <w:pStyle w:val="Bullets"/>
            </w:pPr>
            <w:r w:rsidRPr="008D467B">
              <w:t>Develop and implement new and innovative policies with strategies and programs that are sustainable over the short, medium and long term to achieve the best possible health, ageing and sport policy outcomes.</w:t>
            </w:r>
          </w:p>
        </w:tc>
      </w:tr>
      <w:tr w:rsidR="008D467B" w14:paraId="02B62C20" w14:textId="77777777" w:rsidTr="008D467B">
        <w:tc>
          <w:tcPr>
            <w:tcW w:w="1696" w:type="dxa"/>
          </w:tcPr>
          <w:p w14:paraId="1B45ABB1" w14:textId="6592B63E" w:rsidR="008D467B" w:rsidRDefault="008D467B" w:rsidP="001D1CF9">
            <w:pPr>
              <w:pStyle w:val="BodyText"/>
            </w:pPr>
            <w:r>
              <w:t>Delivery</w:t>
            </w:r>
          </w:p>
        </w:tc>
        <w:tc>
          <w:tcPr>
            <w:tcW w:w="4536" w:type="dxa"/>
          </w:tcPr>
          <w:p w14:paraId="1B6428D2" w14:textId="77777777" w:rsidR="008D467B" w:rsidRPr="008D467B" w:rsidRDefault="008D467B" w:rsidP="001D1CF9">
            <w:pPr>
              <w:pStyle w:val="BodyText"/>
            </w:pPr>
            <w:r w:rsidRPr="008D467B">
              <w:t>Coordination and integration of policy and programs across the Department and external partners are insufficient, leading to poor outcomes for the community and/or an adverse budgetary effect.</w:t>
            </w:r>
          </w:p>
          <w:p w14:paraId="6C7EC166" w14:textId="77777777" w:rsidR="008D467B" w:rsidRPr="008D467B" w:rsidRDefault="008D467B" w:rsidP="001D1CF9">
            <w:pPr>
              <w:pStyle w:val="BodyText"/>
            </w:pPr>
            <w:r w:rsidRPr="008D467B">
              <w:t>Failure to learn through measuring and evaluating policies, programs and service outcomes.</w:t>
            </w:r>
          </w:p>
          <w:p w14:paraId="55CE6056" w14:textId="77777777" w:rsidR="008D467B" w:rsidRPr="008D467B" w:rsidRDefault="008D467B" w:rsidP="001D1CF9">
            <w:pPr>
              <w:pStyle w:val="BodyText"/>
            </w:pPr>
            <w:r w:rsidRPr="008D467B">
              <w:t xml:space="preserve">Failure to promptly </w:t>
            </w:r>
            <w:proofErr w:type="spellStart"/>
            <w:r w:rsidRPr="008D467B">
              <w:t>recognise</w:t>
            </w:r>
            <w:proofErr w:type="spellEnd"/>
            <w:r w:rsidRPr="008D467B">
              <w:t xml:space="preserve"> the impact of poor data management, IT capacity and lack of skilled staff on the delivery of health, ageing and sport services.</w:t>
            </w:r>
          </w:p>
          <w:p w14:paraId="5AD858C6" w14:textId="6952ADDD" w:rsidR="008D467B" w:rsidRPr="008D467B" w:rsidRDefault="008D467B" w:rsidP="001D1CF9">
            <w:pPr>
              <w:pStyle w:val="BodyText"/>
            </w:pPr>
            <w:r w:rsidRPr="008D467B">
              <w:t xml:space="preserve">Failure to </w:t>
            </w:r>
            <w:proofErr w:type="spellStart"/>
            <w:r w:rsidRPr="008D467B">
              <w:t>recognise</w:t>
            </w:r>
            <w:proofErr w:type="spellEnd"/>
            <w:r w:rsidRPr="008D467B">
              <w:t xml:space="preserve"> or respond promptly, proactively and effectively to an interruption of </w:t>
            </w:r>
            <w:r w:rsidRPr="008D467B">
              <w:lastRenderedPageBreak/>
              <w:t>delivery of services to the community.</w:t>
            </w:r>
          </w:p>
        </w:tc>
        <w:tc>
          <w:tcPr>
            <w:tcW w:w="4428" w:type="dxa"/>
          </w:tcPr>
          <w:p w14:paraId="1A4B7AAE" w14:textId="77777777" w:rsidR="008D467B" w:rsidRPr="008D467B" w:rsidRDefault="008D467B" w:rsidP="008D467B">
            <w:pPr>
              <w:pStyle w:val="Bullets"/>
            </w:pPr>
            <w:r w:rsidRPr="008D467B">
              <w:lastRenderedPageBreak/>
              <w:t>Enter into successful contracts and agreements, ensuring the delivery of both the asset and cash value of the agreement. To do this, we will work with our external partners and have appropriate processes, systems and people to deliver health, aged care, and sporting services to the community.</w:t>
            </w:r>
          </w:p>
          <w:p w14:paraId="38D29BF7" w14:textId="5CAE37C8" w:rsidR="008D467B" w:rsidRPr="008D467B" w:rsidRDefault="008D467B" w:rsidP="008D467B">
            <w:pPr>
              <w:pStyle w:val="Bullets"/>
            </w:pPr>
            <w:r w:rsidRPr="008D467B">
              <w:t>Establish strong project delivery management and oversight practices with nimble escalation of risks and opportunities.</w:t>
            </w:r>
          </w:p>
        </w:tc>
      </w:tr>
      <w:tr w:rsidR="008D467B" w14:paraId="09EADC0E" w14:textId="77777777" w:rsidTr="008D467B">
        <w:tc>
          <w:tcPr>
            <w:tcW w:w="1696" w:type="dxa"/>
          </w:tcPr>
          <w:p w14:paraId="21C76F7D" w14:textId="573E13AE" w:rsidR="008D467B" w:rsidRDefault="008D467B" w:rsidP="001D1CF9">
            <w:pPr>
              <w:pStyle w:val="BodyText"/>
            </w:pPr>
            <w:r>
              <w:t>Governance</w:t>
            </w:r>
          </w:p>
        </w:tc>
        <w:tc>
          <w:tcPr>
            <w:tcW w:w="4536" w:type="dxa"/>
          </w:tcPr>
          <w:p w14:paraId="23E4E355" w14:textId="77777777" w:rsidR="008D467B" w:rsidRPr="008D467B" w:rsidRDefault="008D467B" w:rsidP="001D1CF9">
            <w:pPr>
              <w:pStyle w:val="BodyText"/>
            </w:pPr>
            <w:r w:rsidRPr="008D467B">
              <w:t>Governance arrangements don’t support the provision of timely, accurate and robust advice.</w:t>
            </w:r>
          </w:p>
          <w:p w14:paraId="7B0CDA29" w14:textId="1EF20ADF" w:rsidR="008D467B" w:rsidRPr="008D467B" w:rsidRDefault="008D467B" w:rsidP="001D1CF9">
            <w:pPr>
              <w:pStyle w:val="BodyText"/>
            </w:pPr>
            <w:r w:rsidRPr="008D467B">
              <w:t>Failure to ensure resources are allocated to highest priorities of the Department and Government in a responsive and adaptive way.</w:t>
            </w:r>
          </w:p>
        </w:tc>
        <w:tc>
          <w:tcPr>
            <w:tcW w:w="4428" w:type="dxa"/>
          </w:tcPr>
          <w:p w14:paraId="371A603D" w14:textId="229ED3F1" w:rsidR="008D467B" w:rsidRPr="008D467B" w:rsidRDefault="008D467B" w:rsidP="008D467B">
            <w:pPr>
              <w:pStyle w:val="Bullets"/>
            </w:pPr>
            <w:r w:rsidRPr="008D467B">
              <w:t>Implement processes for making and applying decisions which encourage timely, accurate, evidence-based and robust advice, and ensure the allocation of the right resources to the right activities.</w:t>
            </w:r>
          </w:p>
        </w:tc>
      </w:tr>
      <w:tr w:rsidR="008D467B" w14:paraId="4C0FAD41" w14:textId="77777777" w:rsidTr="008D467B">
        <w:tc>
          <w:tcPr>
            <w:tcW w:w="1696" w:type="dxa"/>
          </w:tcPr>
          <w:p w14:paraId="1208BB0A" w14:textId="2A1B967E" w:rsidR="008D467B" w:rsidRDefault="008D467B" w:rsidP="001D1CF9">
            <w:pPr>
              <w:pStyle w:val="BodyText"/>
            </w:pPr>
            <w:r>
              <w:t>Regulatory</w:t>
            </w:r>
          </w:p>
        </w:tc>
        <w:tc>
          <w:tcPr>
            <w:tcW w:w="4536" w:type="dxa"/>
          </w:tcPr>
          <w:p w14:paraId="73FC19B7" w14:textId="4697E26E" w:rsidR="008D467B" w:rsidRPr="008D467B" w:rsidRDefault="008D467B" w:rsidP="001D1CF9">
            <w:pPr>
              <w:pStyle w:val="BodyText"/>
            </w:pPr>
            <w:r w:rsidRPr="008D467B">
              <w:t>The Department’s regulatory policies and practices are not able to adequately protect the health and safety of the community and/or, reduce excessive regulatory burden on businesses, healthcare professionals and consumers.</w:t>
            </w:r>
          </w:p>
        </w:tc>
        <w:tc>
          <w:tcPr>
            <w:tcW w:w="4428" w:type="dxa"/>
          </w:tcPr>
          <w:p w14:paraId="29736C54" w14:textId="423587B0" w:rsidR="008D467B" w:rsidRPr="008D467B" w:rsidRDefault="008D467B" w:rsidP="008D467B">
            <w:pPr>
              <w:pStyle w:val="Bullets"/>
            </w:pPr>
            <w:r w:rsidRPr="008D467B">
              <w:t>Implement best practice policies and procedures to protect the health and safety of the community, while focusing on reducing regulatory burden on businesses, healthcare professionals and consumers.</w:t>
            </w:r>
          </w:p>
        </w:tc>
      </w:tr>
      <w:tr w:rsidR="008D467B" w14:paraId="17E2BA6C" w14:textId="77777777" w:rsidTr="008D467B">
        <w:tc>
          <w:tcPr>
            <w:tcW w:w="1696" w:type="dxa"/>
          </w:tcPr>
          <w:p w14:paraId="10766F2F" w14:textId="25D71098" w:rsidR="008D467B" w:rsidRDefault="008D467B" w:rsidP="001D1CF9">
            <w:pPr>
              <w:pStyle w:val="BodyText"/>
            </w:pPr>
            <w:r>
              <w:t>Information</w:t>
            </w:r>
          </w:p>
        </w:tc>
        <w:tc>
          <w:tcPr>
            <w:tcW w:w="4536" w:type="dxa"/>
          </w:tcPr>
          <w:p w14:paraId="2A940603" w14:textId="4BD6727F" w:rsidR="008D467B" w:rsidRPr="008D467B" w:rsidRDefault="008D467B" w:rsidP="001D1CF9">
            <w:pPr>
              <w:pStyle w:val="BodyText"/>
            </w:pPr>
            <w:r w:rsidRPr="008D467B">
              <w:t xml:space="preserve">Inadequate IT systems that inhibit our ability to innovate, lead and shape new health systems for community and healthcare professionals, and to protect </w:t>
            </w:r>
            <w:proofErr w:type="spellStart"/>
            <w:r w:rsidRPr="008D467B">
              <w:t>unauthorised</w:t>
            </w:r>
            <w:proofErr w:type="spellEnd"/>
            <w:r w:rsidRPr="008D467B">
              <w:t xml:space="preserve"> access to personal data.</w:t>
            </w:r>
          </w:p>
        </w:tc>
        <w:tc>
          <w:tcPr>
            <w:tcW w:w="4428" w:type="dxa"/>
          </w:tcPr>
          <w:p w14:paraId="1AA33B30" w14:textId="77777777" w:rsidR="008D467B" w:rsidRPr="008D467B" w:rsidRDefault="008D467B" w:rsidP="008D467B">
            <w:pPr>
              <w:pStyle w:val="Bullets"/>
            </w:pPr>
            <w:r w:rsidRPr="008D467B">
              <w:t>Ensure the security of our information and personal data that we maintain.</w:t>
            </w:r>
          </w:p>
          <w:p w14:paraId="03226886" w14:textId="77777777" w:rsidR="008D467B" w:rsidRPr="008D467B" w:rsidRDefault="008D467B" w:rsidP="008D467B">
            <w:pPr>
              <w:pStyle w:val="Bullets"/>
            </w:pPr>
            <w:r w:rsidRPr="008D467B">
              <w:t>Have stable IT systems to properly maintain and manage information of stakeholders and staff.</w:t>
            </w:r>
          </w:p>
          <w:p w14:paraId="0BB773D0" w14:textId="5A10861D" w:rsidR="008D467B" w:rsidRPr="008D467B" w:rsidRDefault="008D467B" w:rsidP="008D467B">
            <w:pPr>
              <w:pStyle w:val="Bullets"/>
            </w:pPr>
            <w:r w:rsidRPr="008D467B">
              <w:t>Enable new and innovative ways to deliver and support programs and projects.</w:t>
            </w:r>
          </w:p>
        </w:tc>
      </w:tr>
      <w:tr w:rsidR="008D467B" w14:paraId="1253971A" w14:textId="77777777" w:rsidTr="008D467B">
        <w:tc>
          <w:tcPr>
            <w:tcW w:w="1696" w:type="dxa"/>
          </w:tcPr>
          <w:p w14:paraId="70167C20" w14:textId="55D8DBF1" w:rsidR="008D467B" w:rsidRDefault="008D467B" w:rsidP="001D1CF9">
            <w:pPr>
              <w:pStyle w:val="BodyText"/>
            </w:pPr>
            <w:r>
              <w:t>Financial</w:t>
            </w:r>
          </w:p>
        </w:tc>
        <w:tc>
          <w:tcPr>
            <w:tcW w:w="4536" w:type="dxa"/>
          </w:tcPr>
          <w:p w14:paraId="29A4CEFD" w14:textId="7CF3587C" w:rsidR="008D467B" w:rsidRPr="008D467B" w:rsidRDefault="008D467B" w:rsidP="001D1CF9">
            <w:pPr>
              <w:pStyle w:val="BodyText"/>
            </w:pPr>
            <w:r w:rsidRPr="008D467B">
              <w:t>Inadequate financial leadership resulting in poor management of the financial sustainability of the Department, and failure to manage administered payments in line with appropriations, leading to not achieving Government priorities.</w:t>
            </w:r>
          </w:p>
        </w:tc>
        <w:tc>
          <w:tcPr>
            <w:tcW w:w="4428" w:type="dxa"/>
          </w:tcPr>
          <w:p w14:paraId="46F5F189" w14:textId="77777777" w:rsidR="008D467B" w:rsidRPr="008D467B" w:rsidRDefault="008D467B" w:rsidP="008D467B">
            <w:pPr>
              <w:pStyle w:val="Bullets"/>
            </w:pPr>
            <w:r w:rsidRPr="008D467B">
              <w:t>Have accountability for public money.</w:t>
            </w:r>
          </w:p>
          <w:p w14:paraId="643FEDEF" w14:textId="77777777" w:rsidR="008D467B" w:rsidRPr="008D467B" w:rsidRDefault="008D467B" w:rsidP="008D467B">
            <w:pPr>
              <w:pStyle w:val="Bullets"/>
            </w:pPr>
            <w:r w:rsidRPr="008D467B">
              <w:t>Manage finances in line with budgets at all levels.</w:t>
            </w:r>
          </w:p>
          <w:p w14:paraId="32A58106" w14:textId="0397C983" w:rsidR="008D467B" w:rsidRPr="008D467B" w:rsidRDefault="008D467B" w:rsidP="008D467B">
            <w:pPr>
              <w:pStyle w:val="Bullets"/>
            </w:pPr>
            <w:r w:rsidRPr="008D467B">
              <w:t>Enable staff to effectively manage financial resources.</w:t>
            </w:r>
          </w:p>
        </w:tc>
      </w:tr>
    </w:tbl>
    <w:p w14:paraId="2F4C7A6A" w14:textId="77777777" w:rsidR="00AA64E9" w:rsidRDefault="00AA64E9" w:rsidP="008D467B">
      <w:pPr>
        <w:pStyle w:val="Heading2"/>
        <w:sectPr w:rsidR="00AA64E9" w:rsidSect="00AA64E9">
          <w:pgSz w:w="11910" w:h="16840"/>
          <w:pgMar w:top="720" w:right="720" w:bottom="720" w:left="720" w:header="0" w:footer="330" w:gutter="0"/>
          <w:cols w:space="720"/>
        </w:sectPr>
      </w:pPr>
      <w:bookmarkStart w:id="23" w:name="_Our_Capability"/>
      <w:bookmarkStart w:id="24" w:name="_Toc83043016"/>
      <w:bookmarkEnd w:id="23"/>
    </w:p>
    <w:p w14:paraId="632E716E" w14:textId="3D6A3A54" w:rsidR="00E90764" w:rsidRPr="008D467B" w:rsidRDefault="0099166C" w:rsidP="008D467B">
      <w:pPr>
        <w:pStyle w:val="Heading2"/>
      </w:pPr>
      <w:r w:rsidRPr="008D467B">
        <w:lastRenderedPageBreak/>
        <w:t>Our Capability</w:t>
      </w:r>
      <w:bookmarkEnd w:id="24"/>
    </w:p>
    <w:p w14:paraId="632E7171" w14:textId="77777777" w:rsidR="00E90764" w:rsidRPr="008D467B" w:rsidRDefault="0099166C" w:rsidP="001D1CF9">
      <w:pPr>
        <w:pStyle w:val="BodyText"/>
      </w:pPr>
      <w:r w:rsidRPr="008D467B">
        <w:t>We continue to build and maintain our capability to support the Australian Government to lead and shape Australia’s health and aged care system and sporting outcomes.</w:t>
      </w:r>
    </w:p>
    <w:p w14:paraId="632E7173" w14:textId="77777777" w:rsidR="00E90764" w:rsidRPr="008D467B" w:rsidRDefault="0099166C" w:rsidP="008D467B">
      <w:pPr>
        <w:pStyle w:val="Heading3"/>
      </w:pPr>
      <w:r w:rsidRPr="008D467B">
        <w:t>Workforce Capability</w:t>
      </w:r>
    </w:p>
    <w:p w14:paraId="632E7174" w14:textId="77777777" w:rsidR="00E90764" w:rsidRPr="008D467B" w:rsidRDefault="0099166C" w:rsidP="001D1CF9">
      <w:pPr>
        <w:pStyle w:val="BodyText"/>
      </w:pPr>
      <w:r w:rsidRPr="008D467B">
        <w:t>We continue our strong commitment to building a professional and skilled workforce, with a focus on capabilities required to deliver on both our business as usual and our major priorities, including:</w:t>
      </w:r>
    </w:p>
    <w:p w14:paraId="632E7175" w14:textId="77777777" w:rsidR="00E90764" w:rsidRPr="008D467B" w:rsidRDefault="0099166C" w:rsidP="008D467B">
      <w:pPr>
        <w:pStyle w:val="Bullets"/>
      </w:pPr>
      <w:r w:rsidRPr="008D467B">
        <w:t>leading the Government’s health response to the COVID-19 pandemic</w:t>
      </w:r>
    </w:p>
    <w:p w14:paraId="632E7176" w14:textId="77777777" w:rsidR="00E90764" w:rsidRPr="008D467B" w:rsidRDefault="0099166C" w:rsidP="008D467B">
      <w:pPr>
        <w:pStyle w:val="Bullets"/>
      </w:pPr>
      <w:r w:rsidRPr="008D467B">
        <w:t>the vaccine rollout</w:t>
      </w:r>
    </w:p>
    <w:p w14:paraId="632E7177" w14:textId="77777777" w:rsidR="00E90764" w:rsidRPr="008D467B" w:rsidRDefault="0099166C" w:rsidP="008D467B">
      <w:pPr>
        <w:pStyle w:val="Bullets"/>
      </w:pPr>
      <w:r w:rsidRPr="008D467B">
        <w:t>implementing reforms from the Royal Commission into Aged Care Quality and Safety</w:t>
      </w:r>
    </w:p>
    <w:p w14:paraId="632E7178" w14:textId="77777777" w:rsidR="00E90764" w:rsidRPr="008D467B" w:rsidRDefault="0099166C" w:rsidP="008D467B">
      <w:pPr>
        <w:pStyle w:val="Bullets"/>
      </w:pPr>
      <w:proofErr w:type="gramStart"/>
      <w:r w:rsidRPr="008D467B">
        <w:t>strengthening</w:t>
      </w:r>
      <w:proofErr w:type="gramEnd"/>
      <w:r w:rsidRPr="008D467B">
        <w:t xml:space="preserve"> mental health services across Australia.</w:t>
      </w:r>
    </w:p>
    <w:p w14:paraId="632E7179" w14:textId="77777777" w:rsidR="00E90764" w:rsidRPr="008D467B" w:rsidRDefault="0099166C" w:rsidP="001D1CF9">
      <w:pPr>
        <w:pStyle w:val="BodyText"/>
      </w:pPr>
      <w:r w:rsidRPr="008D467B">
        <w:t>Key skills and capabilities we are focused on further developing include:</w:t>
      </w:r>
    </w:p>
    <w:p w14:paraId="632E717A" w14:textId="77777777" w:rsidR="00E90764" w:rsidRPr="008D467B" w:rsidRDefault="0099166C" w:rsidP="008D467B">
      <w:pPr>
        <w:pStyle w:val="Bullets"/>
      </w:pPr>
      <w:r w:rsidRPr="008D467B">
        <w:t>core public service skills (the ‘APS craft’)</w:t>
      </w:r>
    </w:p>
    <w:p w14:paraId="632E717B" w14:textId="77777777" w:rsidR="00E90764" w:rsidRPr="008D467B" w:rsidRDefault="0099166C" w:rsidP="008D467B">
      <w:pPr>
        <w:pStyle w:val="Bullets"/>
      </w:pPr>
      <w:r w:rsidRPr="008D467B">
        <w:t>policy development</w:t>
      </w:r>
    </w:p>
    <w:p w14:paraId="632E717C" w14:textId="77777777" w:rsidR="00E90764" w:rsidRPr="008D467B" w:rsidRDefault="0099166C" w:rsidP="008D467B">
      <w:pPr>
        <w:pStyle w:val="Bullets"/>
      </w:pPr>
      <w:r w:rsidRPr="008D467B">
        <w:t>project management</w:t>
      </w:r>
    </w:p>
    <w:p w14:paraId="632E717D" w14:textId="77777777" w:rsidR="00E90764" w:rsidRPr="008D467B" w:rsidRDefault="0099166C" w:rsidP="008D467B">
      <w:pPr>
        <w:pStyle w:val="Bullets"/>
      </w:pPr>
      <w:r w:rsidRPr="008D467B">
        <w:t>investigation and compliance</w:t>
      </w:r>
    </w:p>
    <w:p w14:paraId="632E717E" w14:textId="77777777" w:rsidR="00E90764" w:rsidRPr="008D467B" w:rsidRDefault="0099166C" w:rsidP="008D467B">
      <w:pPr>
        <w:pStyle w:val="Bullets"/>
      </w:pPr>
      <w:proofErr w:type="gramStart"/>
      <w:r w:rsidRPr="008D467B">
        <w:t>data</w:t>
      </w:r>
      <w:proofErr w:type="gramEnd"/>
      <w:r w:rsidRPr="008D467B">
        <w:t xml:space="preserve"> and digital.</w:t>
      </w:r>
    </w:p>
    <w:p w14:paraId="632E717F" w14:textId="0C1F3F4D" w:rsidR="00E90764" w:rsidRPr="008D467B" w:rsidRDefault="0099166C" w:rsidP="001D1CF9">
      <w:pPr>
        <w:pStyle w:val="BodyText"/>
      </w:pPr>
      <w:r w:rsidRPr="008D467B">
        <w:t>We also participate in various Australian Public Service professional graduate streams to build pipeline capability in data, digital, and human resources.</w:t>
      </w:r>
    </w:p>
    <w:p w14:paraId="632E7181" w14:textId="77777777" w:rsidR="00E90764" w:rsidRPr="008D467B" w:rsidRDefault="0099166C" w:rsidP="008D467B">
      <w:pPr>
        <w:pStyle w:val="Heading4"/>
      </w:pPr>
      <w:r w:rsidRPr="008D467B">
        <w:t>Workforce Strategy</w:t>
      </w:r>
    </w:p>
    <w:p w14:paraId="632E7183" w14:textId="25CC319C" w:rsidR="00E90764" w:rsidRPr="008D467B" w:rsidRDefault="0099166C" w:rsidP="001D1CF9">
      <w:pPr>
        <w:pStyle w:val="BodyText"/>
      </w:pPr>
      <w:r w:rsidRPr="008D467B">
        <w:t xml:space="preserve">We have seen first-hand how the COVID-19 pandemic changed how many people work. To lock in the benefits of these changes for the long term, we are developing a workforce strategy to better articulate how we will attract and develop the skills, capabilities, culture and locations the </w:t>
      </w:r>
      <w:proofErr w:type="spellStart"/>
      <w:r w:rsidRPr="008D467B">
        <w:t>organisation</w:t>
      </w:r>
      <w:proofErr w:type="spellEnd"/>
      <w:r w:rsidRPr="008D467B">
        <w:t xml:space="preserve"> requires. The new strategy is expected to be completed by the end of 2021.</w:t>
      </w:r>
    </w:p>
    <w:p w14:paraId="632E7184" w14:textId="77777777" w:rsidR="00E90764" w:rsidRPr="008D467B" w:rsidRDefault="0099166C" w:rsidP="008D467B">
      <w:pPr>
        <w:pStyle w:val="Heading4"/>
      </w:pPr>
      <w:r w:rsidRPr="008D467B">
        <w:t>Diversity and Inclusion</w:t>
      </w:r>
    </w:p>
    <w:p w14:paraId="632E7187" w14:textId="1AC9B916" w:rsidR="00E90764" w:rsidRPr="008D467B" w:rsidRDefault="0099166C" w:rsidP="001D1CF9">
      <w:pPr>
        <w:pStyle w:val="BodyText"/>
      </w:pPr>
      <w:r w:rsidRPr="008D467B">
        <w:t>We continue to invest in attracting, developing and retaining a diverse workforce, valuing the range of views and approaches</w:t>
      </w:r>
      <w:r w:rsidR="008D467B">
        <w:t xml:space="preserve"> </w:t>
      </w:r>
      <w:r w:rsidRPr="008D467B">
        <w:t>diversity brings to our workplace. We are committed to being inclusive, culturally aware, and responsive to the needs of individuals in our policies and practices.</w:t>
      </w:r>
      <w:r w:rsidR="008D467B" w:rsidRPr="008D467B">
        <w:t xml:space="preserve"> </w:t>
      </w:r>
      <w:r w:rsidRPr="008D467B">
        <w:t>Program initiatives have been developed and continue to be implemented to broaden diversity and inclusion in our workplace, supporting a wider range of diversity</w:t>
      </w:r>
      <w:r w:rsidR="008D467B">
        <w:t xml:space="preserve"> </w:t>
      </w:r>
      <w:r w:rsidRPr="008D467B">
        <w:t>dimensions including gender, age, disability, LGBTI+,</w:t>
      </w:r>
      <w:r w:rsidR="00FC6643" w:rsidRPr="008D467B">
        <w:t xml:space="preserve"> </w:t>
      </w:r>
      <w:r w:rsidRPr="008D467B">
        <w:t>Aboriginal and Torres Strait Islander and cultural diversity.</w:t>
      </w:r>
    </w:p>
    <w:p w14:paraId="632E7188" w14:textId="3FDD5DB3" w:rsidR="00E90764" w:rsidRPr="008D467B" w:rsidRDefault="0099166C" w:rsidP="001D1CF9">
      <w:pPr>
        <w:pStyle w:val="BodyText"/>
      </w:pPr>
      <w:r w:rsidRPr="008D467B">
        <w:t>In addition to our commitments under the new National Agreement on Closing the Gap, development of the new Innovate Reconciliation Action Plan (RAP) 2021–2023 is underway, with the first review by Reconciliation Australia</w:t>
      </w:r>
      <w:r w:rsidR="008D467B">
        <w:t xml:space="preserve"> </w:t>
      </w:r>
      <w:r w:rsidRPr="008D467B">
        <w:t>(RA) completed. We continue to work with the RAP Working Group and key stakeholders to incorporate staff consultation and RA’s feedback to progress the RAP through the next stages of review and endorsement, before it is released late 2021.</w:t>
      </w:r>
    </w:p>
    <w:p w14:paraId="632E7189" w14:textId="77777777" w:rsidR="00E90764" w:rsidRPr="008D467B" w:rsidRDefault="0099166C" w:rsidP="001D1CF9">
      <w:pPr>
        <w:pStyle w:val="BodyText"/>
      </w:pPr>
      <w:r w:rsidRPr="008D467B">
        <w:t>Reconciliation is a lifelong journey and a significant part of Australia’s story. Our first RAP launched in May 2007. Since that time, there has been significant change in the Department and across government. Our Innovate RAP 2017–2019 helped us contribute to a reconciled Australia, in which all Australians understand and value the rights, rich cultures and experiences of Aboriginal and Torres Strait Islander people.</w:t>
      </w:r>
    </w:p>
    <w:p w14:paraId="632E718B" w14:textId="6E677BEA" w:rsidR="00E90764" w:rsidRPr="008D467B" w:rsidRDefault="0099166C" w:rsidP="001D1CF9">
      <w:pPr>
        <w:pStyle w:val="BodyText"/>
      </w:pPr>
      <w:r w:rsidRPr="008D467B">
        <w:t>Across the health sector, it has become evident that</w:t>
      </w:r>
      <w:r w:rsidR="004C6AAF" w:rsidRPr="008D467B">
        <w:t xml:space="preserve"> </w:t>
      </w:r>
      <w:r w:rsidRPr="008D467B">
        <w:t>self-determination is the key approach to producing</w:t>
      </w:r>
      <w:r w:rsidR="00FC6643" w:rsidRPr="008D467B">
        <w:t xml:space="preserve"> </w:t>
      </w:r>
      <w:r w:rsidRPr="008D467B">
        <w:t>effective and sustainable improvements in Aboriginal and Torres Strait Islander health and wellbeing outcomes.</w:t>
      </w:r>
    </w:p>
    <w:p w14:paraId="632E719D" w14:textId="0A9DAC33" w:rsidR="00372286" w:rsidRDefault="0099166C" w:rsidP="001D1CF9">
      <w:pPr>
        <w:pStyle w:val="BodyText"/>
      </w:pPr>
      <w:r w:rsidRPr="008D467B">
        <w:t>We acknowledge that to deliver high quality and culturally</w:t>
      </w:r>
      <w:r w:rsidR="004C6AAF" w:rsidRPr="008D467B">
        <w:t xml:space="preserve"> </w:t>
      </w:r>
      <w:r w:rsidRPr="008D467B">
        <w:t>appropriate services, policies and programs, we must demonstrate our understanding and respect of Aboriginal and Torres Strait Islander people, cultures, and histories. We will continue to build the Department’s cultural competence, supporting our staff to form genuine, respectful, and collaborative partnerships with each other and with Aboriginal and Torres Strait Islander people, stakeholders and community groups</w:t>
      </w:r>
      <w:r w:rsidRPr="00CF6322">
        <w:t>.</w:t>
      </w:r>
    </w:p>
    <w:p w14:paraId="5DE3D55A" w14:textId="77777777" w:rsidR="00372286" w:rsidRDefault="00372286">
      <w:pPr>
        <w:rPr>
          <w:rFonts w:ascii="Helvetica" w:hAnsi="Helvetica"/>
          <w:color w:val="231F20"/>
          <w:sz w:val="19"/>
          <w:szCs w:val="19"/>
        </w:rPr>
      </w:pPr>
      <w:r>
        <w:br w:type="page"/>
      </w:r>
    </w:p>
    <w:p w14:paraId="632E719E" w14:textId="77777777" w:rsidR="00E90764" w:rsidRPr="00CF6322" w:rsidRDefault="0099166C" w:rsidP="008D467B">
      <w:pPr>
        <w:pStyle w:val="Heading4"/>
      </w:pPr>
      <w:r w:rsidRPr="00CF6322">
        <w:lastRenderedPageBreak/>
        <w:t xml:space="preserve">New Ways of Working and </w:t>
      </w:r>
      <w:r w:rsidRPr="008D467B">
        <w:t>Learning</w:t>
      </w:r>
    </w:p>
    <w:p w14:paraId="632E71A0" w14:textId="0A53D23E" w:rsidR="00E90764" w:rsidRPr="00CF6322" w:rsidRDefault="0099166C" w:rsidP="001D1CF9">
      <w:pPr>
        <w:pStyle w:val="BodyText"/>
      </w:pPr>
      <w:r w:rsidRPr="00CF6322">
        <w:t xml:space="preserve">We </w:t>
      </w:r>
      <w:proofErr w:type="spellStart"/>
      <w:r w:rsidRPr="00CF6322">
        <w:t>recognise</w:t>
      </w:r>
      <w:proofErr w:type="spellEnd"/>
      <w:r w:rsidRPr="00CF6322">
        <w:t xml:space="preserve"> the need for a modern workplace, a flexible culture, strong leadership and better technology to support</w:t>
      </w:r>
      <w:r w:rsidR="008D467B">
        <w:t xml:space="preserve"> </w:t>
      </w:r>
      <w:r w:rsidRPr="00CF6322">
        <w:t>our people to do their best work in a location that best supports that work, whether that’s remotely or in the</w:t>
      </w:r>
      <w:r w:rsidR="00DF35EE">
        <w:t xml:space="preserve"> </w:t>
      </w:r>
      <w:r w:rsidRPr="00CF6322">
        <w:t>office, together or independently. This supports business continuity seamlessly in the event where working from the office is not possible. The New Ways of Working (NWOW) program aims to create a more flexible, healthier work environment that promotes adaptability, collaboration and performance through better designed physical spaces, better mobile technology and a focus on our people.</w:t>
      </w:r>
    </w:p>
    <w:p w14:paraId="632E71A1" w14:textId="77777777" w:rsidR="00E90764" w:rsidRPr="00CF6322" w:rsidRDefault="0099166C" w:rsidP="001D1CF9">
      <w:pPr>
        <w:pStyle w:val="BodyText"/>
      </w:pPr>
      <w:r w:rsidRPr="00CF6322">
        <w:t xml:space="preserve">This includes a continued focus on training and change management to ensure we </w:t>
      </w:r>
      <w:proofErr w:type="spellStart"/>
      <w:r w:rsidRPr="00CF6322">
        <w:t>maximise</w:t>
      </w:r>
      <w:proofErr w:type="spellEnd"/>
      <w:r w:rsidRPr="00CF6322">
        <w:t xml:space="preserve"> the productivity improvements that a more collaborative and integrated way of working offers the Department and reflects the new ways our staff work and learn.</w:t>
      </w:r>
    </w:p>
    <w:p w14:paraId="632E71A3" w14:textId="152C6D53" w:rsidR="00E90764" w:rsidRPr="00CF6322" w:rsidRDefault="0099166C" w:rsidP="001D1CF9">
      <w:pPr>
        <w:pStyle w:val="BodyText"/>
      </w:pPr>
      <w:r w:rsidRPr="00CF6322">
        <w:t xml:space="preserve">Implementation of our NWOW program is underway, with our first Canberra pilot site located on Level 9 of the Sirius Building, Central Office, </w:t>
      </w:r>
      <w:proofErr w:type="gramStart"/>
      <w:r w:rsidRPr="00CF6322">
        <w:t>housing</w:t>
      </w:r>
      <w:proofErr w:type="gramEnd"/>
      <w:r w:rsidRPr="00CF6322">
        <w:t xml:space="preserve"> approximately 470 staff from 3 Divisions. Concurrently, we are </w:t>
      </w:r>
      <w:proofErr w:type="spellStart"/>
      <w:r w:rsidRPr="00CF6322">
        <w:t>finalising</w:t>
      </w:r>
      <w:proofErr w:type="spellEnd"/>
      <w:r w:rsidRPr="00CF6322">
        <w:t xml:space="preserve"> the design, construction and </w:t>
      </w:r>
      <w:proofErr w:type="spellStart"/>
      <w:r w:rsidRPr="00CF6322">
        <w:t>fitout</w:t>
      </w:r>
      <w:proofErr w:type="spellEnd"/>
      <w:r w:rsidRPr="00CF6322">
        <w:t xml:space="preserve"> of new, purpose built offices and laboratories for our Health Products Regulation Group in Fairbairn, adjacent to the Canberra airport. Occupation</w:t>
      </w:r>
      <w:r w:rsidR="008D467B">
        <w:t xml:space="preserve"> </w:t>
      </w:r>
      <w:r w:rsidRPr="00CF6322">
        <w:t>of this site will be complete by June 2022. Evaluation of the pilot site will occur over a 6 month period and lessons learnt will shape the rollout of the NWOW program across the Department.</w:t>
      </w:r>
    </w:p>
    <w:p w14:paraId="632E71A9" w14:textId="3C24EDDD" w:rsidR="00E90764" w:rsidRPr="00CF6322" w:rsidRDefault="0099166C" w:rsidP="001D1CF9">
      <w:pPr>
        <w:pStyle w:val="BodyText"/>
      </w:pPr>
      <w:r w:rsidRPr="00CF6322">
        <w:t>As the needs and locations of our workforce change, we are changing</w:t>
      </w:r>
      <w:r w:rsidR="004C6AAF" w:rsidRPr="00CF6322">
        <w:t xml:space="preserve"> </w:t>
      </w:r>
      <w:r w:rsidRPr="00CF6322">
        <w:t>the learning and development opportunities we offer and how we deliver them.</w:t>
      </w:r>
    </w:p>
    <w:p w14:paraId="632E71AA" w14:textId="3FF1CDE4" w:rsidR="00E90764" w:rsidRPr="00CF6322" w:rsidRDefault="0099166C" w:rsidP="001D1CF9">
      <w:pPr>
        <w:pStyle w:val="BodyText"/>
      </w:pPr>
      <w:r w:rsidRPr="00CF6322">
        <w:t>Our approach to learning goes beyond the classroom, from professional minute taking workshops</w:t>
      </w:r>
      <w:r w:rsidR="00DF35EE">
        <w:t xml:space="preserve"> </w:t>
      </w:r>
      <w:r w:rsidRPr="00CF6322">
        <w:t>to managing and working in hybrid teams, we are providing tools and resources to build the capability of our</w:t>
      </w:r>
      <w:r w:rsidR="00DF35EE">
        <w:t xml:space="preserve"> s</w:t>
      </w:r>
      <w:r w:rsidRPr="00CF6322">
        <w:t>taff, wherever they are in their career,</w:t>
      </w:r>
      <w:r w:rsidR="004C6AAF" w:rsidRPr="00CF6322">
        <w:t xml:space="preserve"> </w:t>
      </w:r>
      <w:r w:rsidRPr="00CF6322">
        <w:t>or wherever they are located.</w:t>
      </w:r>
    </w:p>
    <w:p w14:paraId="632E71B0" w14:textId="2D71CB45" w:rsidR="00E90764" w:rsidRPr="00CF6322" w:rsidRDefault="0099166C" w:rsidP="00DF35EE">
      <w:pPr>
        <w:pStyle w:val="Heading4"/>
      </w:pPr>
      <w:r w:rsidRPr="00CF6322">
        <w:t xml:space="preserve">Our Environmental </w:t>
      </w:r>
      <w:r w:rsidRPr="00DF35EE">
        <w:t>Management</w:t>
      </w:r>
      <w:r w:rsidRPr="00CF6322">
        <w:t xml:space="preserve"> System</w:t>
      </w:r>
    </w:p>
    <w:p w14:paraId="632E71B2" w14:textId="251BB407" w:rsidR="00E90764" w:rsidRPr="00CF6322" w:rsidRDefault="0099166C" w:rsidP="001D1CF9">
      <w:pPr>
        <w:pStyle w:val="BodyText"/>
      </w:pPr>
      <w:r w:rsidRPr="00CF6322">
        <w:t>Through our Environmental Management System, we continue to support the Government’s commitment to improving the energy efficiency of Government</w:t>
      </w:r>
      <w:r w:rsidR="00081070" w:rsidRPr="00CF6322">
        <w:t xml:space="preserve"> </w:t>
      </w:r>
      <w:r w:rsidRPr="00CF6322">
        <w:t>operations and reducing greenhouse gas emissions, thus</w:t>
      </w:r>
      <w:r w:rsidR="004C6AAF" w:rsidRPr="00CF6322">
        <w:t xml:space="preserve"> </w:t>
      </w:r>
      <w:r w:rsidRPr="00CF6322">
        <w:t xml:space="preserve">reducing our environmental impact. Our environmental activities focus on recycling, reducing energy use, waste </w:t>
      </w:r>
      <w:proofErr w:type="spellStart"/>
      <w:r w:rsidRPr="00CF6322">
        <w:t>minimisation</w:t>
      </w:r>
      <w:proofErr w:type="spellEnd"/>
      <w:r w:rsidRPr="00CF6322">
        <w:t xml:space="preserve"> and reducing consumption of office goods.</w:t>
      </w:r>
    </w:p>
    <w:p w14:paraId="632E71B4" w14:textId="59235045" w:rsidR="00E90764" w:rsidRPr="00CF6322" w:rsidRDefault="0099166C" w:rsidP="001D1CF9">
      <w:pPr>
        <w:pStyle w:val="BodyText"/>
      </w:pPr>
      <w:r w:rsidRPr="00CF6322">
        <w:t>We are proud to have the majority of our Canberra based staff in the Sirius Building, which in 2018 was announced the first building in Australia to achieve a 6-star National Australian Built Environment Rating System energy rating, water rating and Green Star performance rating, achieving</w:t>
      </w:r>
      <w:r w:rsidR="004C6AAF" w:rsidRPr="00CF6322">
        <w:t xml:space="preserve"> </w:t>
      </w:r>
      <w:r w:rsidRPr="00CF6322">
        <w:t xml:space="preserve">this milestone without the use of </w:t>
      </w:r>
      <w:proofErr w:type="spellStart"/>
      <w:r w:rsidRPr="00CF6322">
        <w:t>GreenPower</w:t>
      </w:r>
      <w:proofErr w:type="spellEnd"/>
      <w:r w:rsidRPr="00CF6322">
        <w:t xml:space="preserve"> or externally sourced recycled water.</w:t>
      </w:r>
    </w:p>
    <w:p w14:paraId="632E71B5" w14:textId="77777777" w:rsidR="00E90764" w:rsidRPr="00CF6322" w:rsidRDefault="0099166C" w:rsidP="00DF35EE">
      <w:pPr>
        <w:pStyle w:val="Heading3"/>
      </w:pPr>
      <w:r w:rsidRPr="00CF6322">
        <w:t xml:space="preserve">Information Communications and Technology </w:t>
      </w:r>
      <w:r w:rsidRPr="00DF35EE">
        <w:t>Capability</w:t>
      </w:r>
    </w:p>
    <w:p w14:paraId="632E71B6" w14:textId="219180F3" w:rsidR="00E90764" w:rsidRPr="00CF6322" w:rsidRDefault="0099166C" w:rsidP="001D1CF9">
      <w:pPr>
        <w:pStyle w:val="BodyText"/>
      </w:pPr>
      <w:r w:rsidRPr="00CF6322">
        <w:t>Implementation of our Information Communications and Technology (ICT) Strategy continues, with work underway</w:t>
      </w:r>
      <w:r w:rsidR="00DF35EE">
        <w:t xml:space="preserve"> </w:t>
      </w:r>
      <w:r w:rsidRPr="00CF6322">
        <w:t>to address the 4 priority themes:</w:t>
      </w:r>
    </w:p>
    <w:p w14:paraId="632E71B7" w14:textId="77777777" w:rsidR="00E90764" w:rsidRPr="00DF35EE" w:rsidRDefault="0099166C" w:rsidP="00DF35EE">
      <w:pPr>
        <w:pStyle w:val="Bullets"/>
      </w:pPr>
      <w:r w:rsidRPr="00CF6322">
        <w:t xml:space="preserve">enhancing our </w:t>
      </w:r>
      <w:r w:rsidRPr="00DF35EE">
        <w:t>customer service</w:t>
      </w:r>
    </w:p>
    <w:p w14:paraId="632E71B8" w14:textId="77777777" w:rsidR="00E90764" w:rsidRPr="00DF35EE" w:rsidRDefault="0099166C" w:rsidP="00DF35EE">
      <w:pPr>
        <w:pStyle w:val="Bullets"/>
      </w:pPr>
      <w:r w:rsidRPr="00DF35EE">
        <w:t>transforming our platforms and processes</w:t>
      </w:r>
    </w:p>
    <w:p w14:paraId="632E71B9" w14:textId="77777777" w:rsidR="00E90764" w:rsidRPr="00DF35EE" w:rsidRDefault="0099166C" w:rsidP="00DF35EE">
      <w:pPr>
        <w:pStyle w:val="Bullets"/>
      </w:pPr>
      <w:r w:rsidRPr="00DF35EE">
        <w:t>enhancing capabilities</w:t>
      </w:r>
    </w:p>
    <w:p w14:paraId="632E71BA" w14:textId="77777777" w:rsidR="00E90764" w:rsidRPr="00CF6322" w:rsidRDefault="0099166C" w:rsidP="00DF35EE">
      <w:pPr>
        <w:pStyle w:val="Bullets"/>
      </w:pPr>
      <w:proofErr w:type="gramStart"/>
      <w:r w:rsidRPr="00DF35EE">
        <w:t>developing</w:t>
      </w:r>
      <w:proofErr w:type="gramEnd"/>
      <w:r w:rsidRPr="00DF35EE">
        <w:t xml:space="preserve"> financ</w:t>
      </w:r>
      <w:r w:rsidRPr="00CF6322">
        <w:t>ial sustainability.</w:t>
      </w:r>
    </w:p>
    <w:p w14:paraId="632E71BB" w14:textId="77777777" w:rsidR="00E90764" w:rsidRPr="00CF6322" w:rsidRDefault="0099166C" w:rsidP="001D1CF9">
      <w:pPr>
        <w:pStyle w:val="BodyText"/>
      </w:pPr>
      <w:r w:rsidRPr="00CF6322">
        <w:t>The ICT Strategy outlines how we work towards innovative, sustainable and secure ICT to support the delivery of our outcomes and achieve our purpose.</w:t>
      </w:r>
    </w:p>
    <w:p w14:paraId="632E71BC" w14:textId="77777777" w:rsidR="00E90764" w:rsidRPr="00CF6322" w:rsidRDefault="0099166C" w:rsidP="001D1CF9">
      <w:pPr>
        <w:pStyle w:val="BodyText"/>
      </w:pPr>
      <w:r w:rsidRPr="00CF6322">
        <w:t>As a precursor to NWOW, the Digital Workspace rollout refreshed IT equipment used by staff and contractors and introduced modern mobile computing capabilities and high quality video conferencing.</w:t>
      </w:r>
    </w:p>
    <w:p w14:paraId="632E71BD" w14:textId="4650948C" w:rsidR="00E90764" w:rsidRPr="00CF6322" w:rsidRDefault="0099166C" w:rsidP="001D1CF9">
      <w:pPr>
        <w:pStyle w:val="BodyText"/>
      </w:pPr>
      <w:r w:rsidRPr="00CF6322">
        <w:t xml:space="preserve">The digital transformation of our regulatory and </w:t>
      </w:r>
      <w:r w:rsidR="00081070" w:rsidRPr="00CF6322">
        <w:t xml:space="preserve">subsidization </w:t>
      </w:r>
      <w:r w:rsidRPr="00CF6322">
        <w:t>programs continues building on the initial implementation of the Health Products Portal. This transformation establishes a series of standard enterprise design patterns that will become the basis for the transformation of other key digital</w:t>
      </w:r>
      <w:r w:rsidR="004A3DE3" w:rsidRPr="00CF6322">
        <w:t xml:space="preserve"> </w:t>
      </w:r>
      <w:r w:rsidRPr="00CF6322">
        <w:t>interfaces with providers and consumers.</w:t>
      </w:r>
    </w:p>
    <w:p w14:paraId="632E71BE" w14:textId="0AED34BE" w:rsidR="00E90764" w:rsidRPr="00CF6322" w:rsidRDefault="0099166C" w:rsidP="001D1CF9">
      <w:pPr>
        <w:pStyle w:val="BodyText"/>
      </w:pPr>
      <w:r w:rsidRPr="00CF6322">
        <w:t xml:space="preserve">Aged care reforms provide opportunities to </w:t>
      </w:r>
      <w:proofErr w:type="spellStart"/>
      <w:r w:rsidRPr="00CF6322">
        <w:t>modernise</w:t>
      </w:r>
      <w:proofErr w:type="spellEnd"/>
      <w:r w:rsidRPr="00CF6322">
        <w:t xml:space="preserve"> and </w:t>
      </w:r>
      <w:proofErr w:type="spellStart"/>
      <w:r w:rsidRPr="00CF6322">
        <w:t>rationalise</w:t>
      </w:r>
      <w:proofErr w:type="spellEnd"/>
      <w:r w:rsidRPr="00CF6322">
        <w:t xml:space="preserve"> the aged care application landscape to increase flexibility and ability, improve the client experience, increase</w:t>
      </w:r>
      <w:r w:rsidR="00DF35EE">
        <w:t xml:space="preserve"> </w:t>
      </w:r>
      <w:r w:rsidRPr="00CF6322">
        <w:t>interoperability and data transparency with the sector, and reduce costs.</w:t>
      </w:r>
    </w:p>
    <w:p w14:paraId="632E71C0" w14:textId="49E3E18C" w:rsidR="00E90764" w:rsidRPr="00CF6322" w:rsidRDefault="0099166C" w:rsidP="001D1CF9">
      <w:pPr>
        <w:pStyle w:val="BodyText"/>
      </w:pPr>
      <w:r w:rsidRPr="00CF6322">
        <w:t xml:space="preserve">Uplifting our protective and cyber security maturity will continue to be a priority. Significant progress has been made in ensuring our buildings, assets and personnel remain safe along with a strong focus on continuing the rollout of our </w:t>
      </w:r>
      <w:r w:rsidRPr="00CF6322">
        <w:lastRenderedPageBreak/>
        <w:t>essential 8 cyber security controls to protect our systems and data.</w:t>
      </w:r>
      <w:r w:rsidR="00DF35EE">
        <w:t xml:space="preserve">  </w:t>
      </w:r>
      <w:r w:rsidR="00DF35EE" w:rsidRPr="00CF6322">
        <w:t xml:space="preserve"> </w:t>
      </w:r>
      <w:r w:rsidRPr="00CF6322">
        <w:t>The newly established Chief Technology Officer role will bring increased focus to transforming our technology delivery platforms to ensure our solutions are fit for purpose, financially sustainable, secure and reliable.</w:t>
      </w:r>
    </w:p>
    <w:p w14:paraId="632E71C2" w14:textId="77777777" w:rsidR="00E90764" w:rsidRPr="00CF6322" w:rsidRDefault="0099166C" w:rsidP="00DF35EE">
      <w:pPr>
        <w:pStyle w:val="Heading3"/>
      </w:pPr>
      <w:r w:rsidRPr="00CF6322">
        <w:t xml:space="preserve">Data </w:t>
      </w:r>
      <w:r w:rsidRPr="00DF35EE">
        <w:t>Capability</w:t>
      </w:r>
    </w:p>
    <w:p w14:paraId="632E71C3" w14:textId="77777777" w:rsidR="00E90764" w:rsidRPr="00CF6322" w:rsidRDefault="0099166C" w:rsidP="001D1CF9">
      <w:pPr>
        <w:pStyle w:val="BodyText"/>
      </w:pPr>
      <w:r w:rsidRPr="00CF6322">
        <w:t>We work collaboratively with other Government entities, jurisdictions and non-government partners to enhance our data and analytics capacity. We use analytics securely and appropriately to provide insights to decision makers, building on a strong foundation of data governance.</w:t>
      </w:r>
    </w:p>
    <w:p w14:paraId="632E71C4" w14:textId="77777777" w:rsidR="00E90764" w:rsidRPr="00CF6322" w:rsidRDefault="0099166C" w:rsidP="001D1CF9">
      <w:pPr>
        <w:pStyle w:val="BodyText"/>
      </w:pPr>
      <w:r w:rsidRPr="00CF6322">
        <w:t>We are enhancing our information management capability, systems and processes to facilitate accountability, transparency, preservation, collaboration and deliver better data and analytic services.</w:t>
      </w:r>
    </w:p>
    <w:p w14:paraId="632E71C6" w14:textId="1F70D3CE" w:rsidR="00E90764" w:rsidRPr="00CF6322" w:rsidRDefault="0099166C" w:rsidP="001D1CF9">
      <w:pPr>
        <w:pStyle w:val="BodyText"/>
      </w:pPr>
      <w:r w:rsidRPr="00CF6322">
        <w:t>We will work to deliver a consistent departmental data policy and governance framework, with a focus on more streamlined use of our data, analytical capability development, and lifting</w:t>
      </w:r>
      <w:r w:rsidR="00DF35EE">
        <w:t xml:space="preserve"> </w:t>
      </w:r>
      <w:r w:rsidRPr="00CF6322">
        <w:t>data literacy. We will also drive the linkage of key datasets, for example, the Australian Immunisation Register and the Multi-Agency Data Integration Project, to support delivery of the COVID-19 vaccine rollout.</w:t>
      </w:r>
    </w:p>
    <w:p w14:paraId="632E71C7" w14:textId="77777777" w:rsidR="00E90764" w:rsidRPr="00CF6322" w:rsidRDefault="0099166C" w:rsidP="00DF35EE">
      <w:pPr>
        <w:pStyle w:val="Heading4"/>
      </w:pPr>
      <w:r w:rsidRPr="00DF35EE">
        <w:t>Evaluation</w:t>
      </w:r>
    </w:p>
    <w:p w14:paraId="632E71C9" w14:textId="037E7728" w:rsidR="00E90764" w:rsidRPr="00CF6322" w:rsidRDefault="0099166C" w:rsidP="001D1CF9">
      <w:pPr>
        <w:pStyle w:val="BodyText"/>
      </w:pPr>
      <w:r w:rsidRPr="00CF6322">
        <w:t xml:space="preserve">We are continuing to embed and strengthen our evaluation capacity, culture and capability through delivery of a whole of department approach to robust and transparent evaluation practices. This will inform evolution of our policies and programs based on the best available </w:t>
      </w:r>
      <w:r w:rsidR="000F74F5" w:rsidRPr="00CF6322">
        <w:t>e</w:t>
      </w:r>
      <w:r w:rsidRPr="00CF6322">
        <w:t>vidence, support us in our resource allocation and decision making responsibilities, and ensure outcomes are delivered as intended.</w:t>
      </w:r>
    </w:p>
    <w:p w14:paraId="632E71CA" w14:textId="77777777" w:rsidR="00E90764" w:rsidRPr="00CF6322" w:rsidRDefault="0099166C" w:rsidP="00372286">
      <w:pPr>
        <w:pStyle w:val="Heading3"/>
      </w:pPr>
      <w:r w:rsidRPr="00CF6322">
        <w:t xml:space="preserve">Financial </w:t>
      </w:r>
      <w:r w:rsidRPr="00810E5E">
        <w:t>Management</w:t>
      </w:r>
      <w:r w:rsidRPr="00CF6322">
        <w:t xml:space="preserve"> Capability</w:t>
      </w:r>
    </w:p>
    <w:p w14:paraId="632E71CC" w14:textId="53ABD32B" w:rsidR="00E90764" w:rsidRPr="00CF6322" w:rsidRDefault="0099166C" w:rsidP="001D1CF9">
      <w:pPr>
        <w:pStyle w:val="BodyText"/>
      </w:pPr>
      <w:r w:rsidRPr="00CF6322">
        <w:t>We are responsible for a significant portion of the Commonwealth Budget (more than $115 billion or 19.5% of the Government’s estimated general government sector expenses</w:t>
      </w:r>
      <w:r w:rsidR="00810E5E">
        <w:rPr>
          <w:rStyle w:val="FootnoteReference"/>
        </w:rPr>
        <w:footnoteReference w:id="2"/>
      </w:r>
      <w:r w:rsidRPr="00CF6322">
        <w:t>). One of our core responsibilities is ensuring resources made available by Government on behalf of</w:t>
      </w:r>
      <w:r w:rsidR="00081070" w:rsidRPr="00CF6322">
        <w:t xml:space="preserve"> </w:t>
      </w:r>
      <w:r w:rsidRPr="00CF6322">
        <w:t>the Australian community are managed in an efficient, effective, economical and ethical manner.</w:t>
      </w:r>
    </w:p>
    <w:p w14:paraId="632E71CD" w14:textId="77777777" w:rsidR="00E90764" w:rsidRPr="00CF6322" w:rsidRDefault="0099166C" w:rsidP="001D1CF9">
      <w:pPr>
        <w:pStyle w:val="BodyText"/>
      </w:pPr>
      <w:r w:rsidRPr="00CF6322">
        <w:t>We deliver a strong financial management framework to ensure we are in a position to make evidence-based finance decisions and meet our financial accountability, performance and governance obligations.</w:t>
      </w:r>
    </w:p>
    <w:p w14:paraId="632E71CE" w14:textId="522BE473" w:rsidR="00E90764" w:rsidRPr="00CF6322" w:rsidRDefault="0099166C" w:rsidP="001D1CF9">
      <w:pPr>
        <w:pStyle w:val="BodyText"/>
      </w:pPr>
      <w:r w:rsidRPr="00CF6322">
        <w:t>Our Finance Strategy 2020–24 sets out a long term vision based on 3 pillars of our financial management framework:</w:t>
      </w:r>
    </w:p>
    <w:p w14:paraId="632E71CF" w14:textId="77777777" w:rsidR="00E90764" w:rsidRPr="00810E5E" w:rsidRDefault="0099166C" w:rsidP="00810E5E">
      <w:pPr>
        <w:pStyle w:val="Bullets"/>
      </w:pPr>
      <w:r w:rsidRPr="00CF6322">
        <w:t xml:space="preserve">a strong financial controls </w:t>
      </w:r>
      <w:r w:rsidRPr="00810E5E">
        <w:t>and assurance framework</w:t>
      </w:r>
    </w:p>
    <w:p w14:paraId="632E71D0" w14:textId="43B7F6A9" w:rsidR="00E90764" w:rsidRPr="00810E5E" w:rsidRDefault="0099166C" w:rsidP="00810E5E">
      <w:pPr>
        <w:pStyle w:val="Bullets"/>
      </w:pPr>
      <w:r w:rsidRPr="00810E5E">
        <w:t>providing credible, accurate and consistent financial information and advice</w:t>
      </w:r>
    </w:p>
    <w:p w14:paraId="29CB7AFB" w14:textId="018FEF29" w:rsidR="00E104A6" w:rsidRDefault="0099166C" w:rsidP="00431FE8">
      <w:pPr>
        <w:pStyle w:val="Bullets"/>
      </w:pPr>
      <w:proofErr w:type="gramStart"/>
      <w:r w:rsidRPr="00810E5E">
        <w:t>a</w:t>
      </w:r>
      <w:proofErr w:type="gramEnd"/>
      <w:r w:rsidRPr="00810E5E">
        <w:t xml:space="preserve"> financial governance framework</w:t>
      </w:r>
      <w:r w:rsidRPr="00CF6322">
        <w:t xml:space="preserve"> which promotes the</w:t>
      </w:r>
      <w:r w:rsidR="000F74F5" w:rsidRPr="00CF6322">
        <w:t xml:space="preserve"> </w:t>
      </w:r>
      <w:r w:rsidRPr="00CF6322">
        <w:t>effective and efficient use of resources.</w:t>
      </w:r>
    </w:p>
    <w:p w14:paraId="51F01797" w14:textId="1A209E8E" w:rsidR="001D1CF9" w:rsidRDefault="001D1CF9" w:rsidP="00372286">
      <w:bookmarkStart w:id="25" w:name="_Our_Performance"/>
      <w:bookmarkStart w:id="26" w:name="_Toc83043017"/>
      <w:bookmarkEnd w:id="25"/>
    </w:p>
    <w:p w14:paraId="706F6195" w14:textId="7BFF9393" w:rsidR="00AA64E9" w:rsidRDefault="00AA64E9" w:rsidP="00372286"/>
    <w:p w14:paraId="01FF2A1C" w14:textId="77777777" w:rsidR="00AA64E9" w:rsidRDefault="00AA64E9" w:rsidP="00431FE8">
      <w:pPr>
        <w:pStyle w:val="Heading2"/>
        <w:sectPr w:rsidR="00AA64E9" w:rsidSect="00AA64E9">
          <w:pgSz w:w="11910" w:h="16840"/>
          <w:pgMar w:top="720" w:right="720" w:bottom="720" w:left="720" w:header="0" w:footer="330" w:gutter="0"/>
          <w:cols w:space="720"/>
        </w:sectPr>
      </w:pPr>
    </w:p>
    <w:p w14:paraId="632E71D7" w14:textId="6377B247" w:rsidR="00E90764" w:rsidRPr="00CF6322" w:rsidRDefault="0099166C" w:rsidP="00431FE8">
      <w:pPr>
        <w:pStyle w:val="Heading2"/>
      </w:pPr>
      <w:r w:rsidRPr="00CF6322">
        <w:lastRenderedPageBreak/>
        <w:t xml:space="preserve">Our </w:t>
      </w:r>
      <w:r w:rsidRPr="00431FE8">
        <w:t>Performance</w:t>
      </w:r>
      <w:bookmarkEnd w:id="26"/>
    </w:p>
    <w:p w14:paraId="632E71D8" w14:textId="77777777" w:rsidR="00E90764" w:rsidRPr="00CF6322" w:rsidRDefault="0099166C" w:rsidP="001D1CF9">
      <w:pPr>
        <w:pStyle w:val="BodyText"/>
      </w:pPr>
      <w:r w:rsidRPr="00CF6322">
        <w:t>We assess our performance by measuring how we meet the objectives of our 20 programs, and through them how we achieve our 4 outcomes. These high level, evidence-based measures are designed to both plan and indicate performance, reliably and consistently, across multiple performance cycles. Assessments and results of our performance will be reported in the 2021–22 Annual Performance Statements (included in our Annual Report).</w:t>
      </w:r>
    </w:p>
    <w:p w14:paraId="632E71DA" w14:textId="270A0390" w:rsidR="00E90764" w:rsidRPr="00CF6322" w:rsidRDefault="0099166C" w:rsidP="001D1CF9">
      <w:pPr>
        <w:pStyle w:val="BodyText"/>
      </w:pPr>
      <w:r w:rsidRPr="00CF6322">
        <w:t xml:space="preserve">The Commonwealth Performance Framework is established by the </w:t>
      </w:r>
      <w:r w:rsidRPr="00D57D83">
        <w:rPr>
          <w:i/>
          <w:iCs/>
        </w:rPr>
        <w:t>Public Governance, Performance and Accountability Act 2013</w:t>
      </w:r>
      <w:r w:rsidRPr="00CF6322">
        <w:t xml:space="preserve"> (PGPA Act) and requires entities to demonstrate how public resources have been applied to achieve their purposes.</w:t>
      </w:r>
      <w:r w:rsidR="00B20583" w:rsidRPr="00CF6322">
        <w:t xml:space="preserve"> </w:t>
      </w:r>
      <w:r w:rsidRPr="00CF6322">
        <w:t xml:space="preserve">It outlines obligations on accountable authorities to prepare corporate plans, with section 16E of the </w:t>
      </w:r>
      <w:r w:rsidRPr="00D57D83">
        <w:rPr>
          <w:i/>
          <w:iCs/>
        </w:rPr>
        <w:t>Public Governance, Performance and Accountability Rule 2014</w:t>
      </w:r>
      <w:r w:rsidRPr="00CF6322">
        <w:t xml:space="preserve"> (PGPA Rule) prescribing the requirements for corporate plans and performance information published by entities.</w:t>
      </w:r>
    </w:p>
    <w:p w14:paraId="632E71DD" w14:textId="77777777" w:rsidR="00E90764" w:rsidRPr="00431FE8" w:rsidRDefault="0099166C" w:rsidP="00372286">
      <w:pPr>
        <w:pStyle w:val="Heading3"/>
      </w:pPr>
      <w:r w:rsidRPr="00431FE8">
        <w:t>Commonwealth Performance Framework</w:t>
      </w:r>
    </w:p>
    <w:p w14:paraId="632E71DE" w14:textId="168CA476" w:rsidR="00E90764" w:rsidRPr="00431FE8" w:rsidRDefault="0099166C" w:rsidP="001D1CF9">
      <w:pPr>
        <w:pStyle w:val="BodyText"/>
      </w:pPr>
      <w:r w:rsidRPr="00431FE8">
        <w:t>Key components of relevant publications</w:t>
      </w:r>
    </w:p>
    <w:tbl>
      <w:tblPr>
        <w:tblStyle w:val="TableGrid"/>
        <w:tblW w:w="0" w:type="auto"/>
        <w:tblLook w:val="04A0" w:firstRow="1" w:lastRow="0" w:firstColumn="1" w:lastColumn="0" w:noHBand="0" w:noVBand="1"/>
        <w:tblDescription w:val="Table to be read left to right, top to bottom. This table decribes the Commonwealth Performce Framework and the key planning documents, the Portfolio Budget Statements and Corporate Plan, and the Annual Performance Statement found in the Department of Health Annual Report. "/>
      </w:tblPr>
      <w:tblGrid>
        <w:gridCol w:w="5230"/>
        <w:gridCol w:w="5230"/>
      </w:tblGrid>
      <w:tr w:rsidR="00431FE8" w14:paraId="0F0CBB0C" w14:textId="77777777" w:rsidTr="001D1CF9">
        <w:trPr>
          <w:tblHeader/>
        </w:trPr>
        <w:tc>
          <w:tcPr>
            <w:tcW w:w="5330" w:type="dxa"/>
          </w:tcPr>
          <w:p w14:paraId="2BFAD8EE" w14:textId="62D92515" w:rsidR="00431FE8" w:rsidRPr="00431FE8" w:rsidRDefault="00431FE8" w:rsidP="001D1CF9">
            <w:pPr>
              <w:pStyle w:val="BodyText"/>
              <w:rPr>
                <w:rStyle w:val="Strong"/>
              </w:rPr>
            </w:pPr>
            <w:r w:rsidRPr="00431FE8">
              <w:rPr>
                <w:rStyle w:val="Strong"/>
              </w:rPr>
              <w:t>Portfolio Budget Statements (May), Portfolio based</w:t>
            </w:r>
          </w:p>
        </w:tc>
        <w:tc>
          <w:tcPr>
            <w:tcW w:w="5330" w:type="dxa"/>
          </w:tcPr>
          <w:p w14:paraId="5160F10F" w14:textId="56E9CFE3" w:rsidR="00431FE8" w:rsidRPr="00431FE8" w:rsidRDefault="00431FE8" w:rsidP="001D1CF9">
            <w:pPr>
              <w:pStyle w:val="BodyText"/>
              <w:rPr>
                <w:rStyle w:val="Strong"/>
              </w:rPr>
            </w:pPr>
            <w:r w:rsidRPr="00431FE8">
              <w:rPr>
                <w:rStyle w:val="Strong"/>
              </w:rPr>
              <w:t>Corporate Plan (August), Entity based</w:t>
            </w:r>
          </w:p>
        </w:tc>
      </w:tr>
      <w:tr w:rsidR="00431FE8" w14:paraId="1BE7135D" w14:textId="77777777" w:rsidTr="00431FE8">
        <w:tc>
          <w:tcPr>
            <w:tcW w:w="5330" w:type="dxa"/>
          </w:tcPr>
          <w:p w14:paraId="201FEACB" w14:textId="77777777" w:rsidR="00431FE8" w:rsidRPr="00431FE8" w:rsidRDefault="00431FE8" w:rsidP="001D1CF9">
            <w:pPr>
              <w:pStyle w:val="BodyText"/>
            </w:pPr>
            <w:r w:rsidRPr="00431FE8">
              <w:t xml:space="preserve">Supports Annual Appropriations. Informs Senators and Members of Parliament of the proposed allocation of other resources to </w:t>
            </w:r>
            <w:r w:rsidRPr="00431FE8">
              <w:rPr>
                <w:rStyle w:val="Bold"/>
                <w:rFonts w:ascii="HelveticaNeueLTStd-Roman" w:hAnsi="HelveticaNeueLTStd-Lt" w:cs="HelveticaNeueLTStd-Lt"/>
                <w:b w:val="0"/>
                <w:bCs w:val="0"/>
              </w:rPr>
              <w:t>government outcomes and programs</w:t>
            </w:r>
            <w:r w:rsidRPr="00431FE8">
              <w:t>.</w:t>
            </w:r>
          </w:p>
          <w:p w14:paraId="037F4185" w14:textId="77777777" w:rsidR="00431FE8" w:rsidRPr="00431FE8" w:rsidRDefault="00431FE8" w:rsidP="001D1CF9">
            <w:pPr>
              <w:pStyle w:val="BodyText"/>
            </w:pPr>
            <w:r w:rsidRPr="00431FE8">
              <w:t xml:space="preserve">Provides links to </w:t>
            </w:r>
            <w:r w:rsidRPr="00431FE8">
              <w:rPr>
                <w:rStyle w:val="Bold"/>
                <w:rFonts w:ascii="HelveticaNeueLTStd-Roman" w:hAnsi="HelveticaNeueLTStd-Lt" w:cs="HelveticaNeueLTStd-Lt"/>
                <w:b w:val="0"/>
                <w:bCs w:val="0"/>
              </w:rPr>
              <w:t>relevant programs</w:t>
            </w:r>
            <w:r w:rsidRPr="00431FE8">
              <w:t xml:space="preserve"> undertaken by other Commonwealth entities.</w:t>
            </w:r>
          </w:p>
          <w:p w14:paraId="440141A4" w14:textId="77777777" w:rsidR="00431FE8" w:rsidRPr="00431FE8" w:rsidRDefault="00431FE8" w:rsidP="001D1CF9">
            <w:pPr>
              <w:pStyle w:val="BodyText"/>
            </w:pPr>
            <w:r w:rsidRPr="00431FE8">
              <w:t xml:space="preserve">Provides high level performance information for current, ongoing programs, particularly a </w:t>
            </w:r>
            <w:r w:rsidRPr="00431FE8">
              <w:rPr>
                <w:rStyle w:val="Bold"/>
                <w:rFonts w:ascii="HelveticaNeueLTStd-Roman" w:hAnsi="HelveticaNeueLTStd-Lt" w:cs="HelveticaNeueLTStd-Lt"/>
                <w:b w:val="0"/>
                <w:bCs w:val="0"/>
              </w:rPr>
              <w:t>forecast of performance for the current year</w:t>
            </w:r>
            <w:r w:rsidRPr="00431FE8">
              <w:t>.</w:t>
            </w:r>
          </w:p>
          <w:p w14:paraId="767072BA" w14:textId="7F3FFE80" w:rsidR="00431FE8" w:rsidRPr="00431FE8" w:rsidRDefault="00431FE8" w:rsidP="001D1CF9">
            <w:pPr>
              <w:pStyle w:val="BodyText"/>
            </w:pPr>
            <w:r w:rsidRPr="00431FE8">
              <w:t xml:space="preserve">Provides </w:t>
            </w:r>
            <w:r w:rsidRPr="00431FE8">
              <w:rPr>
                <w:rStyle w:val="Bold"/>
                <w:rFonts w:ascii="HelveticaNeueLTStd-Roman" w:hAnsi="HelveticaNeueLTStd-Lt" w:cs="HelveticaNeueLTStd-Lt"/>
                <w:b w:val="0"/>
                <w:bCs w:val="0"/>
              </w:rPr>
              <w:t>detailed</w:t>
            </w:r>
            <w:r w:rsidRPr="00431FE8">
              <w:t xml:space="preserve"> prospective performance information for proposed new Budget measures that require </w:t>
            </w:r>
            <w:r w:rsidRPr="00431FE8">
              <w:rPr>
                <w:rStyle w:val="Bold"/>
                <w:rFonts w:ascii="HelveticaNeueLTStd-Roman" w:hAnsi="HelveticaNeueLTStd-Lt" w:cs="HelveticaNeueLTStd-Lt"/>
                <w:b w:val="0"/>
                <w:bCs w:val="0"/>
              </w:rPr>
              <w:t>a new program</w:t>
            </w:r>
            <w:r w:rsidRPr="00431FE8">
              <w:t xml:space="preserve"> or </w:t>
            </w:r>
            <w:r w:rsidRPr="00431FE8">
              <w:rPr>
                <w:rStyle w:val="Bold"/>
                <w:rFonts w:ascii="HelveticaNeueLTStd-Roman" w:hAnsi="HelveticaNeueLTStd-Lt" w:cs="HelveticaNeueLTStd-Lt"/>
                <w:b w:val="0"/>
                <w:bCs w:val="0"/>
              </w:rPr>
              <w:t>significantly change an existing program</w:t>
            </w:r>
            <w:r w:rsidRPr="00431FE8">
              <w:t>.</w:t>
            </w:r>
          </w:p>
        </w:tc>
        <w:tc>
          <w:tcPr>
            <w:tcW w:w="5330" w:type="dxa"/>
          </w:tcPr>
          <w:p w14:paraId="0F91E965" w14:textId="77777777" w:rsidR="00431FE8" w:rsidRPr="00431FE8" w:rsidRDefault="00431FE8" w:rsidP="001D1CF9">
            <w:pPr>
              <w:pStyle w:val="BodyText"/>
            </w:pPr>
            <w:r w:rsidRPr="00431FE8">
              <w:rPr>
                <w:rStyle w:val="Bold"/>
                <w:rFonts w:ascii="HelveticaNeueLTStd-Roman" w:hAnsi="HelveticaNeueLTStd-Lt" w:cs="HelveticaNeueLTStd-Lt"/>
                <w:b w:val="0"/>
                <w:bCs w:val="0"/>
              </w:rPr>
              <w:t>Primary planning document</w:t>
            </w:r>
            <w:r w:rsidRPr="00431FE8">
              <w:t xml:space="preserve"> of a Commonwealth entity.</w:t>
            </w:r>
          </w:p>
          <w:p w14:paraId="6BB37FE3" w14:textId="77777777" w:rsidR="00431FE8" w:rsidRPr="00431FE8" w:rsidRDefault="00431FE8" w:rsidP="001D1CF9">
            <w:pPr>
              <w:pStyle w:val="BodyText"/>
            </w:pPr>
            <w:r w:rsidRPr="00431FE8">
              <w:t xml:space="preserve">Sets out </w:t>
            </w:r>
            <w:r w:rsidRPr="00431FE8">
              <w:rPr>
                <w:rStyle w:val="Bold"/>
                <w:rFonts w:ascii="HelveticaNeueLTStd-Roman" w:hAnsi="HelveticaNeueLTStd-Lt" w:cs="HelveticaNeueLTStd-Lt"/>
                <w:b w:val="0"/>
                <w:bCs w:val="0"/>
              </w:rPr>
              <w:t>purposes</w:t>
            </w:r>
            <w:r w:rsidRPr="00431FE8">
              <w:t xml:space="preserve"> of the entity, the</w:t>
            </w:r>
            <w:r w:rsidRPr="00431FE8">
              <w:rPr>
                <w:rStyle w:val="Bold"/>
                <w:rFonts w:ascii="HelveticaNeueLTStd-Roman" w:hAnsi="HelveticaNeueLTStd-Lt" w:cs="HelveticaNeueLTStd-Lt"/>
                <w:b w:val="0"/>
                <w:bCs w:val="0"/>
              </w:rPr>
              <w:t xml:space="preserve"> activities</w:t>
            </w:r>
            <w:r w:rsidRPr="00431FE8">
              <w:t xml:space="preserve"> it will undertake to achieve its purposes and the </w:t>
            </w:r>
            <w:r w:rsidRPr="00431FE8">
              <w:rPr>
                <w:rStyle w:val="Bold"/>
                <w:rFonts w:ascii="HelveticaNeueLTStd-Roman" w:hAnsi="HelveticaNeueLTStd-Lt" w:cs="HelveticaNeueLTStd-Lt"/>
                <w:b w:val="0"/>
                <w:bCs w:val="0"/>
              </w:rPr>
              <w:t xml:space="preserve">results </w:t>
            </w:r>
            <w:r w:rsidRPr="00431FE8">
              <w:t>it expects to achieve over a minimum 4 year period.</w:t>
            </w:r>
          </w:p>
          <w:p w14:paraId="603E0A25" w14:textId="77777777" w:rsidR="00431FE8" w:rsidRPr="00431FE8" w:rsidRDefault="00431FE8" w:rsidP="001D1CF9">
            <w:pPr>
              <w:pStyle w:val="BodyText"/>
            </w:pPr>
            <w:r w:rsidRPr="00431FE8">
              <w:t xml:space="preserve">Describes the </w:t>
            </w:r>
            <w:r w:rsidRPr="00431FE8">
              <w:rPr>
                <w:rStyle w:val="Bold"/>
                <w:rFonts w:ascii="HelveticaNeueLTStd-Roman" w:hAnsi="HelveticaNeueLTStd-Lt" w:cs="HelveticaNeueLTStd-Lt"/>
                <w:b w:val="0"/>
                <w:bCs w:val="0"/>
              </w:rPr>
              <w:t>environment</w:t>
            </w:r>
            <w:r w:rsidRPr="00431FE8">
              <w:t xml:space="preserve"> in which the entity </w:t>
            </w:r>
            <w:r w:rsidRPr="00431FE8">
              <w:rPr>
                <w:rStyle w:val="Bold"/>
                <w:rFonts w:ascii="HelveticaNeueLTStd-Roman" w:hAnsi="HelveticaNeueLTStd-Lt" w:cs="HelveticaNeueLTStd-Lt"/>
                <w:b w:val="0"/>
                <w:bCs w:val="0"/>
              </w:rPr>
              <w:t>operates</w:t>
            </w:r>
            <w:r w:rsidRPr="00431FE8">
              <w:t xml:space="preserve"> the </w:t>
            </w:r>
            <w:r w:rsidRPr="00431FE8">
              <w:rPr>
                <w:rStyle w:val="Bold"/>
                <w:rFonts w:ascii="HelveticaNeueLTStd-Roman" w:hAnsi="HelveticaNeueLTStd-Lt" w:cs="HelveticaNeueLTStd-Lt"/>
                <w:b w:val="0"/>
                <w:bCs w:val="0"/>
              </w:rPr>
              <w:t>capability</w:t>
            </w:r>
            <w:r w:rsidRPr="00431FE8">
              <w:t xml:space="preserve"> it requires to undertake </w:t>
            </w:r>
            <w:r w:rsidRPr="00431FE8">
              <w:rPr>
                <w:rStyle w:val="Bold"/>
                <w:rFonts w:ascii="HelveticaNeueLTStd-Roman" w:hAnsi="HelveticaNeueLTStd-Lt" w:cs="HelveticaNeueLTStd-Lt"/>
                <w:b w:val="0"/>
                <w:bCs w:val="0"/>
              </w:rPr>
              <w:t>activities</w:t>
            </w:r>
            <w:r w:rsidRPr="00431FE8">
              <w:t xml:space="preserve"> and a discussion of </w:t>
            </w:r>
            <w:r w:rsidRPr="00431FE8">
              <w:rPr>
                <w:rStyle w:val="Bold"/>
                <w:rFonts w:ascii="HelveticaNeueLTStd-Roman" w:hAnsi="HelveticaNeueLTStd-Lt" w:cs="HelveticaNeueLTStd-Lt"/>
                <w:b w:val="0"/>
                <w:bCs w:val="0"/>
              </w:rPr>
              <w:t>risk</w:t>
            </w:r>
            <w:r w:rsidRPr="00431FE8">
              <w:t>.</w:t>
            </w:r>
          </w:p>
          <w:p w14:paraId="52EE52B0" w14:textId="47180FD2" w:rsidR="00431FE8" w:rsidRPr="00431FE8" w:rsidRDefault="00431FE8" w:rsidP="001D1CF9">
            <w:pPr>
              <w:pStyle w:val="BodyText"/>
            </w:pPr>
            <w:r w:rsidRPr="00431FE8">
              <w:t xml:space="preserve">Explains how the entity’s </w:t>
            </w:r>
            <w:r w:rsidRPr="00431FE8">
              <w:rPr>
                <w:rStyle w:val="Bold"/>
                <w:rFonts w:ascii="HelveticaNeueLTStd-Roman" w:hAnsi="HelveticaNeueLTStd-Lt" w:cs="HelveticaNeueLTStd-Lt"/>
                <w:b w:val="0"/>
                <w:bCs w:val="0"/>
              </w:rPr>
              <w:t>performance</w:t>
            </w:r>
            <w:r w:rsidRPr="00431FE8">
              <w:t xml:space="preserve"> will be </w:t>
            </w:r>
            <w:r w:rsidRPr="00431FE8">
              <w:rPr>
                <w:rStyle w:val="Bold"/>
                <w:rFonts w:ascii="HelveticaNeueLTStd-Roman" w:hAnsi="HelveticaNeueLTStd-Lt" w:cs="HelveticaNeueLTStd-Lt"/>
                <w:b w:val="0"/>
                <w:bCs w:val="0"/>
              </w:rPr>
              <w:t xml:space="preserve">measured </w:t>
            </w:r>
            <w:r w:rsidRPr="00431FE8">
              <w:t xml:space="preserve">and </w:t>
            </w:r>
            <w:r w:rsidRPr="00431FE8">
              <w:rPr>
                <w:rStyle w:val="Bold"/>
                <w:rFonts w:ascii="HelveticaNeueLTStd-Roman" w:hAnsi="HelveticaNeueLTStd-Lt" w:cs="HelveticaNeueLTStd-Lt"/>
                <w:b w:val="0"/>
                <w:bCs w:val="0"/>
              </w:rPr>
              <w:t>assessed</w:t>
            </w:r>
            <w:r w:rsidRPr="00431FE8">
              <w:t>.</w:t>
            </w:r>
          </w:p>
        </w:tc>
      </w:tr>
      <w:tr w:rsidR="00431FE8" w14:paraId="7BA9F0A9" w14:textId="77777777" w:rsidTr="00F97577">
        <w:tc>
          <w:tcPr>
            <w:tcW w:w="10660" w:type="dxa"/>
            <w:gridSpan w:val="2"/>
          </w:tcPr>
          <w:p w14:paraId="19AF7861" w14:textId="6FCEF56D" w:rsidR="00431FE8" w:rsidRPr="00431FE8" w:rsidRDefault="00431FE8" w:rsidP="001D1CF9">
            <w:pPr>
              <w:pStyle w:val="BodyText"/>
              <w:rPr>
                <w:rStyle w:val="Strong"/>
              </w:rPr>
            </w:pPr>
            <w:r w:rsidRPr="00431FE8">
              <w:rPr>
                <w:rStyle w:val="Strong"/>
              </w:rPr>
              <w:t>Annual Performance Statement (October following year), Entity based</w:t>
            </w:r>
          </w:p>
        </w:tc>
      </w:tr>
      <w:tr w:rsidR="00431FE8" w14:paraId="23B616AE" w14:textId="77777777" w:rsidTr="00F97577">
        <w:tc>
          <w:tcPr>
            <w:tcW w:w="10660" w:type="dxa"/>
            <w:gridSpan w:val="2"/>
          </w:tcPr>
          <w:p w14:paraId="5B84A142" w14:textId="77777777" w:rsidR="00431FE8" w:rsidRPr="00431FE8" w:rsidRDefault="00431FE8" w:rsidP="001D1CF9">
            <w:pPr>
              <w:pStyle w:val="BodyText"/>
            </w:pPr>
            <w:r w:rsidRPr="00431FE8">
              <w:t xml:space="preserve">Included in the Commonwealth entity’s Annual Report. Focuses on </w:t>
            </w:r>
            <w:r w:rsidRPr="00431FE8">
              <w:rPr>
                <w:rStyle w:val="Bold"/>
                <w:rFonts w:ascii="HelveticaNeueLTStd-Roman" w:hAnsi="HelveticaNeueLTStd-Lt" w:cs="HelveticaNeueLTStd-Lt"/>
                <w:b w:val="0"/>
                <w:bCs w:val="0"/>
              </w:rPr>
              <w:t>recent performance</w:t>
            </w:r>
            <w:r w:rsidRPr="00431FE8">
              <w:t>.</w:t>
            </w:r>
          </w:p>
          <w:p w14:paraId="0A2B55B8" w14:textId="77777777" w:rsidR="00431FE8" w:rsidRPr="00431FE8" w:rsidRDefault="00431FE8" w:rsidP="001D1CF9">
            <w:pPr>
              <w:pStyle w:val="BodyText"/>
            </w:pPr>
            <w:r w:rsidRPr="00431FE8">
              <w:t xml:space="preserve">Reports on the </w:t>
            </w:r>
            <w:r w:rsidRPr="00431FE8">
              <w:rPr>
                <w:rStyle w:val="Bold"/>
                <w:rFonts w:ascii="HelveticaNeueLTStd-Roman" w:hAnsi="HelveticaNeueLTStd-Lt" w:cs="HelveticaNeueLTStd-Lt"/>
                <w:b w:val="0"/>
                <w:bCs w:val="0"/>
              </w:rPr>
              <w:t>actual performance results</w:t>
            </w:r>
            <w:r w:rsidRPr="00431FE8">
              <w:t xml:space="preserve"> for the year against the </w:t>
            </w:r>
            <w:r w:rsidRPr="00431FE8">
              <w:rPr>
                <w:rStyle w:val="Bold"/>
                <w:rFonts w:ascii="HelveticaNeueLTStd-Roman" w:hAnsi="HelveticaNeueLTStd-Lt" w:cs="HelveticaNeueLTStd-Lt"/>
                <w:b w:val="0"/>
                <w:bCs w:val="0"/>
              </w:rPr>
              <w:t>forecasts</w:t>
            </w:r>
            <w:r w:rsidRPr="00431FE8">
              <w:t xml:space="preserve"> made in the </w:t>
            </w:r>
            <w:r w:rsidRPr="00431FE8">
              <w:rPr>
                <w:rStyle w:val="Bold"/>
                <w:rFonts w:ascii="HelveticaNeueLTStd-Roman" w:hAnsi="HelveticaNeueLTStd-Lt" w:cs="HelveticaNeueLTStd-Lt"/>
                <w:b w:val="0"/>
                <w:bCs w:val="0"/>
              </w:rPr>
              <w:t>Corporate Plan</w:t>
            </w:r>
            <w:r w:rsidRPr="00431FE8">
              <w:t xml:space="preserve"> and </w:t>
            </w:r>
            <w:r w:rsidRPr="00431FE8">
              <w:rPr>
                <w:rStyle w:val="Bold"/>
                <w:rFonts w:ascii="HelveticaNeueLTStd-Roman" w:hAnsi="HelveticaNeueLTStd-Lt" w:cs="HelveticaNeueLTStd-Lt"/>
                <w:b w:val="0"/>
                <w:bCs w:val="0"/>
              </w:rPr>
              <w:t>Portfolio Budget Statements</w:t>
            </w:r>
            <w:r w:rsidRPr="00431FE8">
              <w:t xml:space="preserve"> and provides other performance information relevant to the entity.</w:t>
            </w:r>
          </w:p>
          <w:p w14:paraId="4458F4DA" w14:textId="3B84272C" w:rsidR="00431FE8" w:rsidRPr="00431FE8" w:rsidRDefault="00431FE8" w:rsidP="001D1CF9">
            <w:pPr>
              <w:pStyle w:val="BodyText"/>
            </w:pPr>
            <w:r w:rsidRPr="00431FE8">
              <w:t xml:space="preserve">Provides an </w:t>
            </w:r>
            <w:r w:rsidRPr="00431FE8">
              <w:rPr>
                <w:rStyle w:val="Bold"/>
                <w:rFonts w:ascii="HelveticaNeueLTStd-Roman" w:hAnsi="HelveticaNeueLTStd-Lt" w:cs="HelveticaNeueLTStd-Lt"/>
                <w:b w:val="0"/>
                <w:bCs w:val="0"/>
              </w:rPr>
              <w:t>analysis</w:t>
            </w:r>
            <w:r w:rsidRPr="00431FE8">
              <w:t xml:space="preserve"> of the factors that contributed to the entity’s </w:t>
            </w:r>
            <w:r w:rsidRPr="00431FE8">
              <w:rPr>
                <w:rStyle w:val="Bold"/>
                <w:rFonts w:ascii="HelveticaNeueLTStd-Roman" w:hAnsi="HelveticaNeueLTStd-Lt" w:cs="HelveticaNeueLTStd-Lt"/>
                <w:b w:val="0"/>
                <w:bCs w:val="0"/>
              </w:rPr>
              <w:t>performance results</w:t>
            </w:r>
            <w:r w:rsidRPr="00431FE8">
              <w:t>.</w:t>
            </w:r>
          </w:p>
        </w:tc>
      </w:tr>
    </w:tbl>
    <w:p w14:paraId="7D18B218" w14:textId="60FEB4C0" w:rsidR="00431FE8" w:rsidRDefault="0099166C" w:rsidP="001D1CF9">
      <w:pPr>
        <w:pStyle w:val="BodyText"/>
      </w:pPr>
      <w:r w:rsidRPr="00CF6322">
        <w:t>In addition to the Commonwealth Performance Framework, our Performance Measurement and Reporting Framework enables a clearer line of sight between planning, measuring, monitoring, evaluating and reporting performance, which in turn informs policy development and implementation.</w:t>
      </w:r>
    </w:p>
    <w:tbl>
      <w:tblPr>
        <w:tblStyle w:val="TableGrid"/>
        <w:tblW w:w="0" w:type="auto"/>
        <w:tblLook w:val="04A0" w:firstRow="1" w:lastRow="0" w:firstColumn="1" w:lastColumn="0" w:noHBand="0" w:noVBand="1"/>
        <w:tblDescription w:val="Table to be read left to right, top to bottom. This table decribes the two main planning and reporting fields. First the external audience and then the internal audience."/>
      </w:tblPr>
      <w:tblGrid>
        <w:gridCol w:w="3481"/>
        <w:gridCol w:w="3489"/>
        <w:gridCol w:w="3490"/>
      </w:tblGrid>
      <w:tr w:rsidR="00431FE8" w14:paraId="14EE65C0" w14:textId="77777777" w:rsidTr="001D1CF9">
        <w:trPr>
          <w:tblHeader/>
        </w:trPr>
        <w:tc>
          <w:tcPr>
            <w:tcW w:w="3553" w:type="dxa"/>
          </w:tcPr>
          <w:p w14:paraId="66EB5CF2" w14:textId="77777777" w:rsidR="00431FE8" w:rsidRPr="00431FE8" w:rsidRDefault="00431FE8" w:rsidP="001D1CF9">
            <w:pPr>
              <w:pStyle w:val="BodyText"/>
            </w:pPr>
          </w:p>
        </w:tc>
        <w:tc>
          <w:tcPr>
            <w:tcW w:w="3553" w:type="dxa"/>
          </w:tcPr>
          <w:p w14:paraId="6E598D0C" w14:textId="5766D98F" w:rsidR="00431FE8" w:rsidRPr="00431FE8" w:rsidRDefault="00431FE8" w:rsidP="001D1CF9">
            <w:pPr>
              <w:pStyle w:val="BodyText"/>
              <w:rPr>
                <w:rStyle w:val="Strong"/>
              </w:rPr>
            </w:pPr>
            <w:r w:rsidRPr="00431FE8">
              <w:rPr>
                <w:rStyle w:val="Strong"/>
              </w:rPr>
              <w:t>Planning</w:t>
            </w:r>
          </w:p>
        </w:tc>
        <w:tc>
          <w:tcPr>
            <w:tcW w:w="3554" w:type="dxa"/>
          </w:tcPr>
          <w:p w14:paraId="7C84FD17" w14:textId="76E4DA83" w:rsidR="00431FE8" w:rsidRPr="00431FE8" w:rsidRDefault="00431FE8" w:rsidP="001D1CF9">
            <w:pPr>
              <w:pStyle w:val="BodyText"/>
              <w:rPr>
                <w:rStyle w:val="Strong"/>
              </w:rPr>
            </w:pPr>
            <w:r w:rsidRPr="00431FE8">
              <w:rPr>
                <w:rStyle w:val="Strong"/>
              </w:rPr>
              <w:t>Reporting</w:t>
            </w:r>
          </w:p>
        </w:tc>
      </w:tr>
      <w:tr w:rsidR="00431FE8" w14:paraId="47E251E8" w14:textId="77777777" w:rsidTr="00431FE8">
        <w:tc>
          <w:tcPr>
            <w:tcW w:w="3553" w:type="dxa"/>
          </w:tcPr>
          <w:p w14:paraId="18C23D1C" w14:textId="41D84BE1" w:rsidR="00431FE8" w:rsidRPr="00431FE8" w:rsidRDefault="00431FE8" w:rsidP="001D1CF9">
            <w:pPr>
              <w:pStyle w:val="BodyText"/>
              <w:rPr>
                <w:rStyle w:val="Strong"/>
              </w:rPr>
            </w:pPr>
            <w:r w:rsidRPr="00431FE8">
              <w:rPr>
                <w:rStyle w:val="Strong"/>
              </w:rPr>
              <w:t>External audience</w:t>
            </w:r>
            <w:r>
              <w:rPr>
                <w:rStyle w:val="Strong"/>
              </w:rPr>
              <w:t>, l</w:t>
            </w:r>
            <w:r w:rsidRPr="00431FE8">
              <w:rPr>
                <w:rStyle w:val="Strong"/>
              </w:rPr>
              <w:t>ess detail</w:t>
            </w:r>
            <w:r>
              <w:rPr>
                <w:rStyle w:val="Strong"/>
              </w:rPr>
              <w:t>, b</w:t>
            </w:r>
            <w:r w:rsidRPr="00431FE8">
              <w:rPr>
                <w:rStyle w:val="Strong"/>
              </w:rPr>
              <w:t>road scope</w:t>
            </w:r>
          </w:p>
        </w:tc>
        <w:tc>
          <w:tcPr>
            <w:tcW w:w="3553" w:type="dxa"/>
          </w:tcPr>
          <w:p w14:paraId="2115731E" w14:textId="77777777" w:rsidR="00431FE8" w:rsidRPr="00431FE8" w:rsidRDefault="00431FE8" w:rsidP="001D1CF9">
            <w:pPr>
              <w:pStyle w:val="BodyText"/>
            </w:pPr>
            <w:r w:rsidRPr="00431FE8">
              <w:t>Government Priorities</w:t>
            </w:r>
          </w:p>
          <w:p w14:paraId="4EEE177F" w14:textId="77777777" w:rsidR="00431FE8" w:rsidRPr="00431FE8" w:rsidRDefault="00431FE8" w:rsidP="001D1CF9">
            <w:pPr>
              <w:pStyle w:val="BodyText"/>
            </w:pPr>
            <w:r w:rsidRPr="00431FE8">
              <w:t>Corporate Plan</w:t>
            </w:r>
          </w:p>
          <w:p w14:paraId="6EAF2426" w14:textId="0AB79A43" w:rsidR="00431FE8" w:rsidRPr="00431FE8" w:rsidRDefault="00431FE8" w:rsidP="001D1CF9">
            <w:pPr>
              <w:pStyle w:val="BodyText"/>
            </w:pPr>
            <w:r w:rsidRPr="00431FE8">
              <w:t>Portfolio Budget Statements</w:t>
            </w:r>
          </w:p>
        </w:tc>
        <w:tc>
          <w:tcPr>
            <w:tcW w:w="3554" w:type="dxa"/>
          </w:tcPr>
          <w:p w14:paraId="222FB97A" w14:textId="77777777" w:rsidR="00431FE8" w:rsidRPr="00431FE8" w:rsidRDefault="00431FE8" w:rsidP="001D1CF9">
            <w:pPr>
              <w:pStyle w:val="BodyText"/>
            </w:pPr>
            <w:r w:rsidRPr="00431FE8">
              <w:t>Annual Performance Statements</w:t>
            </w:r>
          </w:p>
          <w:p w14:paraId="1BEB4794" w14:textId="77777777" w:rsidR="00431FE8" w:rsidRPr="00431FE8" w:rsidRDefault="00431FE8" w:rsidP="001D1CF9">
            <w:pPr>
              <w:pStyle w:val="BodyText"/>
            </w:pPr>
            <w:r w:rsidRPr="00431FE8">
              <w:t>Annual Report</w:t>
            </w:r>
          </w:p>
          <w:p w14:paraId="500AC2DC" w14:textId="77777777" w:rsidR="00431FE8" w:rsidRPr="00431FE8" w:rsidRDefault="00431FE8" w:rsidP="001D1CF9">
            <w:pPr>
              <w:pStyle w:val="BodyText"/>
            </w:pPr>
          </w:p>
        </w:tc>
      </w:tr>
      <w:tr w:rsidR="00431FE8" w14:paraId="1DF49A29" w14:textId="77777777" w:rsidTr="00431FE8">
        <w:tc>
          <w:tcPr>
            <w:tcW w:w="3553" w:type="dxa"/>
          </w:tcPr>
          <w:p w14:paraId="506CFEE8" w14:textId="1A29FF28" w:rsidR="00431FE8" w:rsidRPr="00431FE8" w:rsidRDefault="00431FE8" w:rsidP="001D1CF9">
            <w:pPr>
              <w:pStyle w:val="BodyText"/>
              <w:rPr>
                <w:rStyle w:val="Strong"/>
              </w:rPr>
            </w:pPr>
            <w:r w:rsidRPr="00431FE8">
              <w:rPr>
                <w:rStyle w:val="Strong"/>
              </w:rPr>
              <w:t>Internal audience</w:t>
            </w:r>
            <w:r>
              <w:rPr>
                <w:rStyle w:val="Strong"/>
              </w:rPr>
              <w:t>, m</w:t>
            </w:r>
            <w:r w:rsidRPr="00431FE8">
              <w:rPr>
                <w:rStyle w:val="Strong"/>
              </w:rPr>
              <w:t>ore detail</w:t>
            </w:r>
            <w:r>
              <w:rPr>
                <w:rStyle w:val="Strong"/>
              </w:rPr>
              <w:t>, n</w:t>
            </w:r>
            <w:r w:rsidRPr="00431FE8">
              <w:rPr>
                <w:rStyle w:val="Strong"/>
              </w:rPr>
              <w:t>arrow scope</w:t>
            </w:r>
          </w:p>
        </w:tc>
        <w:tc>
          <w:tcPr>
            <w:tcW w:w="3553" w:type="dxa"/>
          </w:tcPr>
          <w:p w14:paraId="2C8A3EF2" w14:textId="77777777" w:rsidR="00431FE8" w:rsidRPr="00431FE8" w:rsidRDefault="00431FE8" w:rsidP="001D1CF9">
            <w:pPr>
              <w:pStyle w:val="BodyText"/>
            </w:pPr>
            <w:r w:rsidRPr="00431FE8">
              <w:t>Division business plans</w:t>
            </w:r>
          </w:p>
          <w:p w14:paraId="4E9D9CB6" w14:textId="77777777" w:rsidR="00431FE8" w:rsidRPr="00431FE8" w:rsidRDefault="00431FE8" w:rsidP="001D1CF9">
            <w:pPr>
              <w:pStyle w:val="BodyText"/>
            </w:pPr>
            <w:r w:rsidRPr="00431FE8">
              <w:t>Branch and section plans</w:t>
            </w:r>
          </w:p>
          <w:p w14:paraId="0F91C0F2" w14:textId="77777777" w:rsidR="00431FE8" w:rsidRPr="00431FE8" w:rsidRDefault="00431FE8" w:rsidP="001D1CF9">
            <w:pPr>
              <w:pStyle w:val="BodyText"/>
            </w:pPr>
            <w:r w:rsidRPr="00431FE8">
              <w:t>Program and project plans</w:t>
            </w:r>
          </w:p>
          <w:p w14:paraId="007BEB05" w14:textId="40A5A673" w:rsidR="00431FE8" w:rsidRPr="00431FE8" w:rsidRDefault="00431FE8" w:rsidP="001D1CF9">
            <w:pPr>
              <w:pStyle w:val="BodyText"/>
            </w:pPr>
            <w:r w:rsidRPr="00431FE8">
              <w:t>Individual performance and development plans</w:t>
            </w:r>
          </w:p>
        </w:tc>
        <w:tc>
          <w:tcPr>
            <w:tcW w:w="3554" w:type="dxa"/>
          </w:tcPr>
          <w:p w14:paraId="6CE77AC3" w14:textId="77777777" w:rsidR="00431FE8" w:rsidRPr="00431FE8" w:rsidRDefault="00431FE8" w:rsidP="001D1CF9">
            <w:pPr>
              <w:pStyle w:val="BodyText"/>
            </w:pPr>
            <w:r w:rsidRPr="00431FE8">
              <w:t>Internal performance evaluation</w:t>
            </w:r>
          </w:p>
          <w:p w14:paraId="075D7744" w14:textId="77777777" w:rsidR="00431FE8" w:rsidRPr="00431FE8" w:rsidRDefault="00431FE8" w:rsidP="001D1CF9">
            <w:pPr>
              <w:pStyle w:val="BodyText"/>
            </w:pPr>
            <w:r w:rsidRPr="00431FE8">
              <w:t>Reporting to governance bodies</w:t>
            </w:r>
          </w:p>
          <w:p w14:paraId="27B518E3" w14:textId="77777777" w:rsidR="00431FE8" w:rsidRPr="00431FE8" w:rsidRDefault="00431FE8" w:rsidP="001D1CF9">
            <w:pPr>
              <w:pStyle w:val="BodyText"/>
            </w:pPr>
            <w:r w:rsidRPr="00431FE8">
              <w:t>Program and project reporting</w:t>
            </w:r>
          </w:p>
          <w:p w14:paraId="2CF3BF09" w14:textId="2DEF66C4" w:rsidR="00431FE8" w:rsidRPr="00431FE8" w:rsidRDefault="00431FE8" w:rsidP="001D1CF9">
            <w:pPr>
              <w:pStyle w:val="BodyText"/>
            </w:pPr>
            <w:r w:rsidRPr="00431FE8">
              <w:t>Individual performance reviews</w:t>
            </w:r>
          </w:p>
        </w:tc>
      </w:tr>
    </w:tbl>
    <w:p w14:paraId="632E71E9" w14:textId="77777777" w:rsidR="00E90764" w:rsidRPr="00CF6322" w:rsidRDefault="0099166C" w:rsidP="00E104A6">
      <w:pPr>
        <w:pStyle w:val="Heading4"/>
      </w:pPr>
      <w:r w:rsidRPr="00CF6322">
        <w:lastRenderedPageBreak/>
        <w:t xml:space="preserve">Our Performance </w:t>
      </w:r>
      <w:r w:rsidRPr="00E104A6">
        <w:t>Assurance</w:t>
      </w:r>
    </w:p>
    <w:p w14:paraId="632E71EA" w14:textId="2C0E2C09" w:rsidR="00E90764" w:rsidRPr="00CF6322" w:rsidRDefault="0099166C" w:rsidP="001D1CF9">
      <w:pPr>
        <w:pStyle w:val="BodyText"/>
      </w:pPr>
      <w:r w:rsidRPr="00CF6322">
        <w:t>In March 2020, legislative requirements governing performance reporting under section 16EA of the PGPA Rule, and associated Resource Management Guides were updated. In response to these refreshed requirements we reviewed our performance reporting arrangements to determine compliance with the relevant legislation and guidance.</w:t>
      </w:r>
    </w:p>
    <w:p w14:paraId="632E71EC" w14:textId="67940E74" w:rsidR="00E90764" w:rsidRPr="00CF6322" w:rsidRDefault="0099166C" w:rsidP="001D1CF9">
      <w:pPr>
        <w:pStyle w:val="BodyText"/>
      </w:pPr>
      <w:r w:rsidRPr="00CF6322">
        <w:t>The review identified a need for further improvement to our performance framework, and in response a</w:t>
      </w:r>
      <w:r w:rsidR="004A3DE3" w:rsidRPr="00CF6322">
        <w:t xml:space="preserve"> </w:t>
      </w:r>
      <w:r w:rsidRPr="00CF6322">
        <w:t>Performance Reporting Continuous Improvement Project (the Project) commenced.</w:t>
      </w:r>
    </w:p>
    <w:p w14:paraId="632E71ED" w14:textId="4693B832" w:rsidR="00E90764" w:rsidRPr="00CF6322" w:rsidRDefault="0099166C" w:rsidP="001D1CF9">
      <w:pPr>
        <w:pStyle w:val="BodyText"/>
      </w:pPr>
      <w:r w:rsidRPr="00CF6322">
        <w:t xml:space="preserve">As part of the Project, the Performance Measurement and Reporting Framework has been updated, performance measures have been redesigned to better meet legislative requirements, a Performance Planning and Reporting Assurance process has been enhanced, and a </w:t>
      </w:r>
      <w:proofErr w:type="spellStart"/>
      <w:r w:rsidR="00CC7B75" w:rsidRPr="00CF6322">
        <w:t>centrali</w:t>
      </w:r>
      <w:r w:rsidR="004A3DE3" w:rsidRPr="00CF6322">
        <w:t>s</w:t>
      </w:r>
      <w:r w:rsidR="00CC7B75" w:rsidRPr="00CF6322">
        <w:t>ed</w:t>
      </w:r>
      <w:proofErr w:type="spellEnd"/>
      <w:r w:rsidR="00CC7B75" w:rsidRPr="00CF6322">
        <w:t xml:space="preserve"> </w:t>
      </w:r>
      <w:r w:rsidRPr="00CF6322">
        <w:t>register of performance information has been implemented.</w:t>
      </w:r>
    </w:p>
    <w:p w14:paraId="632E71EE" w14:textId="77777777" w:rsidR="00E90764" w:rsidRPr="00CF6322" w:rsidRDefault="0099166C" w:rsidP="001D1CF9">
      <w:pPr>
        <w:pStyle w:val="BodyText"/>
      </w:pPr>
      <w:r w:rsidRPr="00CF6322">
        <w:t>We continue to make ongoing improvements to the reliability, objectivity and clarity of our performance measures through the following:</w:t>
      </w:r>
    </w:p>
    <w:p w14:paraId="632E71F0" w14:textId="5F9539C4" w:rsidR="00E90764" w:rsidRPr="00E104A6" w:rsidRDefault="0099166C" w:rsidP="00E104A6">
      <w:pPr>
        <w:pStyle w:val="Bullets"/>
      </w:pPr>
      <w:r w:rsidRPr="00CF6322">
        <w:t xml:space="preserve">Improving the </w:t>
      </w:r>
      <w:r w:rsidRPr="00E104A6">
        <w:t>identification and documentation of data sources and methodologies used to measure results against performance measures.</w:t>
      </w:r>
      <w:r w:rsidR="00E104A6" w:rsidRPr="00E104A6">
        <w:t xml:space="preserve"> </w:t>
      </w:r>
      <w:r w:rsidRPr="00E104A6">
        <w:t>Continued analysis of performance measures to balance the mix of quantitative and qualitative measures of outputs, efficiency and effectiveness.</w:t>
      </w:r>
    </w:p>
    <w:p w14:paraId="632E71F1" w14:textId="77777777" w:rsidR="00E90764" w:rsidRPr="00E104A6" w:rsidRDefault="0099166C" w:rsidP="00E104A6">
      <w:pPr>
        <w:pStyle w:val="Bullets"/>
      </w:pPr>
      <w:r w:rsidRPr="00E104A6">
        <w:t>Further assurance on the clearance process, facilitated through sign off by Senior Responsible Officers</w:t>
      </w:r>
    </w:p>
    <w:p w14:paraId="632E71F2" w14:textId="77777777" w:rsidR="00E90764" w:rsidRPr="00CF6322" w:rsidRDefault="0099166C" w:rsidP="00E104A6">
      <w:pPr>
        <w:pStyle w:val="Bullets"/>
      </w:pPr>
      <w:proofErr w:type="gramStart"/>
      <w:r w:rsidRPr="00E104A6">
        <w:t>and</w:t>
      </w:r>
      <w:proofErr w:type="gramEnd"/>
      <w:r w:rsidRPr="00E104A6">
        <w:t xml:space="preserve"> regular assurance chec</w:t>
      </w:r>
      <w:r w:rsidRPr="00CF6322">
        <w:t>ks conducted by the Performance Reporting Section.</w:t>
      </w:r>
    </w:p>
    <w:p w14:paraId="632E71F3" w14:textId="77777777" w:rsidR="00E90764" w:rsidRPr="00CF6322" w:rsidRDefault="0099166C" w:rsidP="00E104A6">
      <w:pPr>
        <w:pStyle w:val="Bullets"/>
      </w:pPr>
      <w:r w:rsidRPr="00CF6322">
        <w:t>Ongoing review to streamline and align performance information across the Portfolio Budget Statements, Corporate Plan and Annual Performance Statements.</w:t>
      </w:r>
    </w:p>
    <w:p w14:paraId="632E71F4" w14:textId="77777777" w:rsidR="00E90764" w:rsidRPr="00041BDA" w:rsidRDefault="0099166C" w:rsidP="001D1CF9">
      <w:pPr>
        <w:pStyle w:val="BodyText"/>
      </w:pPr>
      <w:r w:rsidRPr="00041BDA">
        <w:t>These improvements will further help us to ensure consistency can be achieved between key reporting documents, making our reporting clearer and more informative to readers.</w:t>
      </w:r>
    </w:p>
    <w:p w14:paraId="768410F6" w14:textId="58B942DD" w:rsidR="0099166C" w:rsidRPr="00041BDA" w:rsidRDefault="0099166C" w:rsidP="001D1CF9">
      <w:pPr>
        <w:pStyle w:val="BodyText"/>
      </w:pPr>
      <w:r w:rsidRPr="00041BDA">
        <w:t>The Corporate Plan is intended to be the Department’s primary planning document. It is therefore pivotal for our planning and</w:t>
      </w:r>
      <w:r w:rsidR="00041BDA" w:rsidRPr="00041BDA">
        <w:t xml:space="preserve"> </w:t>
      </w:r>
      <w:r w:rsidRPr="00041BDA">
        <w:t>accountability and ensures reliable, relevant reporting over a 4 year period. This Corporate Plan includes</w:t>
      </w:r>
      <w:r w:rsidR="00CC07CD" w:rsidRPr="00041BDA">
        <w:t xml:space="preserve"> </w:t>
      </w:r>
      <w:r w:rsidRPr="00041BDA">
        <w:t xml:space="preserve">all performance measures published in the </w:t>
      </w:r>
      <w:r w:rsidRPr="009D2002">
        <w:rPr>
          <w:i/>
          <w:iCs/>
        </w:rPr>
        <w:t>2021–22 Health Portfolio Budget Statements</w:t>
      </w:r>
      <w:r w:rsidRPr="00041BDA">
        <w:t xml:space="preserve">. Results from all performance measures published in this Corporate </w:t>
      </w:r>
    </w:p>
    <w:p w14:paraId="03932311" w14:textId="7FC87BF4" w:rsidR="005D23DB" w:rsidRDefault="005D23DB" w:rsidP="00AA64E9">
      <w:bookmarkStart w:id="27" w:name="_Toc83043018"/>
    </w:p>
    <w:p w14:paraId="03B38C79" w14:textId="77777777" w:rsidR="00AA64E9" w:rsidRDefault="00AA64E9" w:rsidP="00CC07CD">
      <w:pPr>
        <w:pStyle w:val="Heading2"/>
        <w:sectPr w:rsidR="00AA64E9" w:rsidSect="00AA64E9">
          <w:pgSz w:w="11910" w:h="16840"/>
          <w:pgMar w:top="720" w:right="720" w:bottom="720" w:left="720" w:header="0" w:footer="330" w:gutter="0"/>
          <w:cols w:space="720"/>
        </w:sectPr>
      </w:pPr>
    </w:p>
    <w:p w14:paraId="632E721E" w14:textId="1DD15B98" w:rsidR="00E90764" w:rsidRPr="00CF6322" w:rsidRDefault="0099166C" w:rsidP="00CC07CD">
      <w:pPr>
        <w:pStyle w:val="Heading2"/>
      </w:pPr>
      <w:r w:rsidRPr="00CF6322">
        <w:lastRenderedPageBreak/>
        <w:t>OUTCOME 1</w:t>
      </w:r>
      <w:r w:rsidR="00CC07CD">
        <w:t xml:space="preserve"> – </w:t>
      </w:r>
      <w:r w:rsidRPr="00CF6322">
        <w:t>Health Policy, Access and Support</w:t>
      </w:r>
      <w:bookmarkEnd w:id="27"/>
    </w:p>
    <w:p w14:paraId="42E64189" w14:textId="77777777" w:rsidR="00CC07CD" w:rsidRDefault="0099166C" w:rsidP="001D1CF9">
      <w:pPr>
        <w:pStyle w:val="BodyText"/>
      </w:pPr>
      <w:r w:rsidRPr="00CF6322">
        <w:t>Better equip Australia to meet current and future health needs of all Australians through the delivery of evidence-based health policies; improved access to comprehensive and coordinated health care; ensuring</w:t>
      </w:r>
      <w:r w:rsidR="00F61166" w:rsidRPr="00CF6322">
        <w:t xml:space="preserve"> </w:t>
      </w:r>
      <w:r w:rsidRPr="00CF6322">
        <w:t>sustainable funding for health services, research and technologies; and protecting the health and safety of the Australian community.</w:t>
      </w:r>
    </w:p>
    <w:p w14:paraId="7A5384A3" w14:textId="10BAC15A" w:rsidR="00CC07CD" w:rsidRDefault="004A70F8" w:rsidP="001D1CF9">
      <w:pPr>
        <w:pStyle w:val="BodyText"/>
      </w:pPr>
      <w:r w:rsidRPr="00CF6322">
        <w:t>Outcome 1 is delivered through the following</w:t>
      </w:r>
      <w:r w:rsidR="00CC07CD">
        <w:t xml:space="preserve"> </w:t>
      </w:r>
      <w:r w:rsidRPr="00CF6322">
        <w:t>programs:</w:t>
      </w:r>
    </w:p>
    <w:p w14:paraId="5BC3A0E7" w14:textId="77777777" w:rsidR="00CC07CD" w:rsidRPr="00CC07CD" w:rsidRDefault="00CC07CD" w:rsidP="001D1CF9">
      <w:pPr>
        <w:pStyle w:val="BodyText"/>
      </w:pPr>
      <w:r w:rsidRPr="00CC07CD">
        <w:t>1.1 Health Research, Coordination and Access</w:t>
      </w:r>
    </w:p>
    <w:p w14:paraId="7B0095E1" w14:textId="77777777" w:rsidR="00CC07CD" w:rsidRPr="00CC07CD" w:rsidRDefault="00CC07CD" w:rsidP="001D1CF9">
      <w:pPr>
        <w:pStyle w:val="BodyText"/>
      </w:pPr>
      <w:r w:rsidRPr="00CC07CD">
        <w:t>1.2 Mental Health</w:t>
      </w:r>
    </w:p>
    <w:p w14:paraId="6082E261" w14:textId="77777777" w:rsidR="00CC07CD" w:rsidRPr="00CC07CD" w:rsidRDefault="00CC07CD" w:rsidP="001D1CF9">
      <w:pPr>
        <w:pStyle w:val="BodyText"/>
      </w:pPr>
      <w:r w:rsidRPr="00CC07CD">
        <w:t>1.3 Aboriginal and Torres Strait Islander Health</w:t>
      </w:r>
    </w:p>
    <w:p w14:paraId="18339701" w14:textId="77777777" w:rsidR="00CC07CD" w:rsidRPr="00CC07CD" w:rsidRDefault="00CC07CD" w:rsidP="001D1CF9">
      <w:pPr>
        <w:pStyle w:val="BodyText"/>
      </w:pPr>
      <w:r w:rsidRPr="00CC07CD">
        <w:t>1.4 Health Workforce</w:t>
      </w:r>
    </w:p>
    <w:p w14:paraId="0E34CD32" w14:textId="77777777" w:rsidR="00CC07CD" w:rsidRPr="00CC07CD" w:rsidRDefault="00CC07CD" w:rsidP="001D1CF9">
      <w:pPr>
        <w:pStyle w:val="BodyText"/>
      </w:pPr>
      <w:r w:rsidRPr="00CC07CD">
        <w:t>1.5 Preventive Health and Chronic Disease Support</w:t>
      </w:r>
    </w:p>
    <w:p w14:paraId="1AB0A3C0" w14:textId="77777777" w:rsidR="00CC07CD" w:rsidRPr="00CC07CD" w:rsidRDefault="00CC07CD" w:rsidP="001D1CF9">
      <w:pPr>
        <w:pStyle w:val="BodyText"/>
      </w:pPr>
      <w:r w:rsidRPr="00CC07CD">
        <w:t>1.6 Primary Health Care Quality and Coordination</w:t>
      </w:r>
    </w:p>
    <w:p w14:paraId="0586B327" w14:textId="77777777" w:rsidR="00CC07CD" w:rsidRPr="00CC07CD" w:rsidRDefault="00CC07CD" w:rsidP="001D1CF9">
      <w:pPr>
        <w:pStyle w:val="BodyText"/>
      </w:pPr>
      <w:r w:rsidRPr="00CC07CD">
        <w:t>1.7 Primary Care Practice Incentives and Medical Indemnity</w:t>
      </w:r>
    </w:p>
    <w:p w14:paraId="1B938DB3" w14:textId="77777777" w:rsidR="00CC07CD" w:rsidRPr="00CC07CD" w:rsidRDefault="00CC07CD" w:rsidP="001D1CF9">
      <w:pPr>
        <w:pStyle w:val="BodyText"/>
      </w:pPr>
      <w:r w:rsidRPr="00CC07CD">
        <w:t>1.8 Health Protection, Emergency Response and Regulation</w:t>
      </w:r>
    </w:p>
    <w:p w14:paraId="06AFDE27" w14:textId="77777777" w:rsidR="00CC07CD" w:rsidRPr="00CC07CD" w:rsidRDefault="00CC07CD" w:rsidP="001D1CF9">
      <w:pPr>
        <w:pStyle w:val="BodyText"/>
      </w:pPr>
      <w:r w:rsidRPr="00CC07CD">
        <w:t>1.9 Immunisation</w:t>
      </w:r>
    </w:p>
    <w:p w14:paraId="737912E0" w14:textId="71144863" w:rsidR="004A70F8" w:rsidRPr="00CF6322" w:rsidRDefault="00533B10" w:rsidP="00CC07CD">
      <w:pPr>
        <w:pStyle w:val="Heading3"/>
      </w:pPr>
      <w:r w:rsidRPr="00CF6322">
        <w:t>Outcome Snapshot</w:t>
      </w:r>
    </w:p>
    <w:p w14:paraId="5E181815" w14:textId="09624666" w:rsidR="004A70F8" w:rsidRPr="00CF6322" w:rsidRDefault="004A70F8" w:rsidP="001D1CF9">
      <w:pPr>
        <w:pStyle w:val="BodyText"/>
      </w:pPr>
      <w:r w:rsidRPr="00CF6322">
        <w:t>The broad scope of Outcome 1 is a reflection of the complexity of our work. On behalf of the</w:t>
      </w:r>
      <w:r w:rsidR="00041BDA">
        <w:t xml:space="preserve"> </w:t>
      </w:r>
      <w:r w:rsidRPr="00CF6322">
        <w:t>Australian Government we undertake a wide range of functions to improve the health outcomes of Australians. This includes:</w:t>
      </w:r>
    </w:p>
    <w:p w14:paraId="6E008FAF" w14:textId="77777777" w:rsidR="00041BDA" w:rsidRPr="00041BDA" w:rsidRDefault="00041BDA" w:rsidP="00041BDA">
      <w:pPr>
        <w:pStyle w:val="Bullets"/>
      </w:pPr>
      <w:r w:rsidRPr="00041BDA">
        <w:t>Partnering with states and territories to deliver sustainable public hospital funding.</w:t>
      </w:r>
    </w:p>
    <w:p w14:paraId="26951134" w14:textId="77777777" w:rsidR="00041BDA" w:rsidRPr="00041BDA" w:rsidRDefault="00041BDA" w:rsidP="00041BDA">
      <w:pPr>
        <w:pStyle w:val="Bullets"/>
      </w:pPr>
      <w:r w:rsidRPr="00041BDA">
        <w:t>Working with the Australian Digital Health Agency to deliver the national digital health agenda.</w:t>
      </w:r>
    </w:p>
    <w:p w14:paraId="3FC1CFA2" w14:textId="77777777" w:rsidR="00041BDA" w:rsidRPr="00041BDA" w:rsidRDefault="00041BDA" w:rsidP="00041BDA">
      <w:pPr>
        <w:pStyle w:val="Bullets"/>
      </w:pPr>
      <w:r w:rsidRPr="00041BDA">
        <w:t>Cementing Australia’s place as a world leader in health and medical research.</w:t>
      </w:r>
    </w:p>
    <w:p w14:paraId="0947483B" w14:textId="77777777" w:rsidR="00041BDA" w:rsidRPr="00041BDA" w:rsidRDefault="00041BDA" w:rsidP="00041BDA">
      <w:pPr>
        <w:pStyle w:val="Bullets"/>
      </w:pPr>
      <w:r w:rsidRPr="00041BDA">
        <w:t>Engaging with key international partners.</w:t>
      </w:r>
    </w:p>
    <w:p w14:paraId="0EAAB2C3" w14:textId="77777777" w:rsidR="00041BDA" w:rsidRPr="00041BDA" w:rsidRDefault="00041BDA" w:rsidP="00041BDA">
      <w:pPr>
        <w:pStyle w:val="Bullets"/>
      </w:pPr>
      <w:r w:rsidRPr="00041BDA">
        <w:t>Delivering the National Mental Health and Suicide Prevention Plan.</w:t>
      </w:r>
    </w:p>
    <w:p w14:paraId="4598A693" w14:textId="77777777" w:rsidR="00041BDA" w:rsidRPr="00041BDA" w:rsidRDefault="00041BDA" w:rsidP="00041BDA">
      <w:pPr>
        <w:pStyle w:val="Bullets"/>
      </w:pPr>
      <w:r w:rsidRPr="00041BDA">
        <w:t>Working in partnership with Aboriginal and Torres Strait Islander people and communities to improve health outcomes through the National Agreement on Closing the Gap.</w:t>
      </w:r>
    </w:p>
    <w:p w14:paraId="0C3B370A" w14:textId="0443A3F2" w:rsidR="00041BDA" w:rsidRPr="00041BDA" w:rsidRDefault="00041BDA" w:rsidP="00041BDA">
      <w:pPr>
        <w:pStyle w:val="Bullets"/>
      </w:pPr>
      <w:r w:rsidRPr="00041BDA">
        <w:t>Implementing the Stronger Rural Health Strategy.</w:t>
      </w:r>
    </w:p>
    <w:p w14:paraId="56BB21BF" w14:textId="77777777" w:rsidR="00041BDA" w:rsidRPr="00041BDA" w:rsidRDefault="00041BDA" w:rsidP="00041BDA">
      <w:pPr>
        <w:pStyle w:val="Bullets"/>
      </w:pPr>
      <w:r w:rsidRPr="00041BDA">
        <w:t>Reducing preventable mortality and morbidity through cancer screening programs.</w:t>
      </w:r>
    </w:p>
    <w:p w14:paraId="640A6F2E" w14:textId="77777777" w:rsidR="00041BDA" w:rsidRPr="00041BDA" w:rsidRDefault="00041BDA" w:rsidP="00041BDA">
      <w:pPr>
        <w:pStyle w:val="Bullets"/>
      </w:pPr>
      <w:r w:rsidRPr="00041BDA">
        <w:t>Developing the Primary Health Care 10 Year Plan.</w:t>
      </w:r>
    </w:p>
    <w:p w14:paraId="7F582CE5" w14:textId="77777777" w:rsidR="00041BDA" w:rsidRPr="00041BDA" w:rsidRDefault="00041BDA" w:rsidP="00041BDA">
      <w:pPr>
        <w:pStyle w:val="Bullets"/>
      </w:pPr>
      <w:r w:rsidRPr="00041BDA">
        <w:t>Implementing the Practice Incentives Program.</w:t>
      </w:r>
    </w:p>
    <w:p w14:paraId="74BF50B0" w14:textId="77777777" w:rsidR="00041BDA" w:rsidRPr="00041BDA" w:rsidRDefault="00041BDA" w:rsidP="00041BDA">
      <w:pPr>
        <w:pStyle w:val="Bullets"/>
      </w:pPr>
      <w:r w:rsidRPr="00041BDA">
        <w:t>Establishing a COVID-19 Vaccine Claims Scheme.</w:t>
      </w:r>
    </w:p>
    <w:p w14:paraId="6A8767BF" w14:textId="77777777" w:rsidR="00041BDA" w:rsidRPr="00041BDA" w:rsidRDefault="00041BDA" w:rsidP="00041BDA">
      <w:pPr>
        <w:pStyle w:val="Bullets"/>
      </w:pPr>
      <w:r w:rsidRPr="00041BDA">
        <w:t>Leading the Government and national health sector response to the COVID-19 pandemic.</w:t>
      </w:r>
    </w:p>
    <w:p w14:paraId="67A3F54F" w14:textId="77777777" w:rsidR="00041BDA" w:rsidRPr="00041BDA" w:rsidRDefault="00041BDA" w:rsidP="00041BDA">
      <w:pPr>
        <w:pStyle w:val="Bullets"/>
      </w:pPr>
      <w:r w:rsidRPr="00041BDA">
        <w:t>Improving access to therapeutic goods for consumers and streamlining regulatory processes for industry.</w:t>
      </w:r>
    </w:p>
    <w:p w14:paraId="1806B942" w14:textId="77777777" w:rsidR="00041BDA" w:rsidRPr="00041BDA" w:rsidRDefault="00041BDA" w:rsidP="00041BDA">
      <w:pPr>
        <w:pStyle w:val="Bullets"/>
      </w:pPr>
      <w:r w:rsidRPr="00041BDA">
        <w:t>Administering the National Gene Technology Scheme.</w:t>
      </w:r>
    </w:p>
    <w:p w14:paraId="54FDDF7C" w14:textId="77777777" w:rsidR="00041BDA" w:rsidRPr="00041BDA" w:rsidRDefault="00041BDA" w:rsidP="00041BDA">
      <w:pPr>
        <w:pStyle w:val="Bullets"/>
      </w:pPr>
      <w:r w:rsidRPr="00041BDA">
        <w:t>Administering the Australian Industrial Chemicals Introduction Scheme.</w:t>
      </w:r>
    </w:p>
    <w:p w14:paraId="00306D5F" w14:textId="77777777" w:rsidR="00041BDA" w:rsidRDefault="00041BDA" w:rsidP="00041BDA">
      <w:pPr>
        <w:pStyle w:val="Bullets"/>
      </w:pPr>
      <w:r w:rsidRPr="00041BDA">
        <w:t>Delivering the Government’s COVID-19 Vaccine and Treatment Strategy.</w:t>
      </w:r>
    </w:p>
    <w:p w14:paraId="04F9FF65" w14:textId="77777777" w:rsidR="0070733A" w:rsidRDefault="0070733A" w:rsidP="0070733A">
      <w:r>
        <w:br w:type="page"/>
      </w:r>
    </w:p>
    <w:p w14:paraId="1C81C87A" w14:textId="44477901" w:rsidR="00041BDA" w:rsidRPr="00041BDA" w:rsidRDefault="00041BDA" w:rsidP="00041BDA">
      <w:pPr>
        <w:pStyle w:val="Heading3"/>
      </w:pPr>
      <w:r>
        <w:lastRenderedPageBreak/>
        <w:t xml:space="preserve">1.1 </w:t>
      </w:r>
      <w:r w:rsidR="009D2002">
        <w:t>–</w:t>
      </w:r>
      <w:r>
        <w:t xml:space="preserve"> </w:t>
      </w:r>
      <w:r w:rsidRPr="00041BDA">
        <w:t>Health Research, Coordination and Access</w:t>
      </w:r>
    </w:p>
    <w:p w14:paraId="632E7279" w14:textId="77777777" w:rsidR="00E90764" w:rsidRPr="00CF6322" w:rsidRDefault="0099166C" w:rsidP="00041BDA">
      <w:pPr>
        <w:pStyle w:val="Heading4"/>
      </w:pPr>
      <w:r w:rsidRPr="00CF6322">
        <w:t xml:space="preserve">Program </w:t>
      </w:r>
      <w:r w:rsidRPr="00041BDA">
        <w:t>Objective</w:t>
      </w:r>
    </w:p>
    <w:p w14:paraId="086D702E" w14:textId="77777777" w:rsidR="00041BDA" w:rsidRDefault="00041BDA" w:rsidP="001D1CF9">
      <w:pPr>
        <w:pStyle w:val="BodyText"/>
      </w:pPr>
      <w:r w:rsidRPr="00041BDA">
        <w:t>Collaborate with state and territory governments, the broader healthcare sector and engage internationally to improve access to high quality, comprehensive and coordinated health care to support better health outcomes for all Australians through nationally consistent approaches, sustainable public hospital funding, digital health, supporting health infrastructure, international standards and best practice, and world class health and medical research.</w:t>
      </w:r>
    </w:p>
    <w:p w14:paraId="632E727D" w14:textId="24E1E07A" w:rsidR="00E90764" w:rsidRPr="00CF6322" w:rsidRDefault="0099166C" w:rsidP="00041BDA">
      <w:pPr>
        <w:pStyle w:val="Heading4"/>
      </w:pPr>
      <w:r w:rsidRPr="00CF6322">
        <w:t xml:space="preserve">Our Operating </w:t>
      </w:r>
      <w:r w:rsidRPr="00041BDA">
        <w:t>Focus</w:t>
      </w:r>
    </w:p>
    <w:p w14:paraId="632E727E" w14:textId="77777777" w:rsidR="00E90764" w:rsidRPr="00041BDA" w:rsidRDefault="0099166C" w:rsidP="001D1CF9">
      <w:pPr>
        <w:pStyle w:val="BodyText"/>
      </w:pPr>
      <w:r w:rsidRPr="00CF6322">
        <w:t xml:space="preserve">The COVID-19 pandemic has demonstrated the importance of a coordinated, whole of system focus on achieving better health </w:t>
      </w:r>
      <w:r w:rsidRPr="00041BDA">
        <w:t>outcomes for all Australians.</w:t>
      </w:r>
    </w:p>
    <w:p w14:paraId="632E7280" w14:textId="091B7DF0" w:rsidR="00E90764" w:rsidRPr="00041BDA" w:rsidRDefault="0099166C" w:rsidP="001D1CF9">
      <w:pPr>
        <w:pStyle w:val="BodyText"/>
      </w:pPr>
      <w:r w:rsidRPr="00041BDA">
        <w:t>We will continue to support the Australian Government to</w:t>
      </w:r>
      <w:r w:rsidR="00F61166" w:rsidRPr="00041BDA">
        <w:t xml:space="preserve"> </w:t>
      </w:r>
      <w:r w:rsidRPr="00041BDA">
        <w:t>engage effectively with states and territories within the new National Cabinet, and support Commonwealth-state forums such as the Health National Cabinet Reform Committee, Health Ministers’ Meeting Forum, and the Health Chief Executive Forum. We will also continue</w:t>
      </w:r>
      <w:r w:rsidR="00F61166" w:rsidRPr="00041BDA">
        <w:t xml:space="preserve"> </w:t>
      </w:r>
      <w:r w:rsidRPr="00041BDA">
        <w:t>to collaborate with the broader healthcare sector and engage internationally to drive more integrated and strategic activities across the portfolio.</w:t>
      </w:r>
    </w:p>
    <w:p w14:paraId="632E7281" w14:textId="77777777" w:rsidR="00E90764" w:rsidRPr="00041BDA" w:rsidRDefault="0099166C" w:rsidP="001D1CF9">
      <w:pPr>
        <w:pStyle w:val="BodyText"/>
      </w:pPr>
      <w:r w:rsidRPr="00041BDA">
        <w:t xml:space="preserve">In order to </w:t>
      </w:r>
      <w:proofErr w:type="spellStart"/>
      <w:r w:rsidRPr="00041BDA">
        <w:t>minimise</w:t>
      </w:r>
      <w:proofErr w:type="spellEnd"/>
      <w:r w:rsidRPr="00041BDA">
        <w:t xml:space="preserve"> the spread and impact of any future pandemics, we will continue to provide strong leadership on international health issues, particularly in relation to the COVID-19 pandemic through the World Health Organization and strategic engagement with key partner countries bilaterally, in our region, and through the G20 and the </w:t>
      </w:r>
      <w:proofErr w:type="spellStart"/>
      <w:r w:rsidRPr="00041BDA">
        <w:t>Organisation</w:t>
      </w:r>
      <w:proofErr w:type="spellEnd"/>
      <w:r w:rsidRPr="00041BDA">
        <w:t xml:space="preserve"> for Economic Co-operation and Development.</w:t>
      </w:r>
    </w:p>
    <w:p w14:paraId="632E7282" w14:textId="77777777" w:rsidR="00E90764" w:rsidRPr="00041BDA" w:rsidRDefault="0099166C" w:rsidP="001D1CF9">
      <w:pPr>
        <w:pStyle w:val="BodyText"/>
      </w:pPr>
      <w:r w:rsidRPr="00041BDA">
        <w:t>The pandemic has significantly affected our capacity to engage with key health stakeholders, including within international fora. We will continue to remain flexible and adjust how we engage and collaborate, particularly with our international partners, in order for Australia to remain an influential partner in the global health arena.</w:t>
      </w:r>
    </w:p>
    <w:p w14:paraId="632E7284" w14:textId="18170167" w:rsidR="00E90764" w:rsidRPr="00041BDA" w:rsidRDefault="0099166C" w:rsidP="001D1CF9">
      <w:pPr>
        <w:pStyle w:val="BodyText"/>
      </w:pPr>
      <w:r w:rsidRPr="00041BDA">
        <w:t>In conjunction with the Australian Digital Health Agency (ADHA), we are supporting the transformation of digital health to drive improvements in health outcomes and enhance delivery of expanded, safer, more trusted</w:t>
      </w:r>
      <w:r w:rsidR="00041BDA" w:rsidRPr="00041BDA">
        <w:t xml:space="preserve"> </w:t>
      </w:r>
      <w:r w:rsidRPr="00041BDA">
        <w:t>and streamlined digital health services. The COVID-19 pandemic exposed the critical need for health system preparedness. While the pandemic has represented a global challenge for all countries, it has also created a surge in technological advancement in Australia. We will continue to engage with consumers, healthcare providers</w:t>
      </w:r>
      <w:r w:rsidR="00F61166" w:rsidRPr="00041BDA">
        <w:t xml:space="preserve"> </w:t>
      </w:r>
      <w:r w:rsidRPr="00041BDA">
        <w:t>and industry to ensure that innovation not only meets the needs of Australians now, but also adapts to meet the needs of future generations.</w:t>
      </w:r>
    </w:p>
    <w:p w14:paraId="632E7285" w14:textId="45742F0C" w:rsidR="00E90764" w:rsidRPr="00041BDA" w:rsidRDefault="0099166C" w:rsidP="001D1CF9">
      <w:pPr>
        <w:pStyle w:val="BodyText"/>
      </w:pPr>
      <w:r w:rsidRPr="00041BDA">
        <w:t>The Medical Research Future Fund (MRFF) continues to benefit the Australian community and global efforts to respond to worldwide health emergencies, such as the COVID-19 pandemic, through targeted research projects. This work is complemented by the continuation of the successful Encouraging More Clinical Trials in Australia initiative, supporting ongoing collaboration with states and territories to cut red tape and increase the number of</w:t>
      </w:r>
      <w:r w:rsidR="00041BDA" w:rsidRPr="00041BDA">
        <w:t xml:space="preserve"> </w:t>
      </w:r>
      <w:r w:rsidRPr="00041BDA">
        <w:t>clinical trials in Australia.</w:t>
      </w:r>
    </w:p>
    <w:p w14:paraId="632E7289" w14:textId="01064132" w:rsidR="0070733A" w:rsidRDefault="0099166C" w:rsidP="001D1CF9">
      <w:pPr>
        <w:pStyle w:val="BodyText"/>
      </w:pPr>
      <w:r w:rsidRPr="00041BDA">
        <w:t>The pandemic response and major reform initiatives in aged care and mental health have seen an increased demand for data to inform policy development, evaluation and service delivery. The Australian, state and territory governments, and the research sector are all actively seeking access to more data. Meeting the demand requires management of data sharing risks while meeting public expectations that policies and programs are delivering outcomes as intended. Increased data and analytics activity within priority areas has heightened the value of consistent approaches to departmental data governance matters and appropriate risk management for</w:t>
      </w:r>
      <w:r w:rsidR="00041BDA" w:rsidRPr="00041BDA">
        <w:t xml:space="preserve"> </w:t>
      </w:r>
      <w:r w:rsidRPr="00041BDA">
        <w:t>facilitating timely data sharing.</w:t>
      </w:r>
    </w:p>
    <w:p w14:paraId="67FFD455" w14:textId="77777777" w:rsidR="0070733A" w:rsidRDefault="0070733A">
      <w:pPr>
        <w:rPr>
          <w:rFonts w:ascii="Helvetica" w:hAnsi="Helvetica"/>
          <w:color w:val="231F20"/>
          <w:sz w:val="19"/>
          <w:szCs w:val="19"/>
        </w:rPr>
      </w:pPr>
      <w:r>
        <w:br w:type="page"/>
      </w:r>
    </w:p>
    <w:tbl>
      <w:tblPr>
        <w:tblW w:w="10303" w:type="dxa"/>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0" w:type="dxa"/>
        </w:tblCellMar>
        <w:tblLook w:val="01E0" w:firstRow="1" w:lastRow="1" w:firstColumn="1" w:lastColumn="1" w:noHBand="0" w:noVBand="0"/>
      </w:tblPr>
      <w:tblGrid>
        <w:gridCol w:w="8541"/>
        <w:gridCol w:w="441"/>
        <w:gridCol w:w="441"/>
        <w:gridCol w:w="439"/>
        <w:gridCol w:w="441"/>
      </w:tblGrid>
      <w:tr w:rsidR="00E90764" w:rsidRPr="00563408" w14:paraId="632E7290" w14:textId="77777777" w:rsidTr="0070733A">
        <w:trPr>
          <w:trHeight w:val="1229"/>
          <w:tblHeader/>
        </w:trPr>
        <w:tc>
          <w:tcPr>
            <w:tcW w:w="8541" w:type="dxa"/>
            <w:shd w:val="clear" w:color="auto" w:fill="auto"/>
          </w:tcPr>
          <w:p w14:paraId="632E728B" w14:textId="77777777" w:rsidR="00E90764" w:rsidRPr="00563408" w:rsidRDefault="0099166C" w:rsidP="001D1CF9">
            <w:pPr>
              <w:pStyle w:val="BodyText"/>
              <w:rPr>
                <w:rStyle w:val="Strong"/>
              </w:rPr>
            </w:pPr>
            <w:r w:rsidRPr="00563408">
              <w:rPr>
                <w:rStyle w:val="Strong"/>
              </w:rPr>
              <w:lastRenderedPageBreak/>
              <w:t>Key Activities</w:t>
            </w:r>
          </w:p>
        </w:tc>
        <w:tc>
          <w:tcPr>
            <w:tcW w:w="441" w:type="dxa"/>
            <w:shd w:val="clear" w:color="auto" w:fill="auto"/>
            <w:textDirection w:val="tbRl"/>
          </w:tcPr>
          <w:p w14:paraId="632E728C" w14:textId="77777777" w:rsidR="00E90764" w:rsidRPr="00563408" w:rsidRDefault="0099166C" w:rsidP="001D1CF9">
            <w:pPr>
              <w:pStyle w:val="BodyText"/>
              <w:rPr>
                <w:rStyle w:val="Strong"/>
              </w:rPr>
            </w:pPr>
            <w:r w:rsidRPr="00563408">
              <w:rPr>
                <w:rStyle w:val="Strong"/>
              </w:rPr>
              <w:t>2020–21</w:t>
            </w:r>
          </w:p>
        </w:tc>
        <w:tc>
          <w:tcPr>
            <w:tcW w:w="441" w:type="dxa"/>
            <w:shd w:val="clear" w:color="auto" w:fill="auto"/>
            <w:textDirection w:val="tbRl"/>
          </w:tcPr>
          <w:p w14:paraId="632E728D" w14:textId="77777777" w:rsidR="00E90764" w:rsidRPr="00563408" w:rsidRDefault="0099166C" w:rsidP="001D1CF9">
            <w:pPr>
              <w:pStyle w:val="BodyText"/>
              <w:rPr>
                <w:rStyle w:val="Strong"/>
              </w:rPr>
            </w:pPr>
            <w:r w:rsidRPr="00563408">
              <w:rPr>
                <w:rStyle w:val="Strong"/>
              </w:rPr>
              <w:t>2021–22</w:t>
            </w:r>
          </w:p>
        </w:tc>
        <w:tc>
          <w:tcPr>
            <w:tcW w:w="439" w:type="dxa"/>
            <w:shd w:val="clear" w:color="auto" w:fill="auto"/>
            <w:textDirection w:val="tbRl"/>
          </w:tcPr>
          <w:p w14:paraId="632E728E" w14:textId="77777777" w:rsidR="00E90764" w:rsidRPr="00563408" w:rsidRDefault="0099166C" w:rsidP="001D1CF9">
            <w:pPr>
              <w:pStyle w:val="BodyText"/>
              <w:rPr>
                <w:rStyle w:val="Strong"/>
              </w:rPr>
            </w:pPr>
            <w:r w:rsidRPr="00563408">
              <w:rPr>
                <w:rStyle w:val="Strong"/>
              </w:rPr>
              <w:t>2022–23</w:t>
            </w:r>
          </w:p>
        </w:tc>
        <w:tc>
          <w:tcPr>
            <w:tcW w:w="441" w:type="dxa"/>
            <w:shd w:val="clear" w:color="auto" w:fill="auto"/>
            <w:textDirection w:val="tbRl"/>
          </w:tcPr>
          <w:p w14:paraId="632E728F" w14:textId="77777777" w:rsidR="00E90764" w:rsidRPr="00563408" w:rsidRDefault="0099166C" w:rsidP="001D1CF9">
            <w:pPr>
              <w:pStyle w:val="BodyText"/>
              <w:rPr>
                <w:rStyle w:val="Strong"/>
              </w:rPr>
            </w:pPr>
            <w:r w:rsidRPr="00563408">
              <w:rPr>
                <w:rStyle w:val="Strong"/>
              </w:rPr>
              <w:t>2023–24</w:t>
            </w:r>
          </w:p>
        </w:tc>
      </w:tr>
      <w:tr w:rsidR="00E90764" w:rsidRPr="00CF6322" w14:paraId="632E7296" w14:textId="77777777" w:rsidTr="0070733A">
        <w:trPr>
          <w:trHeight w:val="582"/>
        </w:trPr>
        <w:tc>
          <w:tcPr>
            <w:tcW w:w="8541" w:type="dxa"/>
            <w:shd w:val="clear" w:color="auto" w:fill="auto"/>
            <w:vAlign w:val="center"/>
          </w:tcPr>
          <w:p w14:paraId="632E7291" w14:textId="77777777" w:rsidR="00E90764" w:rsidRPr="00CF6322" w:rsidRDefault="0099166C" w:rsidP="001D1CF9">
            <w:pPr>
              <w:pStyle w:val="BodyText"/>
            </w:pPr>
            <w:r w:rsidRPr="00CF6322">
              <w:t>Providing a sustainable source of funding for transformative health and medical research through sources including the MRFF and the Biomedical Translation Fund.</w:t>
            </w:r>
          </w:p>
        </w:tc>
        <w:tc>
          <w:tcPr>
            <w:tcW w:w="441" w:type="dxa"/>
            <w:shd w:val="clear" w:color="auto" w:fill="auto"/>
          </w:tcPr>
          <w:p w14:paraId="632E7292" w14:textId="401E9CA8"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293" w14:textId="7441ADB9"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294" w14:textId="57634909"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295" w14:textId="6B967C7D" w:rsidR="00E90764" w:rsidRPr="00CF6322" w:rsidRDefault="00041BDA" w:rsidP="001D1CF9">
            <w:pPr>
              <w:pStyle w:val="BodyText"/>
            </w:pPr>
            <w:r>
              <w:rPr>
                <w:rFonts w:ascii="Segoe UI Symbol" w:hAnsi="Segoe UI Symbol" w:cs="Segoe UI Symbol"/>
              </w:rPr>
              <w:t>✓</w:t>
            </w:r>
          </w:p>
        </w:tc>
      </w:tr>
      <w:tr w:rsidR="00E90764" w:rsidRPr="00CF6322" w14:paraId="632E729C" w14:textId="77777777" w:rsidTr="0070733A">
        <w:trPr>
          <w:trHeight w:val="391"/>
        </w:trPr>
        <w:tc>
          <w:tcPr>
            <w:tcW w:w="8541" w:type="dxa"/>
            <w:shd w:val="clear" w:color="auto" w:fill="auto"/>
            <w:vAlign w:val="center"/>
          </w:tcPr>
          <w:p w14:paraId="632E7297" w14:textId="77777777" w:rsidR="00E90764" w:rsidRPr="00CF6322" w:rsidRDefault="0099166C" w:rsidP="001D1CF9">
            <w:pPr>
              <w:pStyle w:val="BodyText"/>
            </w:pPr>
            <w:r w:rsidRPr="00CF6322">
              <w:t>Supporting research into potential COVID-19 treatments and vaccines.</w:t>
            </w:r>
          </w:p>
        </w:tc>
        <w:tc>
          <w:tcPr>
            <w:tcW w:w="441" w:type="dxa"/>
            <w:shd w:val="clear" w:color="auto" w:fill="auto"/>
          </w:tcPr>
          <w:p w14:paraId="632E7298" w14:textId="3F662322"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299" w14:textId="6714A864"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29A" w14:textId="77777777" w:rsidR="00E90764" w:rsidRPr="00CF6322" w:rsidRDefault="00E90764" w:rsidP="001D1CF9">
            <w:pPr>
              <w:pStyle w:val="BodyText"/>
            </w:pPr>
          </w:p>
        </w:tc>
        <w:tc>
          <w:tcPr>
            <w:tcW w:w="441" w:type="dxa"/>
            <w:shd w:val="clear" w:color="auto" w:fill="auto"/>
          </w:tcPr>
          <w:p w14:paraId="632E729B" w14:textId="77777777" w:rsidR="00E90764" w:rsidRPr="00CF6322" w:rsidRDefault="00E90764" w:rsidP="001D1CF9">
            <w:pPr>
              <w:pStyle w:val="BodyText"/>
            </w:pPr>
          </w:p>
        </w:tc>
      </w:tr>
      <w:tr w:rsidR="00E90764" w:rsidRPr="00CF6322" w14:paraId="632E72A2" w14:textId="77777777" w:rsidTr="0070733A">
        <w:trPr>
          <w:trHeight w:val="582"/>
        </w:trPr>
        <w:tc>
          <w:tcPr>
            <w:tcW w:w="8541" w:type="dxa"/>
            <w:shd w:val="clear" w:color="auto" w:fill="auto"/>
            <w:vAlign w:val="center"/>
          </w:tcPr>
          <w:p w14:paraId="632E729D" w14:textId="4AB409FF" w:rsidR="00E90764" w:rsidRPr="00CF6322" w:rsidRDefault="0099166C" w:rsidP="001D1CF9">
            <w:pPr>
              <w:pStyle w:val="BodyText"/>
            </w:pPr>
            <w:r w:rsidRPr="00CF6322">
              <w:t>Working with states and territories to redesign clinical trial operating systems and to make it easier to conduct and participate in safe, high quality clinical trials.</w:t>
            </w:r>
          </w:p>
        </w:tc>
        <w:tc>
          <w:tcPr>
            <w:tcW w:w="441" w:type="dxa"/>
            <w:shd w:val="clear" w:color="auto" w:fill="auto"/>
          </w:tcPr>
          <w:p w14:paraId="632E729E" w14:textId="229A8B17"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29F" w14:textId="5052DBF8"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2A0" w14:textId="0D4AECD1"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2A1" w14:textId="550193F2" w:rsidR="00E90764" w:rsidRPr="00CF6322" w:rsidRDefault="00041BDA" w:rsidP="001D1CF9">
            <w:pPr>
              <w:pStyle w:val="BodyText"/>
            </w:pPr>
            <w:r>
              <w:rPr>
                <w:rFonts w:ascii="Segoe UI Symbol" w:hAnsi="Segoe UI Symbol" w:cs="Segoe UI Symbol"/>
              </w:rPr>
              <w:t>✓</w:t>
            </w:r>
          </w:p>
        </w:tc>
      </w:tr>
      <w:tr w:rsidR="00E90764" w:rsidRPr="00CF6322" w14:paraId="632E72A8" w14:textId="77777777" w:rsidTr="0070733A">
        <w:trPr>
          <w:trHeight w:val="582"/>
        </w:trPr>
        <w:tc>
          <w:tcPr>
            <w:tcW w:w="8541" w:type="dxa"/>
            <w:shd w:val="clear" w:color="auto" w:fill="auto"/>
            <w:vAlign w:val="center"/>
          </w:tcPr>
          <w:p w14:paraId="632E72A3" w14:textId="5BFA64BF" w:rsidR="00E90764" w:rsidRPr="00CF6322" w:rsidRDefault="0099166C" w:rsidP="001D1CF9">
            <w:pPr>
              <w:pStyle w:val="BodyText"/>
            </w:pPr>
            <w:r w:rsidRPr="00CF6322">
              <w:t>Implementing the National Clinical Quality Registry and Virtual Registry Strategy in collaboration with</w:t>
            </w:r>
            <w:r w:rsidR="00563408">
              <w:t xml:space="preserve"> </w:t>
            </w:r>
            <w:r w:rsidRPr="00CF6322">
              <w:t>jurisdictions and key stakeholders.</w:t>
            </w:r>
          </w:p>
        </w:tc>
        <w:tc>
          <w:tcPr>
            <w:tcW w:w="441" w:type="dxa"/>
            <w:shd w:val="clear" w:color="auto" w:fill="auto"/>
          </w:tcPr>
          <w:p w14:paraId="632E72A4" w14:textId="5BE48858"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2A5" w14:textId="28A57A2C"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2A6" w14:textId="6E9CABD9"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2A7" w14:textId="5326CF92" w:rsidR="00E90764" w:rsidRPr="00CF6322" w:rsidRDefault="00041BDA" w:rsidP="001D1CF9">
            <w:pPr>
              <w:pStyle w:val="BodyText"/>
            </w:pPr>
            <w:r>
              <w:rPr>
                <w:rFonts w:ascii="Segoe UI Symbol" w:hAnsi="Segoe UI Symbol" w:cs="Segoe UI Symbol"/>
              </w:rPr>
              <w:t>✓</w:t>
            </w:r>
          </w:p>
        </w:tc>
      </w:tr>
      <w:tr w:rsidR="00E90764" w:rsidRPr="00CF6322" w14:paraId="632E72AE" w14:textId="77777777" w:rsidTr="0070733A">
        <w:trPr>
          <w:trHeight w:val="582"/>
        </w:trPr>
        <w:tc>
          <w:tcPr>
            <w:tcW w:w="8541" w:type="dxa"/>
            <w:shd w:val="clear" w:color="auto" w:fill="auto"/>
            <w:vAlign w:val="center"/>
          </w:tcPr>
          <w:p w14:paraId="632E72A9" w14:textId="77777777" w:rsidR="00E90764" w:rsidRPr="00CF6322" w:rsidRDefault="0099166C" w:rsidP="001D1CF9">
            <w:pPr>
              <w:pStyle w:val="BodyText"/>
            </w:pPr>
            <w:r w:rsidRPr="00CF6322">
              <w:t xml:space="preserve">Driving the Australian Immunisation Register and the Multi-Agency Data Integration Project data linkage to support </w:t>
            </w:r>
            <w:proofErr w:type="spellStart"/>
            <w:r w:rsidRPr="00CF6322">
              <w:t>prioritised</w:t>
            </w:r>
            <w:proofErr w:type="spellEnd"/>
            <w:r w:rsidRPr="00CF6322">
              <w:t xml:space="preserve"> rollout of COVID-19 vaccination for priority groups.</w:t>
            </w:r>
          </w:p>
        </w:tc>
        <w:tc>
          <w:tcPr>
            <w:tcW w:w="441" w:type="dxa"/>
            <w:shd w:val="clear" w:color="auto" w:fill="auto"/>
          </w:tcPr>
          <w:p w14:paraId="632E72AA" w14:textId="7F3DC7B5"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2AB" w14:textId="77777777" w:rsidR="00E90764" w:rsidRPr="00CF6322" w:rsidRDefault="00E90764" w:rsidP="001D1CF9">
            <w:pPr>
              <w:pStyle w:val="BodyText"/>
            </w:pPr>
          </w:p>
        </w:tc>
        <w:tc>
          <w:tcPr>
            <w:tcW w:w="439" w:type="dxa"/>
            <w:shd w:val="clear" w:color="auto" w:fill="auto"/>
          </w:tcPr>
          <w:p w14:paraId="632E72AC" w14:textId="77777777" w:rsidR="00E90764" w:rsidRPr="00CF6322" w:rsidRDefault="00E90764" w:rsidP="001D1CF9">
            <w:pPr>
              <w:pStyle w:val="BodyText"/>
            </w:pPr>
          </w:p>
        </w:tc>
        <w:tc>
          <w:tcPr>
            <w:tcW w:w="441" w:type="dxa"/>
            <w:shd w:val="clear" w:color="auto" w:fill="auto"/>
          </w:tcPr>
          <w:p w14:paraId="632E72AD" w14:textId="77777777" w:rsidR="00E90764" w:rsidRPr="00CF6322" w:rsidRDefault="00E90764" w:rsidP="001D1CF9">
            <w:pPr>
              <w:pStyle w:val="BodyText"/>
            </w:pPr>
          </w:p>
        </w:tc>
      </w:tr>
      <w:tr w:rsidR="00E90764" w:rsidRPr="00CF6322" w14:paraId="632E72B4" w14:textId="77777777" w:rsidTr="0070733A">
        <w:trPr>
          <w:trHeight w:val="582"/>
        </w:trPr>
        <w:tc>
          <w:tcPr>
            <w:tcW w:w="8541" w:type="dxa"/>
            <w:shd w:val="clear" w:color="auto" w:fill="auto"/>
            <w:vAlign w:val="center"/>
          </w:tcPr>
          <w:p w14:paraId="632E72AF" w14:textId="77777777" w:rsidR="00E90764" w:rsidRPr="00CF6322" w:rsidRDefault="0099166C" w:rsidP="001D1CF9">
            <w:pPr>
              <w:pStyle w:val="BodyText"/>
            </w:pPr>
            <w:r w:rsidRPr="00CF6322">
              <w:t>Providing streamlined, fit for purpose data governance to support safe data sharing in a rapidly evolving environment.</w:t>
            </w:r>
          </w:p>
        </w:tc>
        <w:tc>
          <w:tcPr>
            <w:tcW w:w="441" w:type="dxa"/>
            <w:shd w:val="clear" w:color="auto" w:fill="auto"/>
          </w:tcPr>
          <w:p w14:paraId="632E72B0" w14:textId="6C0CD0AE"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2B1" w14:textId="3D47C187"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2B2" w14:textId="7551D905"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2B3" w14:textId="6A49DB0B" w:rsidR="00E90764" w:rsidRPr="00CF6322" w:rsidRDefault="00041BDA" w:rsidP="001D1CF9">
            <w:pPr>
              <w:pStyle w:val="BodyText"/>
            </w:pPr>
            <w:r>
              <w:rPr>
                <w:rFonts w:ascii="Segoe UI Symbol" w:hAnsi="Segoe UI Symbol" w:cs="Segoe UI Symbol"/>
              </w:rPr>
              <w:t>✓</w:t>
            </w:r>
          </w:p>
        </w:tc>
      </w:tr>
      <w:tr w:rsidR="00E90764" w:rsidRPr="00CF6322" w14:paraId="632E72BA" w14:textId="77777777" w:rsidTr="0070733A">
        <w:trPr>
          <w:trHeight w:val="582"/>
        </w:trPr>
        <w:tc>
          <w:tcPr>
            <w:tcW w:w="8541" w:type="dxa"/>
            <w:shd w:val="clear" w:color="auto" w:fill="auto"/>
            <w:vAlign w:val="center"/>
          </w:tcPr>
          <w:p w14:paraId="632E72B5" w14:textId="77777777" w:rsidR="00E90764" w:rsidRPr="00CF6322" w:rsidRDefault="0099166C" w:rsidP="001D1CF9">
            <w:pPr>
              <w:pStyle w:val="BodyText"/>
            </w:pPr>
            <w:r w:rsidRPr="00CF6322">
              <w:t>Implementing a whole of department evaluation strategy, streamlined data release strategy and data governance and data release strategy.</w:t>
            </w:r>
          </w:p>
        </w:tc>
        <w:tc>
          <w:tcPr>
            <w:tcW w:w="441" w:type="dxa"/>
            <w:shd w:val="clear" w:color="auto" w:fill="auto"/>
          </w:tcPr>
          <w:p w14:paraId="632E72B6" w14:textId="77E2834C"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2B7" w14:textId="28194874"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2B8" w14:textId="4F928A1F"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2B9" w14:textId="2C49D0AF" w:rsidR="00E90764" w:rsidRPr="00CF6322" w:rsidRDefault="00041BDA" w:rsidP="001D1CF9">
            <w:pPr>
              <w:pStyle w:val="BodyText"/>
            </w:pPr>
            <w:r>
              <w:rPr>
                <w:rFonts w:ascii="Segoe UI Symbol" w:hAnsi="Segoe UI Symbol" w:cs="Segoe UI Symbol"/>
              </w:rPr>
              <w:t>✓</w:t>
            </w:r>
          </w:p>
        </w:tc>
      </w:tr>
      <w:tr w:rsidR="00E90764" w:rsidRPr="00CF6322" w14:paraId="632E72C0" w14:textId="77777777" w:rsidTr="0070733A">
        <w:trPr>
          <w:trHeight w:val="582"/>
        </w:trPr>
        <w:tc>
          <w:tcPr>
            <w:tcW w:w="8541" w:type="dxa"/>
            <w:shd w:val="clear" w:color="auto" w:fill="auto"/>
            <w:vAlign w:val="center"/>
          </w:tcPr>
          <w:p w14:paraId="632E72BB" w14:textId="23DA4344" w:rsidR="00E90764" w:rsidRPr="00CF6322" w:rsidRDefault="0099166C" w:rsidP="001D1CF9">
            <w:pPr>
              <w:pStyle w:val="BodyText"/>
            </w:pPr>
            <w:r w:rsidRPr="00CF6322">
              <w:t>Providing our ministers and the ADHA with timely and well-informed research, policy and legal advice</w:t>
            </w:r>
            <w:r w:rsidR="00F61166" w:rsidRPr="00CF6322">
              <w:t xml:space="preserve"> </w:t>
            </w:r>
            <w:r w:rsidRPr="00CF6322">
              <w:t>that supports the Government’s digital health agenda, including the My Health Record System.</w:t>
            </w:r>
          </w:p>
        </w:tc>
        <w:tc>
          <w:tcPr>
            <w:tcW w:w="441" w:type="dxa"/>
            <w:shd w:val="clear" w:color="auto" w:fill="auto"/>
          </w:tcPr>
          <w:p w14:paraId="632E72BC" w14:textId="371588AB"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2BD" w14:textId="4874CE71"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2BE" w14:textId="77777777" w:rsidR="00E90764" w:rsidRPr="00CF6322" w:rsidRDefault="00E90764" w:rsidP="001D1CF9">
            <w:pPr>
              <w:pStyle w:val="BodyText"/>
            </w:pPr>
          </w:p>
        </w:tc>
        <w:tc>
          <w:tcPr>
            <w:tcW w:w="441" w:type="dxa"/>
            <w:shd w:val="clear" w:color="auto" w:fill="auto"/>
          </w:tcPr>
          <w:p w14:paraId="632E72BF" w14:textId="77777777" w:rsidR="00E90764" w:rsidRPr="00CF6322" w:rsidRDefault="00E90764" w:rsidP="001D1CF9">
            <w:pPr>
              <w:pStyle w:val="BodyText"/>
            </w:pPr>
          </w:p>
        </w:tc>
      </w:tr>
      <w:tr w:rsidR="00E90764" w:rsidRPr="00CF6322" w14:paraId="632E72CA" w14:textId="77777777" w:rsidTr="0070733A">
        <w:trPr>
          <w:trHeight w:val="822"/>
        </w:trPr>
        <w:tc>
          <w:tcPr>
            <w:tcW w:w="8541" w:type="dxa"/>
            <w:shd w:val="clear" w:color="auto" w:fill="auto"/>
            <w:vAlign w:val="center"/>
          </w:tcPr>
          <w:p w14:paraId="632E72C1" w14:textId="07534A78" w:rsidR="00E90764" w:rsidRPr="00CF6322" w:rsidRDefault="0099166C" w:rsidP="001D1CF9">
            <w:pPr>
              <w:pStyle w:val="BodyText"/>
            </w:pPr>
            <w:r w:rsidRPr="00CF6322">
              <w:t xml:space="preserve">Working with the National Blood Authority, Organ and Tissue Authority, and states and territories to ensure access to a safe, secure supply of essential blood and blood products, as well as life-saving organ, tissue and </w:t>
            </w:r>
            <w:proofErr w:type="spellStart"/>
            <w:r w:rsidRPr="00CF6322">
              <w:t>haemopoietic</w:t>
            </w:r>
            <w:proofErr w:type="spellEnd"/>
            <w:r w:rsidRPr="00CF6322">
              <w:t xml:space="preserve"> progenitor cell transplants.</w:t>
            </w:r>
          </w:p>
        </w:tc>
        <w:tc>
          <w:tcPr>
            <w:tcW w:w="441" w:type="dxa"/>
            <w:shd w:val="clear" w:color="auto" w:fill="auto"/>
          </w:tcPr>
          <w:p w14:paraId="632E72C3" w14:textId="2FF87F78"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2C5" w14:textId="6A1848A2"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2C7" w14:textId="6DBBF30A"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2C9" w14:textId="49EE4369" w:rsidR="00E90764" w:rsidRPr="00CF6322" w:rsidRDefault="00041BDA" w:rsidP="001D1CF9">
            <w:pPr>
              <w:pStyle w:val="BodyText"/>
            </w:pPr>
            <w:r>
              <w:rPr>
                <w:rFonts w:ascii="Segoe UI Symbol" w:hAnsi="Segoe UI Symbol" w:cs="Segoe UI Symbol"/>
              </w:rPr>
              <w:t>✓</w:t>
            </w:r>
          </w:p>
        </w:tc>
      </w:tr>
      <w:tr w:rsidR="00E90764" w:rsidRPr="00CF6322" w14:paraId="632E72D1" w14:textId="77777777" w:rsidTr="0070733A">
        <w:trPr>
          <w:trHeight w:val="822"/>
        </w:trPr>
        <w:tc>
          <w:tcPr>
            <w:tcW w:w="8541" w:type="dxa"/>
            <w:shd w:val="clear" w:color="auto" w:fill="auto"/>
            <w:vAlign w:val="center"/>
          </w:tcPr>
          <w:p w14:paraId="632E72CB" w14:textId="4781D76F" w:rsidR="00E90764" w:rsidRPr="00CF6322" w:rsidRDefault="0099166C" w:rsidP="001D1CF9">
            <w:pPr>
              <w:pStyle w:val="BodyText"/>
            </w:pPr>
            <w:r w:rsidRPr="00CF6322">
              <w:t>Leading strategic policy work and negotiations with states and territories for quarantine facilities for</w:t>
            </w:r>
            <w:r w:rsidR="00041BDA">
              <w:t xml:space="preserve"> </w:t>
            </w:r>
            <w:r w:rsidRPr="00CF6322">
              <w:t>returning Australians and managing the administration of charging arrangements for the Centre for National Resilience in the Northern Territory.</w:t>
            </w:r>
          </w:p>
        </w:tc>
        <w:tc>
          <w:tcPr>
            <w:tcW w:w="441" w:type="dxa"/>
            <w:shd w:val="clear" w:color="auto" w:fill="auto"/>
          </w:tcPr>
          <w:p w14:paraId="632E72CD" w14:textId="2122C968"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2CE" w14:textId="77777777" w:rsidR="00E90764" w:rsidRPr="00CF6322" w:rsidRDefault="00E90764" w:rsidP="001D1CF9">
            <w:pPr>
              <w:pStyle w:val="BodyText"/>
            </w:pPr>
          </w:p>
        </w:tc>
        <w:tc>
          <w:tcPr>
            <w:tcW w:w="439" w:type="dxa"/>
            <w:shd w:val="clear" w:color="auto" w:fill="auto"/>
          </w:tcPr>
          <w:p w14:paraId="632E72CF" w14:textId="77777777" w:rsidR="00E90764" w:rsidRPr="00CF6322" w:rsidRDefault="00E90764" w:rsidP="001D1CF9">
            <w:pPr>
              <w:pStyle w:val="BodyText"/>
            </w:pPr>
          </w:p>
        </w:tc>
        <w:tc>
          <w:tcPr>
            <w:tcW w:w="441" w:type="dxa"/>
            <w:shd w:val="clear" w:color="auto" w:fill="auto"/>
          </w:tcPr>
          <w:p w14:paraId="632E72D0" w14:textId="77777777" w:rsidR="00E90764" w:rsidRPr="00CF6322" w:rsidRDefault="00E90764" w:rsidP="001D1CF9">
            <w:pPr>
              <w:pStyle w:val="BodyText"/>
            </w:pPr>
          </w:p>
        </w:tc>
      </w:tr>
      <w:tr w:rsidR="00E90764" w:rsidRPr="00CF6322" w14:paraId="632E72D7" w14:textId="77777777" w:rsidTr="0070733A">
        <w:trPr>
          <w:trHeight w:val="582"/>
        </w:trPr>
        <w:tc>
          <w:tcPr>
            <w:tcW w:w="8541" w:type="dxa"/>
            <w:shd w:val="clear" w:color="auto" w:fill="auto"/>
            <w:vAlign w:val="center"/>
          </w:tcPr>
          <w:p w14:paraId="632E72D2" w14:textId="77777777" w:rsidR="00E90764" w:rsidRPr="00CF6322" w:rsidRDefault="0099166C" w:rsidP="001D1CF9">
            <w:pPr>
              <w:pStyle w:val="BodyText"/>
            </w:pPr>
            <w:r w:rsidRPr="00CF6322">
              <w:t>Continuing to work with jurisdictions and relevant federal departments to repatriate Australians and provide safe, reliable and compliant quarantine options.</w:t>
            </w:r>
          </w:p>
        </w:tc>
        <w:tc>
          <w:tcPr>
            <w:tcW w:w="441" w:type="dxa"/>
            <w:shd w:val="clear" w:color="auto" w:fill="auto"/>
          </w:tcPr>
          <w:p w14:paraId="632E72D3" w14:textId="5158269B"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2D4" w14:textId="77777777" w:rsidR="00E90764" w:rsidRPr="00CF6322" w:rsidRDefault="00E90764" w:rsidP="001D1CF9">
            <w:pPr>
              <w:pStyle w:val="BodyText"/>
            </w:pPr>
          </w:p>
        </w:tc>
        <w:tc>
          <w:tcPr>
            <w:tcW w:w="439" w:type="dxa"/>
            <w:shd w:val="clear" w:color="auto" w:fill="auto"/>
          </w:tcPr>
          <w:p w14:paraId="632E72D5" w14:textId="77777777" w:rsidR="00E90764" w:rsidRPr="00CF6322" w:rsidRDefault="00E90764" w:rsidP="001D1CF9">
            <w:pPr>
              <w:pStyle w:val="BodyText"/>
            </w:pPr>
          </w:p>
        </w:tc>
        <w:tc>
          <w:tcPr>
            <w:tcW w:w="441" w:type="dxa"/>
            <w:shd w:val="clear" w:color="auto" w:fill="auto"/>
          </w:tcPr>
          <w:p w14:paraId="632E72D6" w14:textId="77777777" w:rsidR="00E90764" w:rsidRPr="00CF6322" w:rsidRDefault="00E90764" w:rsidP="001D1CF9">
            <w:pPr>
              <w:pStyle w:val="BodyText"/>
            </w:pPr>
          </w:p>
        </w:tc>
      </w:tr>
      <w:tr w:rsidR="00E90764" w:rsidRPr="00CF6322" w14:paraId="632E72DD" w14:textId="77777777" w:rsidTr="0070733A">
        <w:trPr>
          <w:trHeight w:val="582"/>
        </w:trPr>
        <w:tc>
          <w:tcPr>
            <w:tcW w:w="8541" w:type="dxa"/>
            <w:shd w:val="clear" w:color="auto" w:fill="auto"/>
            <w:vAlign w:val="center"/>
          </w:tcPr>
          <w:p w14:paraId="632E72D8" w14:textId="77777777" w:rsidR="00E90764" w:rsidRPr="00CF6322" w:rsidRDefault="0099166C" w:rsidP="001D1CF9">
            <w:pPr>
              <w:pStyle w:val="BodyText"/>
            </w:pPr>
            <w:r w:rsidRPr="00CF6322">
              <w:t>Providing support to states and territories for costs incurred as a result of the COVID-19 pandemic under the National Partnership on COVID-19 Response.</w:t>
            </w:r>
          </w:p>
        </w:tc>
        <w:tc>
          <w:tcPr>
            <w:tcW w:w="441" w:type="dxa"/>
            <w:shd w:val="clear" w:color="auto" w:fill="auto"/>
          </w:tcPr>
          <w:p w14:paraId="632E72D9" w14:textId="1D418ACD"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2DA" w14:textId="3D7E1175"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2DB" w14:textId="77777777" w:rsidR="00E90764" w:rsidRPr="00CF6322" w:rsidRDefault="00E90764" w:rsidP="001D1CF9">
            <w:pPr>
              <w:pStyle w:val="BodyText"/>
            </w:pPr>
          </w:p>
        </w:tc>
        <w:tc>
          <w:tcPr>
            <w:tcW w:w="441" w:type="dxa"/>
            <w:shd w:val="clear" w:color="auto" w:fill="auto"/>
          </w:tcPr>
          <w:p w14:paraId="632E72DC" w14:textId="77777777" w:rsidR="00E90764" w:rsidRPr="00CF6322" w:rsidRDefault="00E90764" w:rsidP="001D1CF9">
            <w:pPr>
              <w:pStyle w:val="BodyText"/>
            </w:pPr>
          </w:p>
        </w:tc>
      </w:tr>
      <w:tr w:rsidR="00E90764" w:rsidRPr="00CF6322" w14:paraId="632E72E3" w14:textId="77777777" w:rsidTr="0070733A">
        <w:trPr>
          <w:trHeight w:val="582"/>
        </w:trPr>
        <w:tc>
          <w:tcPr>
            <w:tcW w:w="8541" w:type="dxa"/>
            <w:shd w:val="clear" w:color="auto" w:fill="auto"/>
            <w:vAlign w:val="center"/>
          </w:tcPr>
          <w:p w14:paraId="632E72DE" w14:textId="77777777" w:rsidR="00E90764" w:rsidRPr="00CF6322" w:rsidRDefault="0099166C" w:rsidP="001D1CF9">
            <w:pPr>
              <w:pStyle w:val="BodyText"/>
            </w:pPr>
            <w:r w:rsidRPr="00CF6322">
              <w:t>Delivering health infrastructure projects and monitoring compliance as part of managing the Community Health and Hospitals Program and other infrastructure programs.</w:t>
            </w:r>
          </w:p>
        </w:tc>
        <w:tc>
          <w:tcPr>
            <w:tcW w:w="441" w:type="dxa"/>
            <w:shd w:val="clear" w:color="auto" w:fill="auto"/>
            <w:vAlign w:val="center"/>
          </w:tcPr>
          <w:p w14:paraId="632E72DF" w14:textId="01BC2EB2"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2E0" w14:textId="6D9B31A5"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2E1" w14:textId="4277C778"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2E2" w14:textId="1CC03836" w:rsidR="00E90764" w:rsidRPr="00CF6322" w:rsidRDefault="00041BDA" w:rsidP="001D1CF9">
            <w:pPr>
              <w:pStyle w:val="BodyText"/>
            </w:pPr>
            <w:r>
              <w:rPr>
                <w:rFonts w:ascii="Segoe UI Symbol" w:hAnsi="Segoe UI Symbol" w:cs="Segoe UI Symbol"/>
              </w:rPr>
              <w:t>✓</w:t>
            </w:r>
          </w:p>
        </w:tc>
      </w:tr>
      <w:tr w:rsidR="00E90764" w:rsidRPr="00CF6322" w14:paraId="632E72ED" w14:textId="77777777" w:rsidTr="0070733A">
        <w:trPr>
          <w:trHeight w:val="879"/>
        </w:trPr>
        <w:tc>
          <w:tcPr>
            <w:tcW w:w="8541" w:type="dxa"/>
            <w:shd w:val="clear" w:color="auto" w:fill="auto"/>
            <w:vAlign w:val="center"/>
          </w:tcPr>
          <w:p w14:paraId="632E72E4" w14:textId="77777777" w:rsidR="00E90764" w:rsidRPr="00CF6322" w:rsidRDefault="0099166C" w:rsidP="001D1CF9">
            <w:pPr>
              <w:pStyle w:val="BodyText"/>
            </w:pPr>
            <w:r w:rsidRPr="00CF6322">
              <w:t>Supporting effective engagement with the Health Ministers’ Meeting Forum and Health Chief Executive Forum, managing the transition to the new arrangements, and providing secretariat support for the Health National Cabinet Reform Committee.</w:t>
            </w:r>
          </w:p>
        </w:tc>
        <w:tc>
          <w:tcPr>
            <w:tcW w:w="441" w:type="dxa"/>
            <w:shd w:val="clear" w:color="auto" w:fill="auto"/>
          </w:tcPr>
          <w:p w14:paraId="632E72E6" w14:textId="4C65DCFE"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2E8" w14:textId="60A051F6"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2EA" w14:textId="08F1B4CA"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2EC" w14:textId="1C2219AB" w:rsidR="00E90764" w:rsidRPr="00CF6322" w:rsidRDefault="00041BDA" w:rsidP="001D1CF9">
            <w:pPr>
              <w:pStyle w:val="BodyText"/>
            </w:pPr>
            <w:r>
              <w:rPr>
                <w:rFonts w:ascii="Segoe UI Symbol" w:hAnsi="Segoe UI Symbol" w:cs="Segoe UI Symbol"/>
              </w:rPr>
              <w:t>✓</w:t>
            </w:r>
          </w:p>
        </w:tc>
      </w:tr>
      <w:tr w:rsidR="00E90764" w:rsidRPr="00CF6322" w14:paraId="632E72F3" w14:textId="77777777" w:rsidTr="0070733A">
        <w:trPr>
          <w:trHeight w:val="639"/>
        </w:trPr>
        <w:tc>
          <w:tcPr>
            <w:tcW w:w="8541" w:type="dxa"/>
            <w:shd w:val="clear" w:color="auto" w:fill="auto"/>
            <w:vAlign w:val="center"/>
          </w:tcPr>
          <w:p w14:paraId="632E72EE" w14:textId="77777777" w:rsidR="00E90764" w:rsidRPr="00CF6322" w:rsidRDefault="0099166C" w:rsidP="001D1CF9">
            <w:pPr>
              <w:pStyle w:val="BodyText"/>
            </w:pPr>
            <w:r w:rsidRPr="00CF6322">
              <w:t>Leading collaboration with states and territories on long term, system wide health reform and administration of the Addendum to the National Health Reform Agreement 2020–25.</w:t>
            </w:r>
          </w:p>
        </w:tc>
        <w:tc>
          <w:tcPr>
            <w:tcW w:w="441" w:type="dxa"/>
            <w:shd w:val="clear" w:color="auto" w:fill="auto"/>
            <w:vAlign w:val="center"/>
          </w:tcPr>
          <w:p w14:paraId="632E72EF" w14:textId="171773A8"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2F0" w14:textId="562DCF7E"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2F1" w14:textId="18434E31"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2F2" w14:textId="5DA5CD7A" w:rsidR="00E90764" w:rsidRPr="00CF6322" w:rsidRDefault="00041BDA" w:rsidP="001D1CF9">
            <w:pPr>
              <w:pStyle w:val="BodyText"/>
            </w:pPr>
            <w:r>
              <w:rPr>
                <w:rFonts w:ascii="Segoe UI Symbol" w:hAnsi="Segoe UI Symbol" w:cs="Segoe UI Symbol"/>
              </w:rPr>
              <w:t>✓</w:t>
            </w:r>
          </w:p>
        </w:tc>
      </w:tr>
      <w:tr w:rsidR="00E90764" w:rsidRPr="00CF6322" w14:paraId="632E72F9" w14:textId="77777777" w:rsidTr="0070733A">
        <w:trPr>
          <w:trHeight w:val="639"/>
        </w:trPr>
        <w:tc>
          <w:tcPr>
            <w:tcW w:w="8541" w:type="dxa"/>
            <w:shd w:val="clear" w:color="auto" w:fill="auto"/>
            <w:vAlign w:val="center"/>
          </w:tcPr>
          <w:p w14:paraId="632E72F4" w14:textId="77777777" w:rsidR="00E90764" w:rsidRPr="00CF6322" w:rsidRDefault="0099166C" w:rsidP="001D1CF9">
            <w:pPr>
              <w:pStyle w:val="BodyText"/>
            </w:pPr>
            <w:r w:rsidRPr="00CF6322">
              <w:t>Monitoring implementation and compliance with state and territory public hospitals through the National Health Reform Agreement.</w:t>
            </w:r>
          </w:p>
        </w:tc>
        <w:tc>
          <w:tcPr>
            <w:tcW w:w="441" w:type="dxa"/>
            <w:shd w:val="clear" w:color="auto" w:fill="auto"/>
            <w:vAlign w:val="center"/>
          </w:tcPr>
          <w:p w14:paraId="632E72F5" w14:textId="787C33FA"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2F6" w14:textId="4EA5E70D"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2F7" w14:textId="387DAB21"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2F8" w14:textId="4ABB43AE" w:rsidR="00E90764" w:rsidRPr="00CF6322" w:rsidRDefault="00041BDA" w:rsidP="001D1CF9">
            <w:pPr>
              <w:pStyle w:val="BodyText"/>
            </w:pPr>
            <w:r>
              <w:rPr>
                <w:rFonts w:ascii="Segoe UI Symbol" w:hAnsi="Segoe UI Symbol" w:cs="Segoe UI Symbol"/>
              </w:rPr>
              <w:t>✓</w:t>
            </w:r>
          </w:p>
        </w:tc>
      </w:tr>
      <w:tr w:rsidR="00E90764" w:rsidRPr="00CF6322" w14:paraId="632E7303" w14:textId="77777777" w:rsidTr="0070733A">
        <w:trPr>
          <w:trHeight w:val="879"/>
        </w:trPr>
        <w:tc>
          <w:tcPr>
            <w:tcW w:w="8541" w:type="dxa"/>
            <w:shd w:val="clear" w:color="auto" w:fill="auto"/>
            <w:vAlign w:val="center"/>
          </w:tcPr>
          <w:p w14:paraId="632E72FA" w14:textId="77777777" w:rsidR="00E90764" w:rsidRPr="00CF6322" w:rsidRDefault="0099166C" w:rsidP="001D1CF9">
            <w:pPr>
              <w:pStyle w:val="BodyText"/>
            </w:pPr>
            <w:r w:rsidRPr="00CF6322">
              <w:t>Developing policies that embed emerging technologies into the Australian health system to effectively balance public benefit, cost and risk. This includes the staged introduction of mitochondrial donation in Australia.</w:t>
            </w:r>
          </w:p>
        </w:tc>
        <w:tc>
          <w:tcPr>
            <w:tcW w:w="441" w:type="dxa"/>
            <w:shd w:val="clear" w:color="auto" w:fill="auto"/>
            <w:vAlign w:val="center"/>
          </w:tcPr>
          <w:p w14:paraId="632E72FC" w14:textId="2A8ED082"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2FE" w14:textId="48DED439"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300" w14:textId="04687256"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302" w14:textId="60D1F9C8" w:rsidR="00E90764" w:rsidRPr="00CF6322" w:rsidRDefault="00041BDA" w:rsidP="001D1CF9">
            <w:pPr>
              <w:pStyle w:val="BodyText"/>
            </w:pPr>
            <w:r>
              <w:rPr>
                <w:rFonts w:ascii="Segoe UI Symbol" w:hAnsi="Segoe UI Symbol" w:cs="Segoe UI Symbol"/>
              </w:rPr>
              <w:t>✓</w:t>
            </w:r>
          </w:p>
        </w:tc>
      </w:tr>
      <w:tr w:rsidR="00E90764" w:rsidRPr="00CF6322" w14:paraId="632E7309" w14:textId="77777777" w:rsidTr="0070733A">
        <w:trPr>
          <w:trHeight w:val="639"/>
        </w:trPr>
        <w:tc>
          <w:tcPr>
            <w:tcW w:w="8541" w:type="dxa"/>
            <w:shd w:val="clear" w:color="auto" w:fill="auto"/>
            <w:vAlign w:val="center"/>
          </w:tcPr>
          <w:p w14:paraId="632E7304" w14:textId="77777777" w:rsidR="00E90764" w:rsidRPr="00CF6322" w:rsidRDefault="0099166C" w:rsidP="001D1CF9">
            <w:pPr>
              <w:pStyle w:val="BodyText"/>
            </w:pPr>
            <w:r w:rsidRPr="00CF6322">
              <w:t>Providing strong leadership on international health issues and reforms to international health architecture as a result of the COVID-19 pandemic.</w:t>
            </w:r>
          </w:p>
        </w:tc>
        <w:tc>
          <w:tcPr>
            <w:tcW w:w="441" w:type="dxa"/>
            <w:shd w:val="clear" w:color="auto" w:fill="auto"/>
            <w:vAlign w:val="center"/>
          </w:tcPr>
          <w:p w14:paraId="632E7305" w14:textId="25F60007"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306" w14:textId="5CEC4F4F" w:rsidR="00E90764" w:rsidRPr="00041BDA" w:rsidRDefault="00041BDA" w:rsidP="001D1CF9">
            <w:pPr>
              <w:pStyle w:val="BodyText"/>
            </w:pPr>
            <w:r>
              <w:rPr>
                <w:rFonts w:ascii="Segoe UI Symbol" w:hAnsi="Segoe UI Symbol" w:cs="Segoe UI Symbol"/>
              </w:rPr>
              <w:t>✓</w:t>
            </w:r>
          </w:p>
        </w:tc>
        <w:tc>
          <w:tcPr>
            <w:tcW w:w="439" w:type="dxa"/>
            <w:shd w:val="clear" w:color="auto" w:fill="auto"/>
            <w:vAlign w:val="center"/>
          </w:tcPr>
          <w:p w14:paraId="632E7307" w14:textId="76979D42"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308" w14:textId="040DD378" w:rsidR="00E90764" w:rsidRPr="00CF6322" w:rsidRDefault="00041BDA" w:rsidP="001D1CF9">
            <w:pPr>
              <w:pStyle w:val="BodyText"/>
            </w:pPr>
            <w:r>
              <w:rPr>
                <w:rFonts w:ascii="Segoe UI Symbol" w:hAnsi="Segoe UI Symbol" w:cs="Segoe UI Symbol"/>
              </w:rPr>
              <w:t>✓</w:t>
            </w:r>
          </w:p>
        </w:tc>
      </w:tr>
    </w:tbl>
    <w:p w14:paraId="632E730C" w14:textId="7C83E958" w:rsidR="00E90764" w:rsidRPr="00CF6322" w:rsidRDefault="0099166C" w:rsidP="00041BDA">
      <w:pPr>
        <w:pStyle w:val="Heading4"/>
      </w:pPr>
      <w:r w:rsidRPr="00CF6322">
        <w:lastRenderedPageBreak/>
        <w:t>Our Performance</w:t>
      </w:r>
    </w:p>
    <w:p w14:paraId="632E730D" w14:textId="77777777" w:rsidR="00E90764" w:rsidRPr="0070733A" w:rsidRDefault="0099166C" w:rsidP="00041BDA">
      <w:pPr>
        <w:pStyle w:val="Heading5"/>
        <w:rPr>
          <w:spacing w:val="-4"/>
        </w:rPr>
      </w:pPr>
      <w:r w:rsidRPr="0070733A">
        <w:rPr>
          <w:spacing w:val="-4"/>
        </w:rPr>
        <w:t>Performance Measures for Health Research, Coordination and Access – Program 1.1</w:t>
      </w:r>
    </w:p>
    <w:tbl>
      <w:tblPr>
        <w:tblW w:w="0" w:type="auto"/>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0" w:type="dxa"/>
        </w:tblCellMar>
        <w:tblLook w:val="01E0" w:firstRow="1" w:lastRow="1" w:firstColumn="1" w:lastColumn="1" w:noHBand="0" w:noVBand="0"/>
      </w:tblPr>
      <w:tblGrid>
        <w:gridCol w:w="5154"/>
        <w:gridCol w:w="5129"/>
      </w:tblGrid>
      <w:tr w:rsidR="00563408" w:rsidRPr="00563408" w14:paraId="632E7310" w14:textId="77777777" w:rsidTr="001D1CF9">
        <w:trPr>
          <w:trHeight w:val="416"/>
          <w:tblHeader/>
        </w:trPr>
        <w:tc>
          <w:tcPr>
            <w:tcW w:w="10283" w:type="dxa"/>
            <w:gridSpan w:val="2"/>
            <w:shd w:val="clear" w:color="auto" w:fill="auto"/>
          </w:tcPr>
          <w:p w14:paraId="632E730F" w14:textId="3024DD0D" w:rsidR="00E90764" w:rsidRPr="00563408" w:rsidRDefault="0099166C" w:rsidP="001D1CF9">
            <w:pPr>
              <w:pStyle w:val="BodyText"/>
              <w:rPr>
                <w:rStyle w:val="Strong"/>
                <w:color w:val="000000" w:themeColor="text1"/>
              </w:rPr>
            </w:pPr>
            <w:r w:rsidRPr="00563408">
              <w:rPr>
                <w:rStyle w:val="Strong"/>
                <w:color w:val="000000" w:themeColor="text1"/>
              </w:rPr>
              <w:t>Fund transformative health and medical research that improves lives, contributes to health system sustainability, and drives innovation.</w:t>
            </w:r>
            <w:r w:rsidR="00041BDA" w:rsidRPr="00563408">
              <w:rPr>
                <w:rStyle w:val="FootnoteReference"/>
                <w:b/>
                <w:bCs/>
                <w:color w:val="000000" w:themeColor="text1"/>
              </w:rPr>
              <w:footnoteReference w:id="3"/>
            </w:r>
          </w:p>
        </w:tc>
      </w:tr>
      <w:tr w:rsidR="00563408" w:rsidRPr="00563408" w14:paraId="632E7313" w14:textId="77777777" w:rsidTr="00563408">
        <w:trPr>
          <w:trHeight w:val="463"/>
        </w:trPr>
        <w:tc>
          <w:tcPr>
            <w:tcW w:w="5154" w:type="dxa"/>
            <w:shd w:val="clear" w:color="auto" w:fill="auto"/>
          </w:tcPr>
          <w:p w14:paraId="632E7311" w14:textId="77777777" w:rsidR="00E90764" w:rsidRPr="00563408" w:rsidRDefault="0099166C" w:rsidP="001D1CF9">
            <w:pPr>
              <w:pStyle w:val="BodyText"/>
              <w:rPr>
                <w:rStyle w:val="Strong"/>
                <w:color w:val="000000" w:themeColor="text1"/>
              </w:rPr>
            </w:pPr>
            <w:r w:rsidRPr="00563408">
              <w:rPr>
                <w:rStyle w:val="Strong"/>
                <w:color w:val="000000" w:themeColor="text1"/>
              </w:rPr>
              <w:t>2021–22 Target</w:t>
            </w:r>
          </w:p>
        </w:tc>
        <w:tc>
          <w:tcPr>
            <w:tcW w:w="5129" w:type="dxa"/>
            <w:shd w:val="clear" w:color="auto" w:fill="auto"/>
          </w:tcPr>
          <w:p w14:paraId="632E7312" w14:textId="77777777" w:rsidR="00E90764" w:rsidRPr="00563408" w:rsidRDefault="0099166C" w:rsidP="001D1CF9">
            <w:pPr>
              <w:pStyle w:val="BodyText"/>
              <w:rPr>
                <w:rStyle w:val="Strong"/>
                <w:color w:val="000000" w:themeColor="text1"/>
              </w:rPr>
            </w:pPr>
            <w:r w:rsidRPr="00563408">
              <w:rPr>
                <w:rStyle w:val="Strong"/>
                <w:color w:val="000000" w:themeColor="text1"/>
              </w:rPr>
              <w:t>2022–23 Target (and beyond)</w:t>
            </w:r>
          </w:p>
        </w:tc>
      </w:tr>
      <w:tr w:rsidR="00563408" w:rsidRPr="00563408" w14:paraId="632E7317" w14:textId="77777777" w:rsidTr="00563408">
        <w:trPr>
          <w:trHeight w:val="1190"/>
        </w:trPr>
        <w:tc>
          <w:tcPr>
            <w:tcW w:w="5154" w:type="dxa"/>
            <w:shd w:val="clear" w:color="auto" w:fill="auto"/>
          </w:tcPr>
          <w:p w14:paraId="632E7314" w14:textId="77777777" w:rsidR="00E90764" w:rsidRPr="00563408" w:rsidRDefault="0099166C" w:rsidP="001D1CF9">
            <w:pPr>
              <w:pStyle w:val="BodyText"/>
            </w:pPr>
            <w:r w:rsidRPr="00563408">
              <w:t>Deliver the 2021–22 components of the MRFF 10 Year Investment Plan by announcing investments, offering grant opportunities and executing grant agreements, consistent with the MRFF Act.</w:t>
            </w:r>
          </w:p>
        </w:tc>
        <w:tc>
          <w:tcPr>
            <w:tcW w:w="5129" w:type="dxa"/>
            <w:shd w:val="clear" w:color="auto" w:fill="auto"/>
          </w:tcPr>
          <w:p w14:paraId="632E7315" w14:textId="77777777" w:rsidR="00E90764" w:rsidRPr="00563408" w:rsidRDefault="0099166C" w:rsidP="001D1CF9">
            <w:pPr>
              <w:pStyle w:val="BodyText"/>
            </w:pPr>
            <w:r w:rsidRPr="00563408">
              <w:t>As per 2021–22.</w:t>
            </w:r>
          </w:p>
          <w:p w14:paraId="632E7316" w14:textId="35C1A725" w:rsidR="00E90764" w:rsidRPr="00563408" w:rsidRDefault="0099166C" w:rsidP="001D1CF9">
            <w:pPr>
              <w:pStyle w:val="BodyText"/>
            </w:pPr>
            <w:r w:rsidRPr="00563408">
              <w:t>2023–24 (and beyond) targets to be confirmed pending</w:t>
            </w:r>
            <w:r w:rsidR="00F61166" w:rsidRPr="00563408">
              <w:t xml:space="preserve"> </w:t>
            </w:r>
            <w:r w:rsidRPr="00563408">
              <w:t>the statutory review of the MRFF Act.</w:t>
            </w:r>
          </w:p>
        </w:tc>
      </w:tr>
      <w:tr w:rsidR="00563408" w:rsidRPr="00563408" w14:paraId="632E731C" w14:textId="77777777" w:rsidTr="00563408">
        <w:trPr>
          <w:trHeight w:val="2449"/>
        </w:trPr>
        <w:tc>
          <w:tcPr>
            <w:tcW w:w="10283" w:type="dxa"/>
            <w:gridSpan w:val="2"/>
            <w:shd w:val="clear" w:color="auto" w:fill="auto"/>
          </w:tcPr>
          <w:p w14:paraId="632E7318" w14:textId="77777777" w:rsidR="00E90764" w:rsidRPr="00563408" w:rsidRDefault="0099166C" w:rsidP="001D1CF9">
            <w:pPr>
              <w:pStyle w:val="Heading6"/>
            </w:pPr>
            <w:r w:rsidRPr="00563408">
              <w:t>Data source and methodology</w:t>
            </w:r>
          </w:p>
          <w:p w14:paraId="632E7319" w14:textId="1AD8194E" w:rsidR="00E90764" w:rsidRPr="00563408" w:rsidRDefault="0099166C" w:rsidP="001D1CF9">
            <w:pPr>
              <w:pStyle w:val="BodyText"/>
            </w:pPr>
            <w:r w:rsidRPr="00563408">
              <w:t>Information on investments is updated monthly using data supplied by the National Health and Medical Research Council and the Department of Industry, Innovation and Science, who administer MRFF grants on the Department’s behalf. Data is maintained internally by the Department. Information on the value of investments is published in the Department’s annual financial statements, which are audited by the Australian National Audit Office and available on the</w:t>
            </w:r>
            <w:r w:rsidR="00041BDA" w:rsidRPr="00563408">
              <w:t xml:space="preserve"> </w:t>
            </w:r>
            <w:r w:rsidRPr="00563408">
              <w:t>Department’s website</w:t>
            </w:r>
            <w:r w:rsidR="00041BDA" w:rsidRPr="00563408">
              <w:rPr>
                <w:rStyle w:val="FootnoteReference"/>
                <w:color w:val="000000" w:themeColor="text1"/>
              </w:rPr>
              <w:footnoteReference w:id="4"/>
            </w:r>
            <w:r w:rsidRPr="00563408">
              <w:t>.</w:t>
            </w:r>
          </w:p>
          <w:p w14:paraId="632E731A" w14:textId="61360C28" w:rsidR="00E90764" w:rsidRPr="00563408" w:rsidRDefault="0099166C" w:rsidP="001D1CF9">
            <w:pPr>
              <w:pStyle w:val="Heading6"/>
            </w:pPr>
            <w:r w:rsidRPr="00563408">
              <w:t>Measure type</w:t>
            </w:r>
            <w:r w:rsidR="00041BDA" w:rsidRPr="00563408">
              <w:t xml:space="preserve"> </w:t>
            </w:r>
          </w:p>
          <w:p w14:paraId="632E731B" w14:textId="77777777" w:rsidR="00E90764" w:rsidRPr="00563408" w:rsidRDefault="0099166C" w:rsidP="001D1CF9">
            <w:pPr>
              <w:pStyle w:val="BodyText"/>
            </w:pPr>
            <w:r w:rsidRPr="00563408">
              <w:t>Qualitative/Output</w:t>
            </w:r>
          </w:p>
        </w:tc>
      </w:tr>
      <w:tr w:rsidR="00563408" w:rsidRPr="00563408" w14:paraId="632E731F" w14:textId="77777777" w:rsidTr="00563408">
        <w:trPr>
          <w:trHeight w:val="470"/>
        </w:trPr>
        <w:tc>
          <w:tcPr>
            <w:tcW w:w="10283" w:type="dxa"/>
            <w:gridSpan w:val="2"/>
            <w:shd w:val="clear" w:color="auto" w:fill="auto"/>
          </w:tcPr>
          <w:p w14:paraId="632E731E" w14:textId="4A9B920F" w:rsidR="00E90764" w:rsidRPr="00563408" w:rsidRDefault="0099166C" w:rsidP="001D1CF9">
            <w:pPr>
              <w:pStyle w:val="BodyText"/>
              <w:rPr>
                <w:rStyle w:val="Strong"/>
                <w:color w:val="000000" w:themeColor="text1"/>
              </w:rPr>
            </w:pPr>
            <w:r w:rsidRPr="00563408">
              <w:rPr>
                <w:rStyle w:val="Strong"/>
                <w:color w:val="000000" w:themeColor="text1"/>
              </w:rPr>
              <w:t>The rate of avoidable readmissions to public hospitals reduces over time.</w:t>
            </w:r>
            <w:r w:rsidR="00041BDA" w:rsidRPr="00563408">
              <w:rPr>
                <w:rStyle w:val="FootnoteReference"/>
                <w:b/>
                <w:bCs/>
                <w:color w:val="000000" w:themeColor="text1"/>
              </w:rPr>
              <w:footnoteReference w:id="5"/>
            </w:r>
          </w:p>
        </w:tc>
      </w:tr>
      <w:tr w:rsidR="00563408" w:rsidRPr="00563408" w14:paraId="632E7322" w14:textId="77777777" w:rsidTr="00563408">
        <w:trPr>
          <w:trHeight w:val="463"/>
        </w:trPr>
        <w:tc>
          <w:tcPr>
            <w:tcW w:w="5154" w:type="dxa"/>
            <w:shd w:val="clear" w:color="auto" w:fill="auto"/>
          </w:tcPr>
          <w:p w14:paraId="632E7320" w14:textId="77777777" w:rsidR="00E90764" w:rsidRPr="00563408" w:rsidRDefault="0099166C" w:rsidP="001D1CF9">
            <w:pPr>
              <w:pStyle w:val="BodyText"/>
              <w:rPr>
                <w:rStyle w:val="Strong"/>
                <w:color w:val="000000" w:themeColor="text1"/>
              </w:rPr>
            </w:pPr>
            <w:r w:rsidRPr="00563408">
              <w:rPr>
                <w:rStyle w:val="Strong"/>
                <w:color w:val="000000" w:themeColor="text1"/>
              </w:rPr>
              <w:t>2021–22 Target</w:t>
            </w:r>
          </w:p>
        </w:tc>
        <w:tc>
          <w:tcPr>
            <w:tcW w:w="5129" w:type="dxa"/>
            <w:shd w:val="clear" w:color="auto" w:fill="auto"/>
          </w:tcPr>
          <w:p w14:paraId="632E7321" w14:textId="77777777" w:rsidR="00E90764" w:rsidRPr="00563408" w:rsidRDefault="0099166C" w:rsidP="001D1CF9">
            <w:pPr>
              <w:pStyle w:val="BodyText"/>
              <w:rPr>
                <w:rStyle w:val="Strong"/>
                <w:color w:val="000000" w:themeColor="text1"/>
              </w:rPr>
            </w:pPr>
            <w:r w:rsidRPr="00563408">
              <w:rPr>
                <w:rStyle w:val="Strong"/>
                <w:color w:val="000000" w:themeColor="text1"/>
              </w:rPr>
              <w:t>2022–23 Target (and beyond)</w:t>
            </w:r>
          </w:p>
        </w:tc>
      </w:tr>
      <w:tr w:rsidR="00563408" w:rsidRPr="00563408" w14:paraId="632E7325" w14:textId="77777777" w:rsidTr="00563408">
        <w:trPr>
          <w:trHeight w:val="950"/>
        </w:trPr>
        <w:tc>
          <w:tcPr>
            <w:tcW w:w="5154" w:type="dxa"/>
            <w:shd w:val="clear" w:color="auto" w:fill="auto"/>
          </w:tcPr>
          <w:p w14:paraId="632E7323" w14:textId="215C8B01" w:rsidR="00E90764" w:rsidRPr="00563408" w:rsidRDefault="0099166C" w:rsidP="001D1CF9">
            <w:pPr>
              <w:pStyle w:val="BodyText"/>
            </w:pPr>
            <w:r w:rsidRPr="00563408">
              <w:t>Implement more consistent definitions of avoidable readmissions, as per clauses A169 to A171 of the 2020–25 National Health Reform Agreement (NHRA).</w:t>
            </w:r>
          </w:p>
        </w:tc>
        <w:tc>
          <w:tcPr>
            <w:tcW w:w="5129" w:type="dxa"/>
            <w:shd w:val="clear" w:color="auto" w:fill="auto"/>
          </w:tcPr>
          <w:p w14:paraId="632E7324" w14:textId="77777777" w:rsidR="00E90764" w:rsidRPr="00563408" w:rsidRDefault="0099166C" w:rsidP="001D1CF9">
            <w:pPr>
              <w:pStyle w:val="BodyText"/>
            </w:pPr>
            <w:r w:rsidRPr="00563408">
              <w:t>Reduced rate of avoidable readmissions compared to 2021–22 baseline.</w:t>
            </w:r>
          </w:p>
        </w:tc>
      </w:tr>
      <w:tr w:rsidR="00563408" w:rsidRPr="00563408" w14:paraId="632E732A" w14:textId="77777777" w:rsidTr="00563408">
        <w:trPr>
          <w:trHeight w:val="1969"/>
        </w:trPr>
        <w:tc>
          <w:tcPr>
            <w:tcW w:w="10283" w:type="dxa"/>
            <w:gridSpan w:val="2"/>
            <w:shd w:val="clear" w:color="auto" w:fill="auto"/>
          </w:tcPr>
          <w:p w14:paraId="632E7326" w14:textId="77777777" w:rsidR="00E90764" w:rsidRPr="00563408" w:rsidRDefault="0099166C" w:rsidP="001D1CF9">
            <w:pPr>
              <w:pStyle w:val="Heading6"/>
            </w:pPr>
            <w:r w:rsidRPr="00563408">
              <w:t>Data source and methodology</w:t>
            </w:r>
          </w:p>
          <w:p w14:paraId="632E7327" w14:textId="6F09BFB0" w:rsidR="00E90764" w:rsidRPr="00563408" w:rsidRDefault="0099166C" w:rsidP="001D1CF9">
            <w:pPr>
              <w:pStyle w:val="BodyText"/>
            </w:pPr>
            <w:r w:rsidRPr="00563408">
              <w:t>The Report on Government Services: Public Hospitals, which is published annually by the Productivity Commission and</w:t>
            </w:r>
            <w:r w:rsidR="00041BDA" w:rsidRPr="00563408">
              <w:t xml:space="preserve"> </w:t>
            </w:r>
            <w:r w:rsidRPr="00563408">
              <w:t>available on their website</w:t>
            </w:r>
            <w:r w:rsidR="00041BDA" w:rsidRPr="00563408">
              <w:rPr>
                <w:rStyle w:val="FootnoteReference"/>
                <w:color w:val="000000" w:themeColor="text1"/>
              </w:rPr>
              <w:footnoteReference w:id="6"/>
            </w:r>
            <w:r w:rsidRPr="00563408">
              <w:t>. This is the first time this data is being used to measure this target. The methodology will be updated after the first reporting period.</w:t>
            </w:r>
          </w:p>
          <w:p w14:paraId="632E7328" w14:textId="77777777" w:rsidR="00E90764" w:rsidRPr="00563408" w:rsidRDefault="0099166C" w:rsidP="001D1CF9">
            <w:pPr>
              <w:pStyle w:val="Heading6"/>
            </w:pPr>
            <w:r w:rsidRPr="00563408">
              <w:t>Measure type</w:t>
            </w:r>
          </w:p>
          <w:p w14:paraId="632E7329" w14:textId="77777777" w:rsidR="00E90764" w:rsidRPr="00563408" w:rsidRDefault="0099166C" w:rsidP="001D1CF9">
            <w:pPr>
              <w:pStyle w:val="BodyText"/>
            </w:pPr>
            <w:r w:rsidRPr="00563408">
              <w:t>Quantitative Effectiveness</w:t>
            </w:r>
          </w:p>
        </w:tc>
      </w:tr>
    </w:tbl>
    <w:p w14:paraId="632E732C" w14:textId="77777777" w:rsidR="00E90764" w:rsidRPr="00CF6322" w:rsidRDefault="0099166C" w:rsidP="001D1CF9">
      <w:pPr>
        <w:pStyle w:val="Heading6"/>
      </w:pPr>
      <w:r w:rsidRPr="00041BDA">
        <w:t>Discussion</w:t>
      </w:r>
    </w:p>
    <w:p w14:paraId="632E732D" w14:textId="37E53B76" w:rsidR="00E90764" w:rsidRPr="00CF6322" w:rsidRDefault="0099166C" w:rsidP="001D1CF9">
      <w:pPr>
        <w:pStyle w:val="BodyText"/>
      </w:pPr>
      <w:r w:rsidRPr="00CF6322">
        <w:t>While this program reflects a broad range of objectives and activities, these 2 targets have been selected to assess performance as the MRFF and hospitals are the most financially material sections of Program 1.1 and are high priority areas</w:t>
      </w:r>
      <w:r w:rsidR="00F61166" w:rsidRPr="00CF6322">
        <w:t xml:space="preserve"> </w:t>
      </w:r>
      <w:r w:rsidRPr="00CF6322">
        <w:t>of focus for the Government and the Department.</w:t>
      </w:r>
    </w:p>
    <w:p w14:paraId="632E732E" w14:textId="77777777" w:rsidR="00E90764" w:rsidRPr="00CF6322" w:rsidRDefault="0099166C" w:rsidP="001D1CF9">
      <w:pPr>
        <w:pStyle w:val="BodyText"/>
      </w:pPr>
      <w:r w:rsidRPr="00CF6322">
        <w:t>With the maturation of the MRFF at $20 billion in 2020–21, this measure assesses the annual achievement in the long term administration of the fund and demonstrates early performance against the program’s objectives relating to health and medical research. Measuring distribution of funding is appropriate for this stage of the MRFF’s lifecycle. In the future, we intend to develop measures to assess research translation and eventually health outcomes.</w:t>
      </w:r>
    </w:p>
    <w:p w14:paraId="3F640D6F" w14:textId="77777777" w:rsidR="00E90764" w:rsidRDefault="0099166C" w:rsidP="001D1CF9">
      <w:pPr>
        <w:pStyle w:val="BodyText"/>
      </w:pPr>
      <w:r w:rsidRPr="00CF6322">
        <w:t>The 2021–22 avoidable readmissions target reflects the early focus of the 2020–25 NHRA on ensuring a consistent approach across jurisdictions and will establish a baseline figure. Future targets support a long term focus on continued improvement.</w:t>
      </w:r>
    </w:p>
    <w:p w14:paraId="6826C41A" w14:textId="32608FF4" w:rsidR="00E776A7" w:rsidRPr="00E776A7" w:rsidRDefault="00E776A7" w:rsidP="00E776A7">
      <w:pPr>
        <w:pStyle w:val="Heading3"/>
      </w:pPr>
      <w:r>
        <w:lastRenderedPageBreak/>
        <w:t xml:space="preserve">1.2 </w:t>
      </w:r>
      <w:r w:rsidR="009D2002">
        <w:t>–</w:t>
      </w:r>
      <w:r>
        <w:t xml:space="preserve"> </w:t>
      </w:r>
      <w:r w:rsidRPr="00E776A7">
        <w:t>Mental Health</w:t>
      </w:r>
    </w:p>
    <w:p w14:paraId="632E733A" w14:textId="2D36E0FB" w:rsidR="00E90764" w:rsidRPr="00CF6322" w:rsidRDefault="0099166C" w:rsidP="00E776A7">
      <w:pPr>
        <w:pStyle w:val="Heading4"/>
      </w:pPr>
      <w:r w:rsidRPr="00CF6322">
        <w:t xml:space="preserve">Program </w:t>
      </w:r>
      <w:r w:rsidRPr="00E776A7">
        <w:t>Objective</w:t>
      </w:r>
    </w:p>
    <w:p w14:paraId="7470939C" w14:textId="7AFCB4F1" w:rsidR="00E776A7" w:rsidRPr="00E776A7" w:rsidRDefault="00E776A7" w:rsidP="001D1CF9">
      <w:pPr>
        <w:pStyle w:val="BodyText"/>
      </w:pPr>
      <w:r w:rsidRPr="00E776A7">
        <w:t>Improve the mental health and wellbeing of all Australians, including a focus on suicide prevention.</w:t>
      </w:r>
    </w:p>
    <w:p w14:paraId="632E733E" w14:textId="77777777" w:rsidR="00E90764" w:rsidRPr="00CF6322" w:rsidRDefault="0099166C" w:rsidP="00E776A7">
      <w:pPr>
        <w:pStyle w:val="Heading4"/>
      </w:pPr>
      <w:r w:rsidRPr="00CF6322">
        <w:t>Our Operating Focus</w:t>
      </w:r>
    </w:p>
    <w:p w14:paraId="632E7340" w14:textId="7CBB4616" w:rsidR="00E90764" w:rsidRPr="00CF6322" w:rsidRDefault="0099166C" w:rsidP="001D1CF9">
      <w:pPr>
        <w:pStyle w:val="BodyText"/>
      </w:pPr>
      <w:r w:rsidRPr="00CF6322">
        <w:t>The Australian Government has demonstrated its commitment to mental health and suicide prevention as a national priority by delivering the single largest mental health and suicide prevention investment in Australia’s history. Through the National Mental Health and Suicide Prevention Plan (the Plan), the Government has invested</w:t>
      </w:r>
      <w:r w:rsidR="00953805" w:rsidRPr="00CF6322">
        <w:t xml:space="preserve"> </w:t>
      </w:r>
      <w:r w:rsidRPr="00CF6322">
        <w:t>$2.3 billion over 4 years to help people stay well, get early access to effective coordinated care, and ensure they ha</w:t>
      </w:r>
      <w:r w:rsidR="00E776A7">
        <w:t>ve</w:t>
      </w:r>
      <w:r w:rsidRPr="00CF6322">
        <w:t xml:space="preserve"> the support they need.</w:t>
      </w:r>
    </w:p>
    <w:p w14:paraId="632E7342" w14:textId="44E65A05" w:rsidR="00E90764" w:rsidRPr="00CF6322" w:rsidRDefault="0099166C" w:rsidP="001D1CF9">
      <w:pPr>
        <w:pStyle w:val="BodyText"/>
      </w:pPr>
      <w:r w:rsidRPr="00CF6322">
        <w:t xml:space="preserve">This investment will lead landmark reforms, provide critical services and supports to improve mental health services and create a new and expanded national network of adult, youth and children’s mental health treatment </w:t>
      </w:r>
      <w:proofErr w:type="spellStart"/>
      <w:r w:rsidRPr="00CF6322">
        <w:t>centres</w:t>
      </w:r>
      <w:proofErr w:type="spellEnd"/>
      <w:r w:rsidRPr="00CF6322">
        <w:t>. It is the</w:t>
      </w:r>
      <w:r w:rsidR="00133EEF" w:rsidRPr="00CF6322">
        <w:t xml:space="preserve"> </w:t>
      </w:r>
      <w:r w:rsidRPr="00CF6322">
        <w:t>Government’s first phase response to the findings of both the</w:t>
      </w:r>
      <w:r w:rsidR="00E776A7">
        <w:t xml:space="preserve"> </w:t>
      </w:r>
      <w:r w:rsidRPr="00CF6322">
        <w:t>Productivity Commission’s Inquiry into Mental Health and the National Suicide Prevention Adviser’s Final Report.</w:t>
      </w:r>
    </w:p>
    <w:p w14:paraId="632E7344" w14:textId="53D51D84" w:rsidR="00E90764" w:rsidRPr="00CF6322" w:rsidRDefault="0099166C" w:rsidP="001D1CF9">
      <w:pPr>
        <w:pStyle w:val="BodyText"/>
      </w:pPr>
      <w:r w:rsidRPr="00CF6322">
        <w:t>The Government has accepted all recommendations of both reports in principle, in part or in full. More than half of these recommendations require collaboration with state and territory governments, and will be pursued jointly through</w:t>
      </w:r>
      <w:r w:rsidR="00133EEF" w:rsidRPr="00CF6322">
        <w:t xml:space="preserve"> </w:t>
      </w:r>
      <w:r w:rsidRPr="00CF6322">
        <w:t>a new National Mental Health and Suicide Prevention Agreement (National Agreement) and bilateral mental health suicide prevention agreements with jurisdictions.</w:t>
      </w:r>
    </w:p>
    <w:p w14:paraId="632E7346" w14:textId="5B517C6C" w:rsidR="00E90764" w:rsidRPr="00CF6322" w:rsidRDefault="0099166C" w:rsidP="001D1CF9">
      <w:pPr>
        <w:pStyle w:val="BodyText"/>
      </w:pPr>
      <w:r w:rsidRPr="00CF6322">
        <w:t>As a department we are proud and excited to be at the forefront of such an important set of reforms. One of our first priorities is to reach agreement with jurisdictions to achieve timely delivery of a single, unified mental health system. This will be achieved by working in partnership with states and territories on the foundations of the mental health system, clarifying roles, joint planning and</w:t>
      </w:r>
      <w:r w:rsidR="009D2002">
        <w:t xml:space="preserve"> </w:t>
      </w:r>
      <w:r w:rsidRPr="00CF6322">
        <w:t>co-investment in services, and opportunities to better integrate across the system. We will work in partnership with the Department of the Prime Minister and Cabinet on whole of government engagement. We will continue to invest in and support key areas of need, and closely monitor the services provided to the community through mental health initiatives and programs.</w:t>
      </w:r>
    </w:p>
    <w:p w14:paraId="632E7347" w14:textId="77777777" w:rsidR="00E90764" w:rsidRPr="00CF6322" w:rsidRDefault="0099166C" w:rsidP="001D1CF9">
      <w:pPr>
        <w:pStyle w:val="BodyText"/>
      </w:pPr>
      <w:r w:rsidRPr="00CF6322">
        <w:t>We will also continue to work with Primary Health Networks (PHNs) and other key stakeholders to develop regional services based on assessed need and implement new initiatives to address gaps in the current system.</w:t>
      </w:r>
    </w:p>
    <w:p w14:paraId="632E7348" w14:textId="77777777" w:rsidR="00E90764" w:rsidRPr="00CF6322" w:rsidRDefault="0099166C" w:rsidP="001D1CF9">
      <w:pPr>
        <w:pStyle w:val="BodyText"/>
      </w:pPr>
      <w:r w:rsidRPr="00CF6322">
        <w:t>The Plan is based on the principles of prevention, compassion and care, and comprises 5 key priority areas:</w:t>
      </w:r>
    </w:p>
    <w:p w14:paraId="632E7349" w14:textId="77777777" w:rsidR="00E90764" w:rsidRPr="00E776A7" w:rsidRDefault="0099166C" w:rsidP="00E776A7">
      <w:pPr>
        <w:pStyle w:val="Bullets"/>
      </w:pPr>
      <w:r w:rsidRPr="00CF6322">
        <w:t xml:space="preserve">Prevention and early intervention, to provide all Australians </w:t>
      </w:r>
      <w:r w:rsidRPr="00E776A7">
        <w:t>greater access and choice to engage with high quality, free and low cost digital mental health services early to prevent mental illness.</w:t>
      </w:r>
    </w:p>
    <w:p w14:paraId="632E734A" w14:textId="77777777" w:rsidR="00E90764" w:rsidRPr="00E776A7" w:rsidRDefault="0099166C" w:rsidP="00E776A7">
      <w:pPr>
        <w:pStyle w:val="Bullets"/>
      </w:pPr>
      <w:r w:rsidRPr="00E776A7">
        <w:t>Suicide prevention, to maintain commitment to working towards zero suicides through activities to prevent suicide and self-harm, and provide support to those impacted by suicide.</w:t>
      </w:r>
    </w:p>
    <w:p w14:paraId="632E734B" w14:textId="77777777" w:rsidR="00E90764" w:rsidRPr="00E776A7" w:rsidRDefault="0099166C" w:rsidP="00E776A7">
      <w:pPr>
        <w:pStyle w:val="Bullets"/>
      </w:pPr>
      <w:r w:rsidRPr="00E776A7">
        <w:t>Treatment, to ensure the delivery of easy to access, high quality, person-</w:t>
      </w:r>
      <w:proofErr w:type="spellStart"/>
      <w:r w:rsidRPr="00E776A7">
        <w:t>centred</w:t>
      </w:r>
      <w:proofErr w:type="spellEnd"/>
      <w:r w:rsidRPr="00E776A7">
        <w:t xml:space="preserve"> treatment for all Australians who need it, at the right stage of life.</w:t>
      </w:r>
    </w:p>
    <w:p w14:paraId="632E734C" w14:textId="77777777" w:rsidR="00E90764" w:rsidRPr="00E776A7" w:rsidRDefault="0099166C" w:rsidP="00E776A7">
      <w:pPr>
        <w:pStyle w:val="Bullets"/>
      </w:pPr>
      <w:r w:rsidRPr="00E776A7">
        <w:t>Support for the vulnerable, through effective and culturally appropriate mental health services for specific groups at increased risk of mental ill health.</w:t>
      </w:r>
    </w:p>
    <w:p w14:paraId="632E734D" w14:textId="30E60134" w:rsidR="0070733A" w:rsidRDefault="0099166C" w:rsidP="00E776A7">
      <w:pPr>
        <w:pStyle w:val="Bullets"/>
      </w:pPr>
      <w:r w:rsidRPr="00E776A7">
        <w:t>Workforce and governance</w:t>
      </w:r>
      <w:r w:rsidRPr="00CF6322">
        <w:t>, to support Australia’s mental health system and workforce.</w:t>
      </w:r>
    </w:p>
    <w:p w14:paraId="02C8EB1B" w14:textId="77777777" w:rsidR="0070733A" w:rsidRDefault="0070733A">
      <w:pPr>
        <w:rPr>
          <w:rFonts w:ascii="Helvetica" w:eastAsiaTheme="minorHAnsi" w:hAnsi="Helvetica" w:cs="HelveticaNeueLT Std Lt"/>
          <w:color w:val="000000"/>
          <w:sz w:val="19"/>
          <w:szCs w:val="19"/>
        </w:rPr>
      </w:pPr>
      <w:r>
        <w:br w:type="page"/>
      </w:r>
    </w:p>
    <w:p w14:paraId="79C25FE6" w14:textId="77777777" w:rsidR="00E90764" w:rsidRPr="00CF6322" w:rsidRDefault="00E90764" w:rsidP="00E776A7">
      <w:pPr>
        <w:pStyle w:val="Bullets"/>
      </w:pPr>
    </w:p>
    <w:tbl>
      <w:tblPr>
        <w:tblW w:w="10303"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0" w:type="dxa"/>
        </w:tblCellMar>
        <w:tblLook w:val="01E0" w:firstRow="1" w:lastRow="1" w:firstColumn="1" w:lastColumn="1" w:noHBand="0" w:noVBand="0"/>
      </w:tblPr>
      <w:tblGrid>
        <w:gridCol w:w="8541"/>
        <w:gridCol w:w="441"/>
        <w:gridCol w:w="441"/>
        <w:gridCol w:w="439"/>
        <w:gridCol w:w="441"/>
      </w:tblGrid>
      <w:tr w:rsidR="00E776A7" w:rsidRPr="00E776A7" w14:paraId="632E7357" w14:textId="77777777" w:rsidTr="001D1CF9">
        <w:trPr>
          <w:trHeight w:val="1129"/>
          <w:tblHeader/>
        </w:trPr>
        <w:tc>
          <w:tcPr>
            <w:tcW w:w="8541" w:type="dxa"/>
            <w:shd w:val="clear" w:color="auto" w:fill="auto"/>
          </w:tcPr>
          <w:p w14:paraId="632E7352" w14:textId="77777777" w:rsidR="00E90764" w:rsidRPr="00E776A7" w:rsidRDefault="0099166C" w:rsidP="001D1CF9">
            <w:pPr>
              <w:pStyle w:val="BodyText"/>
              <w:rPr>
                <w:rStyle w:val="Strong"/>
                <w:color w:val="000000" w:themeColor="text1"/>
              </w:rPr>
            </w:pPr>
            <w:r w:rsidRPr="00E776A7">
              <w:rPr>
                <w:rStyle w:val="Strong"/>
                <w:color w:val="000000" w:themeColor="text1"/>
              </w:rPr>
              <w:t>Key Activities</w:t>
            </w:r>
          </w:p>
        </w:tc>
        <w:tc>
          <w:tcPr>
            <w:tcW w:w="441" w:type="dxa"/>
            <w:shd w:val="clear" w:color="auto" w:fill="auto"/>
            <w:textDirection w:val="tbRl"/>
            <w:vAlign w:val="center"/>
          </w:tcPr>
          <w:p w14:paraId="632E7353" w14:textId="77777777" w:rsidR="00E90764" w:rsidRPr="00E776A7" w:rsidRDefault="0099166C" w:rsidP="001D1CF9">
            <w:pPr>
              <w:pStyle w:val="BodyText"/>
              <w:rPr>
                <w:rStyle w:val="Strong"/>
                <w:color w:val="000000" w:themeColor="text1"/>
              </w:rPr>
            </w:pPr>
            <w:r w:rsidRPr="00E776A7">
              <w:rPr>
                <w:rStyle w:val="Strong"/>
                <w:color w:val="000000" w:themeColor="text1"/>
              </w:rPr>
              <w:t>2021–22</w:t>
            </w:r>
          </w:p>
        </w:tc>
        <w:tc>
          <w:tcPr>
            <w:tcW w:w="441" w:type="dxa"/>
            <w:shd w:val="clear" w:color="auto" w:fill="auto"/>
            <w:textDirection w:val="tbRl"/>
            <w:vAlign w:val="center"/>
          </w:tcPr>
          <w:p w14:paraId="632E7354" w14:textId="77777777" w:rsidR="00E90764" w:rsidRPr="00E776A7" w:rsidRDefault="0099166C" w:rsidP="001D1CF9">
            <w:pPr>
              <w:pStyle w:val="BodyText"/>
              <w:rPr>
                <w:rStyle w:val="Strong"/>
                <w:color w:val="000000" w:themeColor="text1"/>
              </w:rPr>
            </w:pPr>
            <w:r w:rsidRPr="00E776A7">
              <w:rPr>
                <w:rStyle w:val="Strong"/>
                <w:color w:val="000000" w:themeColor="text1"/>
              </w:rPr>
              <w:t>2022–23</w:t>
            </w:r>
          </w:p>
        </w:tc>
        <w:tc>
          <w:tcPr>
            <w:tcW w:w="439" w:type="dxa"/>
            <w:shd w:val="clear" w:color="auto" w:fill="auto"/>
            <w:textDirection w:val="tbRl"/>
            <w:vAlign w:val="center"/>
          </w:tcPr>
          <w:p w14:paraId="632E7355" w14:textId="77777777" w:rsidR="00E90764" w:rsidRPr="00E776A7" w:rsidRDefault="0099166C" w:rsidP="001D1CF9">
            <w:pPr>
              <w:pStyle w:val="BodyText"/>
              <w:rPr>
                <w:rStyle w:val="Strong"/>
                <w:color w:val="000000" w:themeColor="text1"/>
              </w:rPr>
            </w:pPr>
            <w:r w:rsidRPr="00E776A7">
              <w:rPr>
                <w:rStyle w:val="Strong"/>
                <w:color w:val="000000" w:themeColor="text1"/>
              </w:rPr>
              <w:t>2023–24</w:t>
            </w:r>
          </w:p>
        </w:tc>
        <w:tc>
          <w:tcPr>
            <w:tcW w:w="441" w:type="dxa"/>
            <w:shd w:val="clear" w:color="auto" w:fill="auto"/>
            <w:textDirection w:val="tbRl"/>
            <w:vAlign w:val="center"/>
          </w:tcPr>
          <w:p w14:paraId="632E7356" w14:textId="77777777" w:rsidR="00E90764" w:rsidRPr="00E776A7" w:rsidRDefault="0099166C" w:rsidP="001D1CF9">
            <w:pPr>
              <w:pStyle w:val="BodyText"/>
              <w:rPr>
                <w:rStyle w:val="Strong"/>
                <w:color w:val="000000" w:themeColor="text1"/>
              </w:rPr>
            </w:pPr>
            <w:r w:rsidRPr="00E776A7">
              <w:rPr>
                <w:rStyle w:val="Strong"/>
                <w:color w:val="000000" w:themeColor="text1"/>
              </w:rPr>
              <w:t>2024–25</w:t>
            </w:r>
          </w:p>
        </w:tc>
      </w:tr>
      <w:tr w:rsidR="00E776A7" w:rsidRPr="00E776A7" w14:paraId="632E735D" w14:textId="77777777" w:rsidTr="001D1CF9">
        <w:trPr>
          <w:trHeight w:val="582"/>
        </w:trPr>
        <w:tc>
          <w:tcPr>
            <w:tcW w:w="8541" w:type="dxa"/>
            <w:shd w:val="clear" w:color="auto" w:fill="auto"/>
            <w:vAlign w:val="center"/>
          </w:tcPr>
          <w:p w14:paraId="632E7358" w14:textId="523928B4" w:rsidR="00E90764" w:rsidRPr="00E776A7" w:rsidRDefault="0099166C" w:rsidP="001D1CF9">
            <w:pPr>
              <w:pStyle w:val="BodyText"/>
            </w:pPr>
            <w:r w:rsidRPr="00E776A7">
              <w:t xml:space="preserve">Working with states and territories to </w:t>
            </w:r>
            <w:proofErr w:type="spellStart"/>
            <w:r w:rsidRPr="00E776A7">
              <w:t>finalise</w:t>
            </w:r>
            <w:proofErr w:type="spellEnd"/>
            <w:r w:rsidRPr="00E776A7">
              <w:t xml:space="preserve"> the National Agreement. Implementing initiatives from</w:t>
            </w:r>
            <w:r w:rsidR="00953805" w:rsidRPr="00E776A7">
              <w:t xml:space="preserve"> </w:t>
            </w:r>
            <w:r w:rsidRPr="00E776A7">
              <w:t>the National Agreement and associated bilateral agreements.</w:t>
            </w:r>
          </w:p>
        </w:tc>
        <w:tc>
          <w:tcPr>
            <w:tcW w:w="441" w:type="dxa"/>
            <w:shd w:val="clear" w:color="auto" w:fill="auto"/>
            <w:vAlign w:val="center"/>
          </w:tcPr>
          <w:p w14:paraId="632E7359" w14:textId="539464ED" w:rsidR="00E90764" w:rsidRPr="00E776A7" w:rsidRDefault="00041BDA" w:rsidP="001D1CF9">
            <w:pPr>
              <w:pStyle w:val="BodyText"/>
            </w:pPr>
            <w:r w:rsidRPr="00E776A7">
              <w:rPr>
                <w:rFonts w:ascii="Segoe UI Symbol" w:hAnsi="Segoe UI Symbol" w:cs="Segoe UI Symbol"/>
              </w:rPr>
              <w:t>✓</w:t>
            </w:r>
          </w:p>
        </w:tc>
        <w:tc>
          <w:tcPr>
            <w:tcW w:w="441" w:type="dxa"/>
            <w:shd w:val="clear" w:color="auto" w:fill="auto"/>
            <w:vAlign w:val="center"/>
          </w:tcPr>
          <w:p w14:paraId="632E735A" w14:textId="744E65B1" w:rsidR="00E90764" w:rsidRPr="00E776A7" w:rsidRDefault="00041BDA" w:rsidP="001D1CF9">
            <w:pPr>
              <w:pStyle w:val="BodyText"/>
            </w:pPr>
            <w:r w:rsidRPr="00E776A7">
              <w:rPr>
                <w:rFonts w:ascii="Segoe UI Symbol" w:hAnsi="Segoe UI Symbol" w:cs="Segoe UI Symbol"/>
              </w:rPr>
              <w:t>✓</w:t>
            </w:r>
          </w:p>
        </w:tc>
        <w:tc>
          <w:tcPr>
            <w:tcW w:w="439" w:type="dxa"/>
            <w:shd w:val="clear" w:color="auto" w:fill="auto"/>
            <w:vAlign w:val="center"/>
          </w:tcPr>
          <w:p w14:paraId="632E735B" w14:textId="60FA3E94" w:rsidR="00E90764" w:rsidRPr="00E776A7" w:rsidRDefault="00041BDA" w:rsidP="001D1CF9">
            <w:pPr>
              <w:pStyle w:val="BodyText"/>
            </w:pPr>
            <w:r w:rsidRPr="00E776A7">
              <w:rPr>
                <w:rFonts w:ascii="Segoe UI Symbol" w:hAnsi="Segoe UI Symbol" w:cs="Segoe UI Symbol"/>
              </w:rPr>
              <w:t>✓</w:t>
            </w:r>
          </w:p>
        </w:tc>
        <w:tc>
          <w:tcPr>
            <w:tcW w:w="441" w:type="dxa"/>
            <w:shd w:val="clear" w:color="auto" w:fill="auto"/>
            <w:vAlign w:val="center"/>
          </w:tcPr>
          <w:p w14:paraId="632E735C" w14:textId="51813576" w:rsidR="00E90764" w:rsidRPr="00E776A7" w:rsidRDefault="00041BDA" w:rsidP="001D1CF9">
            <w:pPr>
              <w:pStyle w:val="BodyText"/>
            </w:pPr>
            <w:r w:rsidRPr="00E776A7">
              <w:rPr>
                <w:rFonts w:ascii="Segoe UI Symbol" w:hAnsi="Segoe UI Symbol" w:cs="Segoe UI Symbol"/>
              </w:rPr>
              <w:t>✓</w:t>
            </w:r>
          </w:p>
        </w:tc>
      </w:tr>
      <w:tr w:rsidR="00E776A7" w:rsidRPr="00E776A7" w14:paraId="632E7363" w14:textId="77777777" w:rsidTr="001D1CF9">
        <w:trPr>
          <w:trHeight w:val="582"/>
        </w:trPr>
        <w:tc>
          <w:tcPr>
            <w:tcW w:w="8541" w:type="dxa"/>
            <w:shd w:val="clear" w:color="auto" w:fill="auto"/>
            <w:vAlign w:val="center"/>
          </w:tcPr>
          <w:p w14:paraId="632E735E" w14:textId="7B111A8F" w:rsidR="00E90764" w:rsidRPr="00E776A7" w:rsidRDefault="0099166C" w:rsidP="001D1CF9">
            <w:pPr>
              <w:pStyle w:val="BodyText"/>
            </w:pPr>
            <w:r w:rsidRPr="00E776A7">
              <w:t>Implementing actions from the Digital Mental Health Strategy and Digital Mental Health Standards</w:t>
            </w:r>
            <w:r w:rsidR="00953805" w:rsidRPr="00E776A7">
              <w:t xml:space="preserve"> </w:t>
            </w:r>
            <w:r w:rsidRPr="00E776A7">
              <w:t>and commencing development of a comprehensive national digital mental health platform.</w:t>
            </w:r>
          </w:p>
        </w:tc>
        <w:tc>
          <w:tcPr>
            <w:tcW w:w="441" w:type="dxa"/>
            <w:shd w:val="clear" w:color="auto" w:fill="auto"/>
            <w:vAlign w:val="center"/>
          </w:tcPr>
          <w:p w14:paraId="632E735F" w14:textId="6B986FB3" w:rsidR="00E90764" w:rsidRPr="00E776A7" w:rsidRDefault="00041BDA" w:rsidP="001D1CF9">
            <w:pPr>
              <w:pStyle w:val="BodyText"/>
            </w:pPr>
            <w:r w:rsidRPr="00E776A7">
              <w:rPr>
                <w:rFonts w:ascii="Segoe UI Symbol" w:hAnsi="Segoe UI Symbol" w:cs="Segoe UI Symbol"/>
              </w:rPr>
              <w:t>✓</w:t>
            </w:r>
          </w:p>
        </w:tc>
        <w:tc>
          <w:tcPr>
            <w:tcW w:w="441" w:type="dxa"/>
            <w:shd w:val="clear" w:color="auto" w:fill="auto"/>
            <w:vAlign w:val="center"/>
          </w:tcPr>
          <w:p w14:paraId="632E7360" w14:textId="77777777" w:rsidR="00E90764" w:rsidRPr="00E776A7" w:rsidRDefault="00E90764" w:rsidP="001D1CF9">
            <w:pPr>
              <w:pStyle w:val="BodyText"/>
            </w:pPr>
          </w:p>
        </w:tc>
        <w:tc>
          <w:tcPr>
            <w:tcW w:w="439" w:type="dxa"/>
            <w:shd w:val="clear" w:color="auto" w:fill="auto"/>
            <w:vAlign w:val="center"/>
          </w:tcPr>
          <w:p w14:paraId="632E7361" w14:textId="77777777" w:rsidR="00E90764" w:rsidRPr="00E776A7" w:rsidRDefault="00E90764" w:rsidP="001D1CF9">
            <w:pPr>
              <w:pStyle w:val="BodyText"/>
            </w:pPr>
          </w:p>
        </w:tc>
        <w:tc>
          <w:tcPr>
            <w:tcW w:w="441" w:type="dxa"/>
            <w:shd w:val="clear" w:color="auto" w:fill="auto"/>
            <w:vAlign w:val="center"/>
          </w:tcPr>
          <w:p w14:paraId="632E7362" w14:textId="77777777" w:rsidR="00E90764" w:rsidRPr="00E776A7" w:rsidRDefault="00E90764" w:rsidP="001D1CF9">
            <w:pPr>
              <w:pStyle w:val="BodyText"/>
            </w:pPr>
          </w:p>
        </w:tc>
      </w:tr>
      <w:tr w:rsidR="00E776A7" w:rsidRPr="00E776A7" w14:paraId="632E7369" w14:textId="77777777" w:rsidTr="001D1CF9">
        <w:trPr>
          <w:trHeight w:val="582"/>
        </w:trPr>
        <w:tc>
          <w:tcPr>
            <w:tcW w:w="8541" w:type="dxa"/>
            <w:shd w:val="clear" w:color="auto" w:fill="auto"/>
            <w:vAlign w:val="center"/>
          </w:tcPr>
          <w:p w14:paraId="632E7364" w14:textId="4AFD3898" w:rsidR="00E90764" w:rsidRPr="00E776A7" w:rsidRDefault="0099166C" w:rsidP="001D1CF9">
            <w:pPr>
              <w:pStyle w:val="BodyText"/>
            </w:pPr>
            <w:r w:rsidRPr="00E776A7">
              <w:t>Providing tailored early intervention and suicide prevention services for fly-in fly-out and drive-in drive-out workers.</w:t>
            </w:r>
          </w:p>
        </w:tc>
        <w:tc>
          <w:tcPr>
            <w:tcW w:w="441" w:type="dxa"/>
            <w:shd w:val="clear" w:color="auto" w:fill="auto"/>
            <w:vAlign w:val="center"/>
          </w:tcPr>
          <w:p w14:paraId="632E7365" w14:textId="3411DEC1" w:rsidR="00E90764" w:rsidRPr="00E776A7" w:rsidRDefault="00041BDA" w:rsidP="001D1CF9">
            <w:pPr>
              <w:pStyle w:val="BodyText"/>
            </w:pPr>
            <w:r w:rsidRPr="00E776A7">
              <w:rPr>
                <w:rFonts w:ascii="Segoe UI Symbol" w:hAnsi="Segoe UI Symbol" w:cs="Segoe UI Symbol"/>
              </w:rPr>
              <w:t>✓</w:t>
            </w:r>
          </w:p>
        </w:tc>
        <w:tc>
          <w:tcPr>
            <w:tcW w:w="441" w:type="dxa"/>
            <w:shd w:val="clear" w:color="auto" w:fill="auto"/>
            <w:vAlign w:val="center"/>
          </w:tcPr>
          <w:p w14:paraId="632E7366" w14:textId="77777777" w:rsidR="00E90764" w:rsidRPr="00E776A7" w:rsidRDefault="00E90764" w:rsidP="001D1CF9">
            <w:pPr>
              <w:pStyle w:val="BodyText"/>
            </w:pPr>
          </w:p>
        </w:tc>
        <w:tc>
          <w:tcPr>
            <w:tcW w:w="439" w:type="dxa"/>
            <w:shd w:val="clear" w:color="auto" w:fill="auto"/>
            <w:vAlign w:val="center"/>
          </w:tcPr>
          <w:p w14:paraId="632E7367" w14:textId="77777777" w:rsidR="00E90764" w:rsidRPr="00E776A7" w:rsidRDefault="00E90764" w:rsidP="001D1CF9">
            <w:pPr>
              <w:pStyle w:val="BodyText"/>
            </w:pPr>
          </w:p>
        </w:tc>
        <w:tc>
          <w:tcPr>
            <w:tcW w:w="441" w:type="dxa"/>
            <w:shd w:val="clear" w:color="auto" w:fill="auto"/>
            <w:vAlign w:val="center"/>
          </w:tcPr>
          <w:p w14:paraId="632E7368" w14:textId="77777777" w:rsidR="00E90764" w:rsidRPr="00E776A7" w:rsidRDefault="00E90764" w:rsidP="001D1CF9">
            <w:pPr>
              <w:pStyle w:val="BodyText"/>
            </w:pPr>
          </w:p>
        </w:tc>
      </w:tr>
      <w:tr w:rsidR="00E776A7" w:rsidRPr="00E776A7" w14:paraId="632E736F" w14:textId="77777777" w:rsidTr="001D1CF9">
        <w:trPr>
          <w:trHeight w:val="582"/>
        </w:trPr>
        <w:tc>
          <w:tcPr>
            <w:tcW w:w="8541" w:type="dxa"/>
            <w:shd w:val="clear" w:color="auto" w:fill="auto"/>
            <w:vAlign w:val="center"/>
          </w:tcPr>
          <w:p w14:paraId="632E736A" w14:textId="77777777" w:rsidR="00E90764" w:rsidRPr="00E776A7" w:rsidRDefault="0099166C" w:rsidP="001D1CF9">
            <w:pPr>
              <w:pStyle w:val="BodyText"/>
            </w:pPr>
            <w:r w:rsidRPr="00E776A7">
              <w:t>Building on the National Perinatal Mental Health Check initiative to support the mental health and wellbeing of new and expectant parents.</w:t>
            </w:r>
          </w:p>
        </w:tc>
        <w:tc>
          <w:tcPr>
            <w:tcW w:w="441" w:type="dxa"/>
            <w:shd w:val="clear" w:color="auto" w:fill="auto"/>
            <w:vAlign w:val="center"/>
          </w:tcPr>
          <w:p w14:paraId="632E736B" w14:textId="61C59E98" w:rsidR="00E90764" w:rsidRPr="00E776A7" w:rsidRDefault="00041BDA" w:rsidP="001D1CF9">
            <w:pPr>
              <w:pStyle w:val="BodyText"/>
            </w:pPr>
            <w:r w:rsidRPr="00E776A7">
              <w:rPr>
                <w:rFonts w:ascii="Segoe UI Symbol" w:hAnsi="Segoe UI Symbol" w:cs="Segoe UI Symbol"/>
              </w:rPr>
              <w:t>✓</w:t>
            </w:r>
          </w:p>
        </w:tc>
        <w:tc>
          <w:tcPr>
            <w:tcW w:w="441" w:type="dxa"/>
            <w:shd w:val="clear" w:color="auto" w:fill="auto"/>
            <w:vAlign w:val="center"/>
          </w:tcPr>
          <w:p w14:paraId="632E736C" w14:textId="50EB8BA0" w:rsidR="00E90764" w:rsidRPr="00E776A7" w:rsidRDefault="00041BDA" w:rsidP="001D1CF9">
            <w:pPr>
              <w:pStyle w:val="BodyText"/>
            </w:pPr>
            <w:r w:rsidRPr="00E776A7">
              <w:rPr>
                <w:rFonts w:ascii="Segoe UI Symbol" w:hAnsi="Segoe UI Symbol" w:cs="Segoe UI Symbol"/>
              </w:rPr>
              <w:t>✓</w:t>
            </w:r>
          </w:p>
        </w:tc>
        <w:tc>
          <w:tcPr>
            <w:tcW w:w="439" w:type="dxa"/>
            <w:shd w:val="clear" w:color="auto" w:fill="auto"/>
            <w:vAlign w:val="center"/>
          </w:tcPr>
          <w:p w14:paraId="632E736D" w14:textId="77777777" w:rsidR="00E90764" w:rsidRPr="00E776A7" w:rsidRDefault="00E90764" w:rsidP="001D1CF9">
            <w:pPr>
              <w:pStyle w:val="BodyText"/>
            </w:pPr>
          </w:p>
        </w:tc>
        <w:tc>
          <w:tcPr>
            <w:tcW w:w="441" w:type="dxa"/>
            <w:shd w:val="clear" w:color="auto" w:fill="auto"/>
            <w:vAlign w:val="center"/>
          </w:tcPr>
          <w:p w14:paraId="632E736E" w14:textId="77777777" w:rsidR="00E90764" w:rsidRPr="00E776A7" w:rsidRDefault="00E90764" w:rsidP="001D1CF9">
            <w:pPr>
              <w:pStyle w:val="BodyText"/>
            </w:pPr>
          </w:p>
        </w:tc>
      </w:tr>
      <w:tr w:rsidR="00E776A7" w:rsidRPr="00E776A7" w14:paraId="632E7375" w14:textId="77777777" w:rsidTr="001D1CF9">
        <w:trPr>
          <w:trHeight w:val="582"/>
        </w:trPr>
        <w:tc>
          <w:tcPr>
            <w:tcW w:w="8541" w:type="dxa"/>
            <w:shd w:val="clear" w:color="auto" w:fill="auto"/>
            <w:vAlign w:val="center"/>
          </w:tcPr>
          <w:p w14:paraId="632E7370" w14:textId="39B607D9" w:rsidR="00E90764" w:rsidRPr="00E776A7" w:rsidRDefault="0099166C" w:rsidP="001D1CF9">
            <w:pPr>
              <w:pStyle w:val="BodyText"/>
            </w:pPr>
            <w:r w:rsidRPr="00E776A7">
              <w:t>Establishing a National Suicide Prevention Office to build capability to deliver a national approach to</w:t>
            </w:r>
            <w:r w:rsidR="00953805" w:rsidRPr="00E776A7">
              <w:t xml:space="preserve"> </w:t>
            </w:r>
            <w:r w:rsidRPr="00E776A7">
              <w:t>reducing suicide rates.</w:t>
            </w:r>
          </w:p>
        </w:tc>
        <w:tc>
          <w:tcPr>
            <w:tcW w:w="441" w:type="dxa"/>
            <w:shd w:val="clear" w:color="auto" w:fill="auto"/>
            <w:vAlign w:val="center"/>
          </w:tcPr>
          <w:p w14:paraId="632E7371" w14:textId="10C472CE" w:rsidR="00E90764" w:rsidRPr="00E776A7" w:rsidRDefault="00041BDA" w:rsidP="001D1CF9">
            <w:pPr>
              <w:pStyle w:val="BodyText"/>
            </w:pPr>
            <w:r w:rsidRPr="00E776A7">
              <w:rPr>
                <w:rFonts w:ascii="Segoe UI Symbol" w:hAnsi="Segoe UI Symbol" w:cs="Segoe UI Symbol"/>
              </w:rPr>
              <w:t>✓</w:t>
            </w:r>
          </w:p>
        </w:tc>
        <w:tc>
          <w:tcPr>
            <w:tcW w:w="441" w:type="dxa"/>
            <w:shd w:val="clear" w:color="auto" w:fill="auto"/>
            <w:vAlign w:val="center"/>
          </w:tcPr>
          <w:p w14:paraId="632E7372" w14:textId="77777777" w:rsidR="00E90764" w:rsidRPr="00E776A7" w:rsidRDefault="00E90764" w:rsidP="001D1CF9">
            <w:pPr>
              <w:pStyle w:val="BodyText"/>
            </w:pPr>
          </w:p>
        </w:tc>
        <w:tc>
          <w:tcPr>
            <w:tcW w:w="439" w:type="dxa"/>
            <w:shd w:val="clear" w:color="auto" w:fill="auto"/>
            <w:vAlign w:val="center"/>
          </w:tcPr>
          <w:p w14:paraId="632E7373" w14:textId="77777777" w:rsidR="00E90764" w:rsidRPr="00E776A7" w:rsidRDefault="00E90764" w:rsidP="001D1CF9">
            <w:pPr>
              <w:pStyle w:val="BodyText"/>
            </w:pPr>
          </w:p>
        </w:tc>
        <w:tc>
          <w:tcPr>
            <w:tcW w:w="441" w:type="dxa"/>
            <w:shd w:val="clear" w:color="auto" w:fill="auto"/>
            <w:vAlign w:val="center"/>
          </w:tcPr>
          <w:p w14:paraId="632E7374" w14:textId="77777777" w:rsidR="00E90764" w:rsidRPr="00E776A7" w:rsidRDefault="00E90764" w:rsidP="001D1CF9">
            <w:pPr>
              <w:pStyle w:val="BodyText"/>
            </w:pPr>
          </w:p>
        </w:tc>
      </w:tr>
      <w:tr w:rsidR="00E776A7" w:rsidRPr="00E776A7" w14:paraId="632E737B" w14:textId="77777777" w:rsidTr="001D1CF9">
        <w:trPr>
          <w:trHeight w:val="391"/>
        </w:trPr>
        <w:tc>
          <w:tcPr>
            <w:tcW w:w="8541" w:type="dxa"/>
            <w:shd w:val="clear" w:color="auto" w:fill="auto"/>
            <w:vAlign w:val="center"/>
          </w:tcPr>
          <w:p w14:paraId="632E7376" w14:textId="77777777" w:rsidR="00E90764" w:rsidRPr="00E776A7" w:rsidRDefault="0099166C" w:rsidP="001D1CF9">
            <w:pPr>
              <w:pStyle w:val="BodyText"/>
            </w:pPr>
            <w:r w:rsidRPr="00E776A7">
              <w:t>Establishing a national distress intervention trial program.</w:t>
            </w:r>
          </w:p>
        </w:tc>
        <w:tc>
          <w:tcPr>
            <w:tcW w:w="441" w:type="dxa"/>
            <w:shd w:val="clear" w:color="auto" w:fill="auto"/>
            <w:vAlign w:val="center"/>
          </w:tcPr>
          <w:p w14:paraId="632E7377" w14:textId="3295D403" w:rsidR="00E90764" w:rsidRPr="00E776A7" w:rsidRDefault="00041BDA" w:rsidP="001D1CF9">
            <w:pPr>
              <w:pStyle w:val="BodyText"/>
            </w:pPr>
            <w:r w:rsidRPr="00E776A7">
              <w:rPr>
                <w:rFonts w:ascii="Segoe UI Symbol" w:hAnsi="Segoe UI Symbol" w:cs="Segoe UI Symbol"/>
              </w:rPr>
              <w:t>✓</w:t>
            </w:r>
          </w:p>
        </w:tc>
        <w:tc>
          <w:tcPr>
            <w:tcW w:w="441" w:type="dxa"/>
            <w:shd w:val="clear" w:color="auto" w:fill="auto"/>
            <w:vAlign w:val="center"/>
          </w:tcPr>
          <w:p w14:paraId="632E7378" w14:textId="77777777" w:rsidR="00E90764" w:rsidRPr="00E776A7" w:rsidRDefault="00E90764" w:rsidP="001D1CF9">
            <w:pPr>
              <w:pStyle w:val="BodyText"/>
            </w:pPr>
          </w:p>
        </w:tc>
        <w:tc>
          <w:tcPr>
            <w:tcW w:w="439" w:type="dxa"/>
            <w:shd w:val="clear" w:color="auto" w:fill="auto"/>
            <w:vAlign w:val="center"/>
          </w:tcPr>
          <w:p w14:paraId="632E7379" w14:textId="77777777" w:rsidR="00E90764" w:rsidRPr="00E776A7" w:rsidRDefault="00E90764" w:rsidP="001D1CF9">
            <w:pPr>
              <w:pStyle w:val="BodyText"/>
            </w:pPr>
          </w:p>
        </w:tc>
        <w:tc>
          <w:tcPr>
            <w:tcW w:w="441" w:type="dxa"/>
            <w:shd w:val="clear" w:color="auto" w:fill="auto"/>
            <w:vAlign w:val="center"/>
          </w:tcPr>
          <w:p w14:paraId="632E737A" w14:textId="77777777" w:rsidR="00E90764" w:rsidRPr="00E776A7" w:rsidRDefault="00E90764" w:rsidP="001D1CF9">
            <w:pPr>
              <w:pStyle w:val="BodyText"/>
            </w:pPr>
          </w:p>
        </w:tc>
      </w:tr>
      <w:tr w:rsidR="00E776A7" w:rsidRPr="00E776A7" w14:paraId="632E7381" w14:textId="77777777" w:rsidTr="001D1CF9">
        <w:trPr>
          <w:trHeight w:val="582"/>
        </w:trPr>
        <w:tc>
          <w:tcPr>
            <w:tcW w:w="8541" w:type="dxa"/>
            <w:shd w:val="clear" w:color="auto" w:fill="auto"/>
            <w:vAlign w:val="center"/>
          </w:tcPr>
          <w:p w14:paraId="632E737C" w14:textId="77777777" w:rsidR="00E90764" w:rsidRPr="00E776A7" w:rsidRDefault="0099166C" w:rsidP="001D1CF9">
            <w:pPr>
              <w:pStyle w:val="BodyText"/>
            </w:pPr>
            <w:r w:rsidRPr="00E776A7">
              <w:t xml:space="preserve">Providing aftercare services to support Australians discharged from hospital following a suicide attempt, and suicide </w:t>
            </w:r>
            <w:proofErr w:type="spellStart"/>
            <w:r w:rsidRPr="00E776A7">
              <w:t>postvention</w:t>
            </w:r>
            <w:proofErr w:type="spellEnd"/>
            <w:r w:rsidRPr="00E776A7">
              <w:t xml:space="preserve"> services to support those bereaved by suicide.</w:t>
            </w:r>
          </w:p>
        </w:tc>
        <w:tc>
          <w:tcPr>
            <w:tcW w:w="441" w:type="dxa"/>
            <w:shd w:val="clear" w:color="auto" w:fill="auto"/>
            <w:vAlign w:val="center"/>
          </w:tcPr>
          <w:p w14:paraId="632E737D" w14:textId="6604F3B4" w:rsidR="00E90764" w:rsidRPr="00E776A7" w:rsidRDefault="00041BDA" w:rsidP="001D1CF9">
            <w:pPr>
              <w:pStyle w:val="BodyText"/>
            </w:pPr>
            <w:r w:rsidRPr="00E776A7">
              <w:rPr>
                <w:rFonts w:ascii="Segoe UI Symbol" w:hAnsi="Segoe UI Symbol" w:cs="Segoe UI Symbol"/>
              </w:rPr>
              <w:t>✓</w:t>
            </w:r>
          </w:p>
        </w:tc>
        <w:tc>
          <w:tcPr>
            <w:tcW w:w="441" w:type="dxa"/>
            <w:shd w:val="clear" w:color="auto" w:fill="auto"/>
            <w:vAlign w:val="center"/>
          </w:tcPr>
          <w:p w14:paraId="632E737E" w14:textId="77777777" w:rsidR="00E90764" w:rsidRPr="00E776A7" w:rsidRDefault="00E90764" w:rsidP="001D1CF9">
            <w:pPr>
              <w:pStyle w:val="BodyText"/>
            </w:pPr>
          </w:p>
        </w:tc>
        <w:tc>
          <w:tcPr>
            <w:tcW w:w="439" w:type="dxa"/>
            <w:shd w:val="clear" w:color="auto" w:fill="auto"/>
            <w:vAlign w:val="center"/>
          </w:tcPr>
          <w:p w14:paraId="632E737F" w14:textId="77777777" w:rsidR="00E90764" w:rsidRPr="00E776A7" w:rsidRDefault="00E90764" w:rsidP="001D1CF9">
            <w:pPr>
              <w:pStyle w:val="BodyText"/>
            </w:pPr>
          </w:p>
        </w:tc>
        <w:tc>
          <w:tcPr>
            <w:tcW w:w="441" w:type="dxa"/>
            <w:shd w:val="clear" w:color="auto" w:fill="auto"/>
            <w:vAlign w:val="center"/>
          </w:tcPr>
          <w:p w14:paraId="632E7380" w14:textId="77777777" w:rsidR="00E90764" w:rsidRPr="00E776A7" w:rsidRDefault="00E90764" w:rsidP="001D1CF9">
            <w:pPr>
              <w:pStyle w:val="BodyText"/>
            </w:pPr>
          </w:p>
        </w:tc>
      </w:tr>
      <w:tr w:rsidR="00E776A7" w:rsidRPr="00E776A7" w14:paraId="632E7387" w14:textId="77777777" w:rsidTr="001D1CF9">
        <w:trPr>
          <w:trHeight w:val="391"/>
        </w:trPr>
        <w:tc>
          <w:tcPr>
            <w:tcW w:w="8541" w:type="dxa"/>
            <w:shd w:val="clear" w:color="auto" w:fill="auto"/>
            <w:vAlign w:val="center"/>
          </w:tcPr>
          <w:p w14:paraId="632E7382" w14:textId="77777777" w:rsidR="00E90764" w:rsidRPr="00E776A7" w:rsidRDefault="0099166C" w:rsidP="001D1CF9">
            <w:pPr>
              <w:pStyle w:val="BodyText"/>
            </w:pPr>
            <w:r w:rsidRPr="00E776A7">
              <w:t>Enhancing the capacity of headspace services and investing further in the headspace network.</w:t>
            </w:r>
          </w:p>
        </w:tc>
        <w:tc>
          <w:tcPr>
            <w:tcW w:w="441" w:type="dxa"/>
            <w:shd w:val="clear" w:color="auto" w:fill="auto"/>
            <w:vAlign w:val="center"/>
          </w:tcPr>
          <w:p w14:paraId="632E7383" w14:textId="7519E233" w:rsidR="00E90764" w:rsidRPr="00E776A7" w:rsidRDefault="00041BDA" w:rsidP="001D1CF9">
            <w:pPr>
              <w:pStyle w:val="BodyText"/>
            </w:pPr>
            <w:r w:rsidRPr="00E776A7">
              <w:rPr>
                <w:rFonts w:ascii="Segoe UI Symbol" w:hAnsi="Segoe UI Symbol" w:cs="Segoe UI Symbol"/>
              </w:rPr>
              <w:t>✓</w:t>
            </w:r>
          </w:p>
        </w:tc>
        <w:tc>
          <w:tcPr>
            <w:tcW w:w="441" w:type="dxa"/>
            <w:shd w:val="clear" w:color="auto" w:fill="auto"/>
            <w:vAlign w:val="center"/>
          </w:tcPr>
          <w:p w14:paraId="632E7384" w14:textId="2B94B00C" w:rsidR="00E90764" w:rsidRPr="00E776A7" w:rsidRDefault="00041BDA" w:rsidP="001D1CF9">
            <w:pPr>
              <w:pStyle w:val="BodyText"/>
            </w:pPr>
            <w:r w:rsidRPr="00E776A7">
              <w:rPr>
                <w:rFonts w:ascii="Segoe UI Symbol" w:hAnsi="Segoe UI Symbol" w:cs="Segoe UI Symbol"/>
              </w:rPr>
              <w:t>✓</w:t>
            </w:r>
          </w:p>
        </w:tc>
        <w:tc>
          <w:tcPr>
            <w:tcW w:w="439" w:type="dxa"/>
            <w:shd w:val="clear" w:color="auto" w:fill="auto"/>
            <w:vAlign w:val="center"/>
          </w:tcPr>
          <w:p w14:paraId="632E7385" w14:textId="666BDA38" w:rsidR="00E90764" w:rsidRPr="00E776A7" w:rsidRDefault="00041BDA" w:rsidP="001D1CF9">
            <w:pPr>
              <w:pStyle w:val="BodyText"/>
            </w:pPr>
            <w:r w:rsidRPr="00E776A7">
              <w:rPr>
                <w:rFonts w:ascii="Segoe UI Symbol" w:hAnsi="Segoe UI Symbol" w:cs="Segoe UI Symbol"/>
              </w:rPr>
              <w:t>✓</w:t>
            </w:r>
          </w:p>
        </w:tc>
        <w:tc>
          <w:tcPr>
            <w:tcW w:w="441" w:type="dxa"/>
            <w:shd w:val="clear" w:color="auto" w:fill="auto"/>
            <w:vAlign w:val="center"/>
          </w:tcPr>
          <w:p w14:paraId="632E7386" w14:textId="4CE6FDFC" w:rsidR="00E90764" w:rsidRPr="00E776A7" w:rsidRDefault="00041BDA" w:rsidP="001D1CF9">
            <w:pPr>
              <w:pStyle w:val="BodyText"/>
            </w:pPr>
            <w:r w:rsidRPr="00E776A7">
              <w:rPr>
                <w:rFonts w:ascii="Segoe UI Symbol" w:hAnsi="Segoe UI Symbol" w:cs="Segoe UI Symbol"/>
              </w:rPr>
              <w:t>✓</w:t>
            </w:r>
          </w:p>
        </w:tc>
      </w:tr>
      <w:tr w:rsidR="00E776A7" w:rsidRPr="00E776A7" w14:paraId="632E738D" w14:textId="77777777" w:rsidTr="001D1CF9">
        <w:trPr>
          <w:trHeight w:val="391"/>
        </w:trPr>
        <w:tc>
          <w:tcPr>
            <w:tcW w:w="8541" w:type="dxa"/>
            <w:shd w:val="clear" w:color="auto" w:fill="auto"/>
            <w:vAlign w:val="center"/>
          </w:tcPr>
          <w:p w14:paraId="632E7388" w14:textId="77777777" w:rsidR="00E90764" w:rsidRPr="00E776A7" w:rsidRDefault="0099166C" w:rsidP="001D1CF9">
            <w:pPr>
              <w:pStyle w:val="BodyText"/>
            </w:pPr>
            <w:r w:rsidRPr="00E776A7">
              <w:t>Improving access to community based mental health services for adults.</w:t>
            </w:r>
          </w:p>
        </w:tc>
        <w:tc>
          <w:tcPr>
            <w:tcW w:w="441" w:type="dxa"/>
            <w:shd w:val="clear" w:color="auto" w:fill="auto"/>
            <w:vAlign w:val="center"/>
          </w:tcPr>
          <w:p w14:paraId="632E7389" w14:textId="2F289C29" w:rsidR="00E90764" w:rsidRPr="00E776A7" w:rsidRDefault="00041BDA" w:rsidP="001D1CF9">
            <w:pPr>
              <w:pStyle w:val="BodyText"/>
            </w:pPr>
            <w:r w:rsidRPr="00E776A7">
              <w:rPr>
                <w:rFonts w:ascii="Segoe UI Symbol" w:hAnsi="Segoe UI Symbol" w:cs="Segoe UI Symbol"/>
              </w:rPr>
              <w:t>✓</w:t>
            </w:r>
          </w:p>
        </w:tc>
        <w:tc>
          <w:tcPr>
            <w:tcW w:w="441" w:type="dxa"/>
            <w:shd w:val="clear" w:color="auto" w:fill="auto"/>
            <w:vAlign w:val="center"/>
          </w:tcPr>
          <w:p w14:paraId="632E738A" w14:textId="27D1EB7B" w:rsidR="00E90764" w:rsidRPr="00E776A7" w:rsidRDefault="00041BDA" w:rsidP="001D1CF9">
            <w:pPr>
              <w:pStyle w:val="BodyText"/>
            </w:pPr>
            <w:r w:rsidRPr="00E776A7">
              <w:rPr>
                <w:rFonts w:ascii="Segoe UI Symbol" w:hAnsi="Segoe UI Symbol" w:cs="Segoe UI Symbol"/>
              </w:rPr>
              <w:t>✓</w:t>
            </w:r>
          </w:p>
        </w:tc>
        <w:tc>
          <w:tcPr>
            <w:tcW w:w="439" w:type="dxa"/>
            <w:shd w:val="clear" w:color="auto" w:fill="auto"/>
            <w:vAlign w:val="center"/>
          </w:tcPr>
          <w:p w14:paraId="632E738B" w14:textId="2AE68F3A" w:rsidR="00E90764" w:rsidRPr="00E776A7" w:rsidRDefault="00041BDA" w:rsidP="001D1CF9">
            <w:pPr>
              <w:pStyle w:val="BodyText"/>
            </w:pPr>
            <w:r w:rsidRPr="00E776A7">
              <w:rPr>
                <w:rFonts w:ascii="Segoe UI Symbol" w:hAnsi="Segoe UI Symbol" w:cs="Segoe UI Symbol"/>
              </w:rPr>
              <w:t>✓</w:t>
            </w:r>
          </w:p>
        </w:tc>
        <w:tc>
          <w:tcPr>
            <w:tcW w:w="441" w:type="dxa"/>
            <w:shd w:val="clear" w:color="auto" w:fill="auto"/>
            <w:vAlign w:val="center"/>
          </w:tcPr>
          <w:p w14:paraId="632E738C" w14:textId="3AF5D261" w:rsidR="00E90764" w:rsidRPr="00E776A7" w:rsidRDefault="00041BDA" w:rsidP="001D1CF9">
            <w:pPr>
              <w:pStyle w:val="BodyText"/>
            </w:pPr>
            <w:r w:rsidRPr="00E776A7">
              <w:rPr>
                <w:rFonts w:ascii="Segoe UI Symbol" w:hAnsi="Segoe UI Symbol" w:cs="Segoe UI Symbol"/>
              </w:rPr>
              <w:t>✓</w:t>
            </w:r>
          </w:p>
        </w:tc>
      </w:tr>
      <w:tr w:rsidR="00E776A7" w:rsidRPr="00E776A7" w14:paraId="632E7393" w14:textId="77777777" w:rsidTr="001D1CF9">
        <w:trPr>
          <w:trHeight w:val="582"/>
        </w:trPr>
        <w:tc>
          <w:tcPr>
            <w:tcW w:w="8541" w:type="dxa"/>
            <w:shd w:val="clear" w:color="auto" w:fill="auto"/>
            <w:vAlign w:val="center"/>
          </w:tcPr>
          <w:p w14:paraId="632E738E" w14:textId="1757D49E" w:rsidR="00E90764" w:rsidRPr="00E776A7" w:rsidRDefault="0099166C" w:rsidP="001D1CF9">
            <w:pPr>
              <w:pStyle w:val="BodyText"/>
            </w:pPr>
            <w:r w:rsidRPr="00E776A7">
              <w:t>Providing additional support for Australians with eating disorders and their families, and establishing</w:t>
            </w:r>
            <w:r w:rsidR="00953805" w:rsidRPr="00E776A7">
              <w:t xml:space="preserve"> </w:t>
            </w:r>
            <w:r w:rsidRPr="00E776A7">
              <w:t xml:space="preserve">a national eating disorders research </w:t>
            </w:r>
            <w:proofErr w:type="spellStart"/>
            <w:r w:rsidRPr="00E776A7">
              <w:t>centre</w:t>
            </w:r>
            <w:proofErr w:type="spellEnd"/>
            <w:r w:rsidRPr="00E776A7">
              <w:t>.</w:t>
            </w:r>
          </w:p>
        </w:tc>
        <w:tc>
          <w:tcPr>
            <w:tcW w:w="441" w:type="dxa"/>
            <w:shd w:val="clear" w:color="auto" w:fill="auto"/>
            <w:vAlign w:val="center"/>
          </w:tcPr>
          <w:p w14:paraId="632E738F" w14:textId="78D214AB" w:rsidR="00E90764" w:rsidRPr="00E776A7" w:rsidRDefault="00041BDA" w:rsidP="001D1CF9">
            <w:pPr>
              <w:pStyle w:val="BodyText"/>
            </w:pPr>
            <w:r w:rsidRPr="00E776A7">
              <w:rPr>
                <w:rFonts w:ascii="Segoe UI Symbol" w:hAnsi="Segoe UI Symbol" w:cs="Segoe UI Symbol"/>
              </w:rPr>
              <w:t>✓</w:t>
            </w:r>
          </w:p>
        </w:tc>
        <w:tc>
          <w:tcPr>
            <w:tcW w:w="441" w:type="dxa"/>
            <w:shd w:val="clear" w:color="auto" w:fill="auto"/>
            <w:vAlign w:val="center"/>
          </w:tcPr>
          <w:p w14:paraId="632E7390" w14:textId="150A3C50" w:rsidR="00E90764" w:rsidRPr="00E776A7" w:rsidRDefault="00041BDA" w:rsidP="001D1CF9">
            <w:pPr>
              <w:pStyle w:val="BodyText"/>
            </w:pPr>
            <w:r w:rsidRPr="00E776A7">
              <w:rPr>
                <w:rFonts w:ascii="Segoe UI Symbol" w:hAnsi="Segoe UI Symbol" w:cs="Segoe UI Symbol"/>
              </w:rPr>
              <w:t>✓</w:t>
            </w:r>
          </w:p>
        </w:tc>
        <w:tc>
          <w:tcPr>
            <w:tcW w:w="439" w:type="dxa"/>
            <w:shd w:val="clear" w:color="auto" w:fill="auto"/>
            <w:vAlign w:val="center"/>
          </w:tcPr>
          <w:p w14:paraId="632E7391" w14:textId="78180310" w:rsidR="00E90764" w:rsidRPr="00E776A7" w:rsidRDefault="00041BDA" w:rsidP="001D1CF9">
            <w:pPr>
              <w:pStyle w:val="BodyText"/>
            </w:pPr>
            <w:r w:rsidRPr="00E776A7">
              <w:rPr>
                <w:rFonts w:ascii="Segoe UI Symbol" w:hAnsi="Segoe UI Symbol" w:cs="Segoe UI Symbol"/>
              </w:rPr>
              <w:t>✓</w:t>
            </w:r>
          </w:p>
        </w:tc>
        <w:tc>
          <w:tcPr>
            <w:tcW w:w="441" w:type="dxa"/>
            <w:shd w:val="clear" w:color="auto" w:fill="auto"/>
            <w:vAlign w:val="center"/>
          </w:tcPr>
          <w:p w14:paraId="632E7392" w14:textId="77777777" w:rsidR="00E90764" w:rsidRPr="00E776A7" w:rsidRDefault="00E90764" w:rsidP="001D1CF9">
            <w:pPr>
              <w:pStyle w:val="BodyText"/>
            </w:pPr>
          </w:p>
        </w:tc>
      </w:tr>
      <w:tr w:rsidR="00E776A7" w:rsidRPr="00E776A7" w14:paraId="632E7399" w14:textId="77777777" w:rsidTr="001D1CF9">
        <w:trPr>
          <w:trHeight w:val="582"/>
        </w:trPr>
        <w:tc>
          <w:tcPr>
            <w:tcW w:w="8541" w:type="dxa"/>
            <w:shd w:val="clear" w:color="auto" w:fill="auto"/>
            <w:vAlign w:val="center"/>
          </w:tcPr>
          <w:p w14:paraId="632E7394" w14:textId="77777777" w:rsidR="00E90764" w:rsidRPr="00E776A7" w:rsidRDefault="0099166C" w:rsidP="001D1CF9">
            <w:pPr>
              <w:pStyle w:val="BodyText"/>
            </w:pPr>
            <w:r w:rsidRPr="00E776A7">
              <w:t xml:space="preserve">Strengthening the Better Access initiative to provide patients’ families and </w:t>
            </w:r>
            <w:proofErr w:type="spellStart"/>
            <w:proofErr w:type="gramStart"/>
            <w:r w:rsidRPr="00E776A7">
              <w:t>carers</w:t>
            </w:r>
            <w:proofErr w:type="spellEnd"/>
            <w:proofErr w:type="gramEnd"/>
            <w:r w:rsidRPr="00E776A7">
              <w:t xml:space="preserve"> access to Medicare </w:t>
            </w:r>
            <w:proofErr w:type="spellStart"/>
            <w:r w:rsidRPr="00E776A7">
              <w:t>subsidised</w:t>
            </w:r>
            <w:proofErr w:type="spellEnd"/>
            <w:r w:rsidRPr="00E776A7">
              <w:t xml:space="preserve"> sessions, and increase access to group therapy sessions.</w:t>
            </w:r>
          </w:p>
        </w:tc>
        <w:tc>
          <w:tcPr>
            <w:tcW w:w="441" w:type="dxa"/>
            <w:shd w:val="clear" w:color="auto" w:fill="auto"/>
            <w:vAlign w:val="center"/>
          </w:tcPr>
          <w:p w14:paraId="632E7395" w14:textId="7BB82A2A" w:rsidR="00E90764" w:rsidRPr="00E776A7" w:rsidRDefault="00041BDA" w:rsidP="001D1CF9">
            <w:pPr>
              <w:pStyle w:val="BodyText"/>
            </w:pPr>
            <w:r w:rsidRPr="00E776A7">
              <w:rPr>
                <w:rFonts w:ascii="Segoe UI Symbol" w:hAnsi="Segoe UI Symbol" w:cs="Segoe UI Symbol"/>
              </w:rPr>
              <w:t>✓</w:t>
            </w:r>
          </w:p>
        </w:tc>
        <w:tc>
          <w:tcPr>
            <w:tcW w:w="441" w:type="dxa"/>
            <w:shd w:val="clear" w:color="auto" w:fill="auto"/>
            <w:vAlign w:val="center"/>
          </w:tcPr>
          <w:p w14:paraId="632E7396" w14:textId="3D3CEC71" w:rsidR="00E90764" w:rsidRPr="00E776A7" w:rsidRDefault="00041BDA" w:rsidP="001D1CF9">
            <w:pPr>
              <w:pStyle w:val="BodyText"/>
            </w:pPr>
            <w:r w:rsidRPr="00E776A7">
              <w:rPr>
                <w:rFonts w:ascii="Segoe UI Symbol" w:hAnsi="Segoe UI Symbol" w:cs="Segoe UI Symbol"/>
              </w:rPr>
              <w:t>✓</w:t>
            </w:r>
          </w:p>
        </w:tc>
        <w:tc>
          <w:tcPr>
            <w:tcW w:w="439" w:type="dxa"/>
            <w:shd w:val="clear" w:color="auto" w:fill="auto"/>
            <w:vAlign w:val="center"/>
          </w:tcPr>
          <w:p w14:paraId="632E7397" w14:textId="77777777" w:rsidR="00E90764" w:rsidRPr="00E776A7" w:rsidRDefault="00E90764" w:rsidP="001D1CF9">
            <w:pPr>
              <w:pStyle w:val="BodyText"/>
            </w:pPr>
          </w:p>
        </w:tc>
        <w:tc>
          <w:tcPr>
            <w:tcW w:w="441" w:type="dxa"/>
            <w:shd w:val="clear" w:color="auto" w:fill="auto"/>
            <w:vAlign w:val="center"/>
          </w:tcPr>
          <w:p w14:paraId="632E7398" w14:textId="77777777" w:rsidR="00E90764" w:rsidRPr="00E776A7" w:rsidRDefault="00E90764" w:rsidP="001D1CF9">
            <w:pPr>
              <w:pStyle w:val="BodyText"/>
            </w:pPr>
          </w:p>
        </w:tc>
      </w:tr>
      <w:tr w:rsidR="00E776A7" w:rsidRPr="00E776A7" w14:paraId="632E739F" w14:textId="77777777" w:rsidTr="001D1CF9">
        <w:trPr>
          <w:trHeight w:val="582"/>
        </w:trPr>
        <w:tc>
          <w:tcPr>
            <w:tcW w:w="8541" w:type="dxa"/>
            <w:shd w:val="clear" w:color="auto" w:fill="auto"/>
            <w:vAlign w:val="center"/>
          </w:tcPr>
          <w:p w14:paraId="632E739A" w14:textId="6563968F" w:rsidR="00E90764" w:rsidRPr="00E776A7" w:rsidRDefault="0099166C" w:rsidP="001D1CF9">
            <w:pPr>
              <w:pStyle w:val="BodyText"/>
            </w:pPr>
            <w:r w:rsidRPr="00E776A7">
              <w:t xml:space="preserve">Expanding and implementing the </w:t>
            </w:r>
            <w:proofErr w:type="spellStart"/>
            <w:r w:rsidRPr="00E776A7">
              <w:t>standardised</w:t>
            </w:r>
            <w:proofErr w:type="spellEnd"/>
            <w:r w:rsidRPr="00E776A7">
              <w:t xml:space="preserve"> assessment and referral tool for a consistent</w:t>
            </w:r>
            <w:r w:rsidR="00953805" w:rsidRPr="00E776A7">
              <w:t xml:space="preserve">       </w:t>
            </w:r>
            <w:r w:rsidRPr="00E776A7">
              <w:t>evidence-based approach to clinical assessment and referral.</w:t>
            </w:r>
          </w:p>
        </w:tc>
        <w:tc>
          <w:tcPr>
            <w:tcW w:w="441" w:type="dxa"/>
            <w:shd w:val="clear" w:color="auto" w:fill="auto"/>
            <w:vAlign w:val="center"/>
          </w:tcPr>
          <w:p w14:paraId="632E739B" w14:textId="0357954A" w:rsidR="00E90764" w:rsidRPr="00E776A7" w:rsidRDefault="00041BDA" w:rsidP="001D1CF9">
            <w:pPr>
              <w:pStyle w:val="BodyText"/>
            </w:pPr>
            <w:r w:rsidRPr="00E776A7">
              <w:rPr>
                <w:rFonts w:ascii="Segoe UI Symbol" w:hAnsi="Segoe UI Symbol" w:cs="Segoe UI Symbol"/>
              </w:rPr>
              <w:t>✓</w:t>
            </w:r>
          </w:p>
        </w:tc>
        <w:tc>
          <w:tcPr>
            <w:tcW w:w="441" w:type="dxa"/>
            <w:shd w:val="clear" w:color="auto" w:fill="auto"/>
            <w:vAlign w:val="center"/>
          </w:tcPr>
          <w:p w14:paraId="632E739C" w14:textId="6E495C8C" w:rsidR="00E90764" w:rsidRPr="00E776A7" w:rsidRDefault="00041BDA" w:rsidP="001D1CF9">
            <w:pPr>
              <w:pStyle w:val="BodyText"/>
            </w:pPr>
            <w:r w:rsidRPr="00E776A7">
              <w:rPr>
                <w:rFonts w:ascii="Segoe UI Symbol" w:hAnsi="Segoe UI Symbol" w:cs="Segoe UI Symbol"/>
              </w:rPr>
              <w:t>✓</w:t>
            </w:r>
          </w:p>
        </w:tc>
        <w:tc>
          <w:tcPr>
            <w:tcW w:w="439" w:type="dxa"/>
            <w:shd w:val="clear" w:color="auto" w:fill="auto"/>
            <w:vAlign w:val="center"/>
          </w:tcPr>
          <w:p w14:paraId="632E739D" w14:textId="77777777" w:rsidR="00E90764" w:rsidRPr="00E776A7" w:rsidRDefault="00E90764" w:rsidP="001D1CF9">
            <w:pPr>
              <w:pStyle w:val="BodyText"/>
            </w:pPr>
          </w:p>
        </w:tc>
        <w:tc>
          <w:tcPr>
            <w:tcW w:w="441" w:type="dxa"/>
            <w:shd w:val="clear" w:color="auto" w:fill="auto"/>
            <w:vAlign w:val="center"/>
          </w:tcPr>
          <w:p w14:paraId="632E739E" w14:textId="77777777" w:rsidR="00E90764" w:rsidRPr="00E776A7" w:rsidRDefault="00E90764" w:rsidP="001D1CF9">
            <w:pPr>
              <w:pStyle w:val="BodyText"/>
            </w:pPr>
          </w:p>
        </w:tc>
      </w:tr>
      <w:tr w:rsidR="00E776A7" w:rsidRPr="00E776A7" w14:paraId="632E73A5" w14:textId="77777777" w:rsidTr="001D1CF9">
        <w:trPr>
          <w:trHeight w:val="582"/>
        </w:trPr>
        <w:tc>
          <w:tcPr>
            <w:tcW w:w="8541" w:type="dxa"/>
            <w:shd w:val="clear" w:color="auto" w:fill="auto"/>
            <w:vAlign w:val="center"/>
          </w:tcPr>
          <w:p w14:paraId="632E73A0" w14:textId="1F848180" w:rsidR="00E90764" w:rsidRPr="00E776A7" w:rsidRDefault="0099166C" w:rsidP="001D1CF9">
            <w:pPr>
              <w:pStyle w:val="BodyText"/>
            </w:pPr>
            <w:r w:rsidRPr="00E776A7">
              <w:t>Providing psychosocial support services for people with severe mental illness who are not supported</w:t>
            </w:r>
            <w:r w:rsidR="00953805" w:rsidRPr="00E776A7">
              <w:t xml:space="preserve"> </w:t>
            </w:r>
            <w:r w:rsidRPr="00E776A7">
              <w:t>by the National Disability Insurance Scheme.</w:t>
            </w:r>
          </w:p>
        </w:tc>
        <w:tc>
          <w:tcPr>
            <w:tcW w:w="441" w:type="dxa"/>
            <w:shd w:val="clear" w:color="auto" w:fill="auto"/>
            <w:vAlign w:val="center"/>
          </w:tcPr>
          <w:p w14:paraId="632E73A1" w14:textId="6659C0B1" w:rsidR="00E90764" w:rsidRPr="00E776A7" w:rsidRDefault="00041BDA" w:rsidP="001D1CF9">
            <w:pPr>
              <w:pStyle w:val="BodyText"/>
            </w:pPr>
            <w:r w:rsidRPr="00E776A7">
              <w:rPr>
                <w:rFonts w:ascii="Segoe UI Symbol" w:hAnsi="Segoe UI Symbol" w:cs="Segoe UI Symbol"/>
              </w:rPr>
              <w:t>✓</w:t>
            </w:r>
          </w:p>
        </w:tc>
        <w:tc>
          <w:tcPr>
            <w:tcW w:w="441" w:type="dxa"/>
            <w:shd w:val="clear" w:color="auto" w:fill="auto"/>
            <w:vAlign w:val="center"/>
          </w:tcPr>
          <w:p w14:paraId="632E73A2" w14:textId="341945BD" w:rsidR="00E90764" w:rsidRPr="00E776A7" w:rsidRDefault="00041BDA" w:rsidP="001D1CF9">
            <w:pPr>
              <w:pStyle w:val="BodyText"/>
            </w:pPr>
            <w:r w:rsidRPr="00E776A7">
              <w:rPr>
                <w:rFonts w:ascii="Segoe UI Symbol" w:hAnsi="Segoe UI Symbol" w:cs="Segoe UI Symbol"/>
              </w:rPr>
              <w:t>✓</w:t>
            </w:r>
          </w:p>
        </w:tc>
        <w:tc>
          <w:tcPr>
            <w:tcW w:w="439" w:type="dxa"/>
            <w:shd w:val="clear" w:color="auto" w:fill="auto"/>
            <w:vAlign w:val="center"/>
          </w:tcPr>
          <w:p w14:paraId="632E73A3" w14:textId="77777777" w:rsidR="00E90764" w:rsidRPr="00E776A7" w:rsidRDefault="00E90764" w:rsidP="001D1CF9">
            <w:pPr>
              <w:pStyle w:val="BodyText"/>
            </w:pPr>
          </w:p>
        </w:tc>
        <w:tc>
          <w:tcPr>
            <w:tcW w:w="441" w:type="dxa"/>
            <w:shd w:val="clear" w:color="auto" w:fill="auto"/>
            <w:vAlign w:val="center"/>
          </w:tcPr>
          <w:p w14:paraId="632E73A4" w14:textId="77777777" w:rsidR="00E90764" w:rsidRPr="00E776A7" w:rsidRDefault="00E90764" w:rsidP="001D1CF9">
            <w:pPr>
              <w:pStyle w:val="BodyText"/>
            </w:pPr>
          </w:p>
        </w:tc>
      </w:tr>
      <w:tr w:rsidR="00E776A7" w:rsidRPr="00E776A7" w14:paraId="632E73AF" w14:textId="77777777" w:rsidTr="001D1CF9">
        <w:trPr>
          <w:trHeight w:val="1062"/>
        </w:trPr>
        <w:tc>
          <w:tcPr>
            <w:tcW w:w="8541" w:type="dxa"/>
            <w:shd w:val="clear" w:color="auto" w:fill="auto"/>
            <w:vAlign w:val="center"/>
          </w:tcPr>
          <w:p w14:paraId="632E73A6" w14:textId="3968C5A5" w:rsidR="00E90764" w:rsidRPr="00E776A7" w:rsidRDefault="0099166C" w:rsidP="001D1CF9">
            <w:pPr>
              <w:pStyle w:val="BodyText"/>
            </w:pPr>
            <w:r w:rsidRPr="00E776A7">
              <w:t>Providing support for national Indigenous leadership to renew and implement the National Aboriginal</w:t>
            </w:r>
            <w:r w:rsidR="00953805" w:rsidRPr="00E776A7">
              <w:t xml:space="preserve"> </w:t>
            </w:r>
            <w:r w:rsidRPr="00E776A7">
              <w:t>and Torres Strait Islander Suicide Prevention Strategy and provide crucial services such as aftercare and crisis support specifically for Aboriginal and Torres Strait Islander people, thereby making progress towards National Agreement on Closing the Gap targets.</w:t>
            </w:r>
          </w:p>
        </w:tc>
        <w:tc>
          <w:tcPr>
            <w:tcW w:w="441" w:type="dxa"/>
            <w:shd w:val="clear" w:color="auto" w:fill="auto"/>
            <w:vAlign w:val="center"/>
          </w:tcPr>
          <w:p w14:paraId="632E73A8" w14:textId="1C3AB927" w:rsidR="00E90764" w:rsidRPr="00E776A7" w:rsidRDefault="00041BDA" w:rsidP="001D1CF9">
            <w:pPr>
              <w:pStyle w:val="BodyText"/>
            </w:pPr>
            <w:r w:rsidRPr="00E776A7">
              <w:rPr>
                <w:rFonts w:ascii="Segoe UI Symbol" w:hAnsi="Segoe UI Symbol" w:cs="Segoe UI Symbol"/>
              </w:rPr>
              <w:t>✓</w:t>
            </w:r>
          </w:p>
        </w:tc>
        <w:tc>
          <w:tcPr>
            <w:tcW w:w="441" w:type="dxa"/>
            <w:shd w:val="clear" w:color="auto" w:fill="auto"/>
            <w:vAlign w:val="center"/>
          </w:tcPr>
          <w:p w14:paraId="632E73AA" w14:textId="420B33E0" w:rsidR="00E90764" w:rsidRPr="00E776A7" w:rsidRDefault="00041BDA" w:rsidP="001D1CF9">
            <w:pPr>
              <w:pStyle w:val="BodyText"/>
            </w:pPr>
            <w:r w:rsidRPr="00E776A7">
              <w:rPr>
                <w:rFonts w:ascii="Segoe UI Symbol" w:hAnsi="Segoe UI Symbol" w:cs="Segoe UI Symbol"/>
              </w:rPr>
              <w:t>✓</w:t>
            </w:r>
          </w:p>
        </w:tc>
        <w:tc>
          <w:tcPr>
            <w:tcW w:w="439" w:type="dxa"/>
            <w:shd w:val="clear" w:color="auto" w:fill="auto"/>
            <w:vAlign w:val="center"/>
          </w:tcPr>
          <w:p w14:paraId="632E73AC" w14:textId="097CEE38" w:rsidR="00E90764" w:rsidRPr="00E776A7" w:rsidRDefault="00041BDA" w:rsidP="001D1CF9">
            <w:pPr>
              <w:pStyle w:val="BodyText"/>
            </w:pPr>
            <w:r w:rsidRPr="00E776A7">
              <w:rPr>
                <w:rFonts w:ascii="Segoe UI Symbol" w:hAnsi="Segoe UI Symbol" w:cs="Segoe UI Symbol"/>
              </w:rPr>
              <w:t>✓</w:t>
            </w:r>
          </w:p>
        </w:tc>
        <w:tc>
          <w:tcPr>
            <w:tcW w:w="441" w:type="dxa"/>
            <w:shd w:val="clear" w:color="auto" w:fill="auto"/>
            <w:vAlign w:val="center"/>
          </w:tcPr>
          <w:p w14:paraId="632E73AE" w14:textId="54711E6F" w:rsidR="00E90764" w:rsidRPr="00E776A7" w:rsidRDefault="00041BDA" w:rsidP="001D1CF9">
            <w:pPr>
              <w:pStyle w:val="BodyText"/>
            </w:pPr>
            <w:r w:rsidRPr="00E776A7">
              <w:rPr>
                <w:rFonts w:ascii="Segoe UI Symbol" w:hAnsi="Segoe UI Symbol" w:cs="Segoe UI Symbol"/>
              </w:rPr>
              <w:t>✓</w:t>
            </w:r>
          </w:p>
        </w:tc>
      </w:tr>
      <w:tr w:rsidR="00E776A7" w:rsidRPr="00E776A7" w14:paraId="632E73B5" w14:textId="77777777" w:rsidTr="001D1CF9">
        <w:trPr>
          <w:trHeight w:val="639"/>
        </w:trPr>
        <w:tc>
          <w:tcPr>
            <w:tcW w:w="8541" w:type="dxa"/>
            <w:shd w:val="clear" w:color="auto" w:fill="auto"/>
            <w:vAlign w:val="center"/>
          </w:tcPr>
          <w:p w14:paraId="632E73B0" w14:textId="77777777" w:rsidR="00E90764" w:rsidRPr="00E776A7" w:rsidRDefault="0099166C" w:rsidP="001D1CF9">
            <w:pPr>
              <w:pStyle w:val="BodyText"/>
            </w:pPr>
            <w:r w:rsidRPr="00E776A7">
              <w:t>Providing support for multicultural communities through the Program of Assistance for Survivors of Torture and Trauma, and Mental Health Australia’s Embrace Framework.</w:t>
            </w:r>
          </w:p>
        </w:tc>
        <w:tc>
          <w:tcPr>
            <w:tcW w:w="441" w:type="dxa"/>
            <w:shd w:val="clear" w:color="auto" w:fill="auto"/>
            <w:vAlign w:val="center"/>
          </w:tcPr>
          <w:p w14:paraId="632E73B1" w14:textId="087807CD" w:rsidR="00E90764" w:rsidRPr="00E776A7" w:rsidRDefault="00041BDA" w:rsidP="001D1CF9">
            <w:pPr>
              <w:pStyle w:val="BodyText"/>
            </w:pPr>
            <w:r w:rsidRPr="00E776A7">
              <w:rPr>
                <w:rFonts w:ascii="Segoe UI Symbol" w:hAnsi="Segoe UI Symbol" w:cs="Segoe UI Symbol"/>
              </w:rPr>
              <w:t>✓</w:t>
            </w:r>
          </w:p>
        </w:tc>
        <w:tc>
          <w:tcPr>
            <w:tcW w:w="441" w:type="dxa"/>
            <w:shd w:val="clear" w:color="auto" w:fill="auto"/>
            <w:vAlign w:val="center"/>
          </w:tcPr>
          <w:p w14:paraId="632E73B2" w14:textId="77777777" w:rsidR="00E90764" w:rsidRPr="00E776A7" w:rsidRDefault="00E90764" w:rsidP="001D1CF9">
            <w:pPr>
              <w:pStyle w:val="BodyText"/>
            </w:pPr>
          </w:p>
        </w:tc>
        <w:tc>
          <w:tcPr>
            <w:tcW w:w="439" w:type="dxa"/>
            <w:shd w:val="clear" w:color="auto" w:fill="auto"/>
            <w:vAlign w:val="center"/>
          </w:tcPr>
          <w:p w14:paraId="632E73B3" w14:textId="77777777" w:rsidR="00E90764" w:rsidRPr="00E776A7" w:rsidRDefault="00E90764" w:rsidP="001D1CF9">
            <w:pPr>
              <w:pStyle w:val="BodyText"/>
            </w:pPr>
          </w:p>
        </w:tc>
        <w:tc>
          <w:tcPr>
            <w:tcW w:w="441" w:type="dxa"/>
            <w:shd w:val="clear" w:color="auto" w:fill="auto"/>
            <w:vAlign w:val="center"/>
          </w:tcPr>
          <w:p w14:paraId="632E73B4" w14:textId="77777777" w:rsidR="00E90764" w:rsidRPr="00E776A7" w:rsidRDefault="00E90764" w:rsidP="001D1CF9">
            <w:pPr>
              <w:pStyle w:val="BodyText"/>
            </w:pPr>
          </w:p>
        </w:tc>
      </w:tr>
      <w:tr w:rsidR="00E776A7" w:rsidRPr="00E776A7" w14:paraId="632E73BB" w14:textId="77777777" w:rsidTr="001D1CF9">
        <w:trPr>
          <w:trHeight w:val="448"/>
        </w:trPr>
        <w:tc>
          <w:tcPr>
            <w:tcW w:w="8541" w:type="dxa"/>
            <w:shd w:val="clear" w:color="auto" w:fill="auto"/>
            <w:vAlign w:val="center"/>
          </w:tcPr>
          <w:p w14:paraId="632E73B6" w14:textId="77777777" w:rsidR="00E90764" w:rsidRPr="00E776A7" w:rsidRDefault="0099166C" w:rsidP="001D1CF9">
            <w:pPr>
              <w:pStyle w:val="BodyText"/>
            </w:pPr>
            <w:proofErr w:type="spellStart"/>
            <w:r w:rsidRPr="00E776A7">
              <w:t>Finalising</w:t>
            </w:r>
            <w:proofErr w:type="spellEnd"/>
            <w:r w:rsidRPr="00E776A7">
              <w:t xml:space="preserve"> the National Mental Health Workforce Strategy.</w:t>
            </w:r>
          </w:p>
        </w:tc>
        <w:tc>
          <w:tcPr>
            <w:tcW w:w="441" w:type="dxa"/>
            <w:shd w:val="clear" w:color="auto" w:fill="auto"/>
            <w:vAlign w:val="center"/>
          </w:tcPr>
          <w:p w14:paraId="632E73B7" w14:textId="6AAB9E24" w:rsidR="00E90764" w:rsidRPr="00E776A7" w:rsidRDefault="00041BDA" w:rsidP="001D1CF9">
            <w:pPr>
              <w:pStyle w:val="BodyText"/>
            </w:pPr>
            <w:r w:rsidRPr="00E776A7">
              <w:rPr>
                <w:rFonts w:ascii="Segoe UI Symbol" w:hAnsi="Segoe UI Symbol" w:cs="Segoe UI Symbol"/>
              </w:rPr>
              <w:t>✓</w:t>
            </w:r>
          </w:p>
        </w:tc>
        <w:tc>
          <w:tcPr>
            <w:tcW w:w="441" w:type="dxa"/>
            <w:shd w:val="clear" w:color="auto" w:fill="auto"/>
            <w:vAlign w:val="center"/>
          </w:tcPr>
          <w:p w14:paraId="632E73B8" w14:textId="77777777" w:rsidR="00E90764" w:rsidRPr="00E776A7" w:rsidRDefault="00E90764" w:rsidP="001D1CF9">
            <w:pPr>
              <w:pStyle w:val="BodyText"/>
            </w:pPr>
          </w:p>
        </w:tc>
        <w:tc>
          <w:tcPr>
            <w:tcW w:w="439" w:type="dxa"/>
            <w:shd w:val="clear" w:color="auto" w:fill="auto"/>
            <w:vAlign w:val="center"/>
          </w:tcPr>
          <w:p w14:paraId="632E73B9" w14:textId="77777777" w:rsidR="00E90764" w:rsidRPr="00E776A7" w:rsidRDefault="00E90764" w:rsidP="001D1CF9">
            <w:pPr>
              <w:pStyle w:val="BodyText"/>
            </w:pPr>
          </w:p>
        </w:tc>
        <w:tc>
          <w:tcPr>
            <w:tcW w:w="441" w:type="dxa"/>
            <w:shd w:val="clear" w:color="auto" w:fill="auto"/>
            <w:vAlign w:val="center"/>
          </w:tcPr>
          <w:p w14:paraId="632E73BA" w14:textId="77777777" w:rsidR="00E90764" w:rsidRPr="00E776A7" w:rsidRDefault="00E90764" w:rsidP="001D1CF9">
            <w:pPr>
              <w:pStyle w:val="BodyText"/>
            </w:pPr>
          </w:p>
        </w:tc>
      </w:tr>
    </w:tbl>
    <w:p w14:paraId="3528006D" w14:textId="77777777" w:rsidR="0070733A" w:rsidRDefault="0070733A" w:rsidP="0070733A"/>
    <w:p w14:paraId="0F615E9F" w14:textId="77777777" w:rsidR="0070733A" w:rsidRDefault="0070733A" w:rsidP="0070733A">
      <w:pPr>
        <w:rPr>
          <w:rFonts w:ascii="Helvetica" w:eastAsia="HelveticaNeueLT Std" w:hAnsi="Helvetica" w:cs="HelveticaNeueLT Std"/>
          <w:sz w:val="29"/>
          <w:szCs w:val="29"/>
        </w:rPr>
      </w:pPr>
      <w:r>
        <w:br w:type="page"/>
      </w:r>
    </w:p>
    <w:p w14:paraId="632E73BE" w14:textId="5AA537FA" w:rsidR="00E90764" w:rsidRPr="00CF6322" w:rsidRDefault="0099166C" w:rsidP="00E776A7">
      <w:pPr>
        <w:pStyle w:val="Heading4"/>
      </w:pPr>
      <w:r w:rsidRPr="00CF6322">
        <w:lastRenderedPageBreak/>
        <w:t>Our Performance</w:t>
      </w:r>
    </w:p>
    <w:p w14:paraId="632E73BF" w14:textId="77777777" w:rsidR="00E90764" w:rsidRPr="00CF6322" w:rsidRDefault="0099166C" w:rsidP="00E776A7">
      <w:pPr>
        <w:pStyle w:val="Heading5"/>
      </w:pPr>
      <w:r w:rsidRPr="00CF6322">
        <w:t xml:space="preserve">Performance Measures for Mental Health – </w:t>
      </w:r>
      <w:r w:rsidRPr="00E776A7">
        <w:t>Program</w:t>
      </w:r>
      <w:r w:rsidRPr="00CF6322">
        <w:t xml:space="preserve"> 1.2</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0" w:type="dxa"/>
        </w:tblCellMar>
        <w:tblLook w:val="01E0" w:firstRow="1" w:lastRow="1" w:firstColumn="1" w:lastColumn="1" w:noHBand="0" w:noVBand="0"/>
      </w:tblPr>
      <w:tblGrid>
        <w:gridCol w:w="5154"/>
        <w:gridCol w:w="5128"/>
      </w:tblGrid>
      <w:tr w:rsidR="00E776A7" w:rsidRPr="00E776A7" w14:paraId="632E73C2" w14:textId="77777777" w:rsidTr="001D1CF9">
        <w:trPr>
          <w:trHeight w:val="465"/>
          <w:tblHeader/>
        </w:trPr>
        <w:tc>
          <w:tcPr>
            <w:tcW w:w="10282" w:type="dxa"/>
            <w:gridSpan w:val="2"/>
            <w:shd w:val="clear" w:color="auto" w:fill="auto"/>
          </w:tcPr>
          <w:p w14:paraId="632E73C1" w14:textId="4190DF0E" w:rsidR="00E90764" w:rsidRPr="00E776A7" w:rsidRDefault="0099166C" w:rsidP="001D1CF9">
            <w:pPr>
              <w:pStyle w:val="BodyText"/>
              <w:rPr>
                <w:rStyle w:val="Strong"/>
                <w:color w:val="000000" w:themeColor="text1"/>
              </w:rPr>
            </w:pPr>
            <w:r w:rsidRPr="00E776A7">
              <w:rPr>
                <w:rStyle w:val="Strong"/>
                <w:color w:val="000000" w:themeColor="text1"/>
              </w:rPr>
              <w:t>Improve mental health outcomes for all Australians and combat suicide.</w:t>
            </w:r>
            <w:r w:rsidR="00E776A7">
              <w:rPr>
                <w:rStyle w:val="FootnoteReference"/>
                <w:b/>
                <w:bCs/>
                <w:color w:val="000000" w:themeColor="text1"/>
              </w:rPr>
              <w:footnoteReference w:id="7"/>
            </w:r>
          </w:p>
        </w:tc>
      </w:tr>
      <w:tr w:rsidR="00E776A7" w:rsidRPr="00E776A7" w14:paraId="632E73C5" w14:textId="77777777" w:rsidTr="00E776A7">
        <w:trPr>
          <w:trHeight w:val="458"/>
        </w:trPr>
        <w:tc>
          <w:tcPr>
            <w:tcW w:w="5154" w:type="dxa"/>
            <w:shd w:val="clear" w:color="auto" w:fill="auto"/>
          </w:tcPr>
          <w:p w14:paraId="632E73C3" w14:textId="77777777" w:rsidR="00E90764" w:rsidRPr="00E776A7" w:rsidRDefault="0099166C" w:rsidP="001D1CF9">
            <w:pPr>
              <w:pStyle w:val="BodyText"/>
              <w:rPr>
                <w:rStyle w:val="Strong"/>
                <w:color w:val="000000" w:themeColor="text1"/>
              </w:rPr>
            </w:pPr>
            <w:r w:rsidRPr="00E776A7">
              <w:rPr>
                <w:rStyle w:val="Strong"/>
                <w:color w:val="000000" w:themeColor="text1"/>
              </w:rPr>
              <w:t>2021–22 Target</w:t>
            </w:r>
          </w:p>
        </w:tc>
        <w:tc>
          <w:tcPr>
            <w:tcW w:w="5128" w:type="dxa"/>
            <w:shd w:val="clear" w:color="auto" w:fill="auto"/>
          </w:tcPr>
          <w:p w14:paraId="632E73C4" w14:textId="77777777" w:rsidR="00E90764" w:rsidRPr="00E776A7" w:rsidRDefault="0099166C" w:rsidP="001D1CF9">
            <w:pPr>
              <w:pStyle w:val="BodyText"/>
              <w:rPr>
                <w:rStyle w:val="Strong"/>
                <w:color w:val="000000" w:themeColor="text1"/>
              </w:rPr>
            </w:pPr>
            <w:r w:rsidRPr="00E776A7">
              <w:rPr>
                <w:rStyle w:val="Strong"/>
                <w:color w:val="000000" w:themeColor="text1"/>
              </w:rPr>
              <w:t>2022–23 Target (and beyond)</w:t>
            </w:r>
          </w:p>
        </w:tc>
      </w:tr>
      <w:tr w:rsidR="00E776A7" w:rsidRPr="00E776A7" w14:paraId="632E73CE" w14:textId="77777777" w:rsidTr="00E776A7">
        <w:trPr>
          <w:trHeight w:val="3577"/>
        </w:trPr>
        <w:tc>
          <w:tcPr>
            <w:tcW w:w="5154" w:type="dxa"/>
            <w:shd w:val="clear" w:color="auto" w:fill="auto"/>
          </w:tcPr>
          <w:p w14:paraId="632E73C6" w14:textId="77777777" w:rsidR="00E90764" w:rsidRPr="00E776A7" w:rsidRDefault="0099166C" w:rsidP="001D1CF9">
            <w:pPr>
              <w:pStyle w:val="BodyText"/>
            </w:pPr>
            <w:r w:rsidRPr="00E776A7">
              <w:t>National Mental Health and Suicide Prevention Agreement agreed by November 2021.</w:t>
            </w:r>
          </w:p>
          <w:p w14:paraId="632E73C7" w14:textId="77777777" w:rsidR="00E90764" w:rsidRPr="00E776A7" w:rsidRDefault="0099166C" w:rsidP="001D1CF9">
            <w:pPr>
              <w:pStyle w:val="BodyText"/>
            </w:pPr>
            <w:r w:rsidRPr="00E776A7">
              <w:t>Establish a National Suicide Prevention Office.</w:t>
            </w:r>
          </w:p>
          <w:p w14:paraId="632E73C8" w14:textId="77777777" w:rsidR="00E90764" w:rsidRPr="00E776A7" w:rsidRDefault="0099166C" w:rsidP="001D1CF9">
            <w:pPr>
              <w:pStyle w:val="BodyText"/>
            </w:pPr>
            <w:r w:rsidRPr="00E776A7">
              <w:t xml:space="preserve">Expand the national headspace network with 10 new services and upgrade 5 satellite services to </w:t>
            </w:r>
            <w:proofErr w:type="spellStart"/>
            <w:r w:rsidRPr="00E776A7">
              <w:t>centres</w:t>
            </w:r>
            <w:proofErr w:type="spellEnd"/>
            <w:r w:rsidRPr="00E776A7">
              <w:t>.</w:t>
            </w:r>
          </w:p>
          <w:p w14:paraId="632E73C9" w14:textId="754B422F" w:rsidR="00E90764" w:rsidRPr="00E776A7" w:rsidRDefault="0099166C" w:rsidP="001D1CF9">
            <w:pPr>
              <w:pStyle w:val="BodyText"/>
            </w:pPr>
            <w:r w:rsidRPr="00E776A7">
              <w:t>Establish 8 new Head to Health adult mental health</w:t>
            </w:r>
            <w:r w:rsidR="002355FA" w:rsidRPr="00E776A7">
              <w:t xml:space="preserve"> </w:t>
            </w:r>
            <w:proofErr w:type="spellStart"/>
            <w:r w:rsidRPr="00E776A7">
              <w:t>centres</w:t>
            </w:r>
            <w:proofErr w:type="spellEnd"/>
            <w:r w:rsidRPr="00E776A7">
              <w:t xml:space="preserve"> and continue the establishment of the existing </w:t>
            </w:r>
            <w:proofErr w:type="spellStart"/>
            <w:r w:rsidRPr="00E776A7">
              <w:t>centres</w:t>
            </w:r>
            <w:proofErr w:type="spellEnd"/>
            <w:r w:rsidRPr="00E776A7">
              <w:t xml:space="preserve"> announced in the 2019–20 Budget.</w:t>
            </w:r>
          </w:p>
          <w:p w14:paraId="02DCD00C" w14:textId="77777777" w:rsidR="002355FA" w:rsidRPr="00E776A7" w:rsidRDefault="0099166C" w:rsidP="001D1CF9">
            <w:pPr>
              <w:pStyle w:val="BodyText"/>
            </w:pPr>
            <w:r w:rsidRPr="00E776A7">
              <w:t>Establish 24 adult mental health satellite services.</w:t>
            </w:r>
          </w:p>
          <w:p w14:paraId="632E73CA" w14:textId="52899318" w:rsidR="00E90764" w:rsidRPr="00E776A7" w:rsidRDefault="0099166C" w:rsidP="001D1CF9">
            <w:pPr>
              <w:pStyle w:val="BodyText"/>
            </w:pPr>
            <w:r w:rsidRPr="00E776A7">
              <w:t xml:space="preserve">Establish a national eating disorder research </w:t>
            </w:r>
            <w:proofErr w:type="spellStart"/>
            <w:r w:rsidRPr="00E776A7">
              <w:t>centre</w:t>
            </w:r>
            <w:proofErr w:type="spellEnd"/>
            <w:r w:rsidRPr="00E776A7">
              <w:t>. National Mental Health Workforce Strategy endorsed.</w:t>
            </w:r>
          </w:p>
        </w:tc>
        <w:tc>
          <w:tcPr>
            <w:tcW w:w="5128" w:type="dxa"/>
            <w:shd w:val="clear" w:color="auto" w:fill="auto"/>
          </w:tcPr>
          <w:p w14:paraId="632E73CB" w14:textId="1E7BFFF1" w:rsidR="00E90764" w:rsidRPr="00E776A7" w:rsidRDefault="0099166C" w:rsidP="001D1CF9">
            <w:pPr>
              <w:pStyle w:val="BodyText"/>
            </w:pPr>
            <w:r w:rsidRPr="00E776A7">
              <w:t>Implement agreed initiatives from the National Mental Health and Suicide Prevention Agreement and associated bilateral agreements.</w:t>
            </w:r>
          </w:p>
          <w:p w14:paraId="632E73CC" w14:textId="77777777" w:rsidR="00E90764" w:rsidRPr="00E776A7" w:rsidRDefault="0099166C" w:rsidP="001D1CF9">
            <w:pPr>
              <w:pStyle w:val="BodyText"/>
            </w:pPr>
            <w:r w:rsidRPr="00E776A7">
              <w:t>Continue to expand the national headspace network.</w:t>
            </w:r>
          </w:p>
          <w:p w14:paraId="632E73CD" w14:textId="77777777" w:rsidR="00E90764" w:rsidRPr="00E776A7" w:rsidRDefault="0099166C" w:rsidP="001D1CF9">
            <w:pPr>
              <w:pStyle w:val="BodyText"/>
            </w:pPr>
            <w:r w:rsidRPr="00E776A7">
              <w:t>Continue to establish Head to Health adult mental health services.</w:t>
            </w:r>
          </w:p>
        </w:tc>
      </w:tr>
      <w:tr w:rsidR="00E776A7" w:rsidRPr="00E776A7" w14:paraId="632E73D7" w14:textId="77777777" w:rsidTr="00E776A7">
        <w:trPr>
          <w:trHeight w:val="4316"/>
        </w:trPr>
        <w:tc>
          <w:tcPr>
            <w:tcW w:w="10282" w:type="dxa"/>
            <w:gridSpan w:val="2"/>
            <w:shd w:val="clear" w:color="auto" w:fill="auto"/>
          </w:tcPr>
          <w:p w14:paraId="632E73CF" w14:textId="77777777" w:rsidR="00E90764" w:rsidRPr="00E776A7" w:rsidRDefault="0099166C" w:rsidP="001D1CF9">
            <w:pPr>
              <w:pStyle w:val="Heading6"/>
            </w:pPr>
            <w:r w:rsidRPr="00E776A7">
              <w:t>Data source and methodology</w:t>
            </w:r>
          </w:p>
          <w:p w14:paraId="632E73D0" w14:textId="41C1C166" w:rsidR="00E90764" w:rsidRPr="00E776A7" w:rsidRDefault="0099166C" w:rsidP="001D1CF9">
            <w:pPr>
              <w:pStyle w:val="BodyText"/>
            </w:pPr>
            <w:r w:rsidRPr="00E776A7">
              <w:t xml:space="preserve">The National Agreement is managed by the Department. Once </w:t>
            </w:r>
            <w:proofErr w:type="spellStart"/>
            <w:r w:rsidRPr="00E776A7">
              <w:t>finalised</w:t>
            </w:r>
            <w:proofErr w:type="spellEnd"/>
            <w:r w:rsidRPr="00E776A7">
              <w:t xml:space="preserve"> it will be published on the Federal Financial Relations website</w:t>
            </w:r>
            <w:r w:rsidR="00E776A7">
              <w:rPr>
                <w:rStyle w:val="FootnoteReference"/>
                <w:color w:val="000000" w:themeColor="text1"/>
              </w:rPr>
              <w:footnoteReference w:id="8"/>
            </w:r>
            <w:r w:rsidRPr="00E776A7">
              <w:t>, managed by the Department of Treasury.</w:t>
            </w:r>
          </w:p>
          <w:p w14:paraId="632E73D1" w14:textId="77777777" w:rsidR="00E90764" w:rsidRPr="00E776A7" w:rsidRDefault="0099166C" w:rsidP="001D1CF9">
            <w:pPr>
              <w:pStyle w:val="BodyText"/>
            </w:pPr>
            <w:r w:rsidRPr="00E776A7">
              <w:t>Establishment of the National Suicide Prevention Office (NSPO) will be managed closely by the Department who will maintain an internal record of NSPO establishment activity, ensuring it fulfils its purpose and functions.</w:t>
            </w:r>
          </w:p>
          <w:p w14:paraId="632E73D2" w14:textId="227FD8D3" w:rsidR="00E90764" w:rsidRPr="00E776A7" w:rsidRDefault="0099166C" w:rsidP="001D1CF9">
            <w:pPr>
              <w:pStyle w:val="BodyText"/>
            </w:pPr>
            <w:r w:rsidRPr="00E776A7">
              <w:t>Establishment of new headspace services and new adult mental health services are monitored closely by the Department in consultation with PHNs and headspace National Youth Mental Health Foundation. The Department maintains an internal spreadsheet of all services operational and being established, including location, funding levels and</w:t>
            </w:r>
            <w:r w:rsidR="00E776A7">
              <w:t xml:space="preserve"> </w:t>
            </w:r>
            <w:r w:rsidRPr="00E776A7">
              <w:t>service commencement dates.</w:t>
            </w:r>
          </w:p>
          <w:p w14:paraId="632E73D3" w14:textId="32EA7ABA" w:rsidR="00E90764" w:rsidRPr="00E776A7" w:rsidRDefault="0099166C" w:rsidP="001D1CF9">
            <w:pPr>
              <w:pStyle w:val="BodyText"/>
            </w:pPr>
            <w:r w:rsidRPr="00E776A7">
              <w:t>The National Mental Health Workforce Strategy will be endorsed by all governments by 30 June 2022 and subsequently</w:t>
            </w:r>
            <w:r w:rsidR="00E776A7">
              <w:t xml:space="preserve"> </w:t>
            </w:r>
            <w:r w:rsidRPr="00E776A7">
              <w:t>published on the Department’s website</w:t>
            </w:r>
            <w:r w:rsidR="00E776A7">
              <w:rPr>
                <w:rStyle w:val="FootnoteReference"/>
                <w:color w:val="000000" w:themeColor="text1"/>
              </w:rPr>
              <w:footnoteReference w:id="9"/>
            </w:r>
            <w:r w:rsidRPr="00E776A7">
              <w:t>.</w:t>
            </w:r>
          </w:p>
          <w:p w14:paraId="632E73D5" w14:textId="77777777" w:rsidR="00E90764" w:rsidRPr="00E776A7" w:rsidRDefault="0099166C" w:rsidP="001D1CF9">
            <w:pPr>
              <w:pStyle w:val="Heading6"/>
            </w:pPr>
            <w:r w:rsidRPr="00E776A7">
              <w:t>Measure type</w:t>
            </w:r>
          </w:p>
          <w:p w14:paraId="632E73D6" w14:textId="77777777" w:rsidR="00E90764" w:rsidRPr="00E776A7" w:rsidRDefault="0099166C" w:rsidP="001D1CF9">
            <w:pPr>
              <w:pStyle w:val="BodyText"/>
            </w:pPr>
            <w:r w:rsidRPr="00E776A7">
              <w:t>Qualitative/Output</w:t>
            </w:r>
          </w:p>
        </w:tc>
      </w:tr>
    </w:tbl>
    <w:p w14:paraId="042E4FB5" w14:textId="77777777" w:rsidR="0040702C" w:rsidRDefault="0040702C" w:rsidP="0040702C"/>
    <w:p w14:paraId="4A71C3E9" w14:textId="77777777" w:rsidR="0040702C" w:rsidRDefault="0040702C" w:rsidP="0040702C">
      <w:r>
        <w:br w:type="page"/>
      </w:r>
    </w:p>
    <w:p w14:paraId="7E35CC9F" w14:textId="7FB47ECF" w:rsidR="00E776A7" w:rsidRPr="00E776A7" w:rsidRDefault="00E776A7" w:rsidP="00E776A7">
      <w:pPr>
        <w:pStyle w:val="Heading3"/>
      </w:pPr>
      <w:r>
        <w:lastRenderedPageBreak/>
        <w:t xml:space="preserve">1.3 </w:t>
      </w:r>
      <w:r w:rsidR="000C4CA9">
        <w:t>–</w:t>
      </w:r>
      <w:r>
        <w:t xml:space="preserve"> </w:t>
      </w:r>
      <w:r w:rsidRPr="00E776A7">
        <w:t>Aboriginal and Torres Strait Islander Health</w:t>
      </w:r>
    </w:p>
    <w:p w14:paraId="632E73E1" w14:textId="77777777" w:rsidR="00E90764" w:rsidRPr="00CF6322" w:rsidRDefault="0099166C" w:rsidP="00E776A7">
      <w:pPr>
        <w:pStyle w:val="Heading4"/>
      </w:pPr>
      <w:r w:rsidRPr="00CF6322">
        <w:t>Program Objective</w:t>
      </w:r>
    </w:p>
    <w:p w14:paraId="62440FC4" w14:textId="77777777" w:rsidR="00E776A7" w:rsidRPr="00E776A7" w:rsidRDefault="00E776A7" w:rsidP="001D1CF9">
      <w:pPr>
        <w:pStyle w:val="BodyText"/>
      </w:pPr>
      <w:r w:rsidRPr="00E776A7">
        <w:t>Drive improved health outcomes for Aboriginal and Torres Strait Islander people.</w:t>
      </w:r>
    </w:p>
    <w:p w14:paraId="632E73E5" w14:textId="77777777" w:rsidR="00E90764" w:rsidRPr="00CF6322" w:rsidRDefault="0099166C" w:rsidP="00E776A7">
      <w:pPr>
        <w:pStyle w:val="Heading4"/>
      </w:pPr>
      <w:r w:rsidRPr="00CF6322">
        <w:t xml:space="preserve">Our Operating </w:t>
      </w:r>
      <w:r w:rsidRPr="00E776A7">
        <w:t>Focus</w:t>
      </w:r>
    </w:p>
    <w:p w14:paraId="632E73E6" w14:textId="08A1D433" w:rsidR="00E90764" w:rsidRPr="00CF6322" w:rsidRDefault="0099166C" w:rsidP="001D1CF9">
      <w:pPr>
        <w:pStyle w:val="BodyText"/>
      </w:pPr>
      <w:r w:rsidRPr="00CF6322">
        <w:t xml:space="preserve">Improving Indigenous health is a national priority. We will work in partnership with Aboriginal and Torres Strait Islander people, communities, </w:t>
      </w:r>
      <w:proofErr w:type="spellStart"/>
      <w:r w:rsidRPr="00CF6322">
        <w:t>organisations</w:t>
      </w:r>
      <w:proofErr w:type="spellEnd"/>
      <w:r w:rsidRPr="00CF6322">
        <w:t xml:space="preserve"> and mainstream services to improve access to effective health care services</w:t>
      </w:r>
      <w:r w:rsidR="00953805" w:rsidRPr="00CF6322">
        <w:t xml:space="preserve"> </w:t>
      </w:r>
      <w:r w:rsidRPr="00CF6322">
        <w:t>and health outcomes for Aboriginal and Torres Strait Islander</w:t>
      </w:r>
      <w:r w:rsidR="00953805" w:rsidRPr="00CF6322">
        <w:t xml:space="preserve"> </w:t>
      </w:r>
      <w:r w:rsidRPr="00CF6322">
        <w:t>people, consistent with the outcomes and objectives of the National Aboriginal and Torres Strait Islander Health Plan (the</w:t>
      </w:r>
      <w:r w:rsidR="00953805" w:rsidRPr="00CF6322">
        <w:t xml:space="preserve"> </w:t>
      </w:r>
      <w:r w:rsidRPr="00CF6322">
        <w:t>Health Plan) and the National Agreement on Closing the Ga</w:t>
      </w:r>
      <w:r w:rsidR="00E776A7">
        <w:t>p</w:t>
      </w:r>
      <w:r w:rsidRPr="00CF6322">
        <w:t xml:space="preserve"> (the National Agreement).</w:t>
      </w:r>
    </w:p>
    <w:p w14:paraId="632E73E7" w14:textId="43566B97" w:rsidR="00E90764" w:rsidRPr="00CF6322" w:rsidRDefault="0099166C" w:rsidP="001D1CF9">
      <w:pPr>
        <w:pStyle w:val="BodyText"/>
      </w:pPr>
      <w:r w:rsidRPr="00CF6322">
        <w:t>Health outcomes for Aboriginal and Torres Strait Islander people are interlinked with wider social and cultural determinants outside of the Health portfolio. We will work closely with our Australian Government colleagues, in particular with the National Indigenous Australians Agency, the Department of Education Skills and Employment, and the Department of Social Services to ensure we achieve our objectives by maintaining a focus on reform areas that deliver tangible and significant benefits.</w:t>
      </w:r>
    </w:p>
    <w:p w14:paraId="632E73E9" w14:textId="0363F479" w:rsidR="00E90764" w:rsidRPr="00CF6322" w:rsidRDefault="0099166C" w:rsidP="001D1CF9">
      <w:pPr>
        <w:pStyle w:val="BodyText"/>
      </w:pPr>
      <w:r w:rsidRPr="00CF6322">
        <w:t>We continue to fund the delivery of culturally appropriate, high quality comprehensive primary health care and support</w:t>
      </w:r>
      <w:r w:rsidR="00E776A7">
        <w:t xml:space="preserve"> </w:t>
      </w:r>
      <w:r w:rsidRPr="00CF6322">
        <w:t>access to essential health services for Aboriginal and Torres Strait Islander people.</w:t>
      </w:r>
      <w:r w:rsidR="00E776A7">
        <w:t xml:space="preserve"> </w:t>
      </w:r>
      <w:r w:rsidRPr="00CF6322">
        <w:t>We will also continue to provide leadership to ensure mainstream programs and services are structured to deliver</w:t>
      </w:r>
      <w:r w:rsidR="00953805" w:rsidRPr="00CF6322">
        <w:t xml:space="preserve"> </w:t>
      </w:r>
      <w:r w:rsidRPr="00CF6322">
        <w:t>effective health services for Aboriginal and Torres Strait Islander people, including focusing on mental health, aged care, and workforce.</w:t>
      </w:r>
    </w:p>
    <w:p w14:paraId="632E73EA" w14:textId="0BCF2F01" w:rsidR="00E90764" w:rsidRPr="00CF6322" w:rsidRDefault="0099166C" w:rsidP="001D1CF9">
      <w:pPr>
        <w:pStyle w:val="BodyText"/>
      </w:pPr>
      <w:r w:rsidRPr="00CF6322">
        <w:t>We will work in partnership with Aboriginal and Torres Strait Islander Community Controlled Health Services, general practices, state and territory governments, Primary Health Networks, and Commonwealth vaccination clinics to protect communities against COVID-19 and to ensure that all Australians have access to COVID-19 vaccination if they choose. Advice on health issues related to the pandemic response and the vaccine rollout as it relates to Aboriginal and Torres Strait Islander people is guided by the expertise</w:t>
      </w:r>
      <w:r w:rsidR="00E776A7">
        <w:t xml:space="preserve"> </w:t>
      </w:r>
      <w:r w:rsidRPr="00CF6322">
        <w:t>of the National Aboriginal and Torres Strait Islander Advisory Group on COVID-19.</w:t>
      </w:r>
    </w:p>
    <w:p w14:paraId="632E73EE" w14:textId="3A8ED605" w:rsidR="0070733A" w:rsidRDefault="0099166C" w:rsidP="001D1CF9">
      <w:pPr>
        <w:pStyle w:val="BodyText"/>
      </w:pPr>
      <w:r w:rsidRPr="00CF6322">
        <w:t>We are leading the work required to meet the 3 health targets and 4 priority reform areas in the National Agreement and delivering the refreshed Health Plan.</w:t>
      </w:r>
    </w:p>
    <w:p w14:paraId="14B55C3B" w14:textId="77777777" w:rsidR="0070733A" w:rsidRDefault="0070733A">
      <w:pPr>
        <w:rPr>
          <w:rFonts w:ascii="Helvetica" w:hAnsi="Helvetica"/>
          <w:color w:val="231F20"/>
          <w:sz w:val="19"/>
          <w:szCs w:val="19"/>
        </w:rPr>
      </w:pPr>
      <w:r>
        <w:br w:type="page"/>
      </w:r>
    </w:p>
    <w:tbl>
      <w:tblPr>
        <w:tblW w:w="103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0" w:type="dxa"/>
        </w:tblCellMar>
        <w:tblLook w:val="01E0" w:firstRow="1" w:lastRow="1" w:firstColumn="1" w:lastColumn="1" w:noHBand="0" w:noVBand="0"/>
      </w:tblPr>
      <w:tblGrid>
        <w:gridCol w:w="8541"/>
        <w:gridCol w:w="441"/>
        <w:gridCol w:w="441"/>
        <w:gridCol w:w="439"/>
        <w:gridCol w:w="441"/>
      </w:tblGrid>
      <w:tr w:rsidR="00E90764" w:rsidRPr="00CF6322" w14:paraId="632E73F5" w14:textId="77777777" w:rsidTr="001D1CF9">
        <w:trPr>
          <w:cantSplit/>
          <w:trHeight w:val="1077"/>
          <w:tblHeader/>
        </w:trPr>
        <w:tc>
          <w:tcPr>
            <w:tcW w:w="8541" w:type="dxa"/>
            <w:shd w:val="clear" w:color="auto" w:fill="auto"/>
          </w:tcPr>
          <w:p w14:paraId="632E73F0" w14:textId="77777777" w:rsidR="00E90764" w:rsidRPr="00E776A7" w:rsidRDefault="0099166C" w:rsidP="001D1CF9">
            <w:pPr>
              <w:pStyle w:val="BodyText"/>
              <w:rPr>
                <w:rStyle w:val="Strong"/>
              </w:rPr>
            </w:pPr>
            <w:bookmarkStart w:id="28" w:name="_Hlk81995275"/>
            <w:r w:rsidRPr="00E776A7">
              <w:rPr>
                <w:rStyle w:val="Strong"/>
              </w:rPr>
              <w:lastRenderedPageBreak/>
              <w:t>Key Activities</w:t>
            </w:r>
          </w:p>
        </w:tc>
        <w:tc>
          <w:tcPr>
            <w:tcW w:w="441" w:type="dxa"/>
            <w:shd w:val="clear" w:color="auto" w:fill="auto"/>
            <w:textDirection w:val="tbRl"/>
            <w:vAlign w:val="center"/>
          </w:tcPr>
          <w:p w14:paraId="632E73F1" w14:textId="77777777" w:rsidR="00E90764" w:rsidRPr="00E776A7" w:rsidRDefault="0099166C" w:rsidP="001D1CF9">
            <w:pPr>
              <w:pStyle w:val="BodyText"/>
              <w:rPr>
                <w:rStyle w:val="Strong"/>
              </w:rPr>
            </w:pPr>
            <w:r w:rsidRPr="00E776A7">
              <w:rPr>
                <w:rStyle w:val="Strong"/>
              </w:rPr>
              <w:t>2021–22</w:t>
            </w:r>
          </w:p>
        </w:tc>
        <w:tc>
          <w:tcPr>
            <w:tcW w:w="441" w:type="dxa"/>
            <w:shd w:val="clear" w:color="auto" w:fill="auto"/>
            <w:textDirection w:val="tbRl"/>
            <w:vAlign w:val="center"/>
          </w:tcPr>
          <w:p w14:paraId="632E73F2" w14:textId="77777777" w:rsidR="00E90764" w:rsidRPr="00E776A7" w:rsidRDefault="0099166C" w:rsidP="001D1CF9">
            <w:pPr>
              <w:pStyle w:val="BodyText"/>
              <w:rPr>
                <w:rStyle w:val="Strong"/>
              </w:rPr>
            </w:pPr>
            <w:r w:rsidRPr="00E776A7">
              <w:rPr>
                <w:rStyle w:val="Strong"/>
              </w:rPr>
              <w:t>2022–23</w:t>
            </w:r>
          </w:p>
        </w:tc>
        <w:tc>
          <w:tcPr>
            <w:tcW w:w="439" w:type="dxa"/>
            <w:shd w:val="clear" w:color="auto" w:fill="auto"/>
            <w:textDirection w:val="tbRl"/>
            <w:vAlign w:val="center"/>
          </w:tcPr>
          <w:p w14:paraId="632E73F3" w14:textId="77777777" w:rsidR="00E90764" w:rsidRPr="00E776A7" w:rsidRDefault="0099166C" w:rsidP="001D1CF9">
            <w:pPr>
              <w:pStyle w:val="BodyText"/>
              <w:rPr>
                <w:rStyle w:val="Strong"/>
              </w:rPr>
            </w:pPr>
            <w:r w:rsidRPr="00E776A7">
              <w:rPr>
                <w:rStyle w:val="Strong"/>
              </w:rPr>
              <w:t>2023–24</w:t>
            </w:r>
          </w:p>
        </w:tc>
        <w:tc>
          <w:tcPr>
            <w:tcW w:w="441" w:type="dxa"/>
            <w:shd w:val="clear" w:color="auto" w:fill="auto"/>
            <w:textDirection w:val="tbRl"/>
            <w:vAlign w:val="center"/>
          </w:tcPr>
          <w:p w14:paraId="632E73F4" w14:textId="77777777" w:rsidR="00E90764" w:rsidRPr="00E776A7" w:rsidRDefault="0099166C" w:rsidP="001D1CF9">
            <w:pPr>
              <w:pStyle w:val="BodyText"/>
              <w:rPr>
                <w:rStyle w:val="Strong"/>
              </w:rPr>
            </w:pPr>
            <w:r w:rsidRPr="00E776A7">
              <w:rPr>
                <w:rStyle w:val="Strong"/>
              </w:rPr>
              <w:t>2024–25</w:t>
            </w:r>
          </w:p>
        </w:tc>
      </w:tr>
      <w:tr w:rsidR="00E90764" w:rsidRPr="00CF6322" w14:paraId="632E73FB" w14:textId="77777777" w:rsidTr="001D1CF9">
        <w:trPr>
          <w:trHeight w:val="391"/>
        </w:trPr>
        <w:tc>
          <w:tcPr>
            <w:tcW w:w="8541" w:type="dxa"/>
            <w:shd w:val="clear" w:color="auto" w:fill="auto"/>
            <w:vAlign w:val="center"/>
          </w:tcPr>
          <w:p w14:paraId="632E73F6" w14:textId="77777777" w:rsidR="00E90764" w:rsidRPr="00CF6322" w:rsidRDefault="0099166C" w:rsidP="001D1CF9">
            <w:pPr>
              <w:pStyle w:val="BodyText"/>
            </w:pPr>
            <w:r w:rsidRPr="00CF6322">
              <w:t>Supporting the delivery of Government’s commitments under the National Agreement.</w:t>
            </w:r>
          </w:p>
        </w:tc>
        <w:tc>
          <w:tcPr>
            <w:tcW w:w="441" w:type="dxa"/>
            <w:shd w:val="clear" w:color="auto" w:fill="auto"/>
            <w:vAlign w:val="center"/>
          </w:tcPr>
          <w:p w14:paraId="632E73F7" w14:textId="018E21D1"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3F8" w14:textId="4796890F"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3F9" w14:textId="3BFCB5ED"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3FA" w14:textId="6042675B" w:rsidR="00E90764" w:rsidRPr="00CF6322" w:rsidRDefault="00041BDA" w:rsidP="001D1CF9">
            <w:pPr>
              <w:pStyle w:val="BodyText"/>
            </w:pPr>
            <w:r>
              <w:rPr>
                <w:rFonts w:ascii="Segoe UI Symbol" w:hAnsi="Segoe UI Symbol" w:cs="Segoe UI Symbol"/>
              </w:rPr>
              <w:t>✓</w:t>
            </w:r>
          </w:p>
        </w:tc>
      </w:tr>
      <w:tr w:rsidR="00E90764" w:rsidRPr="00CF6322" w14:paraId="632E7403" w14:textId="77777777" w:rsidTr="001D1CF9">
        <w:trPr>
          <w:trHeight w:val="822"/>
        </w:trPr>
        <w:tc>
          <w:tcPr>
            <w:tcW w:w="8541" w:type="dxa"/>
            <w:shd w:val="clear" w:color="auto" w:fill="auto"/>
            <w:vAlign w:val="center"/>
          </w:tcPr>
          <w:p w14:paraId="632E73FC" w14:textId="1D31CF82" w:rsidR="00E90764" w:rsidRPr="00CF6322" w:rsidRDefault="0099166C" w:rsidP="001D1CF9">
            <w:pPr>
              <w:pStyle w:val="BodyText"/>
            </w:pPr>
            <w:r w:rsidRPr="00CF6322">
              <w:t>Working in partnership with Aboriginal Community Controlled Health Services and other Aboriginal</w:t>
            </w:r>
            <w:r w:rsidR="00953805" w:rsidRPr="00CF6322">
              <w:t xml:space="preserve"> </w:t>
            </w:r>
            <w:r w:rsidRPr="00CF6322">
              <w:t>and Torres Strait Islander health experts to reduce the impact of COVID-19 and ensure uptake of COVID-19 vaccines.</w:t>
            </w:r>
          </w:p>
        </w:tc>
        <w:tc>
          <w:tcPr>
            <w:tcW w:w="441" w:type="dxa"/>
            <w:shd w:val="clear" w:color="auto" w:fill="auto"/>
          </w:tcPr>
          <w:p w14:paraId="632E73FE" w14:textId="59BF820C"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400" w14:textId="762DC181"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401" w14:textId="77777777" w:rsidR="00E90764" w:rsidRPr="00CF6322" w:rsidRDefault="00E90764" w:rsidP="001D1CF9">
            <w:pPr>
              <w:pStyle w:val="BodyText"/>
            </w:pPr>
          </w:p>
        </w:tc>
        <w:tc>
          <w:tcPr>
            <w:tcW w:w="441" w:type="dxa"/>
            <w:shd w:val="clear" w:color="auto" w:fill="auto"/>
            <w:vAlign w:val="center"/>
          </w:tcPr>
          <w:p w14:paraId="632E7402" w14:textId="77777777" w:rsidR="00E90764" w:rsidRPr="00CF6322" w:rsidRDefault="00E90764" w:rsidP="001D1CF9">
            <w:pPr>
              <w:pStyle w:val="BodyText"/>
            </w:pPr>
          </w:p>
        </w:tc>
      </w:tr>
      <w:tr w:rsidR="00E90764" w:rsidRPr="00CF6322" w14:paraId="632E7409" w14:textId="77777777" w:rsidTr="001D1CF9">
        <w:trPr>
          <w:trHeight w:val="582"/>
        </w:trPr>
        <w:tc>
          <w:tcPr>
            <w:tcW w:w="8541" w:type="dxa"/>
            <w:shd w:val="clear" w:color="auto" w:fill="auto"/>
            <w:vAlign w:val="center"/>
          </w:tcPr>
          <w:p w14:paraId="632E7404" w14:textId="63835B0E" w:rsidR="00E90764" w:rsidRPr="00CF6322" w:rsidRDefault="0099166C" w:rsidP="001D1CF9">
            <w:pPr>
              <w:pStyle w:val="BodyText"/>
            </w:pPr>
            <w:proofErr w:type="spellStart"/>
            <w:r w:rsidRPr="00CF6322">
              <w:t>Finalising</w:t>
            </w:r>
            <w:proofErr w:type="spellEnd"/>
            <w:r w:rsidRPr="00CF6322">
              <w:t xml:space="preserve"> the refreshed Health Plan in partnership with Aboriginal and Torres Strait Islander people,</w:t>
            </w:r>
            <w:r w:rsidR="00E776A7">
              <w:t xml:space="preserve"> </w:t>
            </w:r>
            <w:r w:rsidRPr="00CF6322">
              <w:t xml:space="preserve">communities and </w:t>
            </w:r>
            <w:proofErr w:type="spellStart"/>
            <w:r w:rsidRPr="00CF6322">
              <w:t>organisations</w:t>
            </w:r>
            <w:proofErr w:type="spellEnd"/>
            <w:r w:rsidRPr="00CF6322">
              <w:t>.</w:t>
            </w:r>
          </w:p>
        </w:tc>
        <w:tc>
          <w:tcPr>
            <w:tcW w:w="441" w:type="dxa"/>
            <w:shd w:val="clear" w:color="auto" w:fill="auto"/>
            <w:vAlign w:val="center"/>
          </w:tcPr>
          <w:p w14:paraId="632E7405" w14:textId="51B0951D"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406" w14:textId="77777777" w:rsidR="00E90764" w:rsidRPr="00CF6322" w:rsidRDefault="00E90764" w:rsidP="001D1CF9">
            <w:pPr>
              <w:pStyle w:val="BodyText"/>
            </w:pPr>
          </w:p>
        </w:tc>
        <w:tc>
          <w:tcPr>
            <w:tcW w:w="439" w:type="dxa"/>
            <w:shd w:val="clear" w:color="auto" w:fill="auto"/>
            <w:vAlign w:val="center"/>
          </w:tcPr>
          <w:p w14:paraId="632E7407" w14:textId="77777777" w:rsidR="00E90764" w:rsidRPr="00CF6322" w:rsidRDefault="00E90764" w:rsidP="001D1CF9">
            <w:pPr>
              <w:pStyle w:val="BodyText"/>
            </w:pPr>
          </w:p>
        </w:tc>
        <w:tc>
          <w:tcPr>
            <w:tcW w:w="441" w:type="dxa"/>
            <w:shd w:val="clear" w:color="auto" w:fill="auto"/>
            <w:vAlign w:val="center"/>
          </w:tcPr>
          <w:p w14:paraId="632E7408" w14:textId="77777777" w:rsidR="00E90764" w:rsidRPr="00CF6322" w:rsidRDefault="00E90764" w:rsidP="001D1CF9">
            <w:pPr>
              <w:pStyle w:val="BodyText"/>
            </w:pPr>
          </w:p>
        </w:tc>
      </w:tr>
      <w:tr w:rsidR="00E90764" w:rsidRPr="00CF6322" w14:paraId="632E740F" w14:textId="77777777" w:rsidTr="001D1CF9">
        <w:trPr>
          <w:trHeight w:val="391"/>
        </w:trPr>
        <w:tc>
          <w:tcPr>
            <w:tcW w:w="8541" w:type="dxa"/>
            <w:shd w:val="clear" w:color="auto" w:fill="auto"/>
            <w:vAlign w:val="center"/>
          </w:tcPr>
          <w:p w14:paraId="632E740A" w14:textId="77777777" w:rsidR="00E90764" w:rsidRPr="00CF6322" w:rsidRDefault="0099166C" w:rsidP="001D1CF9">
            <w:pPr>
              <w:pStyle w:val="BodyText"/>
            </w:pPr>
            <w:r w:rsidRPr="00CF6322">
              <w:t>Implementing the Health Plan.</w:t>
            </w:r>
          </w:p>
        </w:tc>
        <w:tc>
          <w:tcPr>
            <w:tcW w:w="441" w:type="dxa"/>
            <w:shd w:val="clear" w:color="auto" w:fill="auto"/>
            <w:vAlign w:val="center"/>
          </w:tcPr>
          <w:p w14:paraId="632E740B" w14:textId="2B273324"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40C" w14:textId="057E1988"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40D" w14:textId="6C17F200"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40E" w14:textId="730BCF43" w:rsidR="00E90764" w:rsidRPr="00CF6322" w:rsidRDefault="00041BDA" w:rsidP="001D1CF9">
            <w:pPr>
              <w:pStyle w:val="BodyText"/>
            </w:pPr>
            <w:r>
              <w:rPr>
                <w:rFonts w:ascii="Segoe UI Symbol" w:hAnsi="Segoe UI Symbol" w:cs="Segoe UI Symbol"/>
              </w:rPr>
              <w:t>✓</w:t>
            </w:r>
          </w:p>
        </w:tc>
      </w:tr>
      <w:tr w:rsidR="00E90764" w:rsidRPr="00CF6322" w14:paraId="632E7415" w14:textId="77777777" w:rsidTr="001D1CF9">
        <w:trPr>
          <w:trHeight w:val="582"/>
        </w:trPr>
        <w:tc>
          <w:tcPr>
            <w:tcW w:w="8541" w:type="dxa"/>
            <w:shd w:val="clear" w:color="auto" w:fill="auto"/>
            <w:vAlign w:val="center"/>
          </w:tcPr>
          <w:p w14:paraId="632E7410" w14:textId="2C56CAAE" w:rsidR="00E90764" w:rsidRPr="00CF6322" w:rsidRDefault="0099166C" w:rsidP="001D1CF9">
            <w:pPr>
              <w:pStyle w:val="BodyText"/>
            </w:pPr>
            <w:proofErr w:type="spellStart"/>
            <w:r w:rsidRPr="00CF6322">
              <w:t>Finalising</w:t>
            </w:r>
            <w:proofErr w:type="spellEnd"/>
            <w:r w:rsidRPr="00CF6322">
              <w:t xml:space="preserve"> the National Aboriginal and Torres Strait Islander Health Workforce Strategic Framework</w:t>
            </w:r>
            <w:r w:rsidR="00953805" w:rsidRPr="00CF6322">
              <w:t xml:space="preserve"> </w:t>
            </w:r>
            <w:r w:rsidRPr="00CF6322">
              <w:t>and Implementation Plan 2021–31 (Workforce Plan).</w:t>
            </w:r>
          </w:p>
        </w:tc>
        <w:tc>
          <w:tcPr>
            <w:tcW w:w="441" w:type="dxa"/>
            <w:shd w:val="clear" w:color="auto" w:fill="auto"/>
            <w:vAlign w:val="center"/>
          </w:tcPr>
          <w:p w14:paraId="632E7411" w14:textId="5890EC36"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412" w14:textId="2ADB43CA"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413" w14:textId="77777777" w:rsidR="00E90764" w:rsidRPr="00CF6322" w:rsidRDefault="00E90764" w:rsidP="001D1CF9">
            <w:pPr>
              <w:pStyle w:val="BodyText"/>
            </w:pPr>
          </w:p>
        </w:tc>
        <w:tc>
          <w:tcPr>
            <w:tcW w:w="441" w:type="dxa"/>
            <w:shd w:val="clear" w:color="auto" w:fill="auto"/>
            <w:vAlign w:val="center"/>
          </w:tcPr>
          <w:p w14:paraId="632E7414" w14:textId="77777777" w:rsidR="00E90764" w:rsidRPr="00CF6322" w:rsidRDefault="00E90764" w:rsidP="001D1CF9">
            <w:pPr>
              <w:pStyle w:val="BodyText"/>
            </w:pPr>
          </w:p>
        </w:tc>
      </w:tr>
      <w:tr w:rsidR="00E90764" w:rsidRPr="00CF6322" w14:paraId="632E741B" w14:textId="77777777" w:rsidTr="001D1CF9">
        <w:trPr>
          <w:trHeight w:val="391"/>
        </w:trPr>
        <w:tc>
          <w:tcPr>
            <w:tcW w:w="8541" w:type="dxa"/>
            <w:shd w:val="clear" w:color="auto" w:fill="auto"/>
            <w:vAlign w:val="center"/>
          </w:tcPr>
          <w:p w14:paraId="632E7416" w14:textId="77777777" w:rsidR="00E90764" w:rsidRPr="00CF6322" w:rsidRDefault="0099166C" w:rsidP="001D1CF9">
            <w:pPr>
              <w:pStyle w:val="BodyText"/>
            </w:pPr>
            <w:r w:rsidRPr="00CF6322">
              <w:t>Implementing the Workforce Plan.</w:t>
            </w:r>
          </w:p>
        </w:tc>
        <w:tc>
          <w:tcPr>
            <w:tcW w:w="441" w:type="dxa"/>
            <w:shd w:val="clear" w:color="auto" w:fill="auto"/>
            <w:vAlign w:val="center"/>
          </w:tcPr>
          <w:p w14:paraId="632E7417" w14:textId="5F664F03"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418" w14:textId="4D079030"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419" w14:textId="6B3BC4B9"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41A" w14:textId="0D69DBA9" w:rsidR="00E90764" w:rsidRPr="00CF6322" w:rsidRDefault="00041BDA" w:rsidP="001D1CF9">
            <w:pPr>
              <w:pStyle w:val="BodyText"/>
            </w:pPr>
            <w:r>
              <w:rPr>
                <w:rFonts w:ascii="Segoe UI Symbol" w:hAnsi="Segoe UI Symbol" w:cs="Segoe UI Symbol"/>
              </w:rPr>
              <w:t>✓</w:t>
            </w:r>
          </w:p>
        </w:tc>
      </w:tr>
      <w:tr w:rsidR="00E90764" w:rsidRPr="00CF6322" w14:paraId="632E7421" w14:textId="77777777" w:rsidTr="001D1CF9">
        <w:trPr>
          <w:trHeight w:val="582"/>
        </w:trPr>
        <w:tc>
          <w:tcPr>
            <w:tcW w:w="8541" w:type="dxa"/>
            <w:shd w:val="clear" w:color="auto" w:fill="auto"/>
            <w:vAlign w:val="center"/>
          </w:tcPr>
          <w:p w14:paraId="632E741C" w14:textId="77777777" w:rsidR="00E90764" w:rsidRPr="00CF6322" w:rsidRDefault="0099166C" w:rsidP="001D1CF9">
            <w:pPr>
              <w:pStyle w:val="BodyText"/>
            </w:pPr>
            <w:r w:rsidRPr="00CF6322">
              <w:t>Supporting action to end rheumatic heart disease, avoidable deafness and blindness, and for the prevention and early intervention of renal disease.</w:t>
            </w:r>
          </w:p>
        </w:tc>
        <w:tc>
          <w:tcPr>
            <w:tcW w:w="441" w:type="dxa"/>
            <w:shd w:val="clear" w:color="auto" w:fill="auto"/>
            <w:vAlign w:val="center"/>
          </w:tcPr>
          <w:p w14:paraId="632E741D" w14:textId="30AE5DAF"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41E" w14:textId="1B9F60F5"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41F" w14:textId="4F747874"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420" w14:textId="5A0849B3" w:rsidR="00E90764" w:rsidRPr="00CF6322" w:rsidRDefault="00041BDA" w:rsidP="001D1CF9">
            <w:pPr>
              <w:pStyle w:val="BodyText"/>
            </w:pPr>
            <w:r>
              <w:rPr>
                <w:rFonts w:ascii="Segoe UI Symbol" w:hAnsi="Segoe UI Symbol" w:cs="Segoe UI Symbol"/>
              </w:rPr>
              <w:t>✓</w:t>
            </w:r>
          </w:p>
        </w:tc>
      </w:tr>
      <w:tr w:rsidR="00E90764" w:rsidRPr="00CF6322" w14:paraId="632E7427" w14:textId="77777777" w:rsidTr="001D1CF9">
        <w:trPr>
          <w:trHeight w:val="582"/>
        </w:trPr>
        <w:tc>
          <w:tcPr>
            <w:tcW w:w="8541" w:type="dxa"/>
            <w:shd w:val="clear" w:color="auto" w:fill="auto"/>
            <w:vAlign w:val="center"/>
          </w:tcPr>
          <w:p w14:paraId="632E7422" w14:textId="6024DCC3" w:rsidR="00E90764" w:rsidRPr="00CF6322" w:rsidRDefault="0099166C" w:rsidP="001D1CF9">
            <w:pPr>
              <w:pStyle w:val="BodyText"/>
            </w:pPr>
            <w:proofErr w:type="spellStart"/>
            <w:r w:rsidRPr="00CF6322">
              <w:t>Prioritising</w:t>
            </w:r>
            <w:proofErr w:type="spellEnd"/>
            <w:r w:rsidRPr="00CF6322">
              <w:t xml:space="preserve"> investment in child and family health to support Aboriginal and Torres Strait Islander children</w:t>
            </w:r>
            <w:r w:rsidR="00B1625C">
              <w:t xml:space="preserve"> </w:t>
            </w:r>
            <w:r w:rsidRPr="00CF6322">
              <w:t>having the best start in life.</w:t>
            </w:r>
          </w:p>
        </w:tc>
        <w:tc>
          <w:tcPr>
            <w:tcW w:w="441" w:type="dxa"/>
            <w:shd w:val="clear" w:color="auto" w:fill="auto"/>
            <w:vAlign w:val="center"/>
          </w:tcPr>
          <w:p w14:paraId="632E7423" w14:textId="20E4EA91"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424" w14:textId="7D6C1994"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425" w14:textId="1DAE84D8"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426" w14:textId="50305CD0" w:rsidR="00E90764" w:rsidRPr="00CF6322" w:rsidRDefault="00041BDA" w:rsidP="001D1CF9">
            <w:pPr>
              <w:pStyle w:val="BodyText"/>
            </w:pPr>
            <w:r>
              <w:rPr>
                <w:rFonts w:ascii="Segoe UI Symbol" w:hAnsi="Segoe UI Symbol" w:cs="Segoe UI Symbol"/>
              </w:rPr>
              <w:t>✓</w:t>
            </w:r>
          </w:p>
        </w:tc>
      </w:tr>
      <w:tr w:rsidR="00E90764" w:rsidRPr="00CF6322" w14:paraId="632E742D" w14:textId="77777777" w:rsidTr="001D1CF9">
        <w:trPr>
          <w:trHeight w:val="582"/>
        </w:trPr>
        <w:tc>
          <w:tcPr>
            <w:tcW w:w="8541" w:type="dxa"/>
            <w:shd w:val="clear" w:color="auto" w:fill="auto"/>
            <w:vAlign w:val="center"/>
          </w:tcPr>
          <w:p w14:paraId="632E7428" w14:textId="10C2BC03" w:rsidR="00E90764" w:rsidRPr="00CF6322" w:rsidRDefault="0099166C" w:rsidP="001D1CF9">
            <w:pPr>
              <w:pStyle w:val="BodyText"/>
            </w:pPr>
            <w:r w:rsidRPr="00CF6322">
              <w:t>Investing in activities that reduce smoking rates for Aboriginal and Torres Strait Islander people, and</w:t>
            </w:r>
            <w:r w:rsidR="00B1625C">
              <w:t xml:space="preserve"> </w:t>
            </w:r>
            <w:r w:rsidRPr="00CF6322">
              <w:t>embed improvements made to date.</w:t>
            </w:r>
          </w:p>
        </w:tc>
        <w:tc>
          <w:tcPr>
            <w:tcW w:w="441" w:type="dxa"/>
            <w:shd w:val="clear" w:color="auto" w:fill="auto"/>
            <w:vAlign w:val="center"/>
          </w:tcPr>
          <w:p w14:paraId="632E7429" w14:textId="52689AD2"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42A" w14:textId="621098D3"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42B" w14:textId="3B14866C"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42C" w14:textId="44E0E966" w:rsidR="00E90764" w:rsidRPr="00CF6322" w:rsidRDefault="00041BDA" w:rsidP="001D1CF9">
            <w:pPr>
              <w:pStyle w:val="BodyText"/>
            </w:pPr>
            <w:r>
              <w:rPr>
                <w:rFonts w:ascii="Segoe UI Symbol" w:hAnsi="Segoe UI Symbol" w:cs="Segoe UI Symbol"/>
              </w:rPr>
              <w:t>✓</w:t>
            </w:r>
          </w:p>
        </w:tc>
      </w:tr>
      <w:tr w:rsidR="00E90764" w:rsidRPr="00CF6322" w14:paraId="632E7433" w14:textId="77777777" w:rsidTr="001D1CF9">
        <w:trPr>
          <w:trHeight w:val="582"/>
        </w:trPr>
        <w:tc>
          <w:tcPr>
            <w:tcW w:w="8541" w:type="dxa"/>
            <w:shd w:val="clear" w:color="auto" w:fill="auto"/>
            <w:vAlign w:val="center"/>
          </w:tcPr>
          <w:p w14:paraId="632E742E" w14:textId="77777777" w:rsidR="00E90764" w:rsidRPr="00CF6322" w:rsidRDefault="0099166C" w:rsidP="001D1CF9">
            <w:pPr>
              <w:pStyle w:val="BodyText"/>
            </w:pPr>
            <w:r w:rsidRPr="00CF6322">
              <w:t>Delivering approaches to reduce the burden of chronic disease among Aboriginal and Torres Strait Islander people.</w:t>
            </w:r>
          </w:p>
        </w:tc>
        <w:tc>
          <w:tcPr>
            <w:tcW w:w="441" w:type="dxa"/>
            <w:shd w:val="clear" w:color="auto" w:fill="auto"/>
            <w:vAlign w:val="center"/>
          </w:tcPr>
          <w:p w14:paraId="632E742F" w14:textId="1796DECF"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430" w14:textId="010C0084"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431" w14:textId="74A0F343"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432" w14:textId="11408D8E" w:rsidR="00E90764" w:rsidRPr="00CF6322" w:rsidRDefault="00041BDA" w:rsidP="001D1CF9">
            <w:pPr>
              <w:pStyle w:val="BodyText"/>
            </w:pPr>
            <w:r>
              <w:rPr>
                <w:rFonts w:ascii="Segoe UI Symbol" w:hAnsi="Segoe UI Symbol" w:cs="Segoe UI Symbol"/>
              </w:rPr>
              <w:t>✓</w:t>
            </w:r>
          </w:p>
        </w:tc>
      </w:tr>
      <w:tr w:rsidR="00E90764" w:rsidRPr="00CF6322" w14:paraId="632E7439" w14:textId="77777777" w:rsidTr="001D1CF9">
        <w:trPr>
          <w:trHeight w:val="582"/>
        </w:trPr>
        <w:tc>
          <w:tcPr>
            <w:tcW w:w="8541" w:type="dxa"/>
            <w:shd w:val="clear" w:color="auto" w:fill="auto"/>
            <w:vAlign w:val="center"/>
          </w:tcPr>
          <w:p w14:paraId="632E7434" w14:textId="77777777" w:rsidR="00E90764" w:rsidRPr="00CF6322" w:rsidRDefault="0099166C" w:rsidP="001D1CF9">
            <w:pPr>
              <w:pStyle w:val="BodyText"/>
            </w:pPr>
            <w:r w:rsidRPr="00CF6322">
              <w:t xml:space="preserve">Allocating workplace packages to Aboriginal Community Controlled Heath </w:t>
            </w:r>
            <w:proofErr w:type="spellStart"/>
            <w:r w:rsidRPr="00CF6322">
              <w:t>Organisations</w:t>
            </w:r>
            <w:proofErr w:type="spellEnd"/>
            <w:r w:rsidRPr="00CF6322">
              <w:t xml:space="preserve"> through the Allied Health Rural Generalist Pathway.</w:t>
            </w:r>
          </w:p>
        </w:tc>
        <w:tc>
          <w:tcPr>
            <w:tcW w:w="441" w:type="dxa"/>
            <w:shd w:val="clear" w:color="auto" w:fill="auto"/>
            <w:vAlign w:val="center"/>
          </w:tcPr>
          <w:p w14:paraId="632E7435" w14:textId="6AFD9E20"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436" w14:textId="3347BDE3"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437" w14:textId="2C2EF5AD"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438" w14:textId="5BB1D289" w:rsidR="00E90764" w:rsidRPr="00CF6322" w:rsidRDefault="00041BDA" w:rsidP="001D1CF9">
            <w:pPr>
              <w:pStyle w:val="BodyText"/>
            </w:pPr>
            <w:r>
              <w:rPr>
                <w:rFonts w:ascii="Segoe UI Symbol" w:hAnsi="Segoe UI Symbol" w:cs="Segoe UI Symbol"/>
              </w:rPr>
              <w:t>✓</w:t>
            </w:r>
          </w:p>
        </w:tc>
      </w:tr>
      <w:bookmarkEnd w:id="28"/>
    </w:tbl>
    <w:p w14:paraId="1BF8C871" w14:textId="77777777" w:rsidR="0070733A" w:rsidRDefault="0070733A">
      <w:pPr>
        <w:rPr>
          <w:rFonts w:ascii="Helvetica" w:hAnsi="Helvetica"/>
          <w:color w:val="231F20"/>
          <w:sz w:val="19"/>
          <w:szCs w:val="19"/>
        </w:rPr>
      </w:pPr>
      <w:r>
        <w:br w:type="page"/>
      </w:r>
    </w:p>
    <w:p w14:paraId="632E743C" w14:textId="77777777" w:rsidR="00E90764" w:rsidRPr="00CF6322" w:rsidRDefault="0099166C" w:rsidP="00E776A7">
      <w:pPr>
        <w:pStyle w:val="Heading4"/>
      </w:pPr>
      <w:r w:rsidRPr="00CF6322">
        <w:lastRenderedPageBreak/>
        <w:t xml:space="preserve">Our </w:t>
      </w:r>
      <w:r w:rsidRPr="00E776A7">
        <w:t>Performance</w:t>
      </w:r>
    </w:p>
    <w:p w14:paraId="632E743D" w14:textId="77777777" w:rsidR="00E90764" w:rsidRPr="00CF6322" w:rsidRDefault="0099166C" w:rsidP="00E776A7">
      <w:pPr>
        <w:pStyle w:val="Heading5"/>
      </w:pPr>
      <w:r w:rsidRPr="00CF6322">
        <w:t xml:space="preserve">Performance Measures </w:t>
      </w:r>
      <w:r w:rsidRPr="00E776A7">
        <w:t>for</w:t>
      </w:r>
      <w:r w:rsidRPr="00CF6322">
        <w:t xml:space="preserve"> Health Research, Coordination and Access – Program 1.3</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0" w:type="dxa"/>
        </w:tblCellMar>
        <w:tblLook w:val="01E0" w:firstRow="1" w:lastRow="1" w:firstColumn="1" w:lastColumn="1" w:noHBand="0" w:noVBand="0"/>
      </w:tblPr>
      <w:tblGrid>
        <w:gridCol w:w="5154"/>
        <w:gridCol w:w="5129"/>
      </w:tblGrid>
      <w:tr w:rsidR="00E90764" w:rsidRPr="00CF6322" w14:paraId="632E7440" w14:textId="77777777" w:rsidTr="001D1CF9">
        <w:trPr>
          <w:trHeight w:val="965"/>
          <w:tblHeader/>
        </w:trPr>
        <w:tc>
          <w:tcPr>
            <w:tcW w:w="10283" w:type="dxa"/>
            <w:gridSpan w:val="2"/>
            <w:shd w:val="clear" w:color="auto" w:fill="auto"/>
          </w:tcPr>
          <w:p w14:paraId="632E743F" w14:textId="2E96B285" w:rsidR="00E90764" w:rsidRPr="00E776A7" w:rsidRDefault="0099166C" w:rsidP="001D1CF9">
            <w:pPr>
              <w:pStyle w:val="BodyText"/>
              <w:rPr>
                <w:rStyle w:val="Strong"/>
              </w:rPr>
            </w:pPr>
            <w:proofErr w:type="spellStart"/>
            <w:r w:rsidRPr="00E776A7">
              <w:rPr>
                <w:rStyle w:val="Strong"/>
              </w:rPr>
              <w:t>Finalise</w:t>
            </w:r>
            <w:proofErr w:type="spellEnd"/>
            <w:r w:rsidRPr="00E776A7">
              <w:rPr>
                <w:rStyle w:val="Strong"/>
              </w:rPr>
              <w:t xml:space="preserve"> and commence implementation of the National Aboriginal and Torres Strait Islander Health Plan 2021–31 (Health Plan) and National Aboriginal and Torres Strait Islander Health Workforce Strategic Framework and Implementation Plan 2021–31 (Workforce Plan).</w:t>
            </w:r>
            <w:r w:rsidR="00087BEB">
              <w:rPr>
                <w:rStyle w:val="FootnoteReference"/>
                <w:b/>
                <w:bCs/>
              </w:rPr>
              <w:footnoteReference w:id="10"/>
            </w:r>
          </w:p>
        </w:tc>
      </w:tr>
      <w:tr w:rsidR="00E90764" w:rsidRPr="00CF6322" w14:paraId="632E7443" w14:textId="77777777" w:rsidTr="00E776A7">
        <w:trPr>
          <w:trHeight w:val="458"/>
        </w:trPr>
        <w:tc>
          <w:tcPr>
            <w:tcW w:w="5154" w:type="dxa"/>
            <w:shd w:val="clear" w:color="auto" w:fill="auto"/>
          </w:tcPr>
          <w:p w14:paraId="632E7441" w14:textId="77777777" w:rsidR="00E90764" w:rsidRPr="00E776A7" w:rsidRDefault="0099166C" w:rsidP="001D1CF9">
            <w:pPr>
              <w:pStyle w:val="BodyText"/>
              <w:rPr>
                <w:rStyle w:val="Strong"/>
              </w:rPr>
            </w:pPr>
            <w:r w:rsidRPr="00E776A7">
              <w:rPr>
                <w:rStyle w:val="Strong"/>
              </w:rPr>
              <w:t>2021–22 Target</w:t>
            </w:r>
          </w:p>
        </w:tc>
        <w:tc>
          <w:tcPr>
            <w:tcW w:w="5129" w:type="dxa"/>
            <w:shd w:val="clear" w:color="auto" w:fill="auto"/>
          </w:tcPr>
          <w:p w14:paraId="632E7442" w14:textId="77777777" w:rsidR="00E90764" w:rsidRPr="00E776A7" w:rsidRDefault="0099166C" w:rsidP="001D1CF9">
            <w:pPr>
              <w:pStyle w:val="BodyText"/>
              <w:rPr>
                <w:rStyle w:val="Strong"/>
              </w:rPr>
            </w:pPr>
            <w:r w:rsidRPr="00E776A7">
              <w:rPr>
                <w:rStyle w:val="Strong"/>
              </w:rPr>
              <w:t>2022–23 Target (and beyond)</w:t>
            </w:r>
          </w:p>
        </w:tc>
      </w:tr>
      <w:tr w:rsidR="00E90764" w:rsidRPr="00CF6322" w14:paraId="632E7446" w14:textId="77777777" w:rsidTr="00E776A7">
        <w:trPr>
          <w:trHeight w:val="1185"/>
        </w:trPr>
        <w:tc>
          <w:tcPr>
            <w:tcW w:w="5154" w:type="dxa"/>
            <w:shd w:val="clear" w:color="auto" w:fill="auto"/>
          </w:tcPr>
          <w:p w14:paraId="632E7444" w14:textId="56DB8C16" w:rsidR="00E90764" w:rsidRPr="00CF6322" w:rsidRDefault="0099166C" w:rsidP="001D1CF9">
            <w:pPr>
              <w:pStyle w:val="BodyText"/>
            </w:pPr>
            <w:r w:rsidRPr="00CF6322">
              <w:t>Commence implementation of the refreshed Health Plan and Workforce Plan in partnership with Aboriginal</w:t>
            </w:r>
            <w:r w:rsidR="00E776A7">
              <w:t xml:space="preserve"> </w:t>
            </w:r>
            <w:r w:rsidRPr="00CF6322">
              <w:t xml:space="preserve">and Torres Strait Islander people, communities and </w:t>
            </w:r>
            <w:proofErr w:type="spellStart"/>
            <w:r w:rsidRPr="00CF6322">
              <w:t>organisations</w:t>
            </w:r>
            <w:proofErr w:type="spellEnd"/>
            <w:r w:rsidRPr="00CF6322">
              <w:t>.</w:t>
            </w:r>
          </w:p>
        </w:tc>
        <w:tc>
          <w:tcPr>
            <w:tcW w:w="5129" w:type="dxa"/>
            <w:shd w:val="clear" w:color="auto" w:fill="auto"/>
          </w:tcPr>
          <w:p w14:paraId="632E7445" w14:textId="77777777" w:rsidR="00E90764" w:rsidRPr="00CF6322" w:rsidRDefault="0099166C" w:rsidP="001D1CF9">
            <w:pPr>
              <w:pStyle w:val="BodyText"/>
            </w:pPr>
            <w:r w:rsidRPr="00CF6322">
              <w:t>Continue to implement the Health Plan and Workforce Plan, in concert with the respective implementation frameworks.</w:t>
            </w:r>
          </w:p>
        </w:tc>
      </w:tr>
      <w:tr w:rsidR="00E90764" w:rsidRPr="00CF6322" w14:paraId="632E7450" w14:textId="77777777" w:rsidTr="00E776A7">
        <w:trPr>
          <w:trHeight w:val="3509"/>
        </w:trPr>
        <w:tc>
          <w:tcPr>
            <w:tcW w:w="10283" w:type="dxa"/>
            <w:gridSpan w:val="2"/>
            <w:shd w:val="clear" w:color="auto" w:fill="auto"/>
          </w:tcPr>
          <w:p w14:paraId="632E7447" w14:textId="77777777" w:rsidR="00E90764" w:rsidRPr="00CF6322" w:rsidRDefault="0099166C" w:rsidP="001D1CF9">
            <w:pPr>
              <w:pStyle w:val="Heading6"/>
            </w:pPr>
            <w:r w:rsidRPr="00CF6322">
              <w:t xml:space="preserve">Data source and </w:t>
            </w:r>
            <w:r w:rsidRPr="00E776A7">
              <w:t>methodology</w:t>
            </w:r>
          </w:p>
          <w:p w14:paraId="632E7448" w14:textId="065BF634" w:rsidR="00E90764" w:rsidRPr="00CF6322" w:rsidRDefault="0099166C" w:rsidP="001D1CF9">
            <w:pPr>
              <w:pStyle w:val="BodyText"/>
            </w:pPr>
            <w:r w:rsidRPr="00CF6322">
              <w:t>The Health Plan is published on the Department’s website</w:t>
            </w:r>
            <w:r w:rsidR="00087BEB">
              <w:rPr>
                <w:rStyle w:val="FootnoteReference"/>
              </w:rPr>
              <w:footnoteReference w:id="11"/>
            </w:r>
            <w:r w:rsidRPr="00CF6322">
              <w:t>.</w:t>
            </w:r>
          </w:p>
          <w:p w14:paraId="632E7449" w14:textId="77777777" w:rsidR="00E90764" w:rsidRPr="00CF6322" w:rsidRDefault="0099166C" w:rsidP="001D1CF9">
            <w:pPr>
              <w:pStyle w:val="BodyText"/>
            </w:pPr>
            <w:r w:rsidRPr="00CF6322">
              <w:t xml:space="preserve">The Workforce Plan will be published on the Department’s website once </w:t>
            </w:r>
            <w:proofErr w:type="spellStart"/>
            <w:r w:rsidRPr="00CF6322">
              <w:t>finalised</w:t>
            </w:r>
            <w:proofErr w:type="spellEnd"/>
            <w:r w:rsidRPr="00CF6322">
              <w:t>.</w:t>
            </w:r>
          </w:p>
          <w:p w14:paraId="632E744B" w14:textId="77777777" w:rsidR="00E90764" w:rsidRPr="00E776A7" w:rsidRDefault="0099166C" w:rsidP="001D1CF9">
            <w:pPr>
              <w:pStyle w:val="Heading6"/>
            </w:pPr>
            <w:r w:rsidRPr="00CF6322">
              <w:t>Measure type</w:t>
            </w:r>
          </w:p>
          <w:p w14:paraId="632E744C" w14:textId="77777777" w:rsidR="00E90764" w:rsidRPr="00CF6322" w:rsidRDefault="0099166C" w:rsidP="001D1CF9">
            <w:pPr>
              <w:pStyle w:val="BodyText"/>
            </w:pPr>
            <w:r w:rsidRPr="00CF6322">
              <w:t>Qualitative/Output</w:t>
            </w:r>
          </w:p>
          <w:p w14:paraId="632E744E" w14:textId="77777777" w:rsidR="00E90764" w:rsidRPr="00E776A7" w:rsidRDefault="0099166C" w:rsidP="001D1CF9">
            <w:pPr>
              <w:pStyle w:val="Heading6"/>
            </w:pPr>
            <w:r w:rsidRPr="00CF6322">
              <w:t>Discussion</w:t>
            </w:r>
          </w:p>
          <w:p w14:paraId="632E744F" w14:textId="3BFD5D87" w:rsidR="00E90764" w:rsidRPr="00CF6322" w:rsidRDefault="0099166C" w:rsidP="001D1CF9">
            <w:pPr>
              <w:pStyle w:val="BodyText"/>
            </w:pPr>
            <w:r w:rsidRPr="00CF6322">
              <w:t>Measuring the implementation of these plans through relevant partnerships assesses the Department’s leadership in the</w:t>
            </w:r>
            <w:r w:rsidR="00953805" w:rsidRPr="00CF6322">
              <w:t xml:space="preserve"> </w:t>
            </w:r>
            <w:r w:rsidRPr="00CF6322">
              <w:t>objective of driving improved health outcomes for Aboriginal and Torres Strait Islander people. This measure is strongly linked to the outcome of improving access to comprehensive and coordinated health care, better equipping Australia to meet current and future health needs of all Australians.</w:t>
            </w:r>
          </w:p>
        </w:tc>
      </w:tr>
    </w:tbl>
    <w:p w14:paraId="77574E90" w14:textId="77777777" w:rsidR="00E90764" w:rsidRPr="00CF6322" w:rsidRDefault="00E90764" w:rsidP="001D1CF9">
      <w:pPr>
        <w:pStyle w:val="BodyText"/>
      </w:pP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0" w:type="dxa"/>
        </w:tblCellMar>
        <w:tblLook w:val="01E0" w:firstRow="1" w:lastRow="1" w:firstColumn="1" w:lastColumn="1" w:noHBand="0" w:noVBand="0"/>
      </w:tblPr>
      <w:tblGrid>
        <w:gridCol w:w="2571"/>
        <w:gridCol w:w="2571"/>
        <w:gridCol w:w="2571"/>
        <w:gridCol w:w="2571"/>
      </w:tblGrid>
      <w:tr w:rsidR="00E90764" w:rsidRPr="00E776A7" w14:paraId="632E7453" w14:textId="77777777" w:rsidTr="001D1CF9">
        <w:trPr>
          <w:trHeight w:val="715"/>
          <w:tblHeader/>
        </w:trPr>
        <w:tc>
          <w:tcPr>
            <w:tcW w:w="10284" w:type="dxa"/>
            <w:gridSpan w:val="4"/>
            <w:shd w:val="clear" w:color="auto" w:fill="auto"/>
          </w:tcPr>
          <w:p w14:paraId="632E7452" w14:textId="3D467083" w:rsidR="00E90764" w:rsidRPr="00E776A7" w:rsidRDefault="0099166C" w:rsidP="001D1CF9">
            <w:pPr>
              <w:pStyle w:val="BodyText"/>
              <w:rPr>
                <w:rStyle w:val="Strong"/>
              </w:rPr>
            </w:pPr>
            <w:r w:rsidRPr="00E776A7">
              <w:rPr>
                <w:rStyle w:val="Strong"/>
              </w:rPr>
              <w:t>By 2031, increase the proportion of Aboriginal and Torres Strait Islander babies with a healthy birthweight to 91%.</w:t>
            </w:r>
            <w:r w:rsidR="00087BEB">
              <w:rPr>
                <w:rStyle w:val="FootnoteReference"/>
                <w:b/>
                <w:bCs/>
              </w:rPr>
              <w:footnoteReference w:id="12"/>
            </w:r>
          </w:p>
        </w:tc>
      </w:tr>
      <w:tr w:rsidR="00E90764" w:rsidRPr="00E776A7" w14:paraId="632E7458" w14:textId="77777777" w:rsidTr="00E776A7">
        <w:trPr>
          <w:trHeight w:val="458"/>
        </w:trPr>
        <w:tc>
          <w:tcPr>
            <w:tcW w:w="2571" w:type="dxa"/>
            <w:shd w:val="clear" w:color="auto" w:fill="auto"/>
          </w:tcPr>
          <w:p w14:paraId="632E7454" w14:textId="77777777" w:rsidR="00E90764" w:rsidRPr="00E776A7" w:rsidRDefault="0099166C" w:rsidP="001D1CF9">
            <w:pPr>
              <w:pStyle w:val="BodyText"/>
              <w:rPr>
                <w:rStyle w:val="Strong"/>
              </w:rPr>
            </w:pPr>
            <w:r w:rsidRPr="00E776A7">
              <w:rPr>
                <w:rStyle w:val="Strong"/>
              </w:rPr>
              <w:t>2021–22 Target</w:t>
            </w:r>
          </w:p>
        </w:tc>
        <w:tc>
          <w:tcPr>
            <w:tcW w:w="2571" w:type="dxa"/>
            <w:shd w:val="clear" w:color="auto" w:fill="auto"/>
          </w:tcPr>
          <w:p w14:paraId="632E7455" w14:textId="77777777" w:rsidR="00E90764" w:rsidRPr="00E776A7" w:rsidRDefault="0099166C" w:rsidP="001D1CF9">
            <w:pPr>
              <w:pStyle w:val="BodyText"/>
              <w:rPr>
                <w:rStyle w:val="Strong"/>
              </w:rPr>
            </w:pPr>
            <w:r w:rsidRPr="00E776A7">
              <w:rPr>
                <w:rStyle w:val="Strong"/>
              </w:rPr>
              <w:t>2022–23 Target</w:t>
            </w:r>
          </w:p>
        </w:tc>
        <w:tc>
          <w:tcPr>
            <w:tcW w:w="2571" w:type="dxa"/>
            <w:shd w:val="clear" w:color="auto" w:fill="auto"/>
          </w:tcPr>
          <w:p w14:paraId="632E7456" w14:textId="77777777" w:rsidR="00E90764" w:rsidRPr="00E776A7" w:rsidRDefault="0099166C" w:rsidP="001D1CF9">
            <w:pPr>
              <w:pStyle w:val="BodyText"/>
              <w:rPr>
                <w:rStyle w:val="Strong"/>
              </w:rPr>
            </w:pPr>
            <w:r w:rsidRPr="00E776A7">
              <w:rPr>
                <w:rStyle w:val="Strong"/>
              </w:rPr>
              <w:t>2023–24 Target</w:t>
            </w:r>
          </w:p>
        </w:tc>
        <w:tc>
          <w:tcPr>
            <w:tcW w:w="2571" w:type="dxa"/>
            <w:shd w:val="clear" w:color="auto" w:fill="auto"/>
          </w:tcPr>
          <w:p w14:paraId="632E7457" w14:textId="77777777" w:rsidR="00E90764" w:rsidRPr="00E776A7" w:rsidRDefault="0099166C" w:rsidP="001D1CF9">
            <w:pPr>
              <w:pStyle w:val="BodyText"/>
              <w:rPr>
                <w:rStyle w:val="Strong"/>
              </w:rPr>
            </w:pPr>
            <w:r w:rsidRPr="00E776A7">
              <w:rPr>
                <w:rStyle w:val="Strong"/>
              </w:rPr>
              <w:t>2024–25 Target</w:t>
            </w:r>
          </w:p>
        </w:tc>
      </w:tr>
      <w:tr w:rsidR="00E90764" w:rsidRPr="00CF6322" w14:paraId="632E745D" w14:textId="77777777" w:rsidTr="00E776A7">
        <w:trPr>
          <w:trHeight w:val="465"/>
        </w:trPr>
        <w:tc>
          <w:tcPr>
            <w:tcW w:w="2571" w:type="dxa"/>
            <w:shd w:val="clear" w:color="auto" w:fill="auto"/>
          </w:tcPr>
          <w:p w14:paraId="632E7459" w14:textId="77777777" w:rsidR="00E90764" w:rsidRPr="00CF6322" w:rsidRDefault="0099166C" w:rsidP="001D1CF9">
            <w:pPr>
              <w:pStyle w:val="BodyText"/>
            </w:pPr>
            <w:r w:rsidRPr="00CF6322">
              <w:t>89.3%</w:t>
            </w:r>
          </w:p>
        </w:tc>
        <w:tc>
          <w:tcPr>
            <w:tcW w:w="2571" w:type="dxa"/>
            <w:shd w:val="clear" w:color="auto" w:fill="auto"/>
          </w:tcPr>
          <w:p w14:paraId="632E745A" w14:textId="77777777" w:rsidR="00E90764" w:rsidRPr="00CF6322" w:rsidRDefault="0099166C" w:rsidP="001D1CF9">
            <w:pPr>
              <w:pStyle w:val="BodyText"/>
            </w:pPr>
            <w:r w:rsidRPr="00CF6322">
              <w:t>89.4%</w:t>
            </w:r>
          </w:p>
        </w:tc>
        <w:tc>
          <w:tcPr>
            <w:tcW w:w="2571" w:type="dxa"/>
            <w:shd w:val="clear" w:color="auto" w:fill="auto"/>
          </w:tcPr>
          <w:p w14:paraId="632E745B" w14:textId="77777777" w:rsidR="00E90764" w:rsidRPr="00CF6322" w:rsidRDefault="0099166C" w:rsidP="001D1CF9">
            <w:pPr>
              <w:pStyle w:val="BodyText"/>
            </w:pPr>
            <w:r w:rsidRPr="00CF6322">
              <w:t>89.5%</w:t>
            </w:r>
          </w:p>
        </w:tc>
        <w:tc>
          <w:tcPr>
            <w:tcW w:w="2571" w:type="dxa"/>
            <w:shd w:val="clear" w:color="auto" w:fill="auto"/>
          </w:tcPr>
          <w:p w14:paraId="632E745C" w14:textId="77777777" w:rsidR="00E90764" w:rsidRPr="00CF6322" w:rsidRDefault="0099166C" w:rsidP="001D1CF9">
            <w:pPr>
              <w:pStyle w:val="BodyText"/>
            </w:pPr>
            <w:r w:rsidRPr="00CF6322">
              <w:t>89.6%</w:t>
            </w:r>
          </w:p>
        </w:tc>
      </w:tr>
      <w:tr w:rsidR="00E90764" w:rsidRPr="00CF6322" w14:paraId="632E7466" w14:textId="77777777" w:rsidTr="00E776A7">
        <w:trPr>
          <w:trHeight w:val="3589"/>
        </w:trPr>
        <w:tc>
          <w:tcPr>
            <w:tcW w:w="10284" w:type="dxa"/>
            <w:gridSpan w:val="4"/>
            <w:shd w:val="clear" w:color="auto" w:fill="auto"/>
          </w:tcPr>
          <w:p w14:paraId="632E745E" w14:textId="77777777" w:rsidR="00E90764" w:rsidRPr="00B1625C" w:rsidRDefault="0099166C" w:rsidP="001D1CF9">
            <w:pPr>
              <w:pStyle w:val="Heading6"/>
            </w:pPr>
            <w:r w:rsidRPr="00CF6322">
              <w:t>Data source and methodology</w:t>
            </w:r>
          </w:p>
          <w:p w14:paraId="632E745F" w14:textId="4F9B3856" w:rsidR="00E90764" w:rsidRPr="00CF6322" w:rsidRDefault="0099166C" w:rsidP="001D1CF9">
            <w:pPr>
              <w:pStyle w:val="BodyText"/>
            </w:pPr>
            <w:r w:rsidRPr="00CF6322">
              <w:t>The Australian Institute of Health and Welfare (AIHW) National Perinatal Data Collection. This is an established national population-based cross-sectional collection of data on pregnancy and childbirth. The data is updated on a yearly basis</w:t>
            </w:r>
            <w:r w:rsidR="00953805" w:rsidRPr="00CF6322">
              <w:t>.</w:t>
            </w:r>
            <w:r w:rsidR="00B1625C">
              <w:t xml:space="preserve"> </w:t>
            </w:r>
            <w:r w:rsidRPr="00CF6322">
              <w:t>There is currently a 17 month data lag between collection of the data and when it is publically reported. Information regarding this data, including scope and methodology, is available on the AIHW website</w:t>
            </w:r>
            <w:r w:rsidR="00087BEB">
              <w:rPr>
                <w:rStyle w:val="FootnoteReference"/>
              </w:rPr>
              <w:footnoteReference w:id="13"/>
            </w:r>
            <w:r w:rsidRPr="00CF6322">
              <w:t>.</w:t>
            </w:r>
          </w:p>
          <w:p w14:paraId="632E7461" w14:textId="77777777" w:rsidR="00E90764" w:rsidRPr="00CF6322" w:rsidRDefault="0099166C" w:rsidP="001D1CF9">
            <w:pPr>
              <w:pStyle w:val="Heading6"/>
            </w:pPr>
            <w:r w:rsidRPr="00CF6322">
              <w:t>Measure type</w:t>
            </w:r>
          </w:p>
          <w:p w14:paraId="632E7462" w14:textId="77777777" w:rsidR="00E90764" w:rsidRPr="00CF6322" w:rsidRDefault="0099166C" w:rsidP="001D1CF9">
            <w:pPr>
              <w:pStyle w:val="BodyText"/>
            </w:pPr>
            <w:r w:rsidRPr="00CF6322">
              <w:t>Quantitative/Effectiveness</w:t>
            </w:r>
          </w:p>
          <w:p w14:paraId="632E7464" w14:textId="77777777" w:rsidR="00E90764" w:rsidRPr="00CF6322" w:rsidRDefault="0099166C" w:rsidP="001D1CF9">
            <w:pPr>
              <w:pStyle w:val="Heading6"/>
            </w:pPr>
            <w:r w:rsidRPr="00CF6322">
              <w:t>Discussion</w:t>
            </w:r>
          </w:p>
          <w:p w14:paraId="632E7465" w14:textId="77777777" w:rsidR="00E90764" w:rsidRPr="00CF6322" w:rsidRDefault="0099166C" w:rsidP="001D1CF9">
            <w:pPr>
              <w:pStyle w:val="BodyText"/>
            </w:pPr>
            <w:r w:rsidRPr="00CF6322">
              <w:t>This measure replaces a measure from previous years related to health checks during pregnancy. The healthy birthweight measure aligns with Closing the Gap target 2 ‘children are born healthy and strong’, which the Government is committed to achieving under the new National Agreement on Closing the Gap.</w:t>
            </w:r>
          </w:p>
        </w:tc>
      </w:tr>
    </w:tbl>
    <w:p w14:paraId="6EF33D39" w14:textId="4347DF12" w:rsidR="008A6742" w:rsidRPr="008A6742" w:rsidRDefault="008A6742" w:rsidP="008A6742">
      <w:pPr>
        <w:pStyle w:val="Heading3"/>
      </w:pPr>
      <w:r>
        <w:lastRenderedPageBreak/>
        <w:t xml:space="preserve">1.4 </w:t>
      </w:r>
      <w:r w:rsidR="00B1625C">
        <w:t>–</w:t>
      </w:r>
      <w:r>
        <w:t xml:space="preserve"> </w:t>
      </w:r>
      <w:r w:rsidRPr="008A6742">
        <w:t>Health Workforce</w:t>
      </w:r>
    </w:p>
    <w:p w14:paraId="632E7470" w14:textId="77777777" w:rsidR="00E90764" w:rsidRPr="00CF6322" w:rsidRDefault="0099166C" w:rsidP="008A6742">
      <w:pPr>
        <w:pStyle w:val="Heading4"/>
      </w:pPr>
      <w:r w:rsidRPr="00CF6322">
        <w:t>Program Objective</w:t>
      </w:r>
    </w:p>
    <w:p w14:paraId="6B721D09" w14:textId="77777777" w:rsidR="008A6742" w:rsidRPr="008A6742" w:rsidRDefault="008A6742" w:rsidP="001D1CF9">
      <w:pPr>
        <w:pStyle w:val="BodyText"/>
      </w:pPr>
      <w:r w:rsidRPr="008A6742">
        <w:t>Ensure Australia has the workforce necessary to improve the health and wellbeing of all Australians. Improve the quality, distribution and planning of the Australian health workforce to better meet the needs of the community and deliver a sustainable, well distributed health workforce.</w:t>
      </w:r>
    </w:p>
    <w:p w14:paraId="632E7474" w14:textId="77777777" w:rsidR="00E90764" w:rsidRPr="00CF6322" w:rsidRDefault="0099166C" w:rsidP="008A6742">
      <w:pPr>
        <w:pStyle w:val="Heading4"/>
      </w:pPr>
      <w:r w:rsidRPr="00CF6322">
        <w:t xml:space="preserve">Our </w:t>
      </w:r>
      <w:r w:rsidRPr="008A6742">
        <w:t>Operating</w:t>
      </w:r>
      <w:r w:rsidRPr="00CF6322">
        <w:t xml:space="preserve"> Focus</w:t>
      </w:r>
    </w:p>
    <w:p w14:paraId="632E7475" w14:textId="77777777" w:rsidR="00E90764" w:rsidRPr="00CF6322" w:rsidRDefault="0099166C" w:rsidP="001D1CF9">
      <w:pPr>
        <w:pStyle w:val="BodyText"/>
      </w:pPr>
      <w:r w:rsidRPr="00CF6322">
        <w:t>Australia needs a sustainable and highly trained medical workforce. We will continue to develop and implement a National Medical Workforce Strategy to guide long term collaborative medical workforce planning across Australia.</w:t>
      </w:r>
    </w:p>
    <w:p w14:paraId="632E7477" w14:textId="0F7281C3" w:rsidR="00E90764" w:rsidRPr="00CF6322" w:rsidRDefault="0099166C" w:rsidP="001D1CF9">
      <w:pPr>
        <w:pStyle w:val="BodyText"/>
      </w:pPr>
      <w:r w:rsidRPr="00CF6322">
        <w:t>Together with our Chief Nursing and Midwifery Officer, we will work with key stakeholders from the nursing, medical and consumer sectors, to develop a Nurse Practitioner (NP) 10 Year Plan and a National Nursing</w:t>
      </w:r>
      <w:r w:rsidR="00E20564" w:rsidRPr="00CF6322">
        <w:t xml:space="preserve"> </w:t>
      </w:r>
      <w:r w:rsidRPr="00CF6322">
        <w:t>Strategy (Nursing Strategy). Both the NP 10 Year Plan and</w:t>
      </w:r>
      <w:r w:rsidR="00E20564" w:rsidRPr="00CF6322">
        <w:t xml:space="preserve"> </w:t>
      </w:r>
      <w:r w:rsidRPr="00CF6322">
        <w:t>the Nursing Strategy will take account of other relevant health workforce and primary care strategies to support the ongoing development of a capable, resilient nursing profession delivering person-</w:t>
      </w:r>
      <w:proofErr w:type="spellStart"/>
      <w:r w:rsidRPr="00CF6322">
        <w:t>centred</w:t>
      </w:r>
      <w:proofErr w:type="spellEnd"/>
      <w:r w:rsidRPr="00CF6322">
        <w:t>, evidence-based, compassionate care to all Australians.</w:t>
      </w:r>
    </w:p>
    <w:p w14:paraId="632E7478" w14:textId="77777777" w:rsidR="00E90764" w:rsidRPr="00CF6322" w:rsidRDefault="0099166C" w:rsidP="001D1CF9">
      <w:pPr>
        <w:pStyle w:val="BodyText"/>
      </w:pPr>
      <w:r w:rsidRPr="00CF6322">
        <w:t>We will continue to implement the Stronger Rural Health Strategy (the Strategy), which will give doctors more opportunities to train and practice in rural and remote Australia. It will also give nurses and allied health professionals a greater role in the delivery of multidisciplinary, team-based primary care.</w:t>
      </w:r>
    </w:p>
    <w:p w14:paraId="632E7479" w14:textId="77777777" w:rsidR="00E90764" w:rsidRPr="00CF6322" w:rsidRDefault="0099166C" w:rsidP="001D1CF9">
      <w:pPr>
        <w:pStyle w:val="BodyText"/>
      </w:pPr>
      <w:r w:rsidRPr="00CF6322">
        <w:t>We will work to implement the Australian Government’s additional $123 million investment in specific rural health workforce initiatives under the Strategy. Announced in the 2021–22 Budget, these initiatives will improve access to health services in areas outside our big cities and increase the opportunities for a rewarding career in the health workforce for locals, supporting rural communities, who will benefit from increased delivery of health services and a more stable, locally trained workforce.</w:t>
      </w:r>
    </w:p>
    <w:p w14:paraId="632E747A" w14:textId="664DD6B1" w:rsidR="00E90764" w:rsidRPr="00CF6322" w:rsidRDefault="0099166C" w:rsidP="001D1CF9">
      <w:pPr>
        <w:pStyle w:val="BodyText"/>
      </w:pPr>
      <w:r w:rsidRPr="00CF6322">
        <w:t>We will continue to support the Government in improving access to health services in regional, rural, and remote Australia, building on the Strategy through a range of reforms and improved investment.</w:t>
      </w:r>
    </w:p>
    <w:p w14:paraId="632E747C" w14:textId="4A69B250" w:rsidR="00E90764" w:rsidRPr="00CF6322" w:rsidRDefault="0099166C" w:rsidP="001D1CF9">
      <w:pPr>
        <w:pStyle w:val="BodyText"/>
      </w:pPr>
      <w:r w:rsidRPr="00CF6322">
        <w:t xml:space="preserve">A primary focus is to move away from </w:t>
      </w:r>
      <w:proofErr w:type="spellStart"/>
      <w:r w:rsidRPr="00CF6322">
        <w:t>siloed</w:t>
      </w:r>
      <w:proofErr w:type="spellEnd"/>
      <w:r w:rsidRPr="00CF6322">
        <w:t xml:space="preserve"> training and retention programs designed with a ‘one size fits all’ approach, to more flexible approaches that </w:t>
      </w:r>
      <w:proofErr w:type="spellStart"/>
      <w:r w:rsidRPr="00CF6322">
        <w:t>utilise</w:t>
      </w:r>
      <w:proofErr w:type="spellEnd"/>
      <w:r w:rsidRPr="00CF6322">
        <w:t xml:space="preserve"> local knowledge and community developed solutions to provide meaningful, visible support for the rural health</w:t>
      </w:r>
      <w:r w:rsidR="00E20564" w:rsidRPr="00CF6322">
        <w:t xml:space="preserve"> </w:t>
      </w:r>
      <w:r w:rsidRPr="00CF6322">
        <w:t>workforce and build the health, mental health, aged care and disability care workforce, which has been essential to</w:t>
      </w:r>
      <w:r w:rsidR="00087BEB">
        <w:t xml:space="preserve"> </w:t>
      </w:r>
      <w:r w:rsidRPr="00CF6322">
        <w:t>supporting Australians through the COVID-19 pandemic.</w:t>
      </w:r>
    </w:p>
    <w:p w14:paraId="632E747D" w14:textId="68A77556" w:rsidR="00E90764" w:rsidRPr="00CF6322" w:rsidRDefault="0099166C" w:rsidP="001D1CF9">
      <w:pPr>
        <w:pStyle w:val="BodyText"/>
      </w:pPr>
      <w:r w:rsidRPr="00CF6322">
        <w:t>Building on previous investments in junior doctor training, opportunities will be increased for junior doctors to remain</w:t>
      </w:r>
      <w:r w:rsidR="00087BEB">
        <w:t xml:space="preserve"> </w:t>
      </w:r>
      <w:r w:rsidRPr="00CF6322">
        <w:t>in rural communities where they want to live and work whilst completing their medical training and establishing their medical careers. More rural communities will benefit directly from an increase of rotations in rural primary care settings. Patients in these communities will also benefit from increased delivery of health services and a more stable locally trained workforce.</w:t>
      </w:r>
    </w:p>
    <w:p w14:paraId="27638D5F" w14:textId="4B38AD1A" w:rsidR="002355FA" w:rsidRPr="00CF6322" w:rsidRDefault="0099166C" w:rsidP="001D1CF9">
      <w:pPr>
        <w:pStyle w:val="BodyText"/>
      </w:pPr>
      <w:r w:rsidRPr="00CF6322">
        <w:t>Our work in delivering this package of reforms maintains the momentum of the Strategy and will streamline</w:t>
      </w:r>
      <w:r w:rsidR="008A6742">
        <w:t xml:space="preserve"> </w:t>
      </w:r>
      <w:r w:rsidRPr="00CF6322">
        <w:t xml:space="preserve">and better connect programs and support for health practitioners, and invests in retention, teaching, training, </w:t>
      </w:r>
      <w:proofErr w:type="spellStart"/>
      <w:r w:rsidRPr="00CF6322">
        <w:t>incentivising</w:t>
      </w:r>
      <w:proofErr w:type="spellEnd"/>
      <w:r w:rsidRPr="00CF6322">
        <w:t xml:space="preserve"> and supporting health professionals. There</w:t>
      </w:r>
      <w:r w:rsidR="00087BEB">
        <w:t xml:space="preserve"> </w:t>
      </w:r>
      <w:r w:rsidRPr="00CF6322">
        <w:t>is a key focus on building the regional, rural and remote health workforce.</w:t>
      </w:r>
    </w:p>
    <w:tbl>
      <w:tblPr>
        <w:tblpPr w:leftFromText="180" w:rightFromText="180" w:vertAnchor="text" w:horzAnchor="margin" w:tblpXSpec="center" w:tblpY="103"/>
        <w:tblW w:w="10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70" w:type="dxa"/>
          <w:left w:w="170" w:type="dxa"/>
          <w:right w:w="0" w:type="dxa"/>
        </w:tblCellMar>
        <w:tblLook w:val="01E0" w:firstRow="1" w:lastRow="1" w:firstColumn="1" w:lastColumn="1" w:noHBand="0" w:noVBand="0"/>
      </w:tblPr>
      <w:tblGrid>
        <w:gridCol w:w="8544"/>
        <w:gridCol w:w="442"/>
        <w:gridCol w:w="442"/>
        <w:gridCol w:w="442"/>
        <w:gridCol w:w="442"/>
      </w:tblGrid>
      <w:tr w:rsidR="00391A40" w:rsidRPr="00087BEB" w14:paraId="3D6618DE" w14:textId="77777777" w:rsidTr="006E10D0">
        <w:trPr>
          <w:cantSplit/>
          <w:trHeight w:val="1102"/>
          <w:tblHeader/>
        </w:trPr>
        <w:tc>
          <w:tcPr>
            <w:tcW w:w="8544" w:type="dxa"/>
            <w:shd w:val="clear" w:color="auto" w:fill="auto"/>
          </w:tcPr>
          <w:p w14:paraId="5278B2AA" w14:textId="58558AA5" w:rsidR="00391A40" w:rsidRPr="00087BEB" w:rsidRDefault="00391A40" w:rsidP="001D1CF9">
            <w:pPr>
              <w:pStyle w:val="BodyText"/>
              <w:rPr>
                <w:rStyle w:val="Strong"/>
              </w:rPr>
            </w:pPr>
            <w:r w:rsidRPr="00087BEB">
              <w:rPr>
                <w:rStyle w:val="Strong"/>
              </w:rPr>
              <w:lastRenderedPageBreak/>
              <w:t>Key Activities</w:t>
            </w:r>
          </w:p>
        </w:tc>
        <w:tc>
          <w:tcPr>
            <w:tcW w:w="442" w:type="dxa"/>
            <w:shd w:val="clear" w:color="auto" w:fill="auto"/>
            <w:textDirection w:val="tbRl"/>
            <w:vAlign w:val="bottom"/>
          </w:tcPr>
          <w:p w14:paraId="7B6AFDE5" w14:textId="4395812B" w:rsidR="00391A40" w:rsidRPr="00087BEB" w:rsidRDefault="00391A40" w:rsidP="001D1CF9">
            <w:pPr>
              <w:pStyle w:val="BodyText"/>
              <w:rPr>
                <w:rStyle w:val="Strong"/>
              </w:rPr>
            </w:pPr>
            <w:r w:rsidRPr="00087BEB">
              <w:rPr>
                <w:rStyle w:val="Strong"/>
              </w:rPr>
              <w:t>2021–22</w:t>
            </w:r>
          </w:p>
        </w:tc>
        <w:tc>
          <w:tcPr>
            <w:tcW w:w="442" w:type="dxa"/>
            <w:shd w:val="clear" w:color="auto" w:fill="auto"/>
            <w:textDirection w:val="tbRl"/>
            <w:vAlign w:val="bottom"/>
          </w:tcPr>
          <w:p w14:paraId="529B27BC" w14:textId="7DC269F5" w:rsidR="00391A40" w:rsidRPr="00087BEB" w:rsidRDefault="00391A40" w:rsidP="001D1CF9">
            <w:pPr>
              <w:pStyle w:val="BodyText"/>
              <w:rPr>
                <w:rStyle w:val="Strong"/>
              </w:rPr>
            </w:pPr>
            <w:r w:rsidRPr="00087BEB">
              <w:rPr>
                <w:rStyle w:val="Strong"/>
              </w:rPr>
              <w:t>2022–23</w:t>
            </w:r>
          </w:p>
        </w:tc>
        <w:tc>
          <w:tcPr>
            <w:tcW w:w="442" w:type="dxa"/>
            <w:shd w:val="clear" w:color="auto" w:fill="auto"/>
            <w:textDirection w:val="tbRl"/>
            <w:vAlign w:val="bottom"/>
          </w:tcPr>
          <w:p w14:paraId="255046B8" w14:textId="7A71C3D2" w:rsidR="00391A40" w:rsidRPr="00087BEB" w:rsidRDefault="00391A40" w:rsidP="001D1CF9">
            <w:pPr>
              <w:pStyle w:val="BodyText"/>
              <w:rPr>
                <w:rStyle w:val="Strong"/>
              </w:rPr>
            </w:pPr>
            <w:r w:rsidRPr="00087BEB">
              <w:rPr>
                <w:rStyle w:val="Strong"/>
              </w:rPr>
              <w:t>2023–24</w:t>
            </w:r>
          </w:p>
        </w:tc>
        <w:tc>
          <w:tcPr>
            <w:tcW w:w="442" w:type="dxa"/>
            <w:shd w:val="clear" w:color="auto" w:fill="auto"/>
            <w:textDirection w:val="tbRl"/>
            <w:vAlign w:val="bottom"/>
          </w:tcPr>
          <w:p w14:paraId="13B5B825" w14:textId="31690635" w:rsidR="00391A40" w:rsidRPr="00087BEB" w:rsidRDefault="00391A40" w:rsidP="001D1CF9">
            <w:pPr>
              <w:pStyle w:val="BodyText"/>
              <w:rPr>
                <w:rStyle w:val="Strong"/>
              </w:rPr>
            </w:pPr>
            <w:r w:rsidRPr="00087BEB">
              <w:rPr>
                <w:rStyle w:val="Strong"/>
              </w:rPr>
              <w:t>2024–25</w:t>
            </w:r>
          </w:p>
        </w:tc>
      </w:tr>
      <w:tr w:rsidR="002355FA" w:rsidRPr="00087BEB" w14:paraId="506DCFC8" w14:textId="77777777" w:rsidTr="00087BEB">
        <w:trPr>
          <w:cantSplit/>
          <w:trHeight w:val="4620"/>
        </w:trPr>
        <w:tc>
          <w:tcPr>
            <w:tcW w:w="8544" w:type="dxa"/>
            <w:shd w:val="clear" w:color="auto" w:fill="auto"/>
          </w:tcPr>
          <w:p w14:paraId="10D4C3AF" w14:textId="77777777" w:rsidR="002355FA" w:rsidRPr="00087BEB" w:rsidRDefault="002355FA" w:rsidP="001D1CF9">
            <w:pPr>
              <w:pStyle w:val="BodyText"/>
            </w:pPr>
            <w:r w:rsidRPr="00087BEB">
              <w:t>Implementing the Strategy by:</w:t>
            </w:r>
          </w:p>
          <w:p w14:paraId="4D63CB8B" w14:textId="64B4D1BA" w:rsidR="002355FA" w:rsidRPr="00B1625C" w:rsidRDefault="002355FA" w:rsidP="00B1625C">
            <w:pPr>
              <w:pStyle w:val="Bullets"/>
            </w:pPr>
            <w:r w:rsidRPr="00087BEB">
              <w:t xml:space="preserve">Improving the quality of the Australian </w:t>
            </w:r>
            <w:r w:rsidRPr="00B1625C">
              <w:t>health workforce through targeted support and incentives</w:t>
            </w:r>
            <w:r w:rsidR="00003555" w:rsidRPr="00B1625C">
              <w:t xml:space="preserve"> </w:t>
            </w:r>
            <w:r w:rsidRPr="00B1625C">
              <w:t>for medical practitioners working in general practice to achieve specialist recognition.</w:t>
            </w:r>
          </w:p>
          <w:p w14:paraId="08846B77" w14:textId="64CA8F6F" w:rsidR="002355FA" w:rsidRPr="00B1625C" w:rsidRDefault="002355FA" w:rsidP="00B1625C">
            <w:pPr>
              <w:pStyle w:val="Bullets"/>
            </w:pPr>
            <w:r w:rsidRPr="00B1625C">
              <w:t>Supporting distribution of the health workforce across Australia, including in regional, rural and remote</w:t>
            </w:r>
            <w:r w:rsidR="00A65137" w:rsidRPr="00B1625C">
              <w:t xml:space="preserve"> </w:t>
            </w:r>
            <w:r w:rsidRPr="00B1625C">
              <w:t>areas, through teaching programs, and establishing the Murray Darling Medical Schools Network.</w:t>
            </w:r>
          </w:p>
          <w:p w14:paraId="5B1B7125" w14:textId="07DEBB18" w:rsidR="002355FA" w:rsidRPr="00B1625C" w:rsidRDefault="002355FA" w:rsidP="00B1625C">
            <w:pPr>
              <w:pStyle w:val="Bullets"/>
            </w:pPr>
            <w:r w:rsidRPr="00B1625C">
              <w:t>Improving distribution of the health workforce through improved incentives for doctors, nurses and allied health professionals under the Workforce Incentive Program, with better support and</w:t>
            </w:r>
            <w:r w:rsidR="00A65137" w:rsidRPr="00B1625C">
              <w:t xml:space="preserve"> </w:t>
            </w:r>
            <w:r w:rsidRPr="00B1625C">
              <w:t>targeting of doctors through the Bonded Medical Program.</w:t>
            </w:r>
          </w:p>
          <w:p w14:paraId="46D08C21" w14:textId="7DC1E423" w:rsidR="002355FA" w:rsidRPr="00B1625C" w:rsidRDefault="002355FA" w:rsidP="00B1625C">
            <w:pPr>
              <w:pStyle w:val="Bullets"/>
            </w:pPr>
            <w:r w:rsidRPr="00B1625C">
              <w:t>Ensuring health workforce resources are targeted to specific needs, with ongoing enhancements</w:t>
            </w:r>
            <w:r w:rsidR="00A65137" w:rsidRPr="00B1625C">
              <w:t xml:space="preserve"> </w:t>
            </w:r>
            <w:r w:rsidRPr="00B1625C">
              <w:t>of the health workforce planning tool.</w:t>
            </w:r>
          </w:p>
          <w:p w14:paraId="499CB936" w14:textId="77777777" w:rsidR="002355FA" w:rsidRPr="00B1625C" w:rsidRDefault="002355FA" w:rsidP="00B1625C">
            <w:pPr>
              <w:pStyle w:val="Bullets"/>
            </w:pPr>
            <w:r w:rsidRPr="00B1625C">
              <w:t>Building on the Strategy through a range of reforms and improved investment by increasing junior doctor rotations in rural primary care settings. Patients in these communities will also benefit from increased delivery of health services and a more stable locally trained workforce.</w:t>
            </w:r>
          </w:p>
          <w:p w14:paraId="1C7A23B0" w14:textId="77777777" w:rsidR="002355FA" w:rsidRPr="00087BEB" w:rsidRDefault="002355FA" w:rsidP="00B1625C">
            <w:pPr>
              <w:pStyle w:val="Bullets"/>
            </w:pPr>
            <w:r w:rsidRPr="00B1625C">
              <w:t>Transitioning the Australian General Practice</w:t>
            </w:r>
            <w:r w:rsidRPr="00087BEB">
              <w:t xml:space="preserve"> Training Program to a college-led training model in 2023.</w:t>
            </w:r>
          </w:p>
        </w:tc>
        <w:tc>
          <w:tcPr>
            <w:tcW w:w="442" w:type="dxa"/>
            <w:shd w:val="clear" w:color="auto" w:fill="auto"/>
            <w:vAlign w:val="center"/>
          </w:tcPr>
          <w:p w14:paraId="14B7CCF7" w14:textId="2855887E" w:rsidR="002355FA" w:rsidRPr="00087BEB" w:rsidRDefault="00041BDA" w:rsidP="001D1CF9">
            <w:pPr>
              <w:pStyle w:val="BodyText"/>
            </w:pPr>
            <w:r w:rsidRPr="00087BEB">
              <w:rPr>
                <w:rFonts w:ascii="Segoe UI Symbol" w:hAnsi="Segoe UI Symbol" w:cs="Segoe UI Symbol"/>
              </w:rPr>
              <w:t>✓</w:t>
            </w:r>
          </w:p>
        </w:tc>
        <w:tc>
          <w:tcPr>
            <w:tcW w:w="442" w:type="dxa"/>
            <w:shd w:val="clear" w:color="auto" w:fill="auto"/>
            <w:vAlign w:val="center"/>
          </w:tcPr>
          <w:p w14:paraId="6A3ED1C8" w14:textId="73EEB05A" w:rsidR="002355FA" w:rsidRPr="00087BEB" w:rsidRDefault="00041BDA" w:rsidP="001D1CF9">
            <w:pPr>
              <w:pStyle w:val="BodyText"/>
            </w:pPr>
            <w:r w:rsidRPr="00087BEB">
              <w:rPr>
                <w:rFonts w:ascii="Segoe UI Symbol" w:hAnsi="Segoe UI Symbol" w:cs="Segoe UI Symbol"/>
              </w:rPr>
              <w:t>✓</w:t>
            </w:r>
          </w:p>
        </w:tc>
        <w:tc>
          <w:tcPr>
            <w:tcW w:w="442" w:type="dxa"/>
            <w:shd w:val="clear" w:color="auto" w:fill="auto"/>
            <w:vAlign w:val="center"/>
          </w:tcPr>
          <w:p w14:paraId="0702CC63" w14:textId="6DD6E499" w:rsidR="002355FA" w:rsidRPr="00087BEB" w:rsidRDefault="00041BDA" w:rsidP="001D1CF9">
            <w:pPr>
              <w:pStyle w:val="BodyText"/>
            </w:pPr>
            <w:r w:rsidRPr="00087BEB">
              <w:rPr>
                <w:rFonts w:ascii="Segoe UI Symbol" w:hAnsi="Segoe UI Symbol" w:cs="Segoe UI Symbol"/>
              </w:rPr>
              <w:t>✓</w:t>
            </w:r>
          </w:p>
        </w:tc>
        <w:tc>
          <w:tcPr>
            <w:tcW w:w="442" w:type="dxa"/>
            <w:shd w:val="clear" w:color="auto" w:fill="auto"/>
            <w:vAlign w:val="center"/>
          </w:tcPr>
          <w:p w14:paraId="1167A691" w14:textId="47A7A4EA" w:rsidR="002355FA" w:rsidRPr="00087BEB" w:rsidRDefault="00041BDA" w:rsidP="001D1CF9">
            <w:pPr>
              <w:pStyle w:val="BodyText"/>
            </w:pPr>
            <w:r w:rsidRPr="00087BEB">
              <w:rPr>
                <w:rFonts w:ascii="Segoe UI Symbol" w:hAnsi="Segoe UI Symbol" w:cs="Segoe UI Symbol"/>
              </w:rPr>
              <w:t>✓</w:t>
            </w:r>
          </w:p>
        </w:tc>
      </w:tr>
    </w:tbl>
    <w:p w14:paraId="21169B44" w14:textId="501C3F88" w:rsidR="006E10D0" w:rsidRDefault="006E10D0" w:rsidP="001D1CF9">
      <w:pPr>
        <w:pStyle w:val="BodyText"/>
      </w:pPr>
      <w:r>
        <w:br w:type="page"/>
      </w:r>
    </w:p>
    <w:p w14:paraId="66BE231D" w14:textId="77777777" w:rsidR="008A6742" w:rsidRDefault="008A6742" w:rsidP="001D1CF9">
      <w:pPr>
        <w:pStyle w:val="BodyText"/>
      </w:pPr>
    </w:p>
    <w:p w14:paraId="71CAA6CA" w14:textId="1259FB9E" w:rsidR="008A6742" w:rsidRPr="008A6742" w:rsidRDefault="008A6742" w:rsidP="008A6742">
      <w:pPr>
        <w:pStyle w:val="Heading4"/>
      </w:pPr>
      <w:r w:rsidRPr="008A6742">
        <w:t>Our Performance</w:t>
      </w:r>
    </w:p>
    <w:p w14:paraId="066D94F0" w14:textId="77777777" w:rsidR="008A6742" w:rsidRPr="00CF6322" w:rsidRDefault="008A6742" w:rsidP="008A6742">
      <w:pPr>
        <w:pStyle w:val="Heading5"/>
      </w:pPr>
      <w:r w:rsidRPr="00CF6322">
        <w:t>Performance Measures for Health Workforce – Program 1.4</w:t>
      </w:r>
    </w:p>
    <w:tbl>
      <w:tblPr>
        <w:tblW w:w="102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42" w:type="dxa"/>
          <w:right w:w="0" w:type="dxa"/>
        </w:tblCellMar>
        <w:tblLook w:val="01E0" w:firstRow="1" w:lastRow="1" w:firstColumn="1" w:lastColumn="1" w:noHBand="0" w:noVBand="0"/>
      </w:tblPr>
      <w:tblGrid>
        <w:gridCol w:w="709"/>
        <w:gridCol w:w="1035"/>
        <w:gridCol w:w="99"/>
        <w:gridCol w:w="1121"/>
        <w:gridCol w:w="1220"/>
        <w:gridCol w:w="1220"/>
        <w:gridCol w:w="1220"/>
        <w:gridCol w:w="1220"/>
        <w:gridCol w:w="1220"/>
        <w:gridCol w:w="1220"/>
      </w:tblGrid>
      <w:tr w:rsidR="008A6742" w:rsidRPr="00CF6322" w14:paraId="0BFADEE9" w14:textId="77777777" w:rsidTr="006E10D0">
        <w:trPr>
          <w:trHeight w:val="2555"/>
          <w:tblHeader/>
        </w:trPr>
        <w:tc>
          <w:tcPr>
            <w:tcW w:w="10284" w:type="dxa"/>
            <w:gridSpan w:val="10"/>
            <w:shd w:val="clear" w:color="auto" w:fill="auto"/>
          </w:tcPr>
          <w:p w14:paraId="2F3B4B25" w14:textId="12EB7CCE" w:rsidR="008A6742" w:rsidRPr="008A6742" w:rsidRDefault="008A6742" w:rsidP="001D1CF9">
            <w:pPr>
              <w:pStyle w:val="BodyText"/>
              <w:rPr>
                <w:rStyle w:val="Strong"/>
              </w:rPr>
            </w:pPr>
            <w:r w:rsidRPr="008A6742">
              <w:rPr>
                <w:rStyle w:val="Strong"/>
              </w:rPr>
              <w:t>Effective investment in workforce programs will improve health workforce distribution in Australia.</w:t>
            </w:r>
            <w:r>
              <w:rPr>
                <w:rStyle w:val="FootnoteReference"/>
                <w:b/>
                <w:bCs/>
              </w:rPr>
              <w:footnoteReference w:id="14"/>
            </w:r>
          </w:p>
          <w:p w14:paraId="10BE9A2B" w14:textId="77777777" w:rsidR="008A6742" w:rsidRPr="008A6742" w:rsidRDefault="008A6742" w:rsidP="001D1CF9">
            <w:pPr>
              <w:pStyle w:val="BodyText"/>
              <w:numPr>
                <w:ilvl w:val="0"/>
                <w:numId w:val="22"/>
              </w:numPr>
              <w:rPr>
                <w:rStyle w:val="Strong"/>
              </w:rPr>
            </w:pPr>
            <w:r w:rsidRPr="008A6742">
              <w:rPr>
                <w:rStyle w:val="Strong"/>
              </w:rPr>
              <w:t>Full time equivalent (FTE) vocationally registered Primary Care General Practitioners (GPs) per 100,000 population.</w:t>
            </w:r>
          </w:p>
          <w:p w14:paraId="7B2D2149" w14:textId="77777777" w:rsidR="008A6742" w:rsidRPr="008A6742" w:rsidRDefault="008A6742" w:rsidP="001D1CF9">
            <w:pPr>
              <w:pStyle w:val="BodyText"/>
              <w:numPr>
                <w:ilvl w:val="0"/>
                <w:numId w:val="22"/>
              </w:numPr>
              <w:rPr>
                <w:rStyle w:val="Strong"/>
              </w:rPr>
            </w:pPr>
            <w:r w:rsidRPr="008A6742">
              <w:rPr>
                <w:rStyle w:val="Strong"/>
              </w:rPr>
              <w:t>FTE non-vocationally registered primary care GPs per 100,000 population.</w:t>
            </w:r>
          </w:p>
          <w:p w14:paraId="0D62DA2B" w14:textId="77777777" w:rsidR="008A6742" w:rsidRPr="008A6742" w:rsidRDefault="008A6742" w:rsidP="001D1CF9">
            <w:pPr>
              <w:pStyle w:val="BodyText"/>
              <w:numPr>
                <w:ilvl w:val="0"/>
                <w:numId w:val="22"/>
              </w:numPr>
              <w:rPr>
                <w:rStyle w:val="Strong"/>
              </w:rPr>
            </w:pPr>
            <w:r w:rsidRPr="008A6742">
              <w:rPr>
                <w:rStyle w:val="Strong"/>
              </w:rPr>
              <w:t>FTE non-general practice medical specialists per 100,000 population.</w:t>
            </w:r>
          </w:p>
          <w:p w14:paraId="245865C9" w14:textId="77777777" w:rsidR="008A6742" w:rsidRPr="008A6742" w:rsidRDefault="008A6742" w:rsidP="001D1CF9">
            <w:pPr>
              <w:pStyle w:val="BodyText"/>
              <w:numPr>
                <w:ilvl w:val="0"/>
                <w:numId w:val="22"/>
              </w:numPr>
              <w:rPr>
                <w:rStyle w:val="Strong"/>
              </w:rPr>
            </w:pPr>
            <w:r w:rsidRPr="008A6742">
              <w:rPr>
                <w:rStyle w:val="Strong"/>
              </w:rPr>
              <w:t>FTE primary and community nurses per 100,000 population.</w:t>
            </w:r>
          </w:p>
          <w:p w14:paraId="6E459267" w14:textId="77777777" w:rsidR="008A6742" w:rsidRPr="008A6742" w:rsidRDefault="008A6742" w:rsidP="001D1CF9">
            <w:pPr>
              <w:pStyle w:val="BodyText"/>
              <w:numPr>
                <w:ilvl w:val="0"/>
                <w:numId w:val="22"/>
              </w:numPr>
              <w:rPr>
                <w:rStyle w:val="Strong"/>
              </w:rPr>
            </w:pPr>
            <w:r w:rsidRPr="008A6742">
              <w:rPr>
                <w:rStyle w:val="Strong"/>
              </w:rPr>
              <w:t>FTE primary and community allied health practitioners per 100,000 population.</w:t>
            </w:r>
          </w:p>
          <w:p w14:paraId="7E0E7712" w14:textId="77777777" w:rsidR="008A6742" w:rsidRPr="00CF6322" w:rsidRDefault="008A6742" w:rsidP="001D1CF9">
            <w:pPr>
              <w:pStyle w:val="BodyText"/>
              <w:numPr>
                <w:ilvl w:val="0"/>
                <w:numId w:val="22"/>
              </w:numPr>
            </w:pPr>
            <w:r w:rsidRPr="008A6742">
              <w:rPr>
                <w:rStyle w:val="Strong"/>
              </w:rPr>
              <w:t>Proportion of GP training undertaken in areas outside major cities.</w:t>
            </w:r>
          </w:p>
        </w:tc>
      </w:tr>
      <w:tr w:rsidR="008A6742" w:rsidRPr="00CF6322" w14:paraId="3A8E4420" w14:textId="77777777" w:rsidTr="00B1625C">
        <w:trPr>
          <w:trHeight w:val="472"/>
        </w:trPr>
        <w:tc>
          <w:tcPr>
            <w:tcW w:w="709" w:type="dxa"/>
            <w:shd w:val="clear" w:color="auto" w:fill="auto"/>
          </w:tcPr>
          <w:p w14:paraId="32463D61" w14:textId="77777777" w:rsidR="008A6742" w:rsidRPr="00CF6322" w:rsidRDefault="008A6742" w:rsidP="001D1CF9">
            <w:pPr>
              <w:pStyle w:val="BodyText"/>
            </w:pPr>
          </w:p>
        </w:tc>
        <w:tc>
          <w:tcPr>
            <w:tcW w:w="2255" w:type="dxa"/>
            <w:gridSpan w:val="3"/>
            <w:shd w:val="clear" w:color="auto" w:fill="auto"/>
          </w:tcPr>
          <w:p w14:paraId="4BAD7693" w14:textId="77777777" w:rsidR="008A6742" w:rsidRPr="008A6742" w:rsidRDefault="008A6742" w:rsidP="001D1CF9">
            <w:pPr>
              <w:pStyle w:val="BodyText"/>
              <w:rPr>
                <w:rStyle w:val="Strong"/>
              </w:rPr>
            </w:pPr>
            <w:r w:rsidRPr="008A6742">
              <w:rPr>
                <w:rStyle w:val="Strong"/>
              </w:rPr>
              <w:t>2021–22 Target</w:t>
            </w:r>
          </w:p>
        </w:tc>
        <w:tc>
          <w:tcPr>
            <w:tcW w:w="2440" w:type="dxa"/>
            <w:gridSpan w:val="2"/>
            <w:shd w:val="clear" w:color="auto" w:fill="auto"/>
          </w:tcPr>
          <w:p w14:paraId="58AAB20E" w14:textId="77777777" w:rsidR="008A6742" w:rsidRPr="008A6742" w:rsidRDefault="008A6742" w:rsidP="001D1CF9">
            <w:pPr>
              <w:pStyle w:val="BodyText"/>
              <w:rPr>
                <w:rStyle w:val="Strong"/>
              </w:rPr>
            </w:pPr>
            <w:r w:rsidRPr="008A6742">
              <w:rPr>
                <w:rStyle w:val="Strong"/>
              </w:rPr>
              <w:t>2022–23 Target</w:t>
            </w:r>
          </w:p>
        </w:tc>
        <w:tc>
          <w:tcPr>
            <w:tcW w:w="2440" w:type="dxa"/>
            <w:gridSpan w:val="2"/>
            <w:shd w:val="clear" w:color="auto" w:fill="auto"/>
          </w:tcPr>
          <w:p w14:paraId="277D95F5" w14:textId="77777777" w:rsidR="008A6742" w:rsidRPr="008A6742" w:rsidRDefault="008A6742" w:rsidP="001D1CF9">
            <w:pPr>
              <w:pStyle w:val="BodyText"/>
              <w:rPr>
                <w:rStyle w:val="Strong"/>
              </w:rPr>
            </w:pPr>
            <w:r w:rsidRPr="008A6742">
              <w:rPr>
                <w:rStyle w:val="Strong"/>
              </w:rPr>
              <w:t>2023–24 Target</w:t>
            </w:r>
          </w:p>
        </w:tc>
        <w:tc>
          <w:tcPr>
            <w:tcW w:w="2440" w:type="dxa"/>
            <w:gridSpan w:val="2"/>
            <w:shd w:val="clear" w:color="auto" w:fill="auto"/>
          </w:tcPr>
          <w:p w14:paraId="17EEADCD" w14:textId="77777777" w:rsidR="008A6742" w:rsidRPr="008A6742" w:rsidRDefault="008A6742" w:rsidP="001D1CF9">
            <w:pPr>
              <w:pStyle w:val="BodyText"/>
              <w:rPr>
                <w:rStyle w:val="Strong"/>
              </w:rPr>
            </w:pPr>
            <w:r w:rsidRPr="008A6742">
              <w:rPr>
                <w:rStyle w:val="Strong"/>
              </w:rPr>
              <w:t>2024–25 Target</w:t>
            </w:r>
          </w:p>
        </w:tc>
      </w:tr>
      <w:tr w:rsidR="008A6742" w:rsidRPr="00CF6322" w14:paraId="78A2C248" w14:textId="77777777" w:rsidTr="00B1625C">
        <w:trPr>
          <w:trHeight w:val="465"/>
        </w:trPr>
        <w:tc>
          <w:tcPr>
            <w:tcW w:w="709" w:type="dxa"/>
            <w:shd w:val="clear" w:color="auto" w:fill="auto"/>
          </w:tcPr>
          <w:p w14:paraId="7ED8515E" w14:textId="77777777" w:rsidR="008A6742" w:rsidRPr="00CF6322" w:rsidRDefault="008A6742" w:rsidP="001D1CF9">
            <w:pPr>
              <w:pStyle w:val="BodyText"/>
            </w:pPr>
          </w:p>
        </w:tc>
        <w:tc>
          <w:tcPr>
            <w:tcW w:w="1134" w:type="dxa"/>
            <w:gridSpan w:val="2"/>
            <w:shd w:val="clear" w:color="auto" w:fill="auto"/>
          </w:tcPr>
          <w:p w14:paraId="4BB689DE" w14:textId="36F03F5C" w:rsidR="008A6742" w:rsidRPr="008A6742" w:rsidRDefault="008A6742" w:rsidP="001D1CF9">
            <w:pPr>
              <w:pStyle w:val="BodyText"/>
              <w:rPr>
                <w:rStyle w:val="Strong"/>
              </w:rPr>
            </w:pPr>
            <w:r w:rsidRPr="008A6742">
              <w:rPr>
                <w:rStyle w:val="Strong"/>
              </w:rPr>
              <w:t>MM1</w:t>
            </w:r>
            <w:r>
              <w:rPr>
                <w:rStyle w:val="FootnoteReference"/>
                <w:b/>
                <w:bCs/>
              </w:rPr>
              <w:footnoteReference w:id="15"/>
            </w:r>
          </w:p>
        </w:tc>
        <w:tc>
          <w:tcPr>
            <w:tcW w:w="1121" w:type="dxa"/>
            <w:shd w:val="clear" w:color="auto" w:fill="auto"/>
          </w:tcPr>
          <w:p w14:paraId="34D3FA44" w14:textId="77777777" w:rsidR="008A6742" w:rsidRPr="008A6742" w:rsidRDefault="008A6742" w:rsidP="001D1CF9">
            <w:pPr>
              <w:pStyle w:val="BodyText"/>
              <w:rPr>
                <w:rStyle w:val="Strong"/>
              </w:rPr>
            </w:pPr>
            <w:r w:rsidRPr="008A6742">
              <w:rPr>
                <w:rStyle w:val="Strong"/>
              </w:rPr>
              <w:t>MM2–7</w:t>
            </w:r>
          </w:p>
        </w:tc>
        <w:tc>
          <w:tcPr>
            <w:tcW w:w="1220" w:type="dxa"/>
            <w:shd w:val="clear" w:color="auto" w:fill="auto"/>
          </w:tcPr>
          <w:p w14:paraId="4334DCC4" w14:textId="77777777" w:rsidR="008A6742" w:rsidRPr="008A6742" w:rsidRDefault="008A6742" w:rsidP="001D1CF9">
            <w:pPr>
              <w:pStyle w:val="BodyText"/>
              <w:rPr>
                <w:rStyle w:val="Strong"/>
              </w:rPr>
            </w:pPr>
            <w:r w:rsidRPr="008A6742">
              <w:rPr>
                <w:rStyle w:val="Strong"/>
              </w:rPr>
              <w:t>MM1</w:t>
            </w:r>
          </w:p>
        </w:tc>
        <w:tc>
          <w:tcPr>
            <w:tcW w:w="1220" w:type="dxa"/>
            <w:shd w:val="clear" w:color="auto" w:fill="auto"/>
          </w:tcPr>
          <w:p w14:paraId="5E0631C7" w14:textId="77777777" w:rsidR="008A6742" w:rsidRPr="008A6742" w:rsidRDefault="008A6742" w:rsidP="001D1CF9">
            <w:pPr>
              <w:pStyle w:val="BodyText"/>
              <w:rPr>
                <w:rStyle w:val="Strong"/>
              </w:rPr>
            </w:pPr>
            <w:r w:rsidRPr="008A6742">
              <w:rPr>
                <w:rStyle w:val="Strong"/>
              </w:rPr>
              <w:t>MM2–7</w:t>
            </w:r>
          </w:p>
        </w:tc>
        <w:tc>
          <w:tcPr>
            <w:tcW w:w="1220" w:type="dxa"/>
            <w:shd w:val="clear" w:color="auto" w:fill="auto"/>
          </w:tcPr>
          <w:p w14:paraId="2EB092AF" w14:textId="77777777" w:rsidR="008A6742" w:rsidRPr="008A6742" w:rsidRDefault="008A6742" w:rsidP="001D1CF9">
            <w:pPr>
              <w:pStyle w:val="BodyText"/>
              <w:rPr>
                <w:rStyle w:val="Strong"/>
              </w:rPr>
            </w:pPr>
            <w:r w:rsidRPr="008A6742">
              <w:rPr>
                <w:rStyle w:val="Strong"/>
              </w:rPr>
              <w:t>MM1</w:t>
            </w:r>
          </w:p>
        </w:tc>
        <w:tc>
          <w:tcPr>
            <w:tcW w:w="1220" w:type="dxa"/>
            <w:shd w:val="clear" w:color="auto" w:fill="auto"/>
          </w:tcPr>
          <w:p w14:paraId="46F812EC" w14:textId="77777777" w:rsidR="008A6742" w:rsidRPr="008A6742" w:rsidRDefault="008A6742" w:rsidP="001D1CF9">
            <w:pPr>
              <w:pStyle w:val="BodyText"/>
              <w:rPr>
                <w:rStyle w:val="Strong"/>
              </w:rPr>
            </w:pPr>
            <w:r w:rsidRPr="008A6742">
              <w:rPr>
                <w:rStyle w:val="Strong"/>
              </w:rPr>
              <w:t>MM2–7</w:t>
            </w:r>
          </w:p>
        </w:tc>
        <w:tc>
          <w:tcPr>
            <w:tcW w:w="1220" w:type="dxa"/>
            <w:shd w:val="clear" w:color="auto" w:fill="auto"/>
          </w:tcPr>
          <w:p w14:paraId="35FACF49" w14:textId="77777777" w:rsidR="008A6742" w:rsidRPr="008A6742" w:rsidRDefault="008A6742" w:rsidP="001D1CF9">
            <w:pPr>
              <w:pStyle w:val="BodyText"/>
              <w:rPr>
                <w:rStyle w:val="Strong"/>
              </w:rPr>
            </w:pPr>
            <w:r w:rsidRPr="008A6742">
              <w:rPr>
                <w:rStyle w:val="Strong"/>
              </w:rPr>
              <w:t>MM1</w:t>
            </w:r>
          </w:p>
        </w:tc>
        <w:tc>
          <w:tcPr>
            <w:tcW w:w="1220" w:type="dxa"/>
            <w:shd w:val="clear" w:color="auto" w:fill="auto"/>
          </w:tcPr>
          <w:p w14:paraId="71EEFE68" w14:textId="77777777" w:rsidR="008A6742" w:rsidRPr="008A6742" w:rsidRDefault="008A6742" w:rsidP="001D1CF9">
            <w:pPr>
              <w:pStyle w:val="BodyText"/>
              <w:rPr>
                <w:rStyle w:val="Strong"/>
              </w:rPr>
            </w:pPr>
            <w:r w:rsidRPr="008A6742">
              <w:rPr>
                <w:rStyle w:val="Strong"/>
              </w:rPr>
              <w:t>MM2–7</w:t>
            </w:r>
          </w:p>
        </w:tc>
      </w:tr>
      <w:tr w:rsidR="008A6742" w:rsidRPr="00CF6322" w14:paraId="1EFD31AC" w14:textId="77777777" w:rsidTr="00B1625C">
        <w:trPr>
          <w:trHeight w:val="495"/>
        </w:trPr>
        <w:tc>
          <w:tcPr>
            <w:tcW w:w="709" w:type="dxa"/>
            <w:shd w:val="clear" w:color="auto" w:fill="auto"/>
          </w:tcPr>
          <w:p w14:paraId="17043095" w14:textId="77777777" w:rsidR="008A6742" w:rsidRPr="008A6742" w:rsidRDefault="008A6742" w:rsidP="001D1CF9">
            <w:pPr>
              <w:pStyle w:val="BodyText"/>
              <w:rPr>
                <w:rStyle w:val="Strong"/>
              </w:rPr>
            </w:pPr>
            <w:r w:rsidRPr="008A6742">
              <w:rPr>
                <w:rStyle w:val="Strong"/>
              </w:rPr>
              <w:t>a.</w:t>
            </w:r>
          </w:p>
        </w:tc>
        <w:tc>
          <w:tcPr>
            <w:tcW w:w="1134" w:type="dxa"/>
            <w:gridSpan w:val="2"/>
            <w:shd w:val="clear" w:color="auto" w:fill="auto"/>
          </w:tcPr>
          <w:p w14:paraId="16C87150" w14:textId="77777777" w:rsidR="008A6742" w:rsidRPr="00CF6322" w:rsidRDefault="008A6742" w:rsidP="001D1CF9">
            <w:pPr>
              <w:pStyle w:val="BodyText"/>
            </w:pPr>
            <w:r w:rsidRPr="00CF6322">
              <w:t>115.6</w:t>
            </w:r>
          </w:p>
        </w:tc>
        <w:tc>
          <w:tcPr>
            <w:tcW w:w="1121" w:type="dxa"/>
            <w:shd w:val="clear" w:color="auto" w:fill="auto"/>
          </w:tcPr>
          <w:p w14:paraId="22AFD1D9" w14:textId="77777777" w:rsidR="008A6742" w:rsidRPr="00CF6322" w:rsidRDefault="008A6742" w:rsidP="001D1CF9">
            <w:pPr>
              <w:pStyle w:val="BodyText"/>
            </w:pPr>
            <w:r w:rsidRPr="00CF6322">
              <w:t>98.6</w:t>
            </w:r>
          </w:p>
        </w:tc>
        <w:tc>
          <w:tcPr>
            <w:tcW w:w="1220" w:type="dxa"/>
            <w:shd w:val="clear" w:color="auto" w:fill="auto"/>
          </w:tcPr>
          <w:p w14:paraId="4E1225C2" w14:textId="77777777" w:rsidR="008A6742" w:rsidRPr="00CF6322" w:rsidRDefault="008A6742" w:rsidP="001D1CF9">
            <w:pPr>
              <w:pStyle w:val="BodyText"/>
            </w:pPr>
            <w:r w:rsidRPr="00CF6322">
              <w:t>117.9</w:t>
            </w:r>
          </w:p>
        </w:tc>
        <w:tc>
          <w:tcPr>
            <w:tcW w:w="1220" w:type="dxa"/>
            <w:shd w:val="clear" w:color="auto" w:fill="auto"/>
          </w:tcPr>
          <w:p w14:paraId="293F5899" w14:textId="77777777" w:rsidR="008A6742" w:rsidRPr="00CF6322" w:rsidRDefault="008A6742" w:rsidP="001D1CF9">
            <w:pPr>
              <w:pStyle w:val="BodyText"/>
            </w:pPr>
            <w:r w:rsidRPr="00CF6322">
              <w:t>102.0</w:t>
            </w:r>
          </w:p>
        </w:tc>
        <w:tc>
          <w:tcPr>
            <w:tcW w:w="1220" w:type="dxa"/>
            <w:shd w:val="clear" w:color="auto" w:fill="auto"/>
          </w:tcPr>
          <w:p w14:paraId="7E36A63E" w14:textId="77777777" w:rsidR="008A6742" w:rsidRPr="00CF6322" w:rsidRDefault="008A6742" w:rsidP="001D1CF9">
            <w:pPr>
              <w:pStyle w:val="BodyText"/>
            </w:pPr>
            <w:r w:rsidRPr="00CF6322">
              <w:t>120.2</w:t>
            </w:r>
          </w:p>
        </w:tc>
        <w:tc>
          <w:tcPr>
            <w:tcW w:w="1220" w:type="dxa"/>
            <w:shd w:val="clear" w:color="auto" w:fill="auto"/>
          </w:tcPr>
          <w:p w14:paraId="11948F5D" w14:textId="77777777" w:rsidR="008A6742" w:rsidRPr="00CF6322" w:rsidRDefault="008A6742" w:rsidP="001D1CF9">
            <w:pPr>
              <w:pStyle w:val="BodyText"/>
            </w:pPr>
            <w:r w:rsidRPr="00CF6322">
              <w:t>105.4</w:t>
            </w:r>
          </w:p>
        </w:tc>
        <w:tc>
          <w:tcPr>
            <w:tcW w:w="1220" w:type="dxa"/>
            <w:shd w:val="clear" w:color="auto" w:fill="auto"/>
          </w:tcPr>
          <w:p w14:paraId="0B4C9990" w14:textId="77777777" w:rsidR="008A6742" w:rsidRPr="00CF6322" w:rsidRDefault="008A6742" w:rsidP="001D1CF9">
            <w:pPr>
              <w:pStyle w:val="BodyText"/>
            </w:pPr>
            <w:r w:rsidRPr="00CF6322">
              <w:t>122.6</w:t>
            </w:r>
          </w:p>
        </w:tc>
        <w:tc>
          <w:tcPr>
            <w:tcW w:w="1220" w:type="dxa"/>
            <w:shd w:val="clear" w:color="auto" w:fill="auto"/>
          </w:tcPr>
          <w:p w14:paraId="14ABD453" w14:textId="77777777" w:rsidR="008A6742" w:rsidRPr="00CF6322" w:rsidRDefault="008A6742" w:rsidP="001D1CF9">
            <w:pPr>
              <w:pStyle w:val="BodyText"/>
            </w:pPr>
            <w:r w:rsidRPr="00CF6322">
              <w:t>109.0</w:t>
            </w:r>
          </w:p>
        </w:tc>
      </w:tr>
      <w:tr w:rsidR="008A6742" w:rsidRPr="00CF6322" w14:paraId="48B642A5" w14:textId="77777777" w:rsidTr="00B1625C">
        <w:trPr>
          <w:trHeight w:val="502"/>
        </w:trPr>
        <w:tc>
          <w:tcPr>
            <w:tcW w:w="709" w:type="dxa"/>
            <w:shd w:val="clear" w:color="auto" w:fill="auto"/>
          </w:tcPr>
          <w:p w14:paraId="72674BD4" w14:textId="77777777" w:rsidR="008A6742" w:rsidRPr="008A6742" w:rsidRDefault="008A6742" w:rsidP="001D1CF9">
            <w:pPr>
              <w:pStyle w:val="BodyText"/>
              <w:rPr>
                <w:rStyle w:val="Strong"/>
              </w:rPr>
            </w:pPr>
            <w:r w:rsidRPr="008A6742">
              <w:rPr>
                <w:rStyle w:val="Strong"/>
              </w:rPr>
              <w:t>b.</w:t>
            </w:r>
          </w:p>
        </w:tc>
        <w:tc>
          <w:tcPr>
            <w:tcW w:w="1134" w:type="dxa"/>
            <w:gridSpan w:val="2"/>
            <w:shd w:val="clear" w:color="auto" w:fill="auto"/>
          </w:tcPr>
          <w:p w14:paraId="7FD4F4A1" w14:textId="77777777" w:rsidR="008A6742" w:rsidRPr="00CF6322" w:rsidRDefault="008A6742" w:rsidP="001D1CF9">
            <w:pPr>
              <w:pStyle w:val="BodyText"/>
            </w:pPr>
            <w:r w:rsidRPr="00CF6322">
              <w:t>5.9</w:t>
            </w:r>
          </w:p>
        </w:tc>
        <w:tc>
          <w:tcPr>
            <w:tcW w:w="1121" w:type="dxa"/>
            <w:shd w:val="clear" w:color="auto" w:fill="auto"/>
          </w:tcPr>
          <w:p w14:paraId="27B9C4FE" w14:textId="77777777" w:rsidR="008A6742" w:rsidRPr="00CF6322" w:rsidRDefault="008A6742" w:rsidP="001D1CF9">
            <w:pPr>
              <w:pStyle w:val="BodyText"/>
            </w:pPr>
            <w:r w:rsidRPr="00CF6322">
              <w:t>13.2</w:t>
            </w:r>
          </w:p>
        </w:tc>
        <w:tc>
          <w:tcPr>
            <w:tcW w:w="1220" w:type="dxa"/>
            <w:shd w:val="clear" w:color="auto" w:fill="auto"/>
          </w:tcPr>
          <w:p w14:paraId="1CC70B88" w14:textId="77777777" w:rsidR="008A6742" w:rsidRPr="00CF6322" w:rsidRDefault="008A6742" w:rsidP="001D1CF9">
            <w:pPr>
              <w:pStyle w:val="BodyText"/>
            </w:pPr>
            <w:r w:rsidRPr="00CF6322">
              <w:t>5.0</w:t>
            </w:r>
          </w:p>
        </w:tc>
        <w:tc>
          <w:tcPr>
            <w:tcW w:w="1220" w:type="dxa"/>
            <w:shd w:val="clear" w:color="auto" w:fill="auto"/>
          </w:tcPr>
          <w:p w14:paraId="1B123048" w14:textId="77777777" w:rsidR="008A6742" w:rsidRPr="00CF6322" w:rsidRDefault="008A6742" w:rsidP="001D1CF9">
            <w:pPr>
              <w:pStyle w:val="BodyText"/>
            </w:pPr>
            <w:r w:rsidRPr="00CF6322">
              <w:t>12.1</w:t>
            </w:r>
          </w:p>
        </w:tc>
        <w:tc>
          <w:tcPr>
            <w:tcW w:w="1220" w:type="dxa"/>
            <w:shd w:val="clear" w:color="auto" w:fill="auto"/>
          </w:tcPr>
          <w:p w14:paraId="23D305C3" w14:textId="77777777" w:rsidR="008A6742" w:rsidRPr="00CF6322" w:rsidRDefault="008A6742" w:rsidP="001D1CF9">
            <w:pPr>
              <w:pStyle w:val="BodyText"/>
            </w:pPr>
            <w:r w:rsidRPr="00CF6322">
              <w:t>4.2</w:t>
            </w:r>
          </w:p>
        </w:tc>
        <w:tc>
          <w:tcPr>
            <w:tcW w:w="1220" w:type="dxa"/>
            <w:shd w:val="clear" w:color="auto" w:fill="auto"/>
          </w:tcPr>
          <w:p w14:paraId="7190C7E1" w14:textId="77777777" w:rsidR="008A6742" w:rsidRPr="00CF6322" w:rsidRDefault="008A6742" w:rsidP="001D1CF9">
            <w:pPr>
              <w:pStyle w:val="BodyText"/>
            </w:pPr>
            <w:r w:rsidRPr="00CF6322">
              <w:t>11.1</w:t>
            </w:r>
          </w:p>
        </w:tc>
        <w:tc>
          <w:tcPr>
            <w:tcW w:w="1220" w:type="dxa"/>
            <w:shd w:val="clear" w:color="auto" w:fill="auto"/>
          </w:tcPr>
          <w:p w14:paraId="5A50EBDD" w14:textId="77777777" w:rsidR="008A6742" w:rsidRPr="00CF6322" w:rsidRDefault="008A6742" w:rsidP="001D1CF9">
            <w:pPr>
              <w:pStyle w:val="BodyText"/>
            </w:pPr>
            <w:r w:rsidRPr="00CF6322">
              <w:t>3.6</w:t>
            </w:r>
          </w:p>
        </w:tc>
        <w:tc>
          <w:tcPr>
            <w:tcW w:w="1220" w:type="dxa"/>
            <w:shd w:val="clear" w:color="auto" w:fill="auto"/>
          </w:tcPr>
          <w:p w14:paraId="6D755121" w14:textId="77777777" w:rsidR="008A6742" w:rsidRPr="00CF6322" w:rsidRDefault="008A6742" w:rsidP="001D1CF9">
            <w:pPr>
              <w:pStyle w:val="BodyText"/>
            </w:pPr>
            <w:r w:rsidRPr="00CF6322">
              <w:t>10.2</w:t>
            </w:r>
          </w:p>
        </w:tc>
      </w:tr>
      <w:tr w:rsidR="008A6742" w:rsidRPr="00CF6322" w14:paraId="0BAAFDAF" w14:textId="77777777" w:rsidTr="00B1625C">
        <w:trPr>
          <w:trHeight w:val="502"/>
        </w:trPr>
        <w:tc>
          <w:tcPr>
            <w:tcW w:w="709" w:type="dxa"/>
            <w:shd w:val="clear" w:color="auto" w:fill="auto"/>
          </w:tcPr>
          <w:p w14:paraId="13277DE6" w14:textId="77777777" w:rsidR="008A6742" w:rsidRPr="008A6742" w:rsidRDefault="008A6742" w:rsidP="001D1CF9">
            <w:pPr>
              <w:pStyle w:val="BodyText"/>
              <w:rPr>
                <w:rStyle w:val="Strong"/>
              </w:rPr>
            </w:pPr>
            <w:r w:rsidRPr="008A6742">
              <w:rPr>
                <w:rStyle w:val="Strong"/>
              </w:rPr>
              <w:t>c.</w:t>
            </w:r>
          </w:p>
        </w:tc>
        <w:tc>
          <w:tcPr>
            <w:tcW w:w="1134" w:type="dxa"/>
            <w:gridSpan w:val="2"/>
            <w:shd w:val="clear" w:color="auto" w:fill="auto"/>
          </w:tcPr>
          <w:p w14:paraId="6D159EBE" w14:textId="77777777" w:rsidR="008A6742" w:rsidRPr="00CF6322" w:rsidRDefault="008A6742" w:rsidP="001D1CF9">
            <w:pPr>
              <w:pStyle w:val="BodyText"/>
            </w:pPr>
            <w:r w:rsidRPr="00CF6322">
              <w:t>188.0</w:t>
            </w:r>
          </w:p>
        </w:tc>
        <w:tc>
          <w:tcPr>
            <w:tcW w:w="1121" w:type="dxa"/>
            <w:shd w:val="clear" w:color="auto" w:fill="auto"/>
          </w:tcPr>
          <w:p w14:paraId="7177D615" w14:textId="77777777" w:rsidR="008A6742" w:rsidRPr="00CF6322" w:rsidRDefault="008A6742" w:rsidP="001D1CF9">
            <w:pPr>
              <w:pStyle w:val="BodyText"/>
            </w:pPr>
            <w:r w:rsidRPr="00CF6322">
              <w:t>90.5</w:t>
            </w:r>
          </w:p>
        </w:tc>
        <w:tc>
          <w:tcPr>
            <w:tcW w:w="1220" w:type="dxa"/>
            <w:shd w:val="clear" w:color="auto" w:fill="auto"/>
          </w:tcPr>
          <w:p w14:paraId="1D5CD599" w14:textId="77777777" w:rsidR="008A6742" w:rsidRPr="00CF6322" w:rsidRDefault="008A6742" w:rsidP="001D1CF9">
            <w:pPr>
              <w:pStyle w:val="BodyText"/>
            </w:pPr>
            <w:r w:rsidRPr="00CF6322">
              <w:t>190.1</w:t>
            </w:r>
          </w:p>
        </w:tc>
        <w:tc>
          <w:tcPr>
            <w:tcW w:w="1220" w:type="dxa"/>
            <w:shd w:val="clear" w:color="auto" w:fill="auto"/>
          </w:tcPr>
          <w:p w14:paraId="0D7B0CB3" w14:textId="77777777" w:rsidR="008A6742" w:rsidRPr="00CF6322" w:rsidRDefault="008A6742" w:rsidP="001D1CF9">
            <w:pPr>
              <w:pStyle w:val="BodyText"/>
            </w:pPr>
            <w:r w:rsidRPr="00CF6322">
              <w:t>93.2</w:t>
            </w:r>
          </w:p>
        </w:tc>
        <w:tc>
          <w:tcPr>
            <w:tcW w:w="1220" w:type="dxa"/>
            <w:shd w:val="clear" w:color="auto" w:fill="auto"/>
          </w:tcPr>
          <w:p w14:paraId="44A2F8C2" w14:textId="77777777" w:rsidR="008A6742" w:rsidRPr="00CF6322" w:rsidRDefault="008A6742" w:rsidP="001D1CF9">
            <w:pPr>
              <w:pStyle w:val="BodyText"/>
            </w:pPr>
            <w:r w:rsidRPr="00CF6322">
              <w:t>192.3</w:t>
            </w:r>
          </w:p>
        </w:tc>
        <w:tc>
          <w:tcPr>
            <w:tcW w:w="1220" w:type="dxa"/>
            <w:shd w:val="clear" w:color="auto" w:fill="auto"/>
          </w:tcPr>
          <w:p w14:paraId="3B2DFA20" w14:textId="77777777" w:rsidR="008A6742" w:rsidRPr="00CF6322" w:rsidRDefault="008A6742" w:rsidP="001D1CF9">
            <w:pPr>
              <w:pStyle w:val="BodyText"/>
            </w:pPr>
            <w:r w:rsidRPr="00CF6322">
              <w:t>96.0</w:t>
            </w:r>
          </w:p>
        </w:tc>
        <w:tc>
          <w:tcPr>
            <w:tcW w:w="1220" w:type="dxa"/>
            <w:shd w:val="clear" w:color="auto" w:fill="auto"/>
          </w:tcPr>
          <w:p w14:paraId="6DE17AAF" w14:textId="77777777" w:rsidR="008A6742" w:rsidRPr="00CF6322" w:rsidRDefault="008A6742" w:rsidP="001D1CF9">
            <w:pPr>
              <w:pStyle w:val="BodyText"/>
            </w:pPr>
            <w:r w:rsidRPr="00CF6322">
              <w:t>194.4</w:t>
            </w:r>
          </w:p>
        </w:tc>
        <w:tc>
          <w:tcPr>
            <w:tcW w:w="1220" w:type="dxa"/>
            <w:shd w:val="clear" w:color="auto" w:fill="auto"/>
          </w:tcPr>
          <w:p w14:paraId="7E2C7C56" w14:textId="77777777" w:rsidR="008A6742" w:rsidRPr="00CF6322" w:rsidRDefault="008A6742" w:rsidP="001D1CF9">
            <w:pPr>
              <w:pStyle w:val="BodyText"/>
            </w:pPr>
            <w:r w:rsidRPr="00CF6322">
              <w:t>98.9</w:t>
            </w:r>
          </w:p>
        </w:tc>
      </w:tr>
      <w:tr w:rsidR="008A6742" w:rsidRPr="00CF6322" w14:paraId="4CB09250" w14:textId="77777777" w:rsidTr="00B1625C">
        <w:trPr>
          <w:trHeight w:val="502"/>
        </w:trPr>
        <w:tc>
          <w:tcPr>
            <w:tcW w:w="709" w:type="dxa"/>
            <w:shd w:val="clear" w:color="auto" w:fill="auto"/>
          </w:tcPr>
          <w:p w14:paraId="39D2E197" w14:textId="77777777" w:rsidR="008A6742" w:rsidRPr="008A6742" w:rsidRDefault="008A6742" w:rsidP="001D1CF9">
            <w:pPr>
              <w:pStyle w:val="BodyText"/>
              <w:rPr>
                <w:rStyle w:val="Strong"/>
              </w:rPr>
            </w:pPr>
            <w:r w:rsidRPr="008A6742">
              <w:rPr>
                <w:rStyle w:val="Strong"/>
              </w:rPr>
              <w:t>d.</w:t>
            </w:r>
          </w:p>
        </w:tc>
        <w:tc>
          <w:tcPr>
            <w:tcW w:w="1035" w:type="dxa"/>
            <w:shd w:val="clear" w:color="auto" w:fill="auto"/>
          </w:tcPr>
          <w:p w14:paraId="6A252E7A" w14:textId="77777777" w:rsidR="008A6742" w:rsidRPr="00CF6322" w:rsidRDefault="008A6742" w:rsidP="001D1CF9">
            <w:pPr>
              <w:pStyle w:val="BodyText"/>
            </w:pPr>
            <w:r w:rsidRPr="00CF6322">
              <w:t>155.1</w:t>
            </w:r>
          </w:p>
        </w:tc>
        <w:tc>
          <w:tcPr>
            <w:tcW w:w="1220" w:type="dxa"/>
            <w:gridSpan w:val="2"/>
            <w:shd w:val="clear" w:color="auto" w:fill="auto"/>
          </w:tcPr>
          <w:p w14:paraId="2F74E93F" w14:textId="77777777" w:rsidR="008A6742" w:rsidRPr="00CF6322" w:rsidRDefault="008A6742" w:rsidP="001D1CF9">
            <w:pPr>
              <w:pStyle w:val="BodyText"/>
            </w:pPr>
            <w:r w:rsidRPr="00CF6322">
              <w:t>209.8</w:t>
            </w:r>
          </w:p>
        </w:tc>
        <w:tc>
          <w:tcPr>
            <w:tcW w:w="1220" w:type="dxa"/>
            <w:shd w:val="clear" w:color="auto" w:fill="auto"/>
          </w:tcPr>
          <w:p w14:paraId="3324D115" w14:textId="77777777" w:rsidR="008A6742" w:rsidRPr="00CF6322" w:rsidRDefault="008A6742" w:rsidP="001D1CF9">
            <w:pPr>
              <w:pStyle w:val="BodyText"/>
            </w:pPr>
            <w:r w:rsidRPr="00CF6322">
              <w:t>157.8</w:t>
            </w:r>
          </w:p>
        </w:tc>
        <w:tc>
          <w:tcPr>
            <w:tcW w:w="1220" w:type="dxa"/>
            <w:shd w:val="clear" w:color="auto" w:fill="auto"/>
          </w:tcPr>
          <w:p w14:paraId="2675D923" w14:textId="77777777" w:rsidR="008A6742" w:rsidRPr="00CF6322" w:rsidRDefault="008A6742" w:rsidP="001D1CF9">
            <w:pPr>
              <w:pStyle w:val="BodyText"/>
            </w:pPr>
            <w:r w:rsidRPr="00CF6322">
              <w:t>212.4</w:t>
            </w:r>
          </w:p>
        </w:tc>
        <w:tc>
          <w:tcPr>
            <w:tcW w:w="1220" w:type="dxa"/>
            <w:shd w:val="clear" w:color="auto" w:fill="auto"/>
          </w:tcPr>
          <w:p w14:paraId="1217EAA3" w14:textId="77777777" w:rsidR="008A6742" w:rsidRPr="00CF6322" w:rsidRDefault="008A6742" w:rsidP="001D1CF9">
            <w:pPr>
              <w:pStyle w:val="BodyText"/>
            </w:pPr>
            <w:r w:rsidRPr="00CF6322">
              <w:t>160.4</w:t>
            </w:r>
          </w:p>
        </w:tc>
        <w:tc>
          <w:tcPr>
            <w:tcW w:w="1220" w:type="dxa"/>
            <w:shd w:val="clear" w:color="auto" w:fill="auto"/>
          </w:tcPr>
          <w:p w14:paraId="3A91174D" w14:textId="77777777" w:rsidR="008A6742" w:rsidRPr="00CF6322" w:rsidRDefault="008A6742" w:rsidP="001D1CF9">
            <w:pPr>
              <w:pStyle w:val="BodyText"/>
            </w:pPr>
            <w:r w:rsidRPr="00CF6322">
              <w:t>215.0</w:t>
            </w:r>
          </w:p>
        </w:tc>
        <w:tc>
          <w:tcPr>
            <w:tcW w:w="1220" w:type="dxa"/>
            <w:shd w:val="clear" w:color="auto" w:fill="auto"/>
          </w:tcPr>
          <w:p w14:paraId="6B37C5A1" w14:textId="77777777" w:rsidR="008A6742" w:rsidRPr="00CF6322" w:rsidRDefault="008A6742" w:rsidP="001D1CF9">
            <w:pPr>
              <w:pStyle w:val="BodyText"/>
            </w:pPr>
            <w:r w:rsidRPr="00CF6322">
              <w:t>163.1</w:t>
            </w:r>
          </w:p>
        </w:tc>
        <w:tc>
          <w:tcPr>
            <w:tcW w:w="1220" w:type="dxa"/>
            <w:shd w:val="clear" w:color="auto" w:fill="auto"/>
          </w:tcPr>
          <w:p w14:paraId="55A59777" w14:textId="77777777" w:rsidR="008A6742" w:rsidRPr="00CF6322" w:rsidRDefault="008A6742" w:rsidP="001D1CF9">
            <w:pPr>
              <w:pStyle w:val="BodyText"/>
            </w:pPr>
            <w:r w:rsidRPr="00CF6322">
              <w:t>217.6</w:t>
            </w:r>
          </w:p>
        </w:tc>
      </w:tr>
      <w:tr w:rsidR="008A6742" w:rsidRPr="00CF6322" w14:paraId="14DB40E6" w14:textId="77777777" w:rsidTr="00B1625C">
        <w:trPr>
          <w:trHeight w:val="502"/>
        </w:trPr>
        <w:tc>
          <w:tcPr>
            <w:tcW w:w="709" w:type="dxa"/>
            <w:shd w:val="clear" w:color="auto" w:fill="auto"/>
          </w:tcPr>
          <w:p w14:paraId="2CE9D7FD" w14:textId="77777777" w:rsidR="008A6742" w:rsidRPr="008A6742" w:rsidRDefault="008A6742" w:rsidP="001D1CF9">
            <w:pPr>
              <w:pStyle w:val="BodyText"/>
              <w:rPr>
                <w:rStyle w:val="Strong"/>
              </w:rPr>
            </w:pPr>
            <w:r w:rsidRPr="008A6742">
              <w:rPr>
                <w:rStyle w:val="Strong"/>
              </w:rPr>
              <w:t>e.</w:t>
            </w:r>
          </w:p>
        </w:tc>
        <w:tc>
          <w:tcPr>
            <w:tcW w:w="1035" w:type="dxa"/>
            <w:shd w:val="clear" w:color="auto" w:fill="auto"/>
          </w:tcPr>
          <w:p w14:paraId="220FBEFB" w14:textId="77777777" w:rsidR="008A6742" w:rsidRPr="00CF6322" w:rsidRDefault="008A6742" w:rsidP="001D1CF9">
            <w:pPr>
              <w:pStyle w:val="BodyText"/>
            </w:pPr>
            <w:r w:rsidRPr="00CF6322">
              <w:t>404.1</w:t>
            </w:r>
          </w:p>
        </w:tc>
        <w:tc>
          <w:tcPr>
            <w:tcW w:w="1220" w:type="dxa"/>
            <w:gridSpan w:val="2"/>
            <w:shd w:val="clear" w:color="auto" w:fill="auto"/>
          </w:tcPr>
          <w:p w14:paraId="511E7441" w14:textId="77777777" w:rsidR="008A6742" w:rsidRPr="00CF6322" w:rsidRDefault="008A6742" w:rsidP="001D1CF9">
            <w:pPr>
              <w:pStyle w:val="BodyText"/>
            </w:pPr>
            <w:r w:rsidRPr="00CF6322">
              <w:t>298.2</w:t>
            </w:r>
          </w:p>
        </w:tc>
        <w:tc>
          <w:tcPr>
            <w:tcW w:w="1220" w:type="dxa"/>
            <w:shd w:val="clear" w:color="auto" w:fill="auto"/>
          </w:tcPr>
          <w:p w14:paraId="185ECFFC" w14:textId="77777777" w:rsidR="008A6742" w:rsidRPr="00CF6322" w:rsidRDefault="008A6742" w:rsidP="001D1CF9">
            <w:pPr>
              <w:pStyle w:val="BodyText"/>
            </w:pPr>
            <w:r w:rsidRPr="00CF6322">
              <w:t>412.2</w:t>
            </w:r>
          </w:p>
        </w:tc>
        <w:tc>
          <w:tcPr>
            <w:tcW w:w="1220" w:type="dxa"/>
            <w:shd w:val="clear" w:color="auto" w:fill="auto"/>
          </w:tcPr>
          <w:p w14:paraId="085DBF62" w14:textId="77777777" w:rsidR="008A6742" w:rsidRPr="00CF6322" w:rsidRDefault="008A6742" w:rsidP="001D1CF9">
            <w:pPr>
              <w:pStyle w:val="BodyText"/>
            </w:pPr>
            <w:r w:rsidRPr="00CF6322">
              <w:t>305.1</w:t>
            </w:r>
          </w:p>
        </w:tc>
        <w:tc>
          <w:tcPr>
            <w:tcW w:w="1220" w:type="dxa"/>
            <w:shd w:val="clear" w:color="auto" w:fill="auto"/>
          </w:tcPr>
          <w:p w14:paraId="0F83B4FF" w14:textId="77777777" w:rsidR="008A6742" w:rsidRPr="00CF6322" w:rsidRDefault="008A6742" w:rsidP="001D1CF9">
            <w:pPr>
              <w:pStyle w:val="BodyText"/>
            </w:pPr>
            <w:r w:rsidRPr="00CF6322">
              <w:t>420.5</w:t>
            </w:r>
          </w:p>
        </w:tc>
        <w:tc>
          <w:tcPr>
            <w:tcW w:w="1220" w:type="dxa"/>
            <w:shd w:val="clear" w:color="auto" w:fill="auto"/>
          </w:tcPr>
          <w:p w14:paraId="4AC35C6C" w14:textId="77777777" w:rsidR="008A6742" w:rsidRPr="00CF6322" w:rsidRDefault="008A6742" w:rsidP="001D1CF9">
            <w:pPr>
              <w:pStyle w:val="BodyText"/>
            </w:pPr>
            <w:r w:rsidRPr="00CF6322">
              <w:t>312.3</w:t>
            </w:r>
          </w:p>
        </w:tc>
        <w:tc>
          <w:tcPr>
            <w:tcW w:w="1220" w:type="dxa"/>
            <w:shd w:val="clear" w:color="auto" w:fill="auto"/>
          </w:tcPr>
          <w:p w14:paraId="43BD8781" w14:textId="77777777" w:rsidR="008A6742" w:rsidRPr="00CF6322" w:rsidRDefault="008A6742" w:rsidP="001D1CF9">
            <w:pPr>
              <w:pStyle w:val="BodyText"/>
            </w:pPr>
            <w:r w:rsidRPr="00CF6322">
              <w:t>429.0</w:t>
            </w:r>
          </w:p>
        </w:tc>
        <w:tc>
          <w:tcPr>
            <w:tcW w:w="1220" w:type="dxa"/>
            <w:shd w:val="clear" w:color="auto" w:fill="auto"/>
          </w:tcPr>
          <w:p w14:paraId="59044BC2" w14:textId="77777777" w:rsidR="008A6742" w:rsidRPr="00CF6322" w:rsidRDefault="008A6742" w:rsidP="001D1CF9">
            <w:pPr>
              <w:pStyle w:val="BodyText"/>
            </w:pPr>
            <w:r w:rsidRPr="00CF6322">
              <w:t>319.6</w:t>
            </w:r>
          </w:p>
        </w:tc>
      </w:tr>
      <w:tr w:rsidR="008A6742" w:rsidRPr="00CF6322" w14:paraId="3AC3C291" w14:textId="77777777" w:rsidTr="00B1625C">
        <w:trPr>
          <w:trHeight w:val="502"/>
        </w:trPr>
        <w:tc>
          <w:tcPr>
            <w:tcW w:w="709" w:type="dxa"/>
            <w:shd w:val="clear" w:color="auto" w:fill="auto"/>
          </w:tcPr>
          <w:p w14:paraId="3A556EDA" w14:textId="77777777" w:rsidR="008A6742" w:rsidRPr="008A6742" w:rsidRDefault="008A6742" w:rsidP="001D1CF9">
            <w:pPr>
              <w:pStyle w:val="BodyText"/>
              <w:rPr>
                <w:rStyle w:val="Strong"/>
              </w:rPr>
            </w:pPr>
            <w:r w:rsidRPr="008A6742">
              <w:rPr>
                <w:rStyle w:val="Strong"/>
              </w:rPr>
              <w:t>f.</w:t>
            </w:r>
          </w:p>
        </w:tc>
        <w:tc>
          <w:tcPr>
            <w:tcW w:w="1035" w:type="dxa"/>
            <w:shd w:val="clear" w:color="auto" w:fill="auto"/>
          </w:tcPr>
          <w:p w14:paraId="7A8A7CFB" w14:textId="77777777" w:rsidR="008A6742" w:rsidRPr="00CF6322" w:rsidRDefault="008A6742" w:rsidP="001D1CF9">
            <w:pPr>
              <w:pStyle w:val="BodyText"/>
            </w:pPr>
            <w:r w:rsidRPr="00CF6322">
              <w:t>N/A</w:t>
            </w:r>
          </w:p>
        </w:tc>
        <w:tc>
          <w:tcPr>
            <w:tcW w:w="1220" w:type="dxa"/>
            <w:gridSpan w:val="2"/>
            <w:shd w:val="clear" w:color="auto" w:fill="auto"/>
          </w:tcPr>
          <w:p w14:paraId="2DE99695" w14:textId="77777777" w:rsidR="008A6742" w:rsidRPr="00CF6322" w:rsidRDefault="008A6742" w:rsidP="001D1CF9">
            <w:pPr>
              <w:pStyle w:val="BodyText"/>
            </w:pPr>
            <w:r w:rsidRPr="00CF6322">
              <w:t>&gt;50%</w:t>
            </w:r>
          </w:p>
        </w:tc>
        <w:tc>
          <w:tcPr>
            <w:tcW w:w="1220" w:type="dxa"/>
            <w:shd w:val="clear" w:color="auto" w:fill="auto"/>
          </w:tcPr>
          <w:p w14:paraId="75428D18" w14:textId="77777777" w:rsidR="008A6742" w:rsidRPr="00CF6322" w:rsidRDefault="008A6742" w:rsidP="001D1CF9">
            <w:pPr>
              <w:pStyle w:val="BodyText"/>
            </w:pPr>
            <w:r w:rsidRPr="00CF6322">
              <w:t>N/A</w:t>
            </w:r>
          </w:p>
        </w:tc>
        <w:tc>
          <w:tcPr>
            <w:tcW w:w="1220" w:type="dxa"/>
            <w:shd w:val="clear" w:color="auto" w:fill="auto"/>
          </w:tcPr>
          <w:p w14:paraId="152BD00D" w14:textId="77777777" w:rsidR="008A6742" w:rsidRPr="00CF6322" w:rsidRDefault="008A6742" w:rsidP="001D1CF9">
            <w:pPr>
              <w:pStyle w:val="BodyText"/>
            </w:pPr>
            <w:r w:rsidRPr="00CF6322">
              <w:t>&gt;50%</w:t>
            </w:r>
          </w:p>
        </w:tc>
        <w:tc>
          <w:tcPr>
            <w:tcW w:w="1220" w:type="dxa"/>
            <w:shd w:val="clear" w:color="auto" w:fill="auto"/>
          </w:tcPr>
          <w:p w14:paraId="4CD93FCA" w14:textId="77777777" w:rsidR="008A6742" w:rsidRPr="00CF6322" w:rsidRDefault="008A6742" w:rsidP="001D1CF9">
            <w:pPr>
              <w:pStyle w:val="BodyText"/>
            </w:pPr>
            <w:r w:rsidRPr="00CF6322">
              <w:t>N/A</w:t>
            </w:r>
          </w:p>
        </w:tc>
        <w:tc>
          <w:tcPr>
            <w:tcW w:w="1220" w:type="dxa"/>
            <w:shd w:val="clear" w:color="auto" w:fill="auto"/>
          </w:tcPr>
          <w:p w14:paraId="457103A5" w14:textId="77777777" w:rsidR="008A6742" w:rsidRPr="00CF6322" w:rsidRDefault="008A6742" w:rsidP="001D1CF9">
            <w:pPr>
              <w:pStyle w:val="BodyText"/>
            </w:pPr>
            <w:r w:rsidRPr="00CF6322">
              <w:t>&gt;50%</w:t>
            </w:r>
          </w:p>
        </w:tc>
        <w:tc>
          <w:tcPr>
            <w:tcW w:w="1220" w:type="dxa"/>
            <w:shd w:val="clear" w:color="auto" w:fill="auto"/>
          </w:tcPr>
          <w:p w14:paraId="1BA5B3ED" w14:textId="77777777" w:rsidR="008A6742" w:rsidRPr="00CF6322" w:rsidRDefault="008A6742" w:rsidP="001D1CF9">
            <w:pPr>
              <w:pStyle w:val="BodyText"/>
            </w:pPr>
            <w:r w:rsidRPr="00CF6322">
              <w:t>N/A</w:t>
            </w:r>
          </w:p>
        </w:tc>
        <w:tc>
          <w:tcPr>
            <w:tcW w:w="1220" w:type="dxa"/>
            <w:shd w:val="clear" w:color="auto" w:fill="auto"/>
          </w:tcPr>
          <w:p w14:paraId="3EF43C8D" w14:textId="77777777" w:rsidR="008A6742" w:rsidRPr="00CF6322" w:rsidRDefault="008A6742" w:rsidP="001D1CF9">
            <w:pPr>
              <w:pStyle w:val="BodyText"/>
            </w:pPr>
            <w:r w:rsidRPr="00CF6322">
              <w:t>&gt;50%</w:t>
            </w:r>
          </w:p>
        </w:tc>
      </w:tr>
      <w:tr w:rsidR="008A6742" w:rsidRPr="00CF6322" w14:paraId="1E4D253F" w14:textId="77777777" w:rsidTr="00B1625C">
        <w:trPr>
          <w:trHeight w:val="3726"/>
        </w:trPr>
        <w:tc>
          <w:tcPr>
            <w:tcW w:w="10284" w:type="dxa"/>
            <w:gridSpan w:val="10"/>
            <w:shd w:val="clear" w:color="auto" w:fill="auto"/>
          </w:tcPr>
          <w:p w14:paraId="030C0A3F" w14:textId="77777777" w:rsidR="008A6742" w:rsidRPr="00CF6322" w:rsidRDefault="008A6742" w:rsidP="001D1CF9">
            <w:pPr>
              <w:pStyle w:val="Heading6"/>
            </w:pPr>
            <w:r w:rsidRPr="00CF6322">
              <w:t xml:space="preserve">Data </w:t>
            </w:r>
            <w:r w:rsidRPr="008A6742">
              <w:t>source</w:t>
            </w:r>
            <w:r w:rsidRPr="00CF6322">
              <w:t xml:space="preserve"> and methodology</w:t>
            </w:r>
          </w:p>
          <w:p w14:paraId="30256F0F" w14:textId="77777777" w:rsidR="008A6742" w:rsidRDefault="008A6742" w:rsidP="001D1CF9">
            <w:pPr>
              <w:pStyle w:val="BodyText"/>
            </w:pPr>
            <w:r w:rsidRPr="00CF6322">
              <w:t>Data for:</w:t>
            </w:r>
            <w:r>
              <w:t xml:space="preserve"> </w:t>
            </w:r>
          </w:p>
          <w:p w14:paraId="7BD1D2BF" w14:textId="6AE1227B" w:rsidR="008A6742" w:rsidRPr="00CF6322" w:rsidRDefault="008A6742" w:rsidP="001D1CF9">
            <w:pPr>
              <w:pStyle w:val="BodyText"/>
            </w:pPr>
            <w:r w:rsidRPr="00B1625C">
              <w:rPr>
                <w:b/>
                <w:bCs/>
              </w:rPr>
              <w:t>a., b.</w:t>
            </w:r>
            <w:r w:rsidRPr="00CF6322">
              <w:tab/>
              <w:t>Medical Benefits Scheme claims data</w:t>
            </w:r>
            <w:r>
              <w:rPr>
                <w:rStyle w:val="FootnoteReference"/>
              </w:rPr>
              <w:footnoteReference w:id="16"/>
            </w:r>
            <w:r w:rsidRPr="00CF6322">
              <w:t>. This is administered and owned by the Department, in partnership with Services Australia.</w:t>
            </w:r>
          </w:p>
          <w:p w14:paraId="3B8EDFB3" w14:textId="7EAFD8E0" w:rsidR="008A6742" w:rsidRPr="00CF6322" w:rsidRDefault="008A6742" w:rsidP="001D1CF9">
            <w:pPr>
              <w:pStyle w:val="BodyText"/>
            </w:pPr>
            <w:r w:rsidRPr="00B1625C">
              <w:rPr>
                <w:b/>
                <w:bCs/>
              </w:rPr>
              <w:t>c., d., e.</w:t>
            </w:r>
            <w:r w:rsidRPr="00CF6322">
              <w:t xml:space="preserve"> National Health Workforce Datasets (NHWD), and derived from an annual survey of all registered health practitioners</w:t>
            </w:r>
            <w:r>
              <w:rPr>
                <w:rStyle w:val="FootnoteReference"/>
              </w:rPr>
              <w:footnoteReference w:id="17"/>
            </w:r>
            <w:r w:rsidRPr="00CF6322">
              <w:t>. The NHWD is provided to the Department by the Australian Health Practitioner Regulation Agency. The Department then becomes the data custodians of this dataset.</w:t>
            </w:r>
          </w:p>
          <w:p w14:paraId="7328A8AC" w14:textId="77777777" w:rsidR="008A6742" w:rsidRPr="00CF6322" w:rsidRDefault="008A6742" w:rsidP="001D1CF9">
            <w:pPr>
              <w:pStyle w:val="BodyText"/>
            </w:pPr>
            <w:proofErr w:type="gramStart"/>
            <w:r w:rsidRPr="00B1625C">
              <w:rPr>
                <w:b/>
                <w:bCs/>
              </w:rPr>
              <w:t>f.</w:t>
            </w:r>
            <w:r w:rsidRPr="00B1625C">
              <w:rPr>
                <w:b/>
                <w:bCs/>
              </w:rPr>
              <w:tab/>
            </w:r>
            <w:r w:rsidRPr="00CF6322">
              <w:t>Australian</w:t>
            </w:r>
            <w:proofErr w:type="gramEnd"/>
            <w:r w:rsidRPr="00CF6322">
              <w:t xml:space="preserve"> General Practice Training Program (AGPT) data and Rural Vocational Training Scheme (RVTS). AGPT program data is captured daily from regional training providers into the Department’s Registrar Information Data Exchange. RVTS program data is provided 6 monthly to the Department through progress reports by RVTS Ltd.</w:t>
            </w:r>
          </w:p>
          <w:p w14:paraId="7CD7D2D2" w14:textId="77777777" w:rsidR="008A6742" w:rsidRPr="00CF6322" w:rsidRDefault="008A6742" w:rsidP="001D1CF9">
            <w:pPr>
              <w:pStyle w:val="Heading6"/>
            </w:pPr>
            <w:r w:rsidRPr="00CF6322">
              <w:t>Measure type</w:t>
            </w:r>
          </w:p>
          <w:p w14:paraId="7EBFC749" w14:textId="77777777" w:rsidR="008A6742" w:rsidRPr="00CF6322" w:rsidRDefault="008A6742" w:rsidP="001D1CF9">
            <w:pPr>
              <w:pStyle w:val="BodyText"/>
            </w:pPr>
            <w:r w:rsidRPr="00CF6322">
              <w:t>Quantitative/Effectiveness</w:t>
            </w:r>
          </w:p>
        </w:tc>
      </w:tr>
    </w:tbl>
    <w:p w14:paraId="4DE2070D" w14:textId="77777777" w:rsidR="00E26861" w:rsidRDefault="00E26861" w:rsidP="00E26861">
      <w:r>
        <w:br w:type="page"/>
      </w:r>
    </w:p>
    <w:p w14:paraId="01E061A2" w14:textId="32785858" w:rsidR="004F7BDF" w:rsidRPr="004F7BDF" w:rsidRDefault="004F7BDF" w:rsidP="004F7BDF">
      <w:pPr>
        <w:pStyle w:val="Heading3"/>
      </w:pPr>
      <w:r w:rsidRPr="004F7BDF">
        <w:lastRenderedPageBreak/>
        <w:t xml:space="preserve">1.5 </w:t>
      </w:r>
      <w:r w:rsidR="0015531E">
        <w:t>–</w:t>
      </w:r>
      <w:r w:rsidRPr="004F7BDF">
        <w:t xml:space="preserve"> Preventive Health and Chronic Disease Support</w:t>
      </w:r>
    </w:p>
    <w:p w14:paraId="632E7519" w14:textId="77777777" w:rsidR="00E90764" w:rsidRPr="00CF6322" w:rsidRDefault="0099166C" w:rsidP="004F7BDF">
      <w:pPr>
        <w:pStyle w:val="Heading4"/>
      </w:pPr>
      <w:r w:rsidRPr="00CF6322">
        <w:t>Program Objective</w:t>
      </w:r>
    </w:p>
    <w:p w14:paraId="760622E5" w14:textId="77777777" w:rsidR="004F7BDF" w:rsidRPr="004F7BDF" w:rsidRDefault="004F7BDF" w:rsidP="001D1CF9">
      <w:pPr>
        <w:pStyle w:val="BodyText"/>
      </w:pPr>
      <w:r w:rsidRPr="004F7BDF">
        <w:t>Support all Australians to live longer in full health through reducing the rates of harmful alcohol consumption, illicit drug use, and tobacco use; and increasing healthy eating patterns, levels of physical activity and cancer screening participation.</w:t>
      </w:r>
    </w:p>
    <w:p w14:paraId="632E751D" w14:textId="77777777" w:rsidR="00E90764" w:rsidRPr="00CF6322" w:rsidRDefault="0099166C" w:rsidP="004F7BDF">
      <w:pPr>
        <w:pStyle w:val="Heading4"/>
      </w:pPr>
      <w:r w:rsidRPr="00CF6322">
        <w:t xml:space="preserve">Our Operating </w:t>
      </w:r>
      <w:r w:rsidRPr="004F7BDF">
        <w:t>Focus</w:t>
      </w:r>
    </w:p>
    <w:p w14:paraId="632E751F" w14:textId="26908DC2" w:rsidR="00E90764" w:rsidRPr="00CF6322" w:rsidRDefault="0099166C" w:rsidP="001D1CF9">
      <w:pPr>
        <w:pStyle w:val="BodyText"/>
      </w:pPr>
      <w:r w:rsidRPr="00CF6322">
        <w:t>We will continue to work to improve the health and wellbeing of Australians by reducing preventable mortality and morbidity caused by chronic conditions, communicable disease and substance misuse. This will</w:t>
      </w:r>
      <w:r w:rsidR="000A3307" w:rsidRPr="00CF6322">
        <w:t xml:space="preserve"> </w:t>
      </w:r>
      <w:r w:rsidRPr="00CF6322">
        <w:t xml:space="preserve">be achieved through the development and implementation of evidence-based policies and measures to address a wide range of chronic conditions, </w:t>
      </w:r>
      <w:proofErr w:type="spellStart"/>
      <w:r w:rsidRPr="00CF6322">
        <w:t>immunisation</w:t>
      </w:r>
      <w:proofErr w:type="spellEnd"/>
      <w:r w:rsidRPr="00CF6322">
        <w:t xml:space="preserve"> programs, tobacco control measures, prevention and treatment of blood borne viruses (BBV) and sexually transmissible infections (STI), policies to support appropriate and effective regulation of gene technology; and the policies and implementation of programs seeking to prevent and reduce the harms caused by illicit drug use and harmful alcohol consumption.</w:t>
      </w:r>
    </w:p>
    <w:p w14:paraId="632E7520" w14:textId="64FEE594" w:rsidR="00E90764" w:rsidRPr="00CF6322" w:rsidRDefault="0099166C" w:rsidP="001D1CF9">
      <w:pPr>
        <w:pStyle w:val="BodyText"/>
      </w:pPr>
      <w:r w:rsidRPr="00CF6322">
        <w:t>We are undertaking a midpoint review of the National Drug Strategy 2017–2026 to assess progress, measure success and identify any new priorities, emerging issues or challenges in respect to alcohol, tobacco and other drugs. We are also developing the draft National Tobacco Strategy 2021–2030, which aims to improve the health of all Australians by reducing the prevalence of tobacco use and its associated health, social and economic costs, and</w:t>
      </w:r>
      <w:r w:rsidR="004F7BDF">
        <w:t xml:space="preserve"> </w:t>
      </w:r>
      <w:r w:rsidRPr="00CF6322">
        <w:t>the inequalities it causes.</w:t>
      </w:r>
    </w:p>
    <w:p w14:paraId="06360562" w14:textId="77777777" w:rsidR="004F7BDF" w:rsidRDefault="0099166C" w:rsidP="001D1CF9">
      <w:pPr>
        <w:pStyle w:val="BodyText"/>
      </w:pPr>
      <w:r w:rsidRPr="00CF6322">
        <w:t>Almost half of the Australian population has one or more chronic conditions like diabetes, heart disease and cancer. The most recent Australian Bureau of Statistics National Health Survey found that 13.8% of Australians aged 18 years and older were daily smokers, one in 4 children and 2 in 3 adults are overweight or obese, more than half of adults and 2 in 3 children don’t meet the physical activity guidelines, and</w:t>
      </w:r>
      <w:r w:rsidR="004F7BDF">
        <w:t xml:space="preserve"> </w:t>
      </w:r>
      <w:r w:rsidRPr="00CF6322">
        <w:t>most people don’t eat enough fruit and vegetables and eat too much discretionary food. Risk factors like these increase</w:t>
      </w:r>
      <w:r w:rsidR="004F7BDF">
        <w:t xml:space="preserve"> </w:t>
      </w:r>
      <w:r w:rsidRPr="00CF6322">
        <w:t>the risk of developing ill health.</w:t>
      </w:r>
    </w:p>
    <w:p w14:paraId="632E7522" w14:textId="712727FD" w:rsidR="00E90764" w:rsidRPr="00CF6322" w:rsidRDefault="0099166C" w:rsidP="001D1CF9">
      <w:pPr>
        <w:pStyle w:val="BodyText"/>
      </w:pPr>
      <w:r w:rsidRPr="00CF6322">
        <w:t>We can prevent many chronic health conditions from developing, or reduce their impact, by creating systems and environments that support people to live a healthy lifestyle.</w:t>
      </w:r>
    </w:p>
    <w:p w14:paraId="632E7525" w14:textId="7275DB29" w:rsidR="00E90764" w:rsidRPr="00CF6322" w:rsidRDefault="0099166C" w:rsidP="001D1CF9">
      <w:pPr>
        <w:pStyle w:val="BodyText"/>
      </w:pPr>
      <w:r w:rsidRPr="00CF6322">
        <w:t>The National Preventive Health Strategy 2021–2030 (the Strategy) is an integral part of Australia’s Long Term</w:t>
      </w:r>
      <w:r w:rsidR="00A65137" w:rsidRPr="00CF6322">
        <w:t xml:space="preserve"> </w:t>
      </w:r>
      <w:r w:rsidRPr="00CF6322">
        <w:t>National Health Plan and will provide the overarching approach to prevention for the next 10 years. The Strategy will take a systems-based approach to helping</w:t>
      </w:r>
      <w:r w:rsidR="000A3307" w:rsidRPr="00CF6322">
        <w:t xml:space="preserve"> </w:t>
      </w:r>
      <w:r w:rsidRPr="00CF6322">
        <w:t>Australians improve their health at all stages of life, through early intervention, better information, and targeting risk factors and the broader causes of health and wellbeing.</w:t>
      </w:r>
      <w:r w:rsidR="000A3307" w:rsidRPr="00CF6322">
        <w:t xml:space="preserve"> </w:t>
      </w:r>
      <w:r w:rsidRPr="00CF6322">
        <w:t>Early detection is a key aspect of prevention and we are continuing to play a critical role in Australia’s world leading</w:t>
      </w:r>
      <w:r w:rsidR="004F7BDF">
        <w:t xml:space="preserve"> </w:t>
      </w:r>
      <w:r w:rsidRPr="00CF6322">
        <w:t xml:space="preserve">efforts in national screening and </w:t>
      </w:r>
      <w:proofErr w:type="spellStart"/>
      <w:r w:rsidRPr="00CF6322">
        <w:t>immunisation</w:t>
      </w:r>
      <w:proofErr w:type="spellEnd"/>
      <w:r w:rsidRPr="00CF6322">
        <w:t xml:space="preserve"> programs.</w:t>
      </w:r>
    </w:p>
    <w:p w14:paraId="632E7527" w14:textId="031CE91D" w:rsidR="00E90764" w:rsidRPr="00CF6322" w:rsidRDefault="0099166C" w:rsidP="001D1CF9">
      <w:pPr>
        <w:pStyle w:val="BodyText"/>
      </w:pPr>
      <w:r w:rsidRPr="00CF6322">
        <w:t>In delivering cancer programs, we work to improve the health and wellbeing of Australians by reducing preventable mortality and morbidity caused by cancer. Cancer screening programs increase the likelihood of detecting abnormalities or cancer in its earlier stages, leading to better outcomes.</w:t>
      </w:r>
      <w:r w:rsidR="00A65137" w:rsidRPr="00CF6322">
        <w:t xml:space="preserve"> </w:t>
      </w:r>
      <w:r w:rsidRPr="00CF6322">
        <w:t>Our population-based national cancer screening programs are proven to save lives. The screening programs contribute</w:t>
      </w:r>
      <w:r w:rsidR="00A65137" w:rsidRPr="00CF6322">
        <w:t xml:space="preserve"> </w:t>
      </w:r>
      <w:r w:rsidRPr="00CF6322">
        <w:t>to broader health outcomes such as improved mental health, prevention or delayed onset of degenerative diseases and improved wellbeing of Australians.</w:t>
      </w:r>
    </w:p>
    <w:p w14:paraId="632E7529" w14:textId="057BEAEA" w:rsidR="00E26861" w:rsidRDefault="0099166C" w:rsidP="001D1CF9">
      <w:pPr>
        <w:pStyle w:val="BodyText"/>
      </w:pPr>
      <w:r w:rsidRPr="00CF6322">
        <w:t>Despite their success, around 50% of eligible Australians do not regularly participate in the national cancer screening</w:t>
      </w:r>
      <w:r w:rsidR="00A65137" w:rsidRPr="00CF6322">
        <w:t xml:space="preserve"> </w:t>
      </w:r>
      <w:r w:rsidRPr="00CF6322">
        <w:t>programs. Strong community engagement and more innovative, data driven approaches are integral to ensuring all eligible Australians are accessing the available screening programs. We consult with our program partners</w:t>
      </w:r>
      <w:r w:rsidR="000A3307" w:rsidRPr="00CF6322">
        <w:t xml:space="preserve"> </w:t>
      </w:r>
      <w:r w:rsidRPr="00CF6322">
        <w:t xml:space="preserve">and continue to develop innovative and collaborative approaches to maintain and increase participation in the National Bowel Cancer Screening Program, </w:t>
      </w:r>
      <w:proofErr w:type="spellStart"/>
      <w:r w:rsidRPr="00CF6322">
        <w:t>BreastScreen</w:t>
      </w:r>
      <w:proofErr w:type="spellEnd"/>
      <w:r w:rsidR="004F7BDF">
        <w:t xml:space="preserve"> </w:t>
      </w:r>
      <w:r w:rsidRPr="00CF6322">
        <w:t>Australia and the National Cervical Screening Program.</w:t>
      </w:r>
    </w:p>
    <w:p w14:paraId="7DEFD564" w14:textId="77777777" w:rsidR="00E26861" w:rsidRDefault="00E26861">
      <w:pPr>
        <w:rPr>
          <w:rFonts w:ascii="Helvetica" w:hAnsi="Helvetica"/>
          <w:color w:val="231F20"/>
          <w:sz w:val="19"/>
          <w:szCs w:val="19"/>
        </w:rPr>
      </w:pPr>
      <w:r>
        <w:br w:type="page"/>
      </w:r>
    </w:p>
    <w:tbl>
      <w:tblPr>
        <w:tblW w:w="103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0" w:type="dxa"/>
        </w:tblCellMar>
        <w:tblLook w:val="01E0" w:firstRow="1" w:lastRow="1" w:firstColumn="1" w:lastColumn="1" w:noHBand="0" w:noVBand="0"/>
      </w:tblPr>
      <w:tblGrid>
        <w:gridCol w:w="8541"/>
        <w:gridCol w:w="441"/>
        <w:gridCol w:w="441"/>
        <w:gridCol w:w="439"/>
        <w:gridCol w:w="441"/>
      </w:tblGrid>
      <w:tr w:rsidR="00E90764" w:rsidRPr="00CF6322" w14:paraId="632E7533" w14:textId="77777777" w:rsidTr="006E10D0">
        <w:trPr>
          <w:trHeight w:val="1151"/>
          <w:tblHeader/>
        </w:trPr>
        <w:tc>
          <w:tcPr>
            <w:tcW w:w="8541" w:type="dxa"/>
            <w:shd w:val="clear" w:color="auto" w:fill="auto"/>
          </w:tcPr>
          <w:p w14:paraId="632E752E" w14:textId="77777777" w:rsidR="00E90764" w:rsidRPr="004F7BDF" w:rsidRDefault="0099166C" w:rsidP="001D1CF9">
            <w:pPr>
              <w:pStyle w:val="BodyText"/>
              <w:rPr>
                <w:rStyle w:val="Strong"/>
              </w:rPr>
            </w:pPr>
            <w:r w:rsidRPr="004F7BDF">
              <w:rPr>
                <w:rStyle w:val="Strong"/>
              </w:rPr>
              <w:lastRenderedPageBreak/>
              <w:t>Key Activities</w:t>
            </w:r>
          </w:p>
        </w:tc>
        <w:tc>
          <w:tcPr>
            <w:tcW w:w="441" w:type="dxa"/>
            <w:shd w:val="clear" w:color="auto" w:fill="auto"/>
            <w:textDirection w:val="tbRl"/>
            <w:vAlign w:val="center"/>
          </w:tcPr>
          <w:p w14:paraId="632E752F" w14:textId="77777777" w:rsidR="00E90764" w:rsidRPr="004F7BDF" w:rsidRDefault="0099166C" w:rsidP="001D1CF9">
            <w:pPr>
              <w:pStyle w:val="BodyText"/>
              <w:rPr>
                <w:rStyle w:val="Strong"/>
              </w:rPr>
            </w:pPr>
            <w:r w:rsidRPr="004F7BDF">
              <w:rPr>
                <w:rStyle w:val="Strong"/>
              </w:rPr>
              <w:t>2021–22</w:t>
            </w:r>
          </w:p>
        </w:tc>
        <w:tc>
          <w:tcPr>
            <w:tcW w:w="441" w:type="dxa"/>
            <w:shd w:val="clear" w:color="auto" w:fill="auto"/>
            <w:textDirection w:val="tbRl"/>
            <w:vAlign w:val="center"/>
          </w:tcPr>
          <w:p w14:paraId="632E7530" w14:textId="77777777" w:rsidR="00E90764" w:rsidRPr="004F7BDF" w:rsidRDefault="0099166C" w:rsidP="001D1CF9">
            <w:pPr>
              <w:pStyle w:val="BodyText"/>
              <w:rPr>
                <w:rStyle w:val="Strong"/>
              </w:rPr>
            </w:pPr>
            <w:r w:rsidRPr="004F7BDF">
              <w:rPr>
                <w:rStyle w:val="Strong"/>
              </w:rPr>
              <w:t>2022–23</w:t>
            </w:r>
          </w:p>
        </w:tc>
        <w:tc>
          <w:tcPr>
            <w:tcW w:w="439" w:type="dxa"/>
            <w:shd w:val="clear" w:color="auto" w:fill="auto"/>
            <w:textDirection w:val="tbRl"/>
            <w:vAlign w:val="center"/>
          </w:tcPr>
          <w:p w14:paraId="632E7531" w14:textId="77777777" w:rsidR="00E90764" w:rsidRPr="004F7BDF" w:rsidRDefault="0099166C" w:rsidP="001D1CF9">
            <w:pPr>
              <w:pStyle w:val="BodyText"/>
              <w:rPr>
                <w:rStyle w:val="Strong"/>
              </w:rPr>
            </w:pPr>
            <w:r w:rsidRPr="004F7BDF">
              <w:rPr>
                <w:rStyle w:val="Strong"/>
              </w:rPr>
              <w:t>2023–24</w:t>
            </w:r>
          </w:p>
        </w:tc>
        <w:tc>
          <w:tcPr>
            <w:tcW w:w="441" w:type="dxa"/>
            <w:shd w:val="clear" w:color="auto" w:fill="auto"/>
            <w:textDirection w:val="tbRl"/>
            <w:vAlign w:val="center"/>
          </w:tcPr>
          <w:p w14:paraId="632E7532" w14:textId="77777777" w:rsidR="00E90764" w:rsidRPr="004F7BDF" w:rsidRDefault="0099166C" w:rsidP="001D1CF9">
            <w:pPr>
              <w:pStyle w:val="BodyText"/>
              <w:rPr>
                <w:rStyle w:val="Strong"/>
              </w:rPr>
            </w:pPr>
            <w:r w:rsidRPr="004F7BDF">
              <w:rPr>
                <w:rStyle w:val="Strong"/>
              </w:rPr>
              <w:t>2024–25</w:t>
            </w:r>
          </w:p>
        </w:tc>
      </w:tr>
      <w:tr w:rsidR="00E90764" w:rsidRPr="00CF6322" w14:paraId="632E7540" w14:textId="77777777" w:rsidTr="004F7BDF">
        <w:trPr>
          <w:trHeight w:val="1205"/>
        </w:trPr>
        <w:tc>
          <w:tcPr>
            <w:tcW w:w="8541" w:type="dxa"/>
            <w:shd w:val="clear" w:color="auto" w:fill="auto"/>
            <w:vAlign w:val="center"/>
          </w:tcPr>
          <w:p w14:paraId="632E7534" w14:textId="77777777" w:rsidR="00E90764" w:rsidRPr="00CF6322" w:rsidRDefault="0099166C" w:rsidP="001D1CF9">
            <w:pPr>
              <w:pStyle w:val="BodyText"/>
            </w:pPr>
            <w:r w:rsidRPr="00CF6322">
              <w:t>Developing, implementing and monitoring:</w:t>
            </w:r>
          </w:p>
          <w:p w14:paraId="632E7535" w14:textId="77777777" w:rsidR="00E90764" w:rsidRPr="00B1625C" w:rsidRDefault="0099166C" w:rsidP="00B1625C">
            <w:pPr>
              <w:pStyle w:val="Bullets"/>
            </w:pPr>
            <w:r w:rsidRPr="00CF6322">
              <w:t xml:space="preserve">national strategies for preventive health, obesity </w:t>
            </w:r>
            <w:r w:rsidRPr="00B1625C">
              <w:t>and injury prevention</w:t>
            </w:r>
          </w:p>
          <w:p w14:paraId="632E7536" w14:textId="77777777" w:rsidR="00E90764" w:rsidRPr="00B1625C" w:rsidRDefault="0099166C" w:rsidP="00B1625C">
            <w:pPr>
              <w:pStyle w:val="Bullets"/>
            </w:pPr>
            <w:r w:rsidRPr="00B1625C">
              <w:t>national strategies for men’s women’s and children’s health</w:t>
            </w:r>
          </w:p>
          <w:p w14:paraId="632E7537" w14:textId="77777777" w:rsidR="00E90764" w:rsidRPr="00CF6322" w:rsidRDefault="0099166C" w:rsidP="00B1625C">
            <w:pPr>
              <w:pStyle w:val="Bullets"/>
            </w:pPr>
            <w:proofErr w:type="gramStart"/>
            <w:r w:rsidRPr="00B1625C">
              <w:t>existing</w:t>
            </w:r>
            <w:proofErr w:type="gramEnd"/>
            <w:r w:rsidRPr="00B1625C">
              <w:t xml:space="preserve"> national strategic action plans for chronic</w:t>
            </w:r>
            <w:r w:rsidRPr="00CF6322">
              <w:t xml:space="preserve"> diseases.</w:t>
            </w:r>
          </w:p>
        </w:tc>
        <w:tc>
          <w:tcPr>
            <w:tcW w:w="441" w:type="dxa"/>
            <w:shd w:val="clear" w:color="auto" w:fill="auto"/>
          </w:tcPr>
          <w:p w14:paraId="632E7539" w14:textId="7A3345F1"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53B" w14:textId="0C875F0A"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53D" w14:textId="3523ABBB"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53F" w14:textId="2B2D3CD2" w:rsidR="00E90764" w:rsidRPr="00CF6322" w:rsidRDefault="00041BDA" w:rsidP="001D1CF9">
            <w:pPr>
              <w:pStyle w:val="BodyText"/>
            </w:pPr>
            <w:r>
              <w:rPr>
                <w:rFonts w:ascii="Segoe UI Symbol" w:hAnsi="Segoe UI Symbol" w:cs="Segoe UI Symbol"/>
              </w:rPr>
              <w:t>✓</w:t>
            </w:r>
          </w:p>
        </w:tc>
      </w:tr>
      <w:tr w:rsidR="00E90764" w:rsidRPr="00CF6322" w14:paraId="632E755A" w14:textId="77777777" w:rsidTr="004F7BDF">
        <w:trPr>
          <w:trHeight w:val="3252"/>
        </w:trPr>
        <w:tc>
          <w:tcPr>
            <w:tcW w:w="8541" w:type="dxa"/>
            <w:shd w:val="clear" w:color="auto" w:fill="auto"/>
            <w:vAlign w:val="center"/>
          </w:tcPr>
          <w:p w14:paraId="632E7541" w14:textId="77777777" w:rsidR="00E90764" w:rsidRPr="00CF6322" w:rsidRDefault="0099166C" w:rsidP="001D1CF9">
            <w:pPr>
              <w:pStyle w:val="BodyText"/>
            </w:pPr>
            <w:r w:rsidRPr="00CF6322">
              <w:t>Supporting a collaborative approach to prevention and reduction of harm to individuals and communities from alcohol, tobacco and other drugs through:</w:t>
            </w:r>
          </w:p>
          <w:p w14:paraId="632E7542" w14:textId="4E0D1AB1" w:rsidR="00E90764" w:rsidRPr="00B1625C" w:rsidRDefault="0099166C" w:rsidP="00B1625C">
            <w:pPr>
              <w:pStyle w:val="Bullets"/>
            </w:pPr>
            <w:r w:rsidRPr="00CF6322">
              <w:t xml:space="preserve">Implementing activities that align with the objectives of the National </w:t>
            </w:r>
            <w:r w:rsidRPr="00B1625C">
              <w:t xml:space="preserve">Drug Strategy 2017–2026, including the National Alcohol Strategy 2019–2028, the National Ice Action Strategy and </w:t>
            </w:r>
            <w:proofErr w:type="spellStart"/>
            <w:r w:rsidRPr="00B1625C">
              <w:t>finalising</w:t>
            </w:r>
            <w:proofErr w:type="spellEnd"/>
            <w:r w:rsidRPr="00B1625C">
              <w:t xml:space="preserve"> the</w:t>
            </w:r>
            <w:r w:rsidR="00431F8C" w:rsidRPr="00B1625C">
              <w:t xml:space="preserve">     </w:t>
            </w:r>
            <w:r w:rsidRPr="00B1625C">
              <w:t>next National Tobacco Strategy 2021–2030.</w:t>
            </w:r>
          </w:p>
          <w:p w14:paraId="632E7543" w14:textId="73D50426" w:rsidR="00E90764" w:rsidRPr="00B1625C" w:rsidRDefault="0099166C" w:rsidP="00B1625C">
            <w:pPr>
              <w:pStyle w:val="Bullets"/>
            </w:pPr>
            <w:r w:rsidRPr="00B1625C">
              <w:t>Delivering health promotion and education activities to support smoking cessation and prevention,</w:t>
            </w:r>
            <w:r w:rsidR="00431F8C" w:rsidRPr="00B1625C">
              <w:t xml:space="preserve"> </w:t>
            </w:r>
            <w:r w:rsidR="004F7BDF" w:rsidRPr="00B1625C">
              <w:t>f</w:t>
            </w:r>
            <w:r w:rsidRPr="00B1625C">
              <w:t>ocusing on high prevalence smoking populations.</w:t>
            </w:r>
          </w:p>
          <w:p w14:paraId="632E7544" w14:textId="77777777" w:rsidR="00E90764" w:rsidRPr="00B1625C" w:rsidRDefault="0099166C" w:rsidP="00B1625C">
            <w:pPr>
              <w:pStyle w:val="Bullets"/>
            </w:pPr>
            <w:r w:rsidRPr="00B1625C">
              <w:t>Delivering health promotion and education activities to raise awareness of the Australian guidelines to reduce health risks from drinking alcohol and raise awareness of the risks of drinking alcohol while pregnant and breastfeeding.</w:t>
            </w:r>
          </w:p>
          <w:p w14:paraId="632E7545" w14:textId="77777777" w:rsidR="00E90764" w:rsidRPr="00CF6322" w:rsidRDefault="0099166C" w:rsidP="00B1625C">
            <w:pPr>
              <w:pStyle w:val="Bullets"/>
            </w:pPr>
            <w:r w:rsidRPr="00B1625C">
              <w:t xml:space="preserve">Delivering activities to prevent and </w:t>
            </w:r>
            <w:proofErr w:type="spellStart"/>
            <w:r w:rsidRPr="00B1625C">
              <w:t>minimise</w:t>
            </w:r>
            <w:proofErr w:type="spellEnd"/>
            <w:r w:rsidRPr="00B1625C">
              <w:t xml:space="preserve"> the impact of fetal alcoh</w:t>
            </w:r>
            <w:r w:rsidRPr="00CF6322">
              <w:t>ol spectrum disorder, including those under the National Fetal Alcohol Spectrum Disorder Strategic Action Plan 2018–2028.</w:t>
            </w:r>
          </w:p>
        </w:tc>
        <w:tc>
          <w:tcPr>
            <w:tcW w:w="441" w:type="dxa"/>
            <w:shd w:val="clear" w:color="auto" w:fill="auto"/>
            <w:vAlign w:val="center"/>
          </w:tcPr>
          <w:p w14:paraId="632E754A" w14:textId="1DC8CDEE"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54F" w14:textId="41A34F0E"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554" w14:textId="335863CC"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559" w14:textId="578FD5E4" w:rsidR="00E90764" w:rsidRPr="00CF6322" w:rsidRDefault="00041BDA" w:rsidP="001D1CF9">
            <w:pPr>
              <w:pStyle w:val="BodyText"/>
            </w:pPr>
            <w:r>
              <w:rPr>
                <w:rFonts w:ascii="Segoe UI Symbol" w:hAnsi="Segoe UI Symbol" w:cs="Segoe UI Symbol"/>
              </w:rPr>
              <w:t>✓</w:t>
            </w:r>
          </w:p>
        </w:tc>
      </w:tr>
      <w:tr w:rsidR="00E90764" w:rsidRPr="00CF6322" w14:paraId="632E7560" w14:textId="77777777" w:rsidTr="004F7BDF">
        <w:trPr>
          <w:trHeight w:val="391"/>
        </w:trPr>
        <w:tc>
          <w:tcPr>
            <w:tcW w:w="8541" w:type="dxa"/>
            <w:shd w:val="clear" w:color="auto" w:fill="auto"/>
            <w:vAlign w:val="center"/>
          </w:tcPr>
          <w:p w14:paraId="632E755B" w14:textId="77777777" w:rsidR="00E90764" w:rsidRPr="00CF6322" w:rsidRDefault="0099166C" w:rsidP="001D1CF9">
            <w:pPr>
              <w:pStyle w:val="BodyText"/>
            </w:pPr>
            <w:r w:rsidRPr="00CF6322">
              <w:t>Investing in quality alcohol and drug treatment services consistent with the National Quality Framework.</w:t>
            </w:r>
          </w:p>
        </w:tc>
        <w:tc>
          <w:tcPr>
            <w:tcW w:w="441" w:type="dxa"/>
            <w:shd w:val="clear" w:color="auto" w:fill="auto"/>
            <w:vAlign w:val="center"/>
          </w:tcPr>
          <w:p w14:paraId="632E755C" w14:textId="5401A043"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55D" w14:textId="62667614"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55E" w14:textId="3C4E7055"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55F" w14:textId="1342A3E8" w:rsidR="00E90764" w:rsidRPr="00CF6322" w:rsidRDefault="00041BDA" w:rsidP="001D1CF9">
            <w:pPr>
              <w:pStyle w:val="BodyText"/>
            </w:pPr>
            <w:r>
              <w:rPr>
                <w:rFonts w:ascii="Segoe UI Symbol" w:hAnsi="Segoe UI Symbol" w:cs="Segoe UI Symbol"/>
              </w:rPr>
              <w:t>✓</w:t>
            </w:r>
          </w:p>
        </w:tc>
      </w:tr>
      <w:tr w:rsidR="00E90764" w:rsidRPr="00CF6322" w14:paraId="632E7566" w14:textId="77777777" w:rsidTr="004F7BDF">
        <w:trPr>
          <w:trHeight w:val="582"/>
        </w:trPr>
        <w:tc>
          <w:tcPr>
            <w:tcW w:w="8541" w:type="dxa"/>
            <w:shd w:val="clear" w:color="auto" w:fill="auto"/>
            <w:vAlign w:val="center"/>
          </w:tcPr>
          <w:p w14:paraId="632E7561" w14:textId="6A7C25FB" w:rsidR="00E90764" w:rsidRPr="00CF6322" w:rsidRDefault="0099166C" w:rsidP="001D1CF9">
            <w:pPr>
              <w:pStyle w:val="BodyText"/>
            </w:pPr>
            <w:r w:rsidRPr="00CF6322">
              <w:t>Strengthening the alcohol and drugs evidence base through high quality research, data analysis and</w:t>
            </w:r>
            <w:r w:rsidR="00431F8C" w:rsidRPr="00CF6322">
              <w:t xml:space="preserve"> </w:t>
            </w:r>
            <w:r w:rsidRPr="00CF6322">
              <w:t>consultation with industry experts.</w:t>
            </w:r>
          </w:p>
        </w:tc>
        <w:tc>
          <w:tcPr>
            <w:tcW w:w="441" w:type="dxa"/>
            <w:shd w:val="clear" w:color="auto" w:fill="auto"/>
            <w:vAlign w:val="center"/>
          </w:tcPr>
          <w:p w14:paraId="632E7562" w14:textId="74DDC41B"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563" w14:textId="2B9AF5B9"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564" w14:textId="6BE1B0C6"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565" w14:textId="6DD6C8CB" w:rsidR="00E90764" w:rsidRPr="00CF6322" w:rsidRDefault="00041BDA" w:rsidP="001D1CF9">
            <w:pPr>
              <w:pStyle w:val="BodyText"/>
            </w:pPr>
            <w:r>
              <w:rPr>
                <w:rFonts w:ascii="Segoe UI Symbol" w:hAnsi="Segoe UI Symbol" w:cs="Segoe UI Symbol"/>
              </w:rPr>
              <w:t>✓</w:t>
            </w:r>
          </w:p>
        </w:tc>
      </w:tr>
      <w:tr w:rsidR="00E90764" w:rsidRPr="00CF6322" w14:paraId="632E7570" w14:textId="77777777" w:rsidTr="004F7BDF">
        <w:trPr>
          <w:trHeight w:val="822"/>
        </w:trPr>
        <w:tc>
          <w:tcPr>
            <w:tcW w:w="8541" w:type="dxa"/>
            <w:shd w:val="clear" w:color="auto" w:fill="auto"/>
            <w:vAlign w:val="center"/>
          </w:tcPr>
          <w:p w14:paraId="632E7567" w14:textId="77777777" w:rsidR="00E90764" w:rsidRPr="00CF6322" w:rsidRDefault="0099166C" w:rsidP="001D1CF9">
            <w:pPr>
              <w:pStyle w:val="BodyText"/>
            </w:pPr>
            <w:r w:rsidRPr="00CF6322">
              <w:t>Working with Commonwealth entities, states, territories and other relevant agencies to support the development, implementation and monitoring of Australia’s national alcohol, tobacco and other drug policy frameworks, including reporting on the National Drug Strategy and associated sub-strategies.</w:t>
            </w:r>
          </w:p>
        </w:tc>
        <w:tc>
          <w:tcPr>
            <w:tcW w:w="441" w:type="dxa"/>
            <w:shd w:val="clear" w:color="auto" w:fill="auto"/>
          </w:tcPr>
          <w:p w14:paraId="632E7569" w14:textId="6EFF72D1"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56B" w14:textId="5A03B075"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56D" w14:textId="2CE0F303"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56F" w14:textId="05F6BBC4" w:rsidR="00E90764" w:rsidRPr="00CF6322" w:rsidRDefault="00041BDA" w:rsidP="001D1CF9">
            <w:pPr>
              <w:pStyle w:val="BodyText"/>
            </w:pPr>
            <w:r>
              <w:rPr>
                <w:rFonts w:ascii="Segoe UI Symbol" w:hAnsi="Segoe UI Symbol" w:cs="Segoe UI Symbol"/>
              </w:rPr>
              <w:t>✓</w:t>
            </w:r>
          </w:p>
        </w:tc>
      </w:tr>
      <w:tr w:rsidR="00E90764" w:rsidRPr="00CF6322" w14:paraId="632E7576" w14:textId="77777777" w:rsidTr="004F7BDF">
        <w:trPr>
          <w:trHeight w:val="582"/>
        </w:trPr>
        <w:tc>
          <w:tcPr>
            <w:tcW w:w="8541" w:type="dxa"/>
            <w:shd w:val="clear" w:color="auto" w:fill="auto"/>
            <w:vAlign w:val="center"/>
          </w:tcPr>
          <w:p w14:paraId="632E7571" w14:textId="77777777" w:rsidR="00E90764" w:rsidRPr="00CF6322" w:rsidRDefault="0099166C" w:rsidP="001D1CF9">
            <w:pPr>
              <w:pStyle w:val="BodyText"/>
            </w:pPr>
            <w:r w:rsidRPr="00CF6322">
              <w:t>Developing a new national best practice support service for nicotine cessation with Cancer Council Victoria.</w:t>
            </w:r>
          </w:p>
        </w:tc>
        <w:tc>
          <w:tcPr>
            <w:tcW w:w="441" w:type="dxa"/>
            <w:shd w:val="clear" w:color="auto" w:fill="auto"/>
            <w:vAlign w:val="center"/>
          </w:tcPr>
          <w:p w14:paraId="632E7572" w14:textId="131CEACF"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573" w14:textId="6A1B9601"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574" w14:textId="77777777" w:rsidR="00E90764" w:rsidRPr="00CF6322" w:rsidRDefault="00E90764" w:rsidP="001D1CF9">
            <w:pPr>
              <w:pStyle w:val="BodyText"/>
            </w:pPr>
          </w:p>
        </w:tc>
        <w:tc>
          <w:tcPr>
            <w:tcW w:w="441" w:type="dxa"/>
            <w:shd w:val="clear" w:color="auto" w:fill="auto"/>
            <w:vAlign w:val="center"/>
          </w:tcPr>
          <w:p w14:paraId="632E7575" w14:textId="77777777" w:rsidR="00E90764" w:rsidRPr="00CF6322" w:rsidRDefault="00E90764" w:rsidP="001D1CF9">
            <w:pPr>
              <w:pStyle w:val="BodyText"/>
            </w:pPr>
          </w:p>
        </w:tc>
      </w:tr>
      <w:tr w:rsidR="00E90764" w:rsidRPr="00CF6322" w14:paraId="632E7580" w14:textId="77777777" w:rsidTr="004F7BDF">
        <w:trPr>
          <w:trHeight w:val="822"/>
        </w:trPr>
        <w:tc>
          <w:tcPr>
            <w:tcW w:w="8541" w:type="dxa"/>
            <w:shd w:val="clear" w:color="auto" w:fill="auto"/>
            <w:vAlign w:val="center"/>
          </w:tcPr>
          <w:p w14:paraId="632E7577" w14:textId="5C7FEA2E" w:rsidR="00E90764" w:rsidRPr="00CF6322" w:rsidRDefault="0099166C" w:rsidP="001D1CF9">
            <w:pPr>
              <w:pStyle w:val="BodyText"/>
            </w:pPr>
            <w:r w:rsidRPr="00CF6322">
              <w:t>Encouraging and enabling healthy lifestyles, physical activity and good nutrition through initiatives such as the Healthy Food Partnership, Health Star Rating system, Australian Guide to Healthy Eating</w:t>
            </w:r>
            <w:r w:rsidR="00431F8C" w:rsidRPr="00CF6322">
              <w:t xml:space="preserve"> </w:t>
            </w:r>
            <w:r w:rsidRPr="00CF6322">
              <w:t>and the Healthy Heart Initiative.</w:t>
            </w:r>
          </w:p>
        </w:tc>
        <w:tc>
          <w:tcPr>
            <w:tcW w:w="441" w:type="dxa"/>
            <w:shd w:val="clear" w:color="auto" w:fill="auto"/>
          </w:tcPr>
          <w:p w14:paraId="632E7579" w14:textId="79C3428B"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57B" w14:textId="7AE166FB"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57D" w14:textId="7E3059FB"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57F" w14:textId="2AD6C48A" w:rsidR="00E90764" w:rsidRPr="00CF6322" w:rsidRDefault="00041BDA" w:rsidP="001D1CF9">
            <w:pPr>
              <w:pStyle w:val="BodyText"/>
            </w:pPr>
            <w:r>
              <w:rPr>
                <w:rFonts w:ascii="Segoe UI Symbol" w:hAnsi="Segoe UI Symbol" w:cs="Segoe UI Symbol"/>
              </w:rPr>
              <w:t>✓</w:t>
            </w:r>
          </w:p>
        </w:tc>
      </w:tr>
      <w:tr w:rsidR="00E90764" w:rsidRPr="00CF6322" w14:paraId="632E7586" w14:textId="77777777" w:rsidTr="004F7BDF">
        <w:trPr>
          <w:trHeight w:val="582"/>
        </w:trPr>
        <w:tc>
          <w:tcPr>
            <w:tcW w:w="8541" w:type="dxa"/>
            <w:shd w:val="clear" w:color="auto" w:fill="auto"/>
            <w:vAlign w:val="center"/>
          </w:tcPr>
          <w:p w14:paraId="632E7581" w14:textId="008E598F" w:rsidR="00E90764" w:rsidRPr="00CF6322" w:rsidRDefault="0099166C" w:rsidP="001D1CF9">
            <w:pPr>
              <w:pStyle w:val="BodyText"/>
            </w:pPr>
            <w:r w:rsidRPr="00CF6322">
              <w:t>Enhancing national policy development to reduce lifestyle related chronic disease by strengthening the</w:t>
            </w:r>
            <w:r w:rsidR="00B1625C">
              <w:t xml:space="preserve"> </w:t>
            </w:r>
            <w:r w:rsidRPr="00CF6322">
              <w:t>evidence base through high quality research, data analysis and consultation with expert networks.</w:t>
            </w:r>
          </w:p>
        </w:tc>
        <w:tc>
          <w:tcPr>
            <w:tcW w:w="441" w:type="dxa"/>
            <w:shd w:val="clear" w:color="auto" w:fill="auto"/>
            <w:vAlign w:val="center"/>
          </w:tcPr>
          <w:p w14:paraId="632E7582" w14:textId="5D53B5EA"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583" w14:textId="3674D7F6"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584" w14:textId="4AF40ADB"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585" w14:textId="77777777" w:rsidR="00E90764" w:rsidRPr="00CF6322" w:rsidRDefault="00E90764" w:rsidP="001D1CF9">
            <w:pPr>
              <w:pStyle w:val="BodyText"/>
            </w:pPr>
          </w:p>
        </w:tc>
      </w:tr>
      <w:tr w:rsidR="00E90764" w:rsidRPr="00CF6322" w14:paraId="632E758C" w14:textId="77777777" w:rsidTr="004F7BDF">
        <w:trPr>
          <w:trHeight w:val="582"/>
        </w:trPr>
        <w:tc>
          <w:tcPr>
            <w:tcW w:w="8541" w:type="dxa"/>
            <w:shd w:val="clear" w:color="auto" w:fill="auto"/>
            <w:vAlign w:val="center"/>
          </w:tcPr>
          <w:p w14:paraId="632E7587" w14:textId="3247D036" w:rsidR="00E90764" w:rsidRPr="00CF6322" w:rsidRDefault="0099166C" w:rsidP="001D1CF9">
            <w:pPr>
              <w:pStyle w:val="BodyText"/>
            </w:pPr>
            <w:r w:rsidRPr="00CF6322">
              <w:t>Implementing a thalidomide financial support package through the Australian Thalidomide Survivors</w:t>
            </w:r>
            <w:r w:rsidR="00431F8C" w:rsidRPr="00CF6322">
              <w:t xml:space="preserve"> </w:t>
            </w:r>
            <w:r w:rsidRPr="00CF6322">
              <w:t>Support Program.</w:t>
            </w:r>
          </w:p>
        </w:tc>
        <w:tc>
          <w:tcPr>
            <w:tcW w:w="441" w:type="dxa"/>
            <w:shd w:val="clear" w:color="auto" w:fill="auto"/>
            <w:vAlign w:val="center"/>
          </w:tcPr>
          <w:p w14:paraId="632E7588" w14:textId="3E9FC1E1"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589" w14:textId="0170AA94"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58A" w14:textId="48EB9586"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58B" w14:textId="33A90460" w:rsidR="00E90764" w:rsidRPr="00CF6322" w:rsidRDefault="00041BDA" w:rsidP="001D1CF9">
            <w:pPr>
              <w:pStyle w:val="BodyText"/>
            </w:pPr>
            <w:r>
              <w:rPr>
                <w:rFonts w:ascii="Segoe UI Symbol" w:hAnsi="Segoe UI Symbol" w:cs="Segoe UI Symbol"/>
              </w:rPr>
              <w:t>✓</w:t>
            </w:r>
          </w:p>
        </w:tc>
      </w:tr>
      <w:tr w:rsidR="00E90764" w:rsidRPr="00CF6322" w14:paraId="632E7592" w14:textId="77777777" w:rsidTr="004F7BDF">
        <w:trPr>
          <w:trHeight w:val="582"/>
        </w:trPr>
        <w:tc>
          <w:tcPr>
            <w:tcW w:w="8541" w:type="dxa"/>
            <w:shd w:val="clear" w:color="auto" w:fill="auto"/>
            <w:vAlign w:val="center"/>
          </w:tcPr>
          <w:p w14:paraId="632E758D" w14:textId="77777777" w:rsidR="00E90764" w:rsidRPr="00CF6322" w:rsidRDefault="0099166C" w:rsidP="001D1CF9">
            <w:pPr>
              <w:pStyle w:val="BodyText"/>
            </w:pPr>
            <w:r w:rsidRPr="00CF6322">
              <w:t>Supporting the provision of high quality palliative care in Australia through workforce development, quality improvement and data development activities, and by supporting advance care planning.</w:t>
            </w:r>
          </w:p>
        </w:tc>
        <w:tc>
          <w:tcPr>
            <w:tcW w:w="441" w:type="dxa"/>
            <w:shd w:val="clear" w:color="auto" w:fill="auto"/>
            <w:vAlign w:val="center"/>
          </w:tcPr>
          <w:p w14:paraId="632E758E" w14:textId="51BFD81C"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58F" w14:textId="73A0676E"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590" w14:textId="60D722E7"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591" w14:textId="450CAF02" w:rsidR="00E90764" w:rsidRPr="00CF6322" w:rsidRDefault="00041BDA" w:rsidP="001D1CF9">
            <w:pPr>
              <w:pStyle w:val="BodyText"/>
            </w:pPr>
            <w:r>
              <w:rPr>
                <w:rFonts w:ascii="Segoe UI Symbol" w:hAnsi="Segoe UI Symbol" w:cs="Segoe UI Symbol"/>
              </w:rPr>
              <w:t>✓</w:t>
            </w:r>
          </w:p>
        </w:tc>
      </w:tr>
      <w:tr w:rsidR="00E90764" w:rsidRPr="00CF6322" w14:paraId="632E75A9" w14:textId="77777777" w:rsidTr="004F7BDF">
        <w:trPr>
          <w:trHeight w:val="2375"/>
        </w:trPr>
        <w:tc>
          <w:tcPr>
            <w:tcW w:w="8541" w:type="dxa"/>
            <w:shd w:val="clear" w:color="auto" w:fill="auto"/>
            <w:vAlign w:val="center"/>
          </w:tcPr>
          <w:p w14:paraId="632E7593" w14:textId="77777777" w:rsidR="00E90764" w:rsidRPr="00CF6322" w:rsidRDefault="0099166C" w:rsidP="001D1CF9">
            <w:pPr>
              <w:pStyle w:val="BodyText"/>
            </w:pPr>
            <w:r w:rsidRPr="00CF6322">
              <w:lastRenderedPageBreak/>
              <w:t>Improving early detection, treatment and survival outcomes for people with cancer by continuing to:</w:t>
            </w:r>
          </w:p>
          <w:p w14:paraId="632E7594" w14:textId="148DA228" w:rsidR="00E90764" w:rsidRPr="00B1625C" w:rsidRDefault="0099166C" w:rsidP="00B1625C">
            <w:pPr>
              <w:pStyle w:val="Bullets"/>
            </w:pPr>
            <w:r w:rsidRPr="00CF6322">
              <w:t xml:space="preserve">Actively inviting Australians </w:t>
            </w:r>
            <w:r w:rsidRPr="00B1625C">
              <w:t>to participate in cancer screening programs, such as the National Bowel</w:t>
            </w:r>
            <w:r w:rsidR="00431F8C" w:rsidRPr="00B1625C">
              <w:t xml:space="preserve"> </w:t>
            </w:r>
            <w:r w:rsidR="004F7BDF" w:rsidRPr="00B1625C">
              <w:t>C</w:t>
            </w:r>
            <w:r w:rsidRPr="00B1625C">
              <w:t>ancer Screening Program and the National Cervical Screening Program.</w:t>
            </w:r>
          </w:p>
          <w:p w14:paraId="632E7595" w14:textId="77777777" w:rsidR="00E90764" w:rsidRPr="00B1625C" w:rsidRDefault="0099166C" w:rsidP="00B1625C">
            <w:pPr>
              <w:pStyle w:val="Bullets"/>
            </w:pPr>
            <w:r w:rsidRPr="00B1625C">
              <w:t xml:space="preserve">Supporting states and territories to deliver the </w:t>
            </w:r>
            <w:proofErr w:type="spellStart"/>
            <w:r w:rsidRPr="00B1625C">
              <w:t>BreastScreen</w:t>
            </w:r>
            <w:proofErr w:type="spellEnd"/>
            <w:r w:rsidRPr="00B1625C">
              <w:t xml:space="preserve"> Australia program.</w:t>
            </w:r>
          </w:p>
          <w:p w14:paraId="632E7596" w14:textId="77777777" w:rsidR="00E90764" w:rsidRPr="00B1625C" w:rsidRDefault="0099166C" w:rsidP="00B1625C">
            <w:pPr>
              <w:pStyle w:val="Bullets"/>
            </w:pPr>
            <w:r w:rsidRPr="00B1625C">
              <w:t>Operating the National Cancer Screening Register.</w:t>
            </w:r>
          </w:p>
          <w:p w14:paraId="632E7597" w14:textId="77777777" w:rsidR="00E90764" w:rsidRPr="00B1625C" w:rsidRDefault="0099166C" w:rsidP="00B1625C">
            <w:pPr>
              <w:pStyle w:val="Bullets"/>
            </w:pPr>
            <w:r w:rsidRPr="00B1625C">
              <w:t>Improving participation across the 3 cancer screening programs over the next 5 years under the Strategy.</w:t>
            </w:r>
          </w:p>
          <w:p w14:paraId="632E7598" w14:textId="77777777" w:rsidR="00E90764" w:rsidRPr="00CF6322" w:rsidRDefault="0099166C" w:rsidP="00B1625C">
            <w:pPr>
              <w:pStyle w:val="Bullets"/>
            </w:pPr>
            <w:r w:rsidRPr="00B1625C">
              <w:t>Establishing the feasi</w:t>
            </w:r>
            <w:r w:rsidRPr="00CF6322">
              <w:t>bility of implementing a national lung cancer screening program with Cancer Australia.</w:t>
            </w:r>
          </w:p>
        </w:tc>
        <w:tc>
          <w:tcPr>
            <w:tcW w:w="441" w:type="dxa"/>
            <w:shd w:val="clear" w:color="auto" w:fill="auto"/>
          </w:tcPr>
          <w:p w14:paraId="632E759C" w14:textId="059399EC"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5A0" w14:textId="20339CE9"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5A4" w14:textId="53F09405"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5A8" w14:textId="646ACDE9" w:rsidR="00E90764" w:rsidRPr="00CF6322" w:rsidRDefault="00041BDA" w:rsidP="001D1CF9">
            <w:pPr>
              <w:pStyle w:val="BodyText"/>
            </w:pPr>
            <w:r>
              <w:rPr>
                <w:rFonts w:ascii="Segoe UI Symbol" w:hAnsi="Segoe UI Symbol" w:cs="Segoe UI Symbol"/>
              </w:rPr>
              <w:t>✓</w:t>
            </w:r>
          </w:p>
        </w:tc>
      </w:tr>
    </w:tbl>
    <w:p w14:paraId="77E1408C" w14:textId="1278B680" w:rsidR="00E26861" w:rsidRDefault="00E26861" w:rsidP="00E26861"/>
    <w:p w14:paraId="632E75AC" w14:textId="74DA5AFB" w:rsidR="00E90764" w:rsidRPr="00CF6322" w:rsidRDefault="0099166C" w:rsidP="00603167">
      <w:pPr>
        <w:pStyle w:val="Heading4"/>
      </w:pPr>
      <w:r w:rsidRPr="00CF6322">
        <w:t xml:space="preserve">Our </w:t>
      </w:r>
      <w:r w:rsidRPr="00603167">
        <w:t>Performance</w:t>
      </w:r>
    </w:p>
    <w:p w14:paraId="632E75AD" w14:textId="74ECF57D" w:rsidR="006E10D0" w:rsidRDefault="0099166C" w:rsidP="00603167">
      <w:pPr>
        <w:pStyle w:val="Heading5"/>
      </w:pPr>
      <w:r w:rsidRPr="00CF6322">
        <w:t>Performance Measures for Preventive Health and Chronic Disease Support – Program 1.5</w:t>
      </w:r>
    </w:p>
    <w:tbl>
      <w:tblPr>
        <w:tblW w:w="10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5"/>
        <w:gridCol w:w="1790"/>
        <w:gridCol w:w="2194"/>
        <w:gridCol w:w="2194"/>
        <w:gridCol w:w="3258"/>
      </w:tblGrid>
      <w:tr w:rsidR="00E90764" w:rsidRPr="00CF6322" w14:paraId="632E75B7" w14:textId="77777777" w:rsidTr="006E10D0">
        <w:trPr>
          <w:trHeight w:val="2686"/>
          <w:tblHeader/>
        </w:trPr>
        <w:tc>
          <w:tcPr>
            <w:tcW w:w="10281" w:type="dxa"/>
            <w:gridSpan w:val="5"/>
            <w:shd w:val="clear" w:color="auto" w:fill="auto"/>
          </w:tcPr>
          <w:p w14:paraId="632E75AF" w14:textId="32B67740" w:rsidR="00E90764" w:rsidRPr="00603167" w:rsidRDefault="0099166C" w:rsidP="001D1CF9">
            <w:pPr>
              <w:pStyle w:val="BodyText"/>
              <w:rPr>
                <w:rStyle w:val="Strong"/>
              </w:rPr>
            </w:pPr>
            <w:r w:rsidRPr="00603167">
              <w:rPr>
                <w:rStyle w:val="Strong"/>
              </w:rPr>
              <w:t>Improve overall health and wellbeing of Australians by achieving preventive health targets.</w:t>
            </w:r>
            <w:r w:rsidR="00603167">
              <w:rPr>
                <w:rStyle w:val="FootnoteReference"/>
                <w:b/>
                <w:bCs/>
              </w:rPr>
              <w:footnoteReference w:id="18"/>
            </w:r>
          </w:p>
          <w:p w14:paraId="632E75B0" w14:textId="77777777" w:rsidR="00E90764" w:rsidRPr="00603167" w:rsidRDefault="0099166C" w:rsidP="006E10D0">
            <w:pPr>
              <w:pStyle w:val="BodyText"/>
              <w:numPr>
                <w:ilvl w:val="0"/>
                <w:numId w:val="23"/>
              </w:numPr>
              <w:spacing w:before="100" w:beforeAutospacing="1" w:line="240" w:lineRule="auto"/>
              <w:ind w:right="301" w:hanging="357"/>
              <w:rPr>
                <w:rStyle w:val="Strong"/>
              </w:rPr>
            </w:pPr>
            <w:r w:rsidRPr="00603167">
              <w:rPr>
                <w:rStyle w:val="Strong"/>
              </w:rPr>
              <w:t>National daily smoking prevalence.</w:t>
            </w:r>
          </w:p>
          <w:p w14:paraId="632E75B1" w14:textId="77777777" w:rsidR="00E90764" w:rsidRPr="00603167" w:rsidRDefault="0099166C" w:rsidP="006E10D0">
            <w:pPr>
              <w:pStyle w:val="BodyText"/>
              <w:numPr>
                <w:ilvl w:val="0"/>
                <w:numId w:val="23"/>
              </w:numPr>
              <w:spacing w:before="100" w:beforeAutospacing="1" w:line="240" w:lineRule="auto"/>
              <w:ind w:right="301" w:hanging="357"/>
              <w:rPr>
                <w:rStyle w:val="Strong"/>
              </w:rPr>
            </w:pPr>
            <w:r w:rsidRPr="00603167">
              <w:rPr>
                <w:rStyle w:val="Strong"/>
              </w:rPr>
              <w:t>Level of harmful alcohol consumption.</w:t>
            </w:r>
          </w:p>
          <w:p w14:paraId="632E75B2" w14:textId="77777777" w:rsidR="00E90764" w:rsidRPr="00603167" w:rsidRDefault="0099166C" w:rsidP="006E10D0">
            <w:pPr>
              <w:pStyle w:val="BodyText"/>
              <w:numPr>
                <w:ilvl w:val="0"/>
                <w:numId w:val="23"/>
              </w:numPr>
              <w:spacing w:before="100" w:beforeAutospacing="1" w:line="240" w:lineRule="auto"/>
              <w:ind w:right="301" w:hanging="357"/>
              <w:rPr>
                <w:rStyle w:val="Strong"/>
              </w:rPr>
            </w:pPr>
            <w:r w:rsidRPr="00603167">
              <w:rPr>
                <w:rStyle w:val="Strong"/>
              </w:rPr>
              <w:t>Prevalence of recent illicit drug use.</w:t>
            </w:r>
          </w:p>
          <w:p w14:paraId="632E75B3" w14:textId="548445C0" w:rsidR="00E90764" w:rsidRPr="00603167" w:rsidRDefault="0099166C" w:rsidP="006E10D0">
            <w:pPr>
              <w:pStyle w:val="BodyText"/>
              <w:numPr>
                <w:ilvl w:val="0"/>
                <w:numId w:val="23"/>
              </w:numPr>
              <w:spacing w:before="100" w:beforeAutospacing="1" w:line="240" w:lineRule="auto"/>
              <w:ind w:right="301" w:hanging="357"/>
              <w:rPr>
                <w:rStyle w:val="Strong"/>
              </w:rPr>
            </w:pPr>
            <w:r w:rsidRPr="00603167">
              <w:rPr>
                <w:rStyle w:val="Strong"/>
              </w:rPr>
              <w:t>Increase the level of cancer screening participation over 5 years (i.e. 2025–26) in line with the Minister for Health’s commitment.</w:t>
            </w:r>
          </w:p>
          <w:p w14:paraId="632E75B4" w14:textId="77777777" w:rsidR="00E90764" w:rsidRPr="00603167" w:rsidRDefault="0099166C" w:rsidP="006E10D0">
            <w:pPr>
              <w:pStyle w:val="BodyText"/>
              <w:numPr>
                <w:ilvl w:val="1"/>
                <w:numId w:val="24"/>
              </w:numPr>
              <w:spacing w:before="100" w:beforeAutospacing="1" w:line="240" w:lineRule="auto"/>
              <w:ind w:right="301" w:hanging="357"/>
              <w:rPr>
                <w:rStyle w:val="Strong"/>
              </w:rPr>
            </w:pPr>
            <w:r w:rsidRPr="00603167">
              <w:rPr>
                <w:rStyle w:val="Strong"/>
              </w:rPr>
              <w:t>National Bowel Cancer Screening Program (towards 53%).</w:t>
            </w:r>
          </w:p>
          <w:p w14:paraId="632E75B5" w14:textId="77777777" w:rsidR="00E90764" w:rsidRPr="00603167" w:rsidRDefault="0099166C" w:rsidP="006E10D0">
            <w:pPr>
              <w:pStyle w:val="BodyText"/>
              <w:numPr>
                <w:ilvl w:val="1"/>
                <w:numId w:val="24"/>
              </w:numPr>
              <w:spacing w:before="100" w:beforeAutospacing="1" w:line="240" w:lineRule="auto"/>
              <w:ind w:right="301" w:hanging="357"/>
              <w:rPr>
                <w:rStyle w:val="Strong"/>
              </w:rPr>
            </w:pPr>
            <w:r w:rsidRPr="00603167">
              <w:rPr>
                <w:rStyle w:val="Strong"/>
              </w:rPr>
              <w:t>National Cervical Screening Program (towards 64%).</w:t>
            </w:r>
          </w:p>
          <w:p w14:paraId="632E75B6" w14:textId="77777777" w:rsidR="00E90764" w:rsidRPr="00603167" w:rsidRDefault="0099166C" w:rsidP="006E10D0">
            <w:pPr>
              <w:pStyle w:val="BodyText"/>
              <w:numPr>
                <w:ilvl w:val="1"/>
                <w:numId w:val="24"/>
              </w:numPr>
              <w:spacing w:before="100" w:beforeAutospacing="1" w:line="240" w:lineRule="auto"/>
              <w:ind w:right="301" w:hanging="357"/>
              <w:rPr>
                <w:rStyle w:val="Strong"/>
              </w:rPr>
            </w:pPr>
            <w:proofErr w:type="spellStart"/>
            <w:r w:rsidRPr="00603167">
              <w:rPr>
                <w:rStyle w:val="Strong"/>
              </w:rPr>
              <w:t>BreastScreen</w:t>
            </w:r>
            <w:proofErr w:type="spellEnd"/>
            <w:r w:rsidRPr="00603167">
              <w:rPr>
                <w:rStyle w:val="Strong"/>
              </w:rPr>
              <w:t xml:space="preserve"> Australia Program (towards 65%).</w:t>
            </w:r>
          </w:p>
        </w:tc>
      </w:tr>
      <w:tr w:rsidR="00E90764" w:rsidRPr="00CF6322" w14:paraId="632E75BD" w14:textId="77777777" w:rsidTr="006E10D0">
        <w:trPr>
          <w:trHeight w:val="472"/>
        </w:trPr>
        <w:tc>
          <w:tcPr>
            <w:tcW w:w="845" w:type="dxa"/>
            <w:shd w:val="clear" w:color="auto" w:fill="auto"/>
          </w:tcPr>
          <w:p w14:paraId="632E75B8" w14:textId="77777777" w:rsidR="00E90764" w:rsidRPr="00603167" w:rsidRDefault="00E90764" w:rsidP="001D1CF9">
            <w:pPr>
              <w:pStyle w:val="BodyText"/>
              <w:rPr>
                <w:rStyle w:val="Strong"/>
              </w:rPr>
            </w:pPr>
          </w:p>
        </w:tc>
        <w:tc>
          <w:tcPr>
            <w:tcW w:w="1790" w:type="dxa"/>
            <w:shd w:val="clear" w:color="auto" w:fill="auto"/>
          </w:tcPr>
          <w:p w14:paraId="632E75B9" w14:textId="77777777" w:rsidR="00E90764" w:rsidRPr="00603167" w:rsidRDefault="0099166C" w:rsidP="001D1CF9">
            <w:pPr>
              <w:pStyle w:val="BodyText"/>
              <w:rPr>
                <w:rStyle w:val="Strong"/>
              </w:rPr>
            </w:pPr>
            <w:r w:rsidRPr="00603167">
              <w:rPr>
                <w:rStyle w:val="Strong"/>
              </w:rPr>
              <w:t>2021–22 Target</w:t>
            </w:r>
          </w:p>
        </w:tc>
        <w:tc>
          <w:tcPr>
            <w:tcW w:w="2194" w:type="dxa"/>
            <w:shd w:val="clear" w:color="auto" w:fill="auto"/>
          </w:tcPr>
          <w:p w14:paraId="632E75BA" w14:textId="77777777" w:rsidR="00E90764" w:rsidRPr="00603167" w:rsidRDefault="0099166C" w:rsidP="001D1CF9">
            <w:pPr>
              <w:pStyle w:val="BodyText"/>
              <w:rPr>
                <w:rStyle w:val="Strong"/>
              </w:rPr>
            </w:pPr>
            <w:r w:rsidRPr="00603167">
              <w:rPr>
                <w:rStyle w:val="Strong"/>
              </w:rPr>
              <w:t>2022–23 Target</w:t>
            </w:r>
          </w:p>
        </w:tc>
        <w:tc>
          <w:tcPr>
            <w:tcW w:w="2194" w:type="dxa"/>
            <w:shd w:val="clear" w:color="auto" w:fill="auto"/>
          </w:tcPr>
          <w:p w14:paraId="632E75BB" w14:textId="77777777" w:rsidR="00E90764" w:rsidRPr="00603167" w:rsidRDefault="0099166C" w:rsidP="001D1CF9">
            <w:pPr>
              <w:pStyle w:val="BodyText"/>
              <w:rPr>
                <w:rStyle w:val="Strong"/>
              </w:rPr>
            </w:pPr>
            <w:r w:rsidRPr="00603167">
              <w:rPr>
                <w:rStyle w:val="Strong"/>
              </w:rPr>
              <w:t>2023–24 Target</w:t>
            </w:r>
          </w:p>
        </w:tc>
        <w:tc>
          <w:tcPr>
            <w:tcW w:w="3258" w:type="dxa"/>
            <w:shd w:val="clear" w:color="auto" w:fill="auto"/>
          </w:tcPr>
          <w:p w14:paraId="632E75BC" w14:textId="77777777" w:rsidR="00E90764" w:rsidRPr="00603167" w:rsidRDefault="0099166C" w:rsidP="001D1CF9">
            <w:pPr>
              <w:pStyle w:val="BodyText"/>
              <w:rPr>
                <w:rStyle w:val="Strong"/>
              </w:rPr>
            </w:pPr>
            <w:r w:rsidRPr="00603167">
              <w:rPr>
                <w:rStyle w:val="Strong"/>
              </w:rPr>
              <w:t>2024–25 Target</w:t>
            </w:r>
          </w:p>
        </w:tc>
      </w:tr>
      <w:tr w:rsidR="00E90764" w:rsidRPr="00CF6322" w14:paraId="632E75C3" w14:textId="77777777" w:rsidTr="006E10D0">
        <w:trPr>
          <w:trHeight w:val="465"/>
        </w:trPr>
        <w:tc>
          <w:tcPr>
            <w:tcW w:w="845" w:type="dxa"/>
            <w:shd w:val="clear" w:color="auto" w:fill="auto"/>
          </w:tcPr>
          <w:p w14:paraId="632E75BE" w14:textId="77777777" w:rsidR="00E90764" w:rsidRPr="00603167" w:rsidRDefault="0099166C" w:rsidP="001D1CF9">
            <w:pPr>
              <w:pStyle w:val="BodyText"/>
              <w:rPr>
                <w:rStyle w:val="Strong"/>
              </w:rPr>
            </w:pPr>
            <w:r w:rsidRPr="00603167">
              <w:rPr>
                <w:rStyle w:val="Strong"/>
              </w:rPr>
              <w:t>a.</w:t>
            </w:r>
          </w:p>
        </w:tc>
        <w:tc>
          <w:tcPr>
            <w:tcW w:w="1790" w:type="dxa"/>
            <w:shd w:val="clear" w:color="auto" w:fill="auto"/>
          </w:tcPr>
          <w:p w14:paraId="632E75BF" w14:textId="77777777" w:rsidR="00E90764" w:rsidRPr="00CF6322" w:rsidRDefault="0099166C" w:rsidP="001D1CF9">
            <w:pPr>
              <w:pStyle w:val="BodyText"/>
            </w:pPr>
            <w:r w:rsidRPr="00CF6322">
              <w:t>≤13.8%</w:t>
            </w:r>
          </w:p>
        </w:tc>
        <w:tc>
          <w:tcPr>
            <w:tcW w:w="2194" w:type="dxa"/>
            <w:shd w:val="clear" w:color="auto" w:fill="auto"/>
          </w:tcPr>
          <w:p w14:paraId="632E75C0" w14:textId="77777777" w:rsidR="00E90764" w:rsidRPr="00CF6322" w:rsidRDefault="0099166C" w:rsidP="001D1CF9">
            <w:pPr>
              <w:pStyle w:val="BodyText"/>
            </w:pPr>
            <w:r w:rsidRPr="00CF6322">
              <w:t>Progressive decrease</w:t>
            </w:r>
          </w:p>
        </w:tc>
        <w:tc>
          <w:tcPr>
            <w:tcW w:w="2194" w:type="dxa"/>
            <w:shd w:val="clear" w:color="auto" w:fill="auto"/>
          </w:tcPr>
          <w:p w14:paraId="632E75C1" w14:textId="77777777" w:rsidR="00E90764" w:rsidRPr="00CF6322" w:rsidRDefault="0099166C" w:rsidP="001D1CF9">
            <w:pPr>
              <w:pStyle w:val="BodyText"/>
            </w:pPr>
            <w:r w:rsidRPr="00CF6322">
              <w:t>Progressive decrease</w:t>
            </w:r>
          </w:p>
        </w:tc>
        <w:tc>
          <w:tcPr>
            <w:tcW w:w="3258" w:type="dxa"/>
            <w:shd w:val="clear" w:color="auto" w:fill="auto"/>
          </w:tcPr>
          <w:p w14:paraId="632E75C2" w14:textId="77777777" w:rsidR="00E90764" w:rsidRPr="00CF6322" w:rsidRDefault="0099166C" w:rsidP="001D1CF9">
            <w:pPr>
              <w:pStyle w:val="BodyText"/>
            </w:pPr>
            <w:r w:rsidRPr="00CF6322">
              <w:t>Progressive decrease</w:t>
            </w:r>
          </w:p>
        </w:tc>
      </w:tr>
      <w:tr w:rsidR="00E90764" w:rsidRPr="00CF6322" w14:paraId="632E75C9" w14:textId="77777777" w:rsidTr="006E10D0">
        <w:trPr>
          <w:trHeight w:val="465"/>
        </w:trPr>
        <w:tc>
          <w:tcPr>
            <w:tcW w:w="845" w:type="dxa"/>
            <w:shd w:val="clear" w:color="auto" w:fill="auto"/>
          </w:tcPr>
          <w:p w14:paraId="632E75C4" w14:textId="77777777" w:rsidR="00E90764" w:rsidRPr="00603167" w:rsidRDefault="0099166C" w:rsidP="001D1CF9">
            <w:pPr>
              <w:pStyle w:val="BodyText"/>
              <w:rPr>
                <w:rStyle w:val="Strong"/>
              </w:rPr>
            </w:pPr>
            <w:r w:rsidRPr="00603167">
              <w:rPr>
                <w:rStyle w:val="Strong"/>
              </w:rPr>
              <w:t>b.</w:t>
            </w:r>
          </w:p>
        </w:tc>
        <w:tc>
          <w:tcPr>
            <w:tcW w:w="1790" w:type="dxa"/>
            <w:shd w:val="clear" w:color="auto" w:fill="auto"/>
          </w:tcPr>
          <w:p w14:paraId="632E75C5" w14:textId="77777777" w:rsidR="00E90764" w:rsidRPr="00CF6322" w:rsidRDefault="0099166C" w:rsidP="001D1CF9">
            <w:pPr>
              <w:pStyle w:val="BodyText"/>
            </w:pPr>
            <w:r w:rsidRPr="00CF6322">
              <w:t>≤32.0%</w:t>
            </w:r>
          </w:p>
        </w:tc>
        <w:tc>
          <w:tcPr>
            <w:tcW w:w="2194" w:type="dxa"/>
            <w:shd w:val="clear" w:color="auto" w:fill="auto"/>
          </w:tcPr>
          <w:p w14:paraId="632E75C6" w14:textId="77777777" w:rsidR="00E90764" w:rsidRPr="00CF6322" w:rsidRDefault="0099166C" w:rsidP="001D1CF9">
            <w:pPr>
              <w:pStyle w:val="BodyText"/>
            </w:pPr>
            <w:r w:rsidRPr="00CF6322">
              <w:t>Progressive decrease</w:t>
            </w:r>
          </w:p>
        </w:tc>
        <w:tc>
          <w:tcPr>
            <w:tcW w:w="2194" w:type="dxa"/>
            <w:shd w:val="clear" w:color="auto" w:fill="auto"/>
          </w:tcPr>
          <w:p w14:paraId="632E75C7" w14:textId="77777777" w:rsidR="00E90764" w:rsidRPr="00CF6322" w:rsidRDefault="0099166C" w:rsidP="001D1CF9">
            <w:pPr>
              <w:pStyle w:val="BodyText"/>
            </w:pPr>
            <w:r w:rsidRPr="00CF6322">
              <w:t>Progressive decrease</w:t>
            </w:r>
          </w:p>
        </w:tc>
        <w:tc>
          <w:tcPr>
            <w:tcW w:w="3258" w:type="dxa"/>
            <w:shd w:val="clear" w:color="auto" w:fill="auto"/>
          </w:tcPr>
          <w:p w14:paraId="632E75C8" w14:textId="77777777" w:rsidR="00E90764" w:rsidRPr="00CF6322" w:rsidRDefault="0099166C" w:rsidP="001D1CF9">
            <w:pPr>
              <w:pStyle w:val="BodyText"/>
            </w:pPr>
            <w:r w:rsidRPr="00CF6322">
              <w:t>Progressive decrease</w:t>
            </w:r>
          </w:p>
        </w:tc>
      </w:tr>
      <w:tr w:rsidR="00E90764" w:rsidRPr="00CF6322" w14:paraId="632E75CF" w14:textId="77777777" w:rsidTr="006E10D0">
        <w:trPr>
          <w:trHeight w:val="465"/>
        </w:trPr>
        <w:tc>
          <w:tcPr>
            <w:tcW w:w="845" w:type="dxa"/>
            <w:shd w:val="clear" w:color="auto" w:fill="auto"/>
          </w:tcPr>
          <w:p w14:paraId="632E75CA" w14:textId="77777777" w:rsidR="00E90764" w:rsidRPr="00603167" w:rsidRDefault="0099166C" w:rsidP="001D1CF9">
            <w:pPr>
              <w:pStyle w:val="BodyText"/>
              <w:rPr>
                <w:rStyle w:val="Strong"/>
              </w:rPr>
            </w:pPr>
            <w:r w:rsidRPr="00603167">
              <w:rPr>
                <w:rStyle w:val="Strong"/>
              </w:rPr>
              <w:t>c.</w:t>
            </w:r>
          </w:p>
        </w:tc>
        <w:tc>
          <w:tcPr>
            <w:tcW w:w="1790" w:type="dxa"/>
            <w:shd w:val="clear" w:color="auto" w:fill="auto"/>
          </w:tcPr>
          <w:p w14:paraId="632E75CB" w14:textId="77777777" w:rsidR="00E90764" w:rsidRPr="00CF6322" w:rsidRDefault="0099166C" w:rsidP="001D1CF9">
            <w:pPr>
              <w:pStyle w:val="BodyText"/>
            </w:pPr>
            <w:r w:rsidRPr="00CF6322">
              <w:t>≤16.4%</w:t>
            </w:r>
          </w:p>
        </w:tc>
        <w:tc>
          <w:tcPr>
            <w:tcW w:w="2194" w:type="dxa"/>
            <w:shd w:val="clear" w:color="auto" w:fill="auto"/>
          </w:tcPr>
          <w:p w14:paraId="632E75CC" w14:textId="77777777" w:rsidR="00E90764" w:rsidRPr="00CF6322" w:rsidRDefault="0099166C" w:rsidP="001D1CF9">
            <w:pPr>
              <w:pStyle w:val="BodyText"/>
            </w:pPr>
            <w:r w:rsidRPr="00CF6322">
              <w:t>Progressive decrease</w:t>
            </w:r>
          </w:p>
        </w:tc>
        <w:tc>
          <w:tcPr>
            <w:tcW w:w="2194" w:type="dxa"/>
            <w:shd w:val="clear" w:color="auto" w:fill="auto"/>
          </w:tcPr>
          <w:p w14:paraId="632E75CD" w14:textId="77777777" w:rsidR="00E90764" w:rsidRPr="00CF6322" w:rsidRDefault="0099166C" w:rsidP="001D1CF9">
            <w:pPr>
              <w:pStyle w:val="BodyText"/>
            </w:pPr>
            <w:r w:rsidRPr="00CF6322">
              <w:t>Progressive decrease</w:t>
            </w:r>
          </w:p>
        </w:tc>
        <w:tc>
          <w:tcPr>
            <w:tcW w:w="3258" w:type="dxa"/>
            <w:shd w:val="clear" w:color="auto" w:fill="auto"/>
          </w:tcPr>
          <w:p w14:paraId="632E75CE" w14:textId="77777777" w:rsidR="00E90764" w:rsidRPr="00CF6322" w:rsidRDefault="0099166C" w:rsidP="001D1CF9">
            <w:pPr>
              <w:pStyle w:val="BodyText"/>
            </w:pPr>
            <w:r w:rsidRPr="00CF6322">
              <w:t>Progressive decrease</w:t>
            </w:r>
          </w:p>
        </w:tc>
      </w:tr>
      <w:tr w:rsidR="00E90764" w:rsidRPr="00CF6322" w14:paraId="632E75D5" w14:textId="77777777" w:rsidTr="006E10D0">
        <w:trPr>
          <w:trHeight w:val="377"/>
        </w:trPr>
        <w:tc>
          <w:tcPr>
            <w:tcW w:w="845" w:type="dxa"/>
            <w:shd w:val="clear" w:color="auto" w:fill="auto"/>
          </w:tcPr>
          <w:p w14:paraId="632E75D0" w14:textId="77777777" w:rsidR="00E90764" w:rsidRPr="00603167" w:rsidRDefault="0099166C" w:rsidP="001D1CF9">
            <w:pPr>
              <w:pStyle w:val="BodyText"/>
              <w:rPr>
                <w:rStyle w:val="Strong"/>
              </w:rPr>
            </w:pPr>
            <w:r w:rsidRPr="00603167">
              <w:rPr>
                <w:rStyle w:val="Strong"/>
              </w:rPr>
              <w:t>d. i.</w:t>
            </w:r>
          </w:p>
        </w:tc>
        <w:tc>
          <w:tcPr>
            <w:tcW w:w="1790" w:type="dxa"/>
            <w:shd w:val="clear" w:color="auto" w:fill="auto"/>
          </w:tcPr>
          <w:p w14:paraId="632E75D1" w14:textId="77777777" w:rsidR="00E90764" w:rsidRPr="00CF6322" w:rsidRDefault="0099166C" w:rsidP="001D1CF9">
            <w:pPr>
              <w:pStyle w:val="BodyText"/>
            </w:pPr>
            <w:r w:rsidRPr="00CF6322">
              <w:t>43.8%</w:t>
            </w:r>
          </w:p>
        </w:tc>
        <w:tc>
          <w:tcPr>
            <w:tcW w:w="2194" w:type="dxa"/>
            <w:shd w:val="clear" w:color="auto" w:fill="auto"/>
          </w:tcPr>
          <w:p w14:paraId="632E75D2" w14:textId="77777777" w:rsidR="00E90764" w:rsidRPr="00CF6322" w:rsidRDefault="0099166C" w:rsidP="001D1CF9">
            <w:pPr>
              <w:pStyle w:val="BodyText"/>
            </w:pPr>
            <w:r w:rsidRPr="00CF6322">
              <w:t>Progressive increase</w:t>
            </w:r>
          </w:p>
        </w:tc>
        <w:tc>
          <w:tcPr>
            <w:tcW w:w="2194" w:type="dxa"/>
            <w:shd w:val="clear" w:color="auto" w:fill="auto"/>
          </w:tcPr>
          <w:p w14:paraId="632E75D3" w14:textId="77777777" w:rsidR="00E90764" w:rsidRPr="00CF6322" w:rsidRDefault="0099166C" w:rsidP="001D1CF9">
            <w:pPr>
              <w:pStyle w:val="BodyText"/>
            </w:pPr>
            <w:r w:rsidRPr="00CF6322">
              <w:t>Progressive increase</w:t>
            </w:r>
          </w:p>
        </w:tc>
        <w:tc>
          <w:tcPr>
            <w:tcW w:w="3258" w:type="dxa"/>
            <w:shd w:val="clear" w:color="auto" w:fill="auto"/>
          </w:tcPr>
          <w:p w14:paraId="632E75D4" w14:textId="77777777" w:rsidR="00E90764" w:rsidRPr="00CF6322" w:rsidRDefault="0099166C" w:rsidP="001D1CF9">
            <w:pPr>
              <w:pStyle w:val="BodyText"/>
            </w:pPr>
            <w:r w:rsidRPr="00CF6322">
              <w:t>Progressive increase towards 53%</w:t>
            </w:r>
          </w:p>
        </w:tc>
      </w:tr>
      <w:tr w:rsidR="00E90764" w:rsidRPr="00CF6322" w14:paraId="632E75DB" w14:textId="77777777" w:rsidTr="006E10D0">
        <w:trPr>
          <w:trHeight w:val="296"/>
        </w:trPr>
        <w:tc>
          <w:tcPr>
            <w:tcW w:w="845" w:type="dxa"/>
            <w:shd w:val="clear" w:color="auto" w:fill="auto"/>
          </w:tcPr>
          <w:p w14:paraId="632E75D6" w14:textId="77777777" w:rsidR="00E90764" w:rsidRPr="00603167" w:rsidRDefault="0099166C" w:rsidP="001D1CF9">
            <w:pPr>
              <w:pStyle w:val="BodyText"/>
              <w:rPr>
                <w:rStyle w:val="Strong"/>
              </w:rPr>
            </w:pPr>
            <w:r w:rsidRPr="00603167">
              <w:rPr>
                <w:rStyle w:val="Strong"/>
              </w:rPr>
              <w:t>ii.</w:t>
            </w:r>
          </w:p>
        </w:tc>
        <w:tc>
          <w:tcPr>
            <w:tcW w:w="1790" w:type="dxa"/>
            <w:shd w:val="clear" w:color="auto" w:fill="auto"/>
          </w:tcPr>
          <w:p w14:paraId="632E75D7" w14:textId="77777777" w:rsidR="00E90764" w:rsidRPr="00CF6322" w:rsidRDefault="0099166C" w:rsidP="001D1CF9">
            <w:pPr>
              <w:pStyle w:val="BodyText"/>
            </w:pPr>
            <w:r w:rsidRPr="00CF6322">
              <w:t>46.5%</w:t>
            </w:r>
          </w:p>
        </w:tc>
        <w:tc>
          <w:tcPr>
            <w:tcW w:w="2194" w:type="dxa"/>
            <w:shd w:val="clear" w:color="auto" w:fill="auto"/>
          </w:tcPr>
          <w:p w14:paraId="632E75D8" w14:textId="77777777" w:rsidR="00E90764" w:rsidRPr="00CF6322" w:rsidRDefault="0099166C" w:rsidP="001D1CF9">
            <w:pPr>
              <w:pStyle w:val="BodyText"/>
            </w:pPr>
            <w:r w:rsidRPr="00CF6322">
              <w:t>Progressive increase</w:t>
            </w:r>
          </w:p>
        </w:tc>
        <w:tc>
          <w:tcPr>
            <w:tcW w:w="2194" w:type="dxa"/>
            <w:shd w:val="clear" w:color="auto" w:fill="auto"/>
          </w:tcPr>
          <w:p w14:paraId="632E75D9" w14:textId="77777777" w:rsidR="00E90764" w:rsidRPr="00CF6322" w:rsidRDefault="0099166C" w:rsidP="001D1CF9">
            <w:pPr>
              <w:pStyle w:val="BodyText"/>
            </w:pPr>
            <w:r w:rsidRPr="00CF6322">
              <w:t>Progressive increase</w:t>
            </w:r>
          </w:p>
        </w:tc>
        <w:tc>
          <w:tcPr>
            <w:tcW w:w="3258" w:type="dxa"/>
            <w:shd w:val="clear" w:color="auto" w:fill="auto"/>
          </w:tcPr>
          <w:p w14:paraId="632E75DA" w14:textId="77777777" w:rsidR="00E90764" w:rsidRPr="00CF6322" w:rsidRDefault="0099166C" w:rsidP="001D1CF9">
            <w:pPr>
              <w:pStyle w:val="BodyText"/>
            </w:pPr>
            <w:r w:rsidRPr="00CF6322">
              <w:t>Progressive increase towards 64%</w:t>
            </w:r>
          </w:p>
        </w:tc>
      </w:tr>
      <w:tr w:rsidR="00E90764" w:rsidRPr="00CF6322" w14:paraId="632E75E1" w14:textId="77777777" w:rsidTr="006E10D0">
        <w:trPr>
          <w:trHeight w:val="385"/>
        </w:trPr>
        <w:tc>
          <w:tcPr>
            <w:tcW w:w="845" w:type="dxa"/>
            <w:shd w:val="clear" w:color="auto" w:fill="auto"/>
          </w:tcPr>
          <w:p w14:paraId="632E75DC" w14:textId="77777777" w:rsidR="00E90764" w:rsidRPr="00603167" w:rsidRDefault="0099166C" w:rsidP="001D1CF9">
            <w:pPr>
              <w:pStyle w:val="BodyText"/>
              <w:rPr>
                <w:rStyle w:val="Strong"/>
              </w:rPr>
            </w:pPr>
            <w:r w:rsidRPr="00603167">
              <w:rPr>
                <w:rStyle w:val="Strong"/>
              </w:rPr>
              <w:t>iii.</w:t>
            </w:r>
          </w:p>
        </w:tc>
        <w:tc>
          <w:tcPr>
            <w:tcW w:w="1790" w:type="dxa"/>
            <w:shd w:val="clear" w:color="auto" w:fill="auto"/>
          </w:tcPr>
          <w:p w14:paraId="632E75DD" w14:textId="77777777" w:rsidR="00E90764" w:rsidRPr="00CF6322" w:rsidRDefault="0099166C" w:rsidP="001D1CF9">
            <w:pPr>
              <w:pStyle w:val="BodyText"/>
            </w:pPr>
            <w:r w:rsidRPr="00CF6322">
              <w:t>54.3%</w:t>
            </w:r>
          </w:p>
        </w:tc>
        <w:tc>
          <w:tcPr>
            <w:tcW w:w="2194" w:type="dxa"/>
            <w:shd w:val="clear" w:color="auto" w:fill="auto"/>
          </w:tcPr>
          <w:p w14:paraId="632E75DE" w14:textId="77777777" w:rsidR="00E90764" w:rsidRPr="00CF6322" w:rsidRDefault="0099166C" w:rsidP="001D1CF9">
            <w:pPr>
              <w:pStyle w:val="BodyText"/>
            </w:pPr>
            <w:r w:rsidRPr="00CF6322">
              <w:t>Progressive increase</w:t>
            </w:r>
          </w:p>
        </w:tc>
        <w:tc>
          <w:tcPr>
            <w:tcW w:w="2194" w:type="dxa"/>
            <w:shd w:val="clear" w:color="auto" w:fill="auto"/>
          </w:tcPr>
          <w:p w14:paraId="632E75DF" w14:textId="77777777" w:rsidR="00E90764" w:rsidRPr="00CF6322" w:rsidRDefault="0099166C" w:rsidP="001D1CF9">
            <w:pPr>
              <w:pStyle w:val="BodyText"/>
            </w:pPr>
            <w:r w:rsidRPr="00CF6322">
              <w:t>Progressive increase</w:t>
            </w:r>
          </w:p>
        </w:tc>
        <w:tc>
          <w:tcPr>
            <w:tcW w:w="3258" w:type="dxa"/>
            <w:shd w:val="clear" w:color="auto" w:fill="auto"/>
          </w:tcPr>
          <w:p w14:paraId="632E75E0" w14:textId="77777777" w:rsidR="00E90764" w:rsidRPr="00CF6322" w:rsidRDefault="0099166C" w:rsidP="001D1CF9">
            <w:pPr>
              <w:pStyle w:val="BodyText"/>
            </w:pPr>
            <w:r w:rsidRPr="00CF6322">
              <w:t>Progressive increase towards 65%</w:t>
            </w:r>
          </w:p>
        </w:tc>
      </w:tr>
      <w:tr w:rsidR="00E90764" w:rsidRPr="00CF6322" w14:paraId="632E75EF" w14:textId="77777777" w:rsidTr="006E10D0">
        <w:trPr>
          <w:trHeight w:val="1584"/>
        </w:trPr>
        <w:tc>
          <w:tcPr>
            <w:tcW w:w="10281" w:type="dxa"/>
            <w:gridSpan w:val="5"/>
            <w:shd w:val="clear" w:color="auto" w:fill="auto"/>
          </w:tcPr>
          <w:p w14:paraId="632E75E2" w14:textId="77777777" w:rsidR="00E90764" w:rsidRPr="00CF6322" w:rsidRDefault="0099166C" w:rsidP="001D1CF9">
            <w:pPr>
              <w:pStyle w:val="Heading6"/>
            </w:pPr>
            <w:r w:rsidRPr="00CF6322">
              <w:t xml:space="preserve">Data source and </w:t>
            </w:r>
            <w:r w:rsidRPr="00603167">
              <w:t>methodology</w:t>
            </w:r>
          </w:p>
          <w:p w14:paraId="632E75E3" w14:textId="1C801E9F" w:rsidR="00E90764" w:rsidRPr="00CF6322" w:rsidRDefault="0099166C" w:rsidP="006E10D0">
            <w:pPr>
              <w:pStyle w:val="BodyText"/>
              <w:spacing w:before="0"/>
              <w:ind w:right="301"/>
            </w:pPr>
            <w:r w:rsidRPr="00CF6322">
              <w:t>Baseline figure from the most recent data in the Australian Bureau of Statistics National Health Survey 2017–18</w:t>
            </w:r>
            <w:r w:rsidR="00603167">
              <w:rPr>
                <w:rStyle w:val="FootnoteReference"/>
              </w:rPr>
              <w:footnoteReference w:id="19"/>
            </w:r>
            <w:r w:rsidRPr="00CF6322">
              <w:t>.</w:t>
            </w:r>
          </w:p>
          <w:p w14:paraId="632E75E4" w14:textId="3CE0EE7C" w:rsidR="00E90764" w:rsidRPr="00CF6322" w:rsidRDefault="0099166C" w:rsidP="006E10D0">
            <w:pPr>
              <w:pStyle w:val="BodyText"/>
              <w:numPr>
                <w:ilvl w:val="0"/>
                <w:numId w:val="26"/>
              </w:numPr>
              <w:spacing w:before="0"/>
              <w:ind w:right="301"/>
            </w:pPr>
            <w:r w:rsidRPr="00CF6322">
              <w:t>Baseline figure from the most recent data in the 2019 National Drug Strategy Household Survey</w:t>
            </w:r>
            <w:r w:rsidR="00603167">
              <w:rPr>
                <w:rStyle w:val="FootnoteReference"/>
              </w:rPr>
              <w:footnoteReference w:id="20"/>
            </w:r>
            <w:r w:rsidRPr="00CF6322">
              <w:t xml:space="preserve"> and analysis conducted by the Australian Institute of Health and Welfare (AIHW) in mapping data to the updated National Health and Medical Research Council Australian Guidelines to Reduce Health Risks from Drinking Alcohol</w:t>
            </w:r>
            <w:r w:rsidR="00603167">
              <w:rPr>
                <w:rStyle w:val="FootnoteReference"/>
              </w:rPr>
              <w:footnoteReference w:id="21"/>
            </w:r>
            <w:r w:rsidRPr="00CF6322">
              <w:t>.</w:t>
            </w:r>
          </w:p>
          <w:p w14:paraId="632E75E5" w14:textId="201A3B0D" w:rsidR="00E90764" w:rsidRPr="00CF6322" w:rsidRDefault="0099166C" w:rsidP="006E10D0">
            <w:pPr>
              <w:pStyle w:val="BodyText"/>
              <w:numPr>
                <w:ilvl w:val="0"/>
                <w:numId w:val="26"/>
              </w:numPr>
              <w:spacing w:before="0"/>
              <w:ind w:right="301"/>
            </w:pPr>
            <w:r w:rsidRPr="00CF6322">
              <w:lastRenderedPageBreak/>
              <w:t>Baseline figure from the most recent national data in the 2019 National Drug Strategy Household Survey</w:t>
            </w:r>
            <w:r w:rsidR="00603167">
              <w:rPr>
                <w:rStyle w:val="FootnoteReference"/>
              </w:rPr>
              <w:footnoteReference w:id="22"/>
            </w:r>
            <w:r w:rsidRPr="00CF6322">
              <w:t>.</w:t>
            </w:r>
          </w:p>
          <w:p w14:paraId="632E75E6" w14:textId="04544D0C" w:rsidR="00E90764" w:rsidRDefault="0099166C" w:rsidP="006E10D0">
            <w:pPr>
              <w:pStyle w:val="BodyText"/>
              <w:numPr>
                <w:ilvl w:val="0"/>
                <w:numId w:val="26"/>
              </w:numPr>
              <w:spacing w:before="0"/>
              <w:ind w:right="301"/>
            </w:pPr>
            <w:r w:rsidRPr="00CF6322">
              <w:t>All 3 programs provide data to the AIHW to produce annual program monitoring reports, available on their website</w:t>
            </w:r>
            <w:r w:rsidR="00603167">
              <w:rPr>
                <w:rStyle w:val="FootnoteReference"/>
              </w:rPr>
              <w:footnoteReference w:id="23"/>
            </w:r>
            <w:r w:rsidRPr="00CF6322">
              <w:t>.</w:t>
            </w:r>
          </w:p>
          <w:p w14:paraId="28155FE4" w14:textId="77777777" w:rsidR="00603167" w:rsidRPr="00CF6322" w:rsidRDefault="00603167" w:rsidP="006E10D0">
            <w:pPr>
              <w:pStyle w:val="BodyText"/>
              <w:numPr>
                <w:ilvl w:val="0"/>
                <w:numId w:val="26"/>
              </w:numPr>
              <w:spacing w:before="0"/>
              <w:ind w:right="301"/>
            </w:pPr>
          </w:p>
          <w:p w14:paraId="632E75E7" w14:textId="77777777" w:rsidR="00E90764" w:rsidRPr="00CF6322" w:rsidRDefault="0099166C" w:rsidP="006E10D0">
            <w:pPr>
              <w:pStyle w:val="BodyText"/>
              <w:numPr>
                <w:ilvl w:val="1"/>
                <w:numId w:val="27"/>
              </w:numPr>
              <w:spacing w:before="0"/>
              <w:ind w:right="301"/>
            </w:pPr>
            <w:r w:rsidRPr="00CF6322">
              <w:t>National Cancer Screening Register, results reported on a rolling 2 calendar year basis.</w:t>
            </w:r>
          </w:p>
          <w:p w14:paraId="632E75E8" w14:textId="77777777" w:rsidR="00E90764" w:rsidRPr="00CF6322" w:rsidRDefault="0099166C" w:rsidP="006E10D0">
            <w:pPr>
              <w:pStyle w:val="BodyText"/>
              <w:numPr>
                <w:ilvl w:val="1"/>
                <w:numId w:val="27"/>
              </w:numPr>
              <w:spacing w:before="0"/>
              <w:ind w:right="301"/>
            </w:pPr>
            <w:r w:rsidRPr="00CF6322">
              <w:t>National Cancer Screening Register.</w:t>
            </w:r>
          </w:p>
          <w:p w14:paraId="632E75E9" w14:textId="77777777" w:rsidR="00E90764" w:rsidRPr="00CF6322" w:rsidRDefault="0099166C" w:rsidP="006E10D0">
            <w:pPr>
              <w:pStyle w:val="BodyText"/>
              <w:numPr>
                <w:ilvl w:val="1"/>
                <w:numId w:val="27"/>
              </w:numPr>
              <w:spacing w:before="0"/>
              <w:ind w:right="301"/>
            </w:pPr>
            <w:proofErr w:type="spellStart"/>
            <w:r w:rsidRPr="00CF6322">
              <w:t>BreastScreen</w:t>
            </w:r>
            <w:proofErr w:type="spellEnd"/>
            <w:r w:rsidRPr="00CF6322">
              <w:t xml:space="preserve"> registries within each state and territory.</w:t>
            </w:r>
          </w:p>
          <w:p w14:paraId="632E75EA" w14:textId="77777777" w:rsidR="00E90764" w:rsidRPr="00CF6322" w:rsidRDefault="0099166C" w:rsidP="001D1CF9">
            <w:pPr>
              <w:pStyle w:val="Heading6"/>
            </w:pPr>
            <w:r w:rsidRPr="00CF6322">
              <w:t xml:space="preserve">Measure </w:t>
            </w:r>
            <w:r w:rsidRPr="00603167">
              <w:t>type</w:t>
            </w:r>
          </w:p>
          <w:p w14:paraId="632E75EB" w14:textId="77777777" w:rsidR="00E90764" w:rsidRPr="00CF6322" w:rsidRDefault="0099166C" w:rsidP="001D1CF9">
            <w:pPr>
              <w:pStyle w:val="BodyText"/>
            </w:pPr>
            <w:r w:rsidRPr="00CF6322">
              <w:t>Quantitative/Effectiveness</w:t>
            </w:r>
          </w:p>
          <w:p w14:paraId="632E75ED" w14:textId="77777777" w:rsidR="00E90764" w:rsidRPr="00CF6322" w:rsidRDefault="0099166C" w:rsidP="001D1CF9">
            <w:pPr>
              <w:pStyle w:val="Heading6"/>
            </w:pPr>
            <w:r w:rsidRPr="00CF6322">
              <w:t>Discussion</w:t>
            </w:r>
          </w:p>
          <w:p w14:paraId="632E75EE" w14:textId="6313D127" w:rsidR="00E90764" w:rsidRPr="00CF6322" w:rsidRDefault="0099166C" w:rsidP="001D1CF9">
            <w:pPr>
              <w:pStyle w:val="BodyText"/>
            </w:pPr>
            <w:r w:rsidRPr="00CF6322">
              <w:t>These are new measures which provide insight into performance against the objective via key preventive health targets.</w:t>
            </w:r>
            <w:r w:rsidR="00431F8C" w:rsidRPr="00CF6322">
              <w:t xml:space="preserve"> </w:t>
            </w:r>
            <w:r w:rsidRPr="00CF6322">
              <w:t>Including this set of targets in one measure helps to provide an overall picture of performance as some elements don’t report annually. 2021–22 targets are set based on the most recent available data. Ongoing targets will be set once baselines have been established.</w:t>
            </w:r>
          </w:p>
        </w:tc>
      </w:tr>
    </w:tbl>
    <w:p w14:paraId="30BDB49C" w14:textId="77777777" w:rsidR="00E26861" w:rsidRDefault="00E26861" w:rsidP="00E26861">
      <w:r>
        <w:lastRenderedPageBreak/>
        <w:br w:type="page"/>
      </w:r>
    </w:p>
    <w:p w14:paraId="2B61DDFE" w14:textId="725E8FC0" w:rsidR="004F71BD" w:rsidRPr="004F71BD" w:rsidRDefault="004F71BD" w:rsidP="004F71BD">
      <w:pPr>
        <w:pStyle w:val="Heading3"/>
      </w:pPr>
      <w:r w:rsidRPr="004F71BD">
        <w:lastRenderedPageBreak/>
        <w:t xml:space="preserve">1.6 </w:t>
      </w:r>
      <w:r w:rsidR="00B1625C">
        <w:t>–</w:t>
      </w:r>
      <w:r w:rsidRPr="004F71BD">
        <w:t xml:space="preserve"> Primary Health Care Quality and Coordination</w:t>
      </w:r>
    </w:p>
    <w:p w14:paraId="632E75FC" w14:textId="77777777" w:rsidR="00E90764" w:rsidRPr="00CF6322" w:rsidRDefault="0099166C" w:rsidP="004F71BD">
      <w:pPr>
        <w:pStyle w:val="Heading4"/>
      </w:pPr>
      <w:r w:rsidRPr="00CF6322">
        <w:t>Program Objective</w:t>
      </w:r>
    </w:p>
    <w:p w14:paraId="639CAEF8" w14:textId="77777777" w:rsidR="004F71BD" w:rsidRPr="004F71BD" w:rsidRDefault="004F71BD" w:rsidP="001D1CF9">
      <w:pPr>
        <w:pStyle w:val="BodyText"/>
      </w:pPr>
      <w:r w:rsidRPr="004F71BD">
        <w:t>Strengthen primary health care by delivering funding to frontline primary health care services and improving the access, delivery, quality and coordination of those services. This will help improve health outcomes for patients, particularly people with chronic and/or mental health conditions, and assist in reducing unnecessary hospital visits and admissions.</w:t>
      </w:r>
    </w:p>
    <w:p w14:paraId="632E7600" w14:textId="77777777" w:rsidR="00E90764" w:rsidRPr="00CF6322" w:rsidRDefault="0099166C" w:rsidP="004F71BD">
      <w:pPr>
        <w:pStyle w:val="Heading4"/>
      </w:pPr>
      <w:r w:rsidRPr="00CF6322">
        <w:t xml:space="preserve">Our </w:t>
      </w:r>
      <w:r w:rsidRPr="004F71BD">
        <w:t>Operating</w:t>
      </w:r>
      <w:r w:rsidRPr="00CF6322">
        <w:t xml:space="preserve"> Focus</w:t>
      </w:r>
    </w:p>
    <w:p w14:paraId="632E7601" w14:textId="77777777" w:rsidR="00E90764" w:rsidRPr="00CF6322" w:rsidRDefault="0099166C" w:rsidP="001D1CF9">
      <w:pPr>
        <w:pStyle w:val="BodyText"/>
      </w:pPr>
      <w:r w:rsidRPr="00CF6322">
        <w:t>We are developing a 10 year plan to drive reform of the primary health care system in Australia. This 10 year plan is part of the first pillar of Australia’s Long Term National Health Plan (Guaranteeing Medicare, stronger primary care and improving access to medicines through the Pharmaceutical Benefits Scheme).</w:t>
      </w:r>
    </w:p>
    <w:p w14:paraId="632E7604" w14:textId="3164A841" w:rsidR="00E90764" w:rsidRPr="00CF6322" w:rsidRDefault="0099166C" w:rsidP="001D1CF9">
      <w:pPr>
        <w:pStyle w:val="BodyText"/>
      </w:pPr>
      <w:r w:rsidRPr="00CF6322">
        <w:t>We will continue to work in partnership with Primary Health</w:t>
      </w:r>
      <w:r w:rsidR="004F71BD">
        <w:t xml:space="preserve"> </w:t>
      </w:r>
      <w:r w:rsidRPr="00CF6322">
        <w:t>Networks (PHNs) to set the strategic direction of the</w:t>
      </w:r>
      <w:r w:rsidR="00431F8C" w:rsidRPr="00CF6322">
        <w:t xml:space="preserve"> </w:t>
      </w:r>
      <w:r w:rsidRPr="00CF6322">
        <w:t>PHN Program, undertake and provide fit for purpose and best practice grant and program management, support continuous improvement and innovation in service delivery, and grow a shared understanding of the PHN Program.</w:t>
      </w:r>
      <w:r w:rsidR="00431F8C" w:rsidRPr="00CF6322">
        <w:t xml:space="preserve"> </w:t>
      </w:r>
      <w:r w:rsidRPr="00CF6322">
        <w:t xml:space="preserve">This will support PHNs in meeting their objectives to support an integrated, coordinated primary health care system that delivers high quality, patient </w:t>
      </w:r>
      <w:proofErr w:type="spellStart"/>
      <w:r w:rsidRPr="00CF6322">
        <w:t>centred</w:t>
      </w:r>
      <w:proofErr w:type="spellEnd"/>
      <w:r w:rsidRPr="00CF6322">
        <w:t xml:space="preserve"> care.</w:t>
      </w:r>
    </w:p>
    <w:p w14:paraId="632E7605" w14:textId="3B6B66B8" w:rsidR="00E90764" w:rsidRPr="00CF6322" w:rsidRDefault="0099166C" w:rsidP="001D1CF9">
      <w:pPr>
        <w:pStyle w:val="BodyText"/>
      </w:pPr>
      <w:r w:rsidRPr="00CF6322">
        <w:t>Quality improvement activities will continue to be undertaken across the PHN Program, with a particular focus on enhancing the performance of PHNs in delivering</w:t>
      </w:r>
      <w:r w:rsidR="004F71BD">
        <w:t xml:space="preserve"> </w:t>
      </w:r>
      <w:r w:rsidRPr="00CF6322">
        <w:t>Australian Government policies.</w:t>
      </w:r>
    </w:p>
    <w:p w14:paraId="632E7606" w14:textId="77777777" w:rsidR="00E90764" w:rsidRPr="00CF6322" w:rsidRDefault="0099166C" w:rsidP="001D1CF9">
      <w:pPr>
        <w:pStyle w:val="BodyText"/>
      </w:pPr>
      <w:r w:rsidRPr="00CF6322">
        <w:t>There will be several external factors that will impact the work of PHNs across 2021–25, including roles in:</w:t>
      </w:r>
    </w:p>
    <w:p w14:paraId="632E7607" w14:textId="77777777" w:rsidR="00E90764" w:rsidRPr="004F71BD" w:rsidRDefault="0099166C" w:rsidP="004F71BD">
      <w:pPr>
        <w:pStyle w:val="Bullets"/>
      </w:pPr>
      <w:r w:rsidRPr="004F71BD">
        <w:t>supporting GPs and other health providers to respond to the COVID-19 pandemic</w:t>
      </w:r>
    </w:p>
    <w:p w14:paraId="632E7608" w14:textId="05AA4FCD" w:rsidR="00E90764" w:rsidRPr="004F71BD" w:rsidRDefault="0099166C" w:rsidP="004F71BD">
      <w:pPr>
        <w:pStyle w:val="Bullets"/>
      </w:pPr>
      <w:r w:rsidRPr="004F71BD">
        <w:t>managing the impact the pandemic has on the delivery</w:t>
      </w:r>
      <w:r w:rsidR="004F71BD" w:rsidRPr="004F71BD">
        <w:t xml:space="preserve"> </w:t>
      </w:r>
      <w:r w:rsidRPr="004F71BD">
        <w:t>of PHN commissioned services</w:t>
      </w:r>
    </w:p>
    <w:p w14:paraId="632E7609" w14:textId="0AD5EE1C" w:rsidR="00E90764" w:rsidRPr="004F71BD" w:rsidRDefault="0099166C" w:rsidP="004F71BD">
      <w:pPr>
        <w:pStyle w:val="Bullets"/>
      </w:pPr>
      <w:r w:rsidRPr="004F71BD">
        <w:t>implementing responses to recommendations from</w:t>
      </w:r>
      <w:r w:rsidR="004F71BD" w:rsidRPr="004F71BD">
        <w:t xml:space="preserve"> </w:t>
      </w:r>
      <w:r w:rsidRPr="004F71BD">
        <w:t>several Royal Commissions</w:t>
      </w:r>
    </w:p>
    <w:p w14:paraId="632E760A" w14:textId="77777777" w:rsidR="00E90764" w:rsidRPr="004F71BD" w:rsidRDefault="0099166C" w:rsidP="004F71BD">
      <w:pPr>
        <w:pStyle w:val="Bullets"/>
      </w:pPr>
      <w:r w:rsidRPr="004F71BD">
        <w:t>the Primary Health Care 10 Year Plan</w:t>
      </w:r>
    </w:p>
    <w:p w14:paraId="632E760B" w14:textId="77777777" w:rsidR="00E90764" w:rsidRPr="004F71BD" w:rsidRDefault="0099166C" w:rsidP="004F71BD">
      <w:pPr>
        <w:pStyle w:val="Bullets"/>
      </w:pPr>
      <w:proofErr w:type="gramStart"/>
      <w:r w:rsidRPr="004F71BD">
        <w:t>the</w:t>
      </w:r>
      <w:proofErr w:type="gramEnd"/>
      <w:r w:rsidRPr="004F71BD">
        <w:t xml:space="preserve"> National Health Reform Agreement 2020–25.</w:t>
      </w:r>
    </w:p>
    <w:p w14:paraId="5BA60BA0" w14:textId="77989F75" w:rsidR="004F71BD" w:rsidRDefault="0099166C" w:rsidP="001D1CF9">
      <w:pPr>
        <w:pStyle w:val="BodyText"/>
      </w:pPr>
      <w:r w:rsidRPr="00CF6322">
        <w:t>To manage these risks, we will continue to consult with relevant internal and external stakeholders to develop collaborative approaches and policy which supports the</w:t>
      </w:r>
      <w:r w:rsidR="00431F8C" w:rsidRPr="00CF6322">
        <w:t xml:space="preserve"> </w:t>
      </w:r>
      <w:r w:rsidRPr="00CF6322">
        <w:t>health and wellbeing of Australians. The PHN Program will also look to strengthen relationships between PHNs and their state or territory governments to help facilitate health reform initiatives including co-commissioning and</w:t>
      </w:r>
      <w:r w:rsidR="00431F8C" w:rsidRPr="00CF6322">
        <w:t xml:space="preserve"> </w:t>
      </w:r>
      <w:r w:rsidRPr="00CF6322">
        <w:t>innovative models of care.</w:t>
      </w:r>
    </w:p>
    <w:p w14:paraId="632E760D" w14:textId="27C2CF54" w:rsidR="00E90764" w:rsidRPr="00CF6322" w:rsidRDefault="0099166C" w:rsidP="001D1CF9">
      <w:pPr>
        <w:pStyle w:val="BodyText"/>
      </w:pPr>
      <w:r w:rsidRPr="00CF6322">
        <w:t xml:space="preserve">A major focus will be working with </w:t>
      </w:r>
      <w:proofErr w:type="spellStart"/>
      <w:r w:rsidRPr="00CF6322">
        <w:t>healthdirect</w:t>
      </w:r>
      <w:proofErr w:type="spellEnd"/>
      <w:r w:rsidRPr="00CF6322">
        <w:t xml:space="preserve"> to continue to offer a range of services which include consumer helplines, symptom checker and the National Health Services Directory. They also offer a range of services associated with the COVID-19 pandemic such as the National Coronavirus Helpline, COVID-19 restriction checker, COVID-19 vaccine eligibility checker, COVID-19 vaccine clinic finder and the COVID-19 symptom checker.</w:t>
      </w:r>
    </w:p>
    <w:p w14:paraId="632E760E" w14:textId="77777777" w:rsidR="00E90764" w:rsidRPr="00CF6322" w:rsidRDefault="0099166C" w:rsidP="001D1CF9">
      <w:pPr>
        <w:pStyle w:val="BodyText"/>
      </w:pPr>
      <w:r w:rsidRPr="00CF6322">
        <w:t xml:space="preserve">We are working to improve the health and care of people with intellectual disability. Key to this work is </w:t>
      </w:r>
      <w:proofErr w:type="spellStart"/>
      <w:r w:rsidRPr="00CF6322">
        <w:t>finalising</w:t>
      </w:r>
      <w:proofErr w:type="spellEnd"/>
      <w:r w:rsidRPr="00CF6322">
        <w:t xml:space="preserve"> the National Roadmap (the Roadmap) for Improving the Health of People with Intellectual Disability. The Roadmap sets out a targeted program of reforms across the health system to better meet the needs of people with intellectual disability. It will form part of the Primary Health Care 10 Year Plan and is an associated plan to the 2021–2031 National Disability Strategy, Australia’s overarching framework for disability policy. Work is already underway to implement 4 priority initiatives under the Roadmap:</w:t>
      </w:r>
    </w:p>
    <w:p w14:paraId="632E760F" w14:textId="352A3275" w:rsidR="00E90764" w:rsidRPr="004F71BD" w:rsidRDefault="0099166C" w:rsidP="004F71BD">
      <w:pPr>
        <w:pStyle w:val="Bullets"/>
      </w:pPr>
      <w:r w:rsidRPr="00CF6322">
        <w:t xml:space="preserve">Scoping and co-design of a model for a national </w:t>
      </w:r>
      <w:proofErr w:type="spellStart"/>
      <w:r w:rsidRPr="00CF6322">
        <w:t>centre</w:t>
      </w:r>
      <w:proofErr w:type="spellEnd"/>
      <w:r w:rsidR="00431F8C" w:rsidRPr="00CF6322">
        <w:t xml:space="preserve"> </w:t>
      </w:r>
      <w:r w:rsidRPr="00CF6322">
        <w:t xml:space="preserve">of excellence in </w:t>
      </w:r>
      <w:r w:rsidRPr="004F71BD">
        <w:t>intellectual disability health.</w:t>
      </w:r>
    </w:p>
    <w:p w14:paraId="632E7610" w14:textId="77777777" w:rsidR="00E90764" w:rsidRPr="004F71BD" w:rsidRDefault="0099166C" w:rsidP="004F71BD">
      <w:pPr>
        <w:pStyle w:val="Bullets"/>
      </w:pPr>
      <w:r w:rsidRPr="004F71BD">
        <w:t>Improving the uptake of annual health assessments for people with intellectual disability.</w:t>
      </w:r>
    </w:p>
    <w:p w14:paraId="632E7611" w14:textId="77777777" w:rsidR="00E90764" w:rsidRPr="004F71BD" w:rsidRDefault="0099166C" w:rsidP="004F71BD">
      <w:pPr>
        <w:pStyle w:val="Bullets"/>
      </w:pPr>
      <w:r w:rsidRPr="004F71BD">
        <w:t>Curriculum development in intellectual disability health.</w:t>
      </w:r>
    </w:p>
    <w:p w14:paraId="632E7612" w14:textId="284DF994" w:rsidR="00E90764" w:rsidRPr="00CF6322" w:rsidRDefault="0099166C" w:rsidP="004F71BD">
      <w:pPr>
        <w:pStyle w:val="Bullets"/>
      </w:pPr>
      <w:r w:rsidRPr="004F71BD">
        <w:t>Implementing the Primary Care Enhancement Program for people with intellectual</w:t>
      </w:r>
      <w:r w:rsidRPr="00CF6322">
        <w:t xml:space="preserve"> disability.</w:t>
      </w:r>
    </w:p>
    <w:p w14:paraId="632E7617" w14:textId="39634AFF" w:rsidR="00E90764" w:rsidRDefault="0099166C" w:rsidP="001D1CF9">
      <w:pPr>
        <w:pStyle w:val="BodyText"/>
      </w:pPr>
      <w:r w:rsidRPr="00CF6322">
        <w:t>We will also continue to work with stakeholders to improve women’s health outcomes by supporting high quality maternity services, raising awareness of stillbirth and implementing initiatives to reduce the stillbirth and preterm birth rates. This includes implementing Woman-</w:t>
      </w:r>
      <w:proofErr w:type="spellStart"/>
      <w:r w:rsidRPr="00CF6322">
        <w:t>centred</w:t>
      </w:r>
      <w:proofErr w:type="spellEnd"/>
      <w:r w:rsidRPr="00CF6322">
        <w:t xml:space="preserve"> care - Strategic directions for Australian maternity services,</w:t>
      </w:r>
      <w:r w:rsidR="0055327B" w:rsidRPr="00CF6322">
        <w:t xml:space="preserve"> </w:t>
      </w:r>
      <w:r w:rsidRPr="00CF6322">
        <w:t>the National Stillbirth Action and Implementation Plan, and Pregnancy Care Guidelines.</w:t>
      </w:r>
    </w:p>
    <w:p w14:paraId="3140FAB8" w14:textId="77777777" w:rsidR="00E84419" w:rsidRPr="00CF6322" w:rsidRDefault="00E84419" w:rsidP="001D1CF9">
      <w:pPr>
        <w:pStyle w:val="BodyText"/>
      </w:pPr>
    </w:p>
    <w:tbl>
      <w:tblPr>
        <w:tblW w:w="103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0" w:type="dxa"/>
        </w:tblCellMar>
        <w:tblLook w:val="01E0" w:firstRow="1" w:lastRow="1" w:firstColumn="1" w:lastColumn="1" w:noHBand="0" w:noVBand="0"/>
      </w:tblPr>
      <w:tblGrid>
        <w:gridCol w:w="8541"/>
        <w:gridCol w:w="441"/>
        <w:gridCol w:w="441"/>
        <w:gridCol w:w="439"/>
        <w:gridCol w:w="441"/>
      </w:tblGrid>
      <w:tr w:rsidR="00E90764" w:rsidRPr="004F71BD" w14:paraId="632E761E" w14:textId="77777777" w:rsidTr="006E10D0">
        <w:trPr>
          <w:trHeight w:val="1103"/>
          <w:tblHeader/>
        </w:trPr>
        <w:tc>
          <w:tcPr>
            <w:tcW w:w="8541" w:type="dxa"/>
            <w:shd w:val="clear" w:color="auto" w:fill="auto"/>
          </w:tcPr>
          <w:p w14:paraId="632E7619" w14:textId="77777777" w:rsidR="00E90764" w:rsidRPr="004F71BD" w:rsidRDefault="0099166C" w:rsidP="001D1CF9">
            <w:pPr>
              <w:pStyle w:val="BodyText"/>
              <w:rPr>
                <w:rStyle w:val="Strong"/>
              </w:rPr>
            </w:pPr>
            <w:r w:rsidRPr="004F71BD">
              <w:rPr>
                <w:rStyle w:val="Strong"/>
              </w:rPr>
              <w:lastRenderedPageBreak/>
              <w:t>Key Activities</w:t>
            </w:r>
          </w:p>
        </w:tc>
        <w:tc>
          <w:tcPr>
            <w:tcW w:w="441" w:type="dxa"/>
            <w:shd w:val="clear" w:color="auto" w:fill="auto"/>
            <w:textDirection w:val="tbRl"/>
            <w:vAlign w:val="center"/>
          </w:tcPr>
          <w:p w14:paraId="632E761A" w14:textId="77777777" w:rsidR="00E90764" w:rsidRPr="004F71BD" w:rsidRDefault="0099166C" w:rsidP="001D1CF9">
            <w:pPr>
              <w:pStyle w:val="BodyText"/>
              <w:rPr>
                <w:rStyle w:val="Strong"/>
              </w:rPr>
            </w:pPr>
            <w:r w:rsidRPr="004F71BD">
              <w:rPr>
                <w:rStyle w:val="Strong"/>
              </w:rPr>
              <w:t>2021–22</w:t>
            </w:r>
          </w:p>
        </w:tc>
        <w:tc>
          <w:tcPr>
            <w:tcW w:w="441" w:type="dxa"/>
            <w:shd w:val="clear" w:color="auto" w:fill="auto"/>
            <w:textDirection w:val="tbRl"/>
            <w:vAlign w:val="center"/>
          </w:tcPr>
          <w:p w14:paraId="632E761B" w14:textId="77777777" w:rsidR="00E90764" w:rsidRPr="004F71BD" w:rsidRDefault="0099166C" w:rsidP="001D1CF9">
            <w:pPr>
              <w:pStyle w:val="BodyText"/>
              <w:rPr>
                <w:rStyle w:val="Strong"/>
              </w:rPr>
            </w:pPr>
            <w:r w:rsidRPr="004F71BD">
              <w:rPr>
                <w:rStyle w:val="Strong"/>
              </w:rPr>
              <w:t>2022–23</w:t>
            </w:r>
          </w:p>
        </w:tc>
        <w:tc>
          <w:tcPr>
            <w:tcW w:w="439" w:type="dxa"/>
            <w:shd w:val="clear" w:color="auto" w:fill="auto"/>
            <w:textDirection w:val="tbRl"/>
            <w:vAlign w:val="center"/>
          </w:tcPr>
          <w:p w14:paraId="632E761C" w14:textId="77777777" w:rsidR="00E90764" w:rsidRPr="004F71BD" w:rsidRDefault="0099166C" w:rsidP="001D1CF9">
            <w:pPr>
              <w:pStyle w:val="BodyText"/>
              <w:rPr>
                <w:rStyle w:val="Strong"/>
              </w:rPr>
            </w:pPr>
            <w:r w:rsidRPr="004F71BD">
              <w:rPr>
                <w:rStyle w:val="Strong"/>
              </w:rPr>
              <w:t>2023–24</w:t>
            </w:r>
          </w:p>
        </w:tc>
        <w:tc>
          <w:tcPr>
            <w:tcW w:w="441" w:type="dxa"/>
            <w:shd w:val="clear" w:color="auto" w:fill="auto"/>
            <w:textDirection w:val="tbRl"/>
            <w:vAlign w:val="center"/>
          </w:tcPr>
          <w:p w14:paraId="632E761D" w14:textId="77777777" w:rsidR="00E90764" w:rsidRPr="004F71BD" w:rsidRDefault="0099166C" w:rsidP="001D1CF9">
            <w:pPr>
              <w:pStyle w:val="BodyText"/>
              <w:rPr>
                <w:rStyle w:val="Strong"/>
              </w:rPr>
            </w:pPr>
            <w:r w:rsidRPr="004F71BD">
              <w:rPr>
                <w:rStyle w:val="Strong"/>
              </w:rPr>
              <w:t>2024–25</w:t>
            </w:r>
          </w:p>
        </w:tc>
      </w:tr>
      <w:tr w:rsidR="00E90764" w:rsidRPr="004F71BD" w14:paraId="632E7624" w14:textId="77777777" w:rsidTr="00E84419">
        <w:trPr>
          <w:trHeight w:val="391"/>
        </w:trPr>
        <w:tc>
          <w:tcPr>
            <w:tcW w:w="8541" w:type="dxa"/>
            <w:shd w:val="clear" w:color="auto" w:fill="auto"/>
            <w:vAlign w:val="center"/>
          </w:tcPr>
          <w:p w14:paraId="632E761F" w14:textId="77777777" w:rsidR="00E90764" w:rsidRPr="004F71BD" w:rsidRDefault="0099166C" w:rsidP="001D1CF9">
            <w:pPr>
              <w:pStyle w:val="BodyText"/>
            </w:pPr>
            <w:r w:rsidRPr="004F71BD">
              <w:t>Improving quality and coordination of primary health care.</w:t>
            </w:r>
          </w:p>
        </w:tc>
        <w:tc>
          <w:tcPr>
            <w:tcW w:w="441" w:type="dxa"/>
            <w:shd w:val="clear" w:color="auto" w:fill="auto"/>
          </w:tcPr>
          <w:p w14:paraId="632E7620" w14:textId="379A4626" w:rsidR="00E90764" w:rsidRPr="004F71BD" w:rsidRDefault="00041BDA" w:rsidP="001D1CF9">
            <w:pPr>
              <w:pStyle w:val="BodyText"/>
            </w:pPr>
            <w:r w:rsidRPr="004F71BD">
              <w:rPr>
                <w:rFonts w:ascii="Segoe UI Symbol" w:hAnsi="Segoe UI Symbol" w:cs="Segoe UI Symbol"/>
              </w:rPr>
              <w:t>✓</w:t>
            </w:r>
          </w:p>
        </w:tc>
        <w:tc>
          <w:tcPr>
            <w:tcW w:w="441" w:type="dxa"/>
            <w:shd w:val="clear" w:color="auto" w:fill="auto"/>
          </w:tcPr>
          <w:p w14:paraId="632E7621" w14:textId="798C7E06" w:rsidR="00E90764" w:rsidRPr="004F71BD" w:rsidRDefault="00041BDA" w:rsidP="001D1CF9">
            <w:pPr>
              <w:pStyle w:val="BodyText"/>
            </w:pPr>
            <w:r w:rsidRPr="004F71BD">
              <w:rPr>
                <w:rFonts w:ascii="Segoe UI Symbol" w:hAnsi="Segoe UI Symbol" w:cs="Segoe UI Symbol"/>
              </w:rPr>
              <w:t>✓</w:t>
            </w:r>
          </w:p>
        </w:tc>
        <w:tc>
          <w:tcPr>
            <w:tcW w:w="439" w:type="dxa"/>
            <w:shd w:val="clear" w:color="auto" w:fill="auto"/>
          </w:tcPr>
          <w:p w14:paraId="632E7622" w14:textId="28B547F4" w:rsidR="00E90764" w:rsidRPr="004F71BD" w:rsidRDefault="00041BDA" w:rsidP="001D1CF9">
            <w:pPr>
              <w:pStyle w:val="BodyText"/>
            </w:pPr>
            <w:r w:rsidRPr="004F71BD">
              <w:rPr>
                <w:rFonts w:ascii="Segoe UI Symbol" w:hAnsi="Segoe UI Symbol" w:cs="Segoe UI Symbol"/>
              </w:rPr>
              <w:t>✓</w:t>
            </w:r>
          </w:p>
        </w:tc>
        <w:tc>
          <w:tcPr>
            <w:tcW w:w="441" w:type="dxa"/>
            <w:shd w:val="clear" w:color="auto" w:fill="auto"/>
          </w:tcPr>
          <w:p w14:paraId="632E7623" w14:textId="166EE2C8" w:rsidR="00E90764" w:rsidRPr="004F71BD" w:rsidRDefault="00041BDA" w:rsidP="001D1CF9">
            <w:pPr>
              <w:pStyle w:val="BodyText"/>
            </w:pPr>
            <w:r w:rsidRPr="004F71BD">
              <w:rPr>
                <w:rFonts w:ascii="Segoe UI Symbol" w:hAnsi="Segoe UI Symbol" w:cs="Segoe UI Symbol"/>
              </w:rPr>
              <w:t>✓</w:t>
            </w:r>
          </w:p>
        </w:tc>
      </w:tr>
      <w:tr w:rsidR="00E90764" w:rsidRPr="004F71BD" w14:paraId="632E762D" w14:textId="77777777" w:rsidTr="00E84419">
        <w:trPr>
          <w:trHeight w:val="822"/>
        </w:trPr>
        <w:tc>
          <w:tcPr>
            <w:tcW w:w="8541" w:type="dxa"/>
            <w:shd w:val="clear" w:color="auto" w:fill="auto"/>
            <w:vAlign w:val="center"/>
          </w:tcPr>
          <w:p w14:paraId="632E7625" w14:textId="23250FC0" w:rsidR="00E90764" w:rsidRPr="004F71BD" w:rsidRDefault="0099166C" w:rsidP="001D1CF9">
            <w:pPr>
              <w:pStyle w:val="BodyText"/>
            </w:pPr>
            <w:r w:rsidRPr="004F71BD">
              <w:t>Supporting PHNs to increase the efficiency, effectiveness, accessibility and quality of primary health care services, particularly for people at risk of poorer health outcomes, and improve care</w:t>
            </w:r>
            <w:r w:rsidR="005C3FDA">
              <w:t xml:space="preserve"> </w:t>
            </w:r>
            <w:r w:rsidRPr="004F71BD">
              <w:t>coordination and integration.</w:t>
            </w:r>
          </w:p>
        </w:tc>
        <w:tc>
          <w:tcPr>
            <w:tcW w:w="441" w:type="dxa"/>
            <w:shd w:val="clear" w:color="auto" w:fill="auto"/>
          </w:tcPr>
          <w:p w14:paraId="632E7627" w14:textId="67FDECC5" w:rsidR="00E90764" w:rsidRPr="004F71BD" w:rsidRDefault="00041BDA" w:rsidP="001D1CF9">
            <w:pPr>
              <w:pStyle w:val="BodyText"/>
            </w:pPr>
            <w:r w:rsidRPr="004F71BD">
              <w:rPr>
                <w:rFonts w:ascii="Segoe UI Symbol" w:hAnsi="Segoe UI Symbol" w:cs="Segoe UI Symbol"/>
              </w:rPr>
              <w:t>✓</w:t>
            </w:r>
          </w:p>
        </w:tc>
        <w:tc>
          <w:tcPr>
            <w:tcW w:w="441" w:type="dxa"/>
            <w:shd w:val="clear" w:color="auto" w:fill="auto"/>
          </w:tcPr>
          <w:p w14:paraId="632E7629" w14:textId="78E6EBE7" w:rsidR="00E90764" w:rsidRPr="004F71BD" w:rsidRDefault="00041BDA" w:rsidP="001D1CF9">
            <w:pPr>
              <w:pStyle w:val="BodyText"/>
            </w:pPr>
            <w:r w:rsidRPr="004F71BD">
              <w:rPr>
                <w:rFonts w:ascii="Segoe UI Symbol" w:hAnsi="Segoe UI Symbol" w:cs="Segoe UI Symbol"/>
              </w:rPr>
              <w:t>✓</w:t>
            </w:r>
          </w:p>
        </w:tc>
        <w:tc>
          <w:tcPr>
            <w:tcW w:w="439" w:type="dxa"/>
            <w:shd w:val="clear" w:color="auto" w:fill="auto"/>
          </w:tcPr>
          <w:p w14:paraId="632E762B" w14:textId="4897177E" w:rsidR="00E90764" w:rsidRPr="004F71BD" w:rsidRDefault="00041BDA" w:rsidP="001D1CF9">
            <w:pPr>
              <w:pStyle w:val="BodyText"/>
            </w:pPr>
            <w:r w:rsidRPr="004F71BD">
              <w:rPr>
                <w:rFonts w:ascii="Segoe UI Symbol" w:hAnsi="Segoe UI Symbol" w:cs="Segoe UI Symbol"/>
              </w:rPr>
              <w:t>✓</w:t>
            </w:r>
          </w:p>
        </w:tc>
        <w:tc>
          <w:tcPr>
            <w:tcW w:w="441" w:type="dxa"/>
            <w:shd w:val="clear" w:color="auto" w:fill="auto"/>
          </w:tcPr>
          <w:p w14:paraId="632E762C" w14:textId="77777777" w:rsidR="00E90764" w:rsidRPr="004F71BD" w:rsidRDefault="00E90764" w:rsidP="001D1CF9">
            <w:pPr>
              <w:pStyle w:val="BodyText"/>
            </w:pPr>
          </w:p>
        </w:tc>
      </w:tr>
      <w:tr w:rsidR="00E90764" w:rsidRPr="004F71BD" w14:paraId="632E7636" w14:textId="77777777" w:rsidTr="00E84419">
        <w:trPr>
          <w:trHeight w:val="842"/>
        </w:trPr>
        <w:tc>
          <w:tcPr>
            <w:tcW w:w="8541" w:type="dxa"/>
            <w:shd w:val="clear" w:color="auto" w:fill="auto"/>
            <w:vAlign w:val="center"/>
          </w:tcPr>
          <w:p w14:paraId="632E762E" w14:textId="4A3C1138" w:rsidR="00E90764" w:rsidRPr="004F71BD" w:rsidRDefault="0099166C" w:rsidP="001D1CF9">
            <w:pPr>
              <w:pStyle w:val="BodyText"/>
            </w:pPr>
            <w:r w:rsidRPr="004F71BD">
              <w:t>Supporting measures that improve the coordination and integration of health services to manage</w:t>
            </w:r>
            <w:r w:rsidR="0055327B" w:rsidRPr="004F71BD">
              <w:t xml:space="preserve"> </w:t>
            </w:r>
            <w:r w:rsidRPr="004F71BD">
              <w:t>health in the community, with a focus on complex and chronic conditions, and reduce potentially preventable hospital attendances and admissions.</w:t>
            </w:r>
          </w:p>
        </w:tc>
        <w:tc>
          <w:tcPr>
            <w:tcW w:w="441" w:type="dxa"/>
            <w:shd w:val="clear" w:color="auto" w:fill="auto"/>
          </w:tcPr>
          <w:p w14:paraId="632E7630" w14:textId="5DDB8449" w:rsidR="00E90764" w:rsidRPr="004F71BD" w:rsidRDefault="00041BDA" w:rsidP="001D1CF9">
            <w:pPr>
              <w:pStyle w:val="BodyText"/>
            </w:pPr>
            <w:r w:rsidRPr="004F71BD">
              <w:rPr>
                <w:rFonts w:ascii="Segoe UI Symbol" w:hAnsi="Segoe UI Symbol" w:cs="Segoe UI Symbol"/>
              </w:rPr>
              <w:t>✓</w:t>
            </w:r>
          </w:p>
        </w:tc>
        <w:tc>
          <w:tcPr>
            <w:tcW w:w="441" w:type="dxa"/>
            <w:shd w:val="clear" w:color="auto" w:fill="auto"/>
          </w:tcPr>
          <w:p w14:paraId="632E7632" w14:textId="3A136F60" w:rsidR="00E90764" w:rsidRPr="004F71BD" w:rsidRDefault="00041BDA" w:rsidP="001D1CF9">
            <w:pPr>
              <w:pStyle w:val="BodyText"/>
            </w:pPr>
            <w:r w:rsidRPr="004F71BD">
              <w:rPr>
                <w:rFonts w:ascii="Segoe UI Symbol" w:hAnsi="Segoe UI Symbol" w:cs="Segoe UI Symbol"/>
              </w:rPr>
              <w:t>✓</w:t>
            </w:r>
          </w:p>
        </w:tc>
        <w:tc>
          <w:tcPr>
            <w:tcW w:w="439" w:type="dxa"/>
            <w:shd w:val="clear" w:color="auto" w:fill="auto"/>
          </w:tcPr>
          <w:p w14:paraId="632E7634" w14:textId="43B9BF2D" w:rsidR="00E90764" w:rsidRPr="004F71BD" w:rsidRDefault="00041BDA" w:rsidP="001D1CF9">
            <w:pPr>
              <w:pStyle w:val="BodyText"/>
            </w:pPr>
            <w:r w:rsidRPr="004F71BD">
              <w:rPr>
                <w:rFonts w:ascii="Segoe UI Symbol" w:hAnsi="Segoe UI Symbol" w:cs="Segoe UI Symbol"/>
              </w:rPr>
              <w:t>✓</w:t>
            </w:r>
          </w:p>
        </w:tc>
        <w:tc>
          <w:tcPr>
            <w:tcW w:w="441" w:type="dxa"/>
            <w:shd w:val="clear" w:color="auto" w:fill="auto"/>
          </w:tcPr>
          <w:p w14:paraId="632E7635" w14:textId="77777777" w:rsidR="00E90764" w:rsidRPr="004F71BD" w:rsidRDefault="00E90764" w:rsidP="001D1CF9">
            <w:pPr>
              <w:pStyle w:val="BodyText"/>
            </w:pPr>
          </w:p>
        </w:tc>
      </w:tr>
      <w:tr w:rsidR="00E90764" w:rsidRPr="004F71BD" w14:paraId="632E763C" w14:textId="77777777" w:rsidTr="00E84419">
        <w:trPr>
          <w:trHeight w:val="582"/>
        </w:trPr>
        <w:tc>
          <w:tcPr>
            <w:tcW w:w="8541" w:type="dxa"/>
            <w:shd w:val="clear" w:color="auto" w:fill="auto"/>
            <w:vAlign w:val="center"/>
          </w:tcPr>
          <w:p w14:paraId="632E7637" w14:textId="77777777" w:rsidR="00E90764" w:rsidRPr="004F71BD" w:rsidRDefault="0099166C" w:rsidP="001D1CF9">
            <w:pPr>
              <w:pStyle w:val="BodyText"/>
            </w:pPr>
            <w:r w:rsidRPr="004F71BD">
              <w:t>Supporting the delivery of health information, advice and services through interactive communication technology to help people care for themselves and their families.</w:t>
            </w:r>
          </w:p>
        </w:tc>
        <w:tc>
          <w:tcPr>
            <w:tcW w:w="441" w:type="dxa"/>
            <w:shd w:val="clear" w:color="auto" w:fill="auto"/>
            <w:vAlign w:val="center"/>
          </w:tcPr>
          <w:p w14:paraId="632E7638" w14:textId="29EF8E5C" w:rsidR="00E90764" w:rsidRPr="004F71BD" w:rsidRDefault="00041BDA" w:rsidP="001D1CF9">
            <w:pPr>
              <w:pStyle w:val="BodyText"/>
            </w:pPr>
            <w:r w:rsidRPr="004F71BD">
              <w:rPr>
                <w:rFonts w:ascii="Segoe UI Symbol" w:hAnsi="Segoe UI Symbol" w:cs="Segoe UI Symbol"/>
              </w:rPr>
              <w:t>✓</w:t>
            </w:r>
          </w:p>
        </w:tc>
        <w:tc>
          <w:tcPr>
            <w:tcW w:w="441" w:type="dxa"/>
            <w:shd w:val="clear" w:color="auto" w:fill="auto"/>
          </w:tcPr>
          <w:p w14:paraId="632E7639" w14:textId="77777777" w:rsidR="00E90764" w:rsidRPr="004F71BD" w:rsidRDefault="00E90764" w:rsidP="001D1CF9">
            <w:pPr>
              <w:pStyle w:val="BodyText"/>
            </w:pPr>
          </w:p>
        </w:tc>
        <w:tc>
          <w:tcPr>
            <w:tcW w:w="439" w:type="dxa"/>
            <w:shd w:val="clear" w:color="auto" w:fill="auto"/>
          </w:tcPr>
          <w:p w14:paraId="632E763A" w14:textId="77777777" w:rsidR="00E90764" w:rsidRPr="004F71BD" w:rsidRDefault="00E90764" w:rsidP="001D1CF9">
            <w:pPr>
              <w:pStyle w:val="BodyText"/>
            </w:pPr>
          </w:p>
        </w:tc>
        <w:tc>
          <w:tcPr>
            <w:tcW w:w="441" w:type="dxa"/>
            <w:shd w:val="clear" w:color="auto" w:fill="auto"/>
          </w:tcPr>
          <w:p w14:paraId="632E763B" w14:textId="77777777" w:rsidR="00E90764" w:rsidRPr="004F71BD" w:rsidRDefault="00E90764" w:rsidP="001D1CF9">
            <w:pPr>
              <w:pStyle w:val="BodyText"/>
            </w:pPr>
          </w:p>
        </w:tc>
      </w:tr>
    </w:tbl>
    <w:p w14:paraId="632E763E" w14:textId="4BF8595C" w:rsidR="00E90764" w:rsidRPr="00CF6322" w:rsidRDefault="0099166C" w:rsidP="004F71BD">
      <w:pPr>
        <w:pStyle w:val="Heading4"/>
      </w:pPr>
      <w:r w:rsidRPr="00CF6322">
        <w:t>Our Performance</w:t>
      </w:r>
    </w:p>
    <w:p w14:paraId="632E763F" w14:textId="77777777" w:rsidR="00E90764" w:rsidRPr="00CF6322" w:rsidRDefault="0099166C" w:rsidP="004F71BD">
      <w:pPr>
        <w:pStyle w:val="Heading5"/>
      </w:pPr>
      <w:r w:rsidRPr="00CF6322">
        <w:t>Performance Measures for Primary Health Care Quality and Coordination – Program 1.6</w:t>
      </w:r>
    </w:p>
    <w:tbl>
      <w:tblPr>
        <w:tblW w:w="10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0" w:type="dxa"/>
        </w:tblCellMar>
        <w:tblLook w:val="01E0" w:firstRow="1" w:lastRow="1" w:firstColumn="1" w:lastColumn="1" w:noHBand="0" w:noVBand="0"/>
      </w:tblPr>
      <w:tblGrid>
        <w:gridCol w:w="2571"/>
        <w:gridCol w:w="2571"/>
        <w:gridCol w:w="2571"/>
        <w:gridCol w:w="2571"/>
      </w:tblGrid>
      <w:tr w:rsidR="00E90764" w:rsidRPr="00CF6322" w14:paraId="632E7642" w14:textId="77777777" w:rsidTr="006E10D0">
        <w:trPr>
          <w:trHeight w:val="965"/>
          <w:tblHeader/>
        </w:trPr>
        <w:tc>
          <w:tcPr>
            <w:tcW w:w="10284" w:type="dxa"/>
            <w:gridSpan w:val="4"/>
            <w:shd w:val="clear" w:color="auto" w:fill="auto"/>
          </w:tcPr>
          <w:p w14:paraId="632E7641" w14:textId="76D404F4" w:rsidR="00E90764" w:rsidRPr="004F71BD" w:rsidRDefault="0099166C" w:rsidP="001D1CF9">
            <w:pPr>
              <w:pStyle w:val="BodyText"/>
              <w:rPr>
                <w:rStyle w:val="Strong"/>
              </w:rPr>
            </w:pPr>
            <w:r w:rsidRPr="004F71BD">
              <w:rPr>
                <w:rStyle w:val="Strong"/>
              </w:rPr>
              <w:t xml:space="preserve">The number of Primary Health Network (PHN) regions in which the rate of potentially preventable </w:t>
            </w:r>
            <w:proofErr w:type="spellStart"/>
            <w:r w:rsidRPr="004F71BD">
              <w:rPr>
                <w:rStyle w:val="Strong"/>
              </w:rPr>
              <w:t>hospitalisations</w:t>
            </w:r>
            <w:proofErr w:type="spellEnd"/>
            <w:r w:rsidRPr="004F71BD">
              <w:rPr>
                <w:rStyle w:val="Strong"/>
              </w:rPr>
              <w:t xml:space="preserve"> is declining, based on the latest available Australian Institute of Health and Welfare (AIHW) longitudinal data.</w:t>
            </w:r>
            <w:r w:rsidR="00E84419">
              <w:rPr>
                <w:rStyle w:val="FootnoteReference"/>
                <w:b/>
                <w:bCs/>
              </w:rPr>
              <w:footnoteReference w:id="24"/>
            </w:r>
          </w:p>
        </w:tc>
      </w:tr>
      <w:tr w:rsidR="00E90764" w:rsidRPr="00CF6322" w14:paraId="632E7647" w14:textId="77777777" w:rsidTr="004F71BD">
        <w:trPr>
          <w:trHeight w:val="458"/>
        </w:trPr>
        <w:tc>
          <w:tcPr>
            <w:tcW w:w="2571" w:type="dxa"/>
            <w:shd w:val="clear" w:color="auto" w:fill="auto"/>
          </w:tcPr>
          <w:p w14:paraId="632E7643" w14:textId="77777777" w:rsidR="00E90764" w:rsidRPr="004F71BD" w:rsidRDefault="0099166C" w:rsidP="001D1CF9">
            <w:pPr>
              <w:pStyle w:val="BodyText"/>
              <w:rPr>
                <w:rStyle w:val="Strong"/>
              </w:rPr>
            </w:pPr>
            <w:r w:rsidRPr="004F71BD">
              <w:rPr>
                <w:rStyle w:val="Strong"/>
              </w:rPr>
              <w:t>2021–22 Target</w:t>
            </w:r>
          </w:p>
        </w:tc>
        <w:tc>
          <w:tcPr>
            <w:tcW w:w="2571" w:type="dxa"/>
            <w:shd w:val="clear" w:color="auto" w:fill="auto"/>
          </w:tcPr>
          <w:p w14:paraId="632E7644" w14:textId="77777777" w:rsidR="00E90764" w:rsidRPr="004F71BD" w:rsidRDefault="0099166C" w:rsidP="001D1CF9">
            <w:pPr>
              <w:pStyle w:val="BodyText"/>
              <w:rPr>
                <w:rStyle w:val="Strong"/>
              </w:rPr>
            </w:pPr>
            <w:r w:rsidRPr="004F71BD">
              <w:rPr>
                <w:rStyle w:val="Strong"/>
              </w:rPr>
              <w:t>2022–23 Target</w:t>
            </w:r>
          </w:p>
        </w:tc>
        <w:tc>
          <w:tcPr>
            <w:tcW w:w="2571" w:type="dxa"/>
            <w:shd w:val="clear" w:color="auto" w:fill="auto"/>
          </w:tcPr>
          <w:p w14:paraId="632E7645" w14:textId="77777777" w:rsidR="00E90764" w:rsidRPr="004F71BD" w:rsidRDefault="0099166C" w:rsidP="001D1CF9">
            <w:pPr>
              <w:pStyle w:val="BodyText"/>
              <w:rPr>
                <w:rStyle w:val="Strong"/>
              </w:rPr>
            </w:pPr>
            <w:r w:rsidRPr="004F71BD">
              <w:rPr>
                <w:rStyle w:val="Strong"/>
              </w:rPr>
              <w:t>2023–24 Target</w:t>
            </w:r>
          </w:p>
        </w:tc>
        <w:tc>
          <w:tcPr>
            <w:tcW w:w="2571" w:type="dxa"/>
            <w:shd w:val="clear" w:color="auto" w:fill="auto"/>
          </w:tcPr>
          <w:p w14:paraId="632E7646" w14:textId="77777777" w:rsidR="00E90764" w:rsidRPr="004F71BD" w:rsidRDefault="0099166C" w:rsidP="001D1CF9">
            <w:pPr>
              <w:pStyle w:val="BodyText"/>
              <w:rPr>
                <w:rStyle w:val="Strong"/>
              </w:rPr>
            </w:pPr>
            <w:r w:rsidRPr="004F71BD">
              <w:rPr>
                <w:rStyle w:val="Strong"/>
              </w:rPr>
              <w:t>2024–25 Target</w:t>
            </w:r>
          </w:p>
        </w:tc>
      </w:tr>
      <w:tr w:rsidR="00E90764" w:rsidRPr="00CF6322" w14:paraId="632E764C" w14:textId="77777777" w:rsidTr="004F71BD">
        <w:trPr>
          <w:trHeight w:val="465"/>
        </w:trPr>
        <w:tc>
          <w:tcPr>
            <w:tcW w:w="2571" w:type="dxa"/>
            <w:shd w:val="clear" w:color="auto" w:fill="auto"/>
          </w:tcPr>
          <w:p w14:paraId="632E7648" w14:textId="77777777" w:rsidR="00E90764" w:rsidRPr="00CF6322" w:rsidRDefault="0099166C" w:rsidP="001D1CF9">
            <w:pPr>
              <w:pStyle w:val="BodyText"/>
            </w:pPr>
            <w:r w:rsidRPr="00CF6322">
              <w:t>25</w:t>
            </w:r>
          </w:p>
        </w:tc>
        <w:tc>
          <w:tcPr>
            <w:tcW w:w="2571" w:type="dxa"/>
            <w:shd w:val="clear" w:color="auto" w:fill="auto"/>
          </w:tcPr>
          <w:p w14:paraId="632E7649" w14:textId="77777777" w:rsidR="00E90764" w:rsidRPr="00CF6322" w:rsidRDefault="0099166C" w:rsidP="001D1CF9">
            <w:pPr>
              <w:pStyle w:val="BodyText"/>
            </w:pPr>
            <w:r w:rsidRPr="00CF6322">
              <w:t>26</w:t>
            </w:r>
          </w:p>
        </w:tc>
        <w:tc>
          <w:tcPr>
            <w:tcW w:w="2571" w:type="dxa"/>
            <w:shd w:val="clear" w:color="auto" w:fill="auto"/>
          </w:tcPr>
          <w:p w14:paraId="632E764A" w14:textId="77777777" w:rsidR="00E90764" w:rsidRPr="00CF6322" w:rsidRDefault="0099166C" w:rsidP="001D1CF9">
            <w:pPr>
              <w:pStyle w:val="BodyText"/>
            </w:pPr>
            <w:r w:rsidRPr="00CF6322">
              <w:t>27</w:t>
            </w:r>
          </w:p>
        </w:tc>
        <w:tc>
          <w:tcPr>
            <w:tcW w:w="2571" w:type="dxa"/>
            <w:shd w:val="clear" w:color="auto" w:fill="auto"/>
          </w:tcPr>
          <w:p w14:paraId="632E764B" w14:textId="77777777" w:rsidR="00E90764" w:rsidRPr="00CF6322" w:rsidRDefault="0099166C" w:rsidP="001D1CF9">
            <w:pPr>
              <w:pStyle w:val="BodyText"/>
            </w:pPr>
            <w:r w:rsidRPr="00CF6322">
              <w:t>28</w:t>
            </w:r>
          </w:p>
        </w:tc>
      </w:tr>
      <w:tr w:rsidR="00E90764" w:rsidRPr="00CF6322" w14:paraId="632E7655" w14:textId="77777777" w:rsidTr="004F71BD">
        <w:trPr>
          <w:trHeight w:val="3089"/>
        </w:trPr>
        <w:tc>
          <w:tcPr>
            <w:tcW w:w="10284" w:type="dxa"/>
            <w:gridSpan w:val="4"/>
            <w:shd w:val="clear" w:color="auto" w:fill="auto"/>
          </w:tcPr>
          <w:p w14:paraId="632E764D" w14:textId="77777777" w:rsidR="00E90764" w:rsidRPr="00CF6322" w:rsidRDefault="0099166C" w:rsidP="001D1CF9">
            <w:pPr>
              <w:pStyle w:val="Heading6"/>
            </w:pPr>
            <w:r w:rsidRPr="00CF6322">
              <w:t xml:space="preserve">Data source and </w:t>
            </w:r>
            <w:r w:rsidRPr="00E84419">
              <w:t>methodology</w:t>
            </w:r>
          </w:p>
          <w:p w14:paraId="632E764E" w14:textId="1B0D782D" w:rsidR="00E90764" w:rsidRPr="00CF6322" w:rsidRDefault="0099166C" w:rsidP="001D1CF9">
            <w:pPr>
              <w:pStyle w:val="BodyText"/>
            </w:pPr>
            <w:r w:rsidRPr="00CF6322">
              <w:t>This data is obtained from the AIHW, who develop an indicator based on a 5 year trend line of best fit. Information is available on the AIHW website</w:t>
            </w:r>
            <w:r w:rsidR="00E84419">
              <w:rPr>
                <w:rStyle w:val="FootnoteReference"/>
              </w:rPr>
              <w:footnoteReference w:id="25"/>
            </w:r>
            <w:r w:rsidRPr="00CF6322">
              <w:t>. There is up to a 2 year lag collecting data from states and territories.</w:t>
            </w:r>
          </w:p>
          <w:p w14:paraId="632E7650" w14:textId="77777777" w:rsidR="00E90764" w:rsidRPr="00E84419" w:rsidRDefault="0099166C" w:rsidP="001D1CF9">
            <w:pPr>
              <w:pStyle w:val="Heading6"/>
            </w:pPr>
            <w:r w:rsidRPr="00CF6322">
              <w:t>Measure type</w:t>
            </w:r>
          </w:p>
          <w:p w14:paraId="632E7651" w14:textId="77777777" w:rsidR="00E90764" w:rsidRPr="00CF6322" w:rsidRDefault="0099166C" w:rsidP="001D1CF9">
            <w:pPr>
              <w:pStyle w:val="BodyText"/>
            </w:pPr>
            <w:r w:rsidRPr="00CF6322">
              <w:t>Quantitative/Effectiveness</w:t>
            </w:r>
          </w:p>
          <w:p w14:paraId="632E7653" w14:textId="77777777" w:rsidR="00E90764" w:rsidRPr="00E84419" w:rsidRDefault="0099166C" w:rsidP="001D1CF9">
            <w:pPr>
              <w:pStyle w:val="Heading6"/>
            </w:pPr>
            <w:r w:rsidRPr="00CF6322">
              <w:t>Discussion</w:t>
            </w:r>
          </w:p>
          <w:p w14:paraId="632E7654" w14:textId="77777777" w:rsidR="00E90764" w:rsidRPr="00CF6322" w:rsidRDefault="0099166C" w:rsidP="001D1CF9">
            <w:pPr>
              <w:pStyle w:val="BodyText"/>
            </w:pPr>
            <w:r w:rsidRPr="00CF6322">
              <w:t xml:space="preserve">A decline in the rate of potentially preventable </w:t>
            </w:r>
            <w:proofErr w:type="spellStart"/>
            <w:r w:rsidRPr="00CF6322">
              <w:t>hospitalisations</w:t>
            </w:r>
            <w:proofErr w:type="spellEnd"/>
            <w:r w:rsidRPr="00CF6322">
              <w:t xml:space="preserve"> correlates to an effective delivery of quality primary health care. These targets are ambitious but </w:t>
            </w:r>
            <w:proofErr w:type="spellStart"/>
            <w:r w:rsidRPr="00CF6322">
              <w:t>achieveable</w:t>
            </w:r>
            <w:proofErr w:type="spellEnd"/>
            <w:r w:rsidRPr="00CF6322">
              <w:t xml:space="preserve">, noting that PHNs do not have control over all factors driving potentially preventable </w:t>
            </w:r>
            <w:proofErr w:type="spellStart"/>
            <w:r w:rsidRPr="00CF6322">
              <w:t>hospitalisations</w:t>
            </w:r>
            <w:proofErr w:type="spellEnd"/>
            <w:r w:rsidRPr="00CF6322">
              <w:t>.</w:t>
            </w:r>
          </w:p>
        </w:tc>
      </w:tr>
    </w:tbl>
    <w:p w14:paraId="5F055905" w14:textId="77777777" w:rsidR="00E26861" w:rsidRDefault="00E26861" w:rsidP="00E26861">
      <w:r>
        <w:br w:type="page"/>
      </w:r>
    </w:p>
    <w:p w14:paraId="727CD58B" w14:textId="4EE269E5" w:rsidR="00E84419" w:rsidRPr="00E84419" w:rsidRDefault="00E84419" w:rsidP="00E84419">
      <w:pPr>
        <w:pStyle w:val="Heading3"/>
      </w:pPr>
      <w:r w:rsidRPr="00E84419">
        <w:lastRenderedPageBreak/>
        <w:t xml:space="preserve">1.7 </w:t>
      </w:r>
      <w:r w:rsidR="005C3FDA">
        <w:t>–</w:t>
      </w:r>
      <w:r w:rsidRPr="00E84419">
        <w:t xml:space="preserve"> Primary Care Practice Incentives and Medical Indemnity</w:t>
      </w:r>
    </w:p>
    <w:p w14:paraId="632E765D" w14:textId="77777777" w:rsidR="00E90764" w:rsidRPr="00E84419" w:rsidRDefault="0099166C" w:rsidP="00E84419">
      <w:pPr>
        <w:pStyle w:val="Heading4"/>
      </w:pPr>
      <w:r w:rsidRPr="00E84419">
        <w:t>Program Objective</w:t>
      </w:r>
    </w:p>
    <w:p w14:paraId="418C9838" w14:textId="1D6C306F" w:rsidR="00E84419" w:rsidRPr="00E84419" w:rsidRDefault="00E84419" w:rsidP="001D1CF9">
      <w:pPr>
        <w:pStyle w:val="BodyText"/>
      </w:pPr>
      <w:r w:rsidRPr="00E84419">
        <w:t xml:space="preserve">Provide incentive payments to eligible general practices and general practitioners through the Practice Incentives Program (PIP) to support continuing improvements, increase quality of care, enhance capacity and improve access and health outcomes for patients. Promote the ongoing stability, affordability and availability of medical indemnity insurance to enable stable fees for patients and allow the medical workforce to focus on delivering high </w:t>
      </w:r>
      <w:r>
        <w:t>q</w:t>
      </w:r>
      <w:r w:rsidRPr="00E84419">
        <w:t>uality services.</w:t>
      </w:r>
    </w:p>
    <w:p w14:paraId="632E7661" w14:textId="77777777" w:rsidR="00E90764" w:rsidRPr="00E84419" w:rsidRDefault="0099166C" w:rsidP="00E84419">
      <w:pPr>
        <w:pStyle w:val="Heading4"/>
      </w:pPr>
      <w:r w:rsidRPr="00CF6322">
        <w:t>Our Operating Focus</w:t>
      </w:r>
    </w:p>
    <w:p w14:paraId="632E7663" w14:textId="154B0D19" w:rsidR="00E90764" w:rsidRPr="00CF6322" w:rsidRDefault="0099166C" w:rsidP="001D1CF9">
      <w:pPr>
        <w:pStyle w:val="BodyText"/>
      </w:pPr>
      <w:r w:rsidRPr="00CF6322">
        <w:t>We will continue to implement the PIP, with assistance from Services Australia which administers payments to practices</w:t>
      </w:r>
      <w:r w:rsidR="00610D4E" w:rsidRPr="00CF6322">
        <w:t xml:space="preserve"> </w:t>
      </w:r>
      <w:r w:rsidRPr="00CF6322">
        <w:t>and general practitioners. While the COVID-19 pandemic has impacted the way people access primary care services,</w:t>
      </w:r>
      <w:r w:rsidR="00610D4E" w:rsidRPr="00CF6322">
        <w:t xml:space="preserve"> </w:t>
      </w:r>
      <w:r w:rsidRPr="00CF6322">
        <w:t>the PIP encourages general practices to continue providing</w:t>
      </w:r>
      <w:r w:rsidR="00E84419">
        <w:t xml:space="preserve"> </w:t>
      </w:r>
      <w:r w:rsidRPr="00CF6322">
        <w:t>quality face to face care, enhancing capacity, and improving access and health outcomes for patients. As a result of</w:t>
      </w:r>
      <w:r w:rsidR="002965C7" w:rsidRPr="00CF6322">
        <w:t xml:space="preserve"> </w:t>
      </w:r>
      <w:r w:rsidRPr="00CF6322">
        <w:t>the pandemic, there has been an increase in telehealth consultations for primary care services. In response to this,</w:t>
      </w:r>
      <w:r w:rsidR="00E84419">
        <w:t xml:space="preserve"> </w:t>
      </w:r>
      <w:r w:rsidR="00610D4E" w:rsidRPr="00CF6322">
        <w:t>c</w:t>
      </w:r>
      <w:r w:rsidRPr="00CF6322">
        <w:t>hanges to PIP payment calculations are being explored to identify possible impacts on the level of funding paid to practices participating in the PIP.</w:t>
      </w:r>
    </w:p>
    <w:p w14:paraId="632E7665" w14:textId="36D656FF" w:rsidR="00E90764" w:rsidRPr="00CF6322" w:rsidRDefault="0099166C" w:rsidP="001D1CF9">
      <w:pPr>
        <w:pStyle w:val="BodyText"/>
      </w:pPr>
      <w:r w:rsidRPr="00CF6322">
        <w:t>Increased demand from practices to participate in the PIP has seen additional pressure applied on program</w:t>
      </w:r>
      <w:r w:rsidR="00E84419">
        <w:t xml:space="preserve"> </w:t>
      </w:r>
      <w:r w:rsidRPr="00CF6322">
        <w:t>finances. In response to these pressures, the program has implemented additional financial management processes and forecasting practices to better track the program budget and respond early and quickly to pressures.</w:t>
      </w:r>
    </w:p>
    <w:p w14:paraId="632E7669" w14:textId="53146481" w:rsidR="00E90764" w:rsidRPr="00CF6322" w:rsidRDefault="0099166C" w:rsidP="001D1CF9">
      <w:pPr>
        <w:pStyle w:val="BodyText"/>
      </w:pPr>
      <w:r w:rsidRPr="00CF6322">
        <w:t>The COVID-19 Vaccine Claims Scheme (the scheme) will</w:t>
      </w:r>
      <w:r w:rsidR="00E84419">
        <w:t xml:space="preserve"> </w:t>
      </w:r>
      <w:r w:rsidRPr="00CF6322">
        <w:t>provide patients with access to compensation should</w:t>
      </w:r>
      <w:r w:rsidR="002965C7" w:rsidRPr="00CF6322">
        <w:t xml:space="preserve"> </w:t>
      </w:r>
      <w:r w:rsidRPr="00CF6322">
        <w:t>a person suffer moderate to significant harm because of their COVID-19 vaccination. The injury would need to have been caused by a COVID-19 vaccine approved</w:t>
      </w:r>
      <w:r w:rsidR="00610D4E" w:rsidRPr="00CF6322">
        <w:t xml:space="preserve"> </w:t>
      </w:r>
      <w:r w:rsidRPr="00CF6322">
        <w:t>by the Therapeutic Goods Administration (TGA) or its</w:t>
      </w:r>
      <w:r w:rsidR="002965C7" w:rsidRPr="00CF6322">
        <w:t xml:space="preserve"> </w:t>
      </w:r>
      <w:r w:rsidRPr="00CF6322">
        <w:t xml:space="preserve">administration. Patients will be able to access the scheme irrespective of where their vaccination was administered in Australia - in a state or territory clinic, a general practitioner clinic, a pharmacy or elsewhere - as long as the vaccine was one </w:t>
      </w:r>
      <w:proofErr w:type="spellStart"/>
      <w:r w:rsidRPr="00CF6322">
        <w:t>authorised</w:t>
      </w:r>
      <w:proofErr w:type="spellEnd"/>
      <w:r w:rsidRPr="00CF6322">
        <w:t xml:space="preserve"> by the TGA. This scheme will provide</w:t>
      </w:r>
      <w:r w:rsidR="00E84419">
        <w:t xml:space="preserve"> </w:t>
      </w:r>
      <w:r w:rsidRPr="00CF6322">
        <w:t>a similar level of compensation to what people would receive through a personal injuries claim through a court process, without the need to pursue costly and time- consuming litigation. However, people will still be able to seek compensation through the courts as an alternative to</w:t>
      </w:r>
      <w:r w:rsidR="00610D4E" w:rsidRPr="00CF6322">
        <w:t xml:space="preserve"> </w:t>
      </w:r>
      <w:r w:rsidRPr="00CF6322">
        <w:t>compensation under the scheme, if they so choose.</w:t>
      </w:r>
    </w:p>
    <w:p w14:paraId="632E766A" w14:textId="77777777" w:rsidR="00E90764" w:rsidRPr="00CF6322" w:rsidRDefault="0099166C" w:rsidP="001D1CF9">
      <w:pPr>
        <w:pStyle w:val="BodyText"/>
      </w:pPr>
      <w:r w:rsidRPr="00CF6322">
        <w:t>Health professionals involved in administering vaccines will be able to continue with their crucial role in the vaccine roll out assured that they can both administer the vaccine and provide the necessary advice to patients on vaccine choice knowing that the claims scheme will offer them protection.</w:t>
      </w:r>
    </w:p>
    <w:p w14:paraId="632E766C" w14:textId="5A253E44" w:rsidR="00E90764" w:rsidRPr="00CF6322" w:rsidRDefault="0099166C" w:rsidP="001D1CF9">
      <w:pPr>
        <w:pStyle w:val="BodyText"/>
      </w:pPr>
      <w:r w:rsidRPr="00CF6322">
        <w:t>The costs of compensation payments under this scheme would be fully funded by the Commonwealth and is designed to help the small number of people who</w:t>
      </w:r>
      <w:r w:rsidR="002965C7" w:rsidRPr="00CF6322">
        <w:t xml:space="preserve"> </w:t>
      </w:r>
      <w:r w:rsidRPr="00CF6322">
        <w:t>unfortunately experience a moderate to significant adverse</w:t>
      </w:r>
      <w:r w:rsidR="00202747" w:rsidRPr="00CF6322">
        <w:t xml:space="preserve"> </w:t>
      </w:r>
      <w:r w:rsidRPr="00CF6322">
        <w:t>reaction to a COVID-19 vaccine.</w:t>
      </w:r>
    </w:p>
    <w:p w14:paraId="632E7671" w14:textId="386378A1" w:rsidR="00E90764" w:rsidRPr="00CF6322" w:rsidRDefault="0099166C" w:rsidP="001D1CF9">
      <w:pPr>
        <w:pStyle w:val="BodyText"/>
      </w:pPr>
      <w:r w:rsidRPr="00CF6322">
        <w:t xml:space="preserve">Through our response to the pandemic, a new measure was implemented to ensure eligible doctors and midwives maintain their eligibility to the Run-Off Cover Indemnity Scheme, should they return to </w:t>
      </w:r>
      <w:proofErr w:type="spellStart"/>
      <w:r w:rsidRPr="00CF6322">
        <w:t>practise</w:t>
      </w:r>
      <w:proofErr w:type="spellEnd"/>
      <w:r w:rsidRPr="00CF6322">
        <w:t xml:space="preserve"> to assist during the COVID-19 pandemic. This work supports the pandemic response sub register established by the Australian</w:t>
      </w:r>
      <w:r w:rsidR="002965C7" w:rsidRPr="00CF6322">
        <w:t xml:space="preserve"> </w:t>
      </w:r>
      <w:r w:rsidRPr="00CF6322">
        <w:t>Health Practitioner Regulation Agency to enable health</w:t>
      </w:r>
      <w:r w:rsidR="00202747" w:rsidRPr="00CF6322">
        <w:t xml:space="preserve"> </w:t>
      </w:r>
      <w:r w:rsidRPr="00CF6322">
        <w:t>professionals to temporarily return to the workforce</w:t>
      </w:r>
      <w:r w:rsidR="002965C7" w:rsidRPr="00CF6322">
        <w:t xml:space="preserve"> </w:t>
      </w:r>
      <w:r w:rsidRPr="00CF6322">
        <w:t>to assist with the COVID-19 pandemic response. This measure will continue to operate during the duration of the Biosecurity (Human Biosecurity Emergency) (Human</w:t>
      </w:r>
      <w:r w:rsidR="00202747" w:rsidRPr="00CF6322">
        <w:t xml:space="preserve"> </w:t>
      </w:r>
      <w:r w:rsidRPr="00CF6322">
        <w:t>Coronavirus with Pandemic Potential) Declaration 2020.</w:t>
      </w:r>
    </w:p>
    <w:p w14:paraId="632E7672" w14:textId="77777777" w:rsidR="00E90764" w:rsidRPr="00CF6322" w:rsidRDefault="00E90764" w:rsidP="001D1CF9">
      <w:pPr>
        <w:pStyle w:val="BodyText"/>
      </w:pPr>
    </w:p>
    <w:tbl>
      <w:tblPr>
        <w:tblW w:w="103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0" w:type="dxa"/>
        </w:tblCellMar>
        <w:tblLook w:val="01E0" w:firstRow="1" w:lastRow="1" w:firstColumn="1" w:lastColumn="1" w:noHBand="0" w:noVBand="0"/>
      </w:tblPr>
      <w:tblGrid>
        <w:gridCol w:w="8541"/>
        <w:gridCol w:w="441"/>
        <w:gridCol w:w="441"/>
        <w:gridCol w:w="439"/>
        <w:gridCol w:w="441"/>
      </w:tblGrid>
      <w:tr w:rsidR="00E84419" w:rsidRPr="00E84419" w14:paraId="632E7679" w14:textId="77777777" w:rsidTr="006E10D0">
        <w:trPr>
          <w:trHeight w:val="1299"/>
          <w:tblHeader/>
        </w:trPr>
        <w:tc>
          <w:tcPr>
            <w:tcW w:w="8541" w:type="dxa"/>
            <w:shd w:val="clear" w:color="auto" w:fill="auto"/>
          </w:tcPr>
          <w:p w14:paraId="632E7674" w14:textId="77777777" w:rsidR="00E90764" w:rsidRPr="00E84419" w:rsidRDefault="0099166C" w:rsidP="001D1CF9">
            <w:pPr>
              <w:pStyle w:val="BodyText"/>
              <w:rPr>
                <w:rStyle w:val="Strong"/>
              </w:rPr>
            </w:pPr>
            <w:r w:rsidRPr="00E84419">
              <w:rPr>
                <w:rStyle w:val="Strong"/>
              </w:rPr>
              <w:lastRenderedPageBreak/>
              <w:t>Key Activities</w:t>
            </w:r>
          </w:p>
        </w:tc>
        <w:tc>
          <w:tcPr>
            <w:tcW w:w="441" w:type="dxa"/>
            <w:shd w:val="clear" w:color="auto" w:fill="auto"/>
            <w:textDirection w:val="tbRl"/>
            <w:vAlign w:val="center"/>
          </w:tcPr>
          <w:p w14:paraId="632E7675" w14:textId="77777777" w:rsidR="00E90764" w:rsidRPr="00E84419" w:rsidRDefault="0099166C" w:rsidP="001D1CF9">
            <w:pPr>
              <w:pStyle w:val="BodyText"/>
              <w:rPr>
                <w:rStyle w:val="Strong"/>
              </w:rPr>
            </w:pPr>
            <w:r w:rsidRPr="00E84419">
              <w:rPr>
                <w:rStyle w:val="Strong"/>
              </w:rPr>
              <w:t>2021–22</w:t>
            </w:r>
          </w:p>
        </w:tc>
        <w:tc>
          <w:tcPr>
            <w:tcW w:w="441" w:type="dxa"/>
            <w:shd w:val="clear" w:color="auto" w:fill="auto"/>
            <w:textDirection w:val="tbRl"/>
            <w:vAlign w:val="center"/>
          </w:tcPr>
          <w:p w14:paraId="632E7676" w14:textId="77777777" w:rsidR="00E90764" w:rsidRPr="00E84419" w:rsidRDefault="0099166C" w:rsidP="001D1CF9">
            <w:pPr>
              <w:pStyle w:val="BodyText"/>
              <w:rPr>
                <w:rStyle w:val="Strong"/>
              </w:rPr>
            </w:pPr>
            <w:r w:rsidRPr="00E84419">
              <w:rPr>
                <w:rStyle w:val="Strong"/>
              </w:rPr>
              <w:t>2022–23</w:t>
            </w:r>
          </w:p>
        </w:tc>
        <w:tc>
          <w:tcPr>
            <w:tcW w:w="439" w:type="dxa"/>
            <w:shd w:val="clear" w:color="auto" w:fill="auto"/>
            <w:textDirection w:val="tbRl"/>
            <w:vAlign w:val="center"/>
          </w:tcPr>
          <w:p w14:paraId="632E7677" w14:textId="77777777" w:rsidR="00E90764" w:rsidRPr="00E84419" w:rsidRDefault="0099166C" w:rsidP="001D1CF9">
            <w:pPr>
              <w:pStyle w:val="BodyText"/>
              <w:rPr>
                <w:rStyle w:val="Strong"/>
              </w:rPr>
            </w:pPr>
            <w:r w:rsidRPr="00E84419">
              <w:rPr>
                <w:rStyle w:val="Strong"/>
              </w:rPr>
              <w:t>2023–24</w:t>
            </w:r>
          </w:p>
        </w:tc>
        <w:tc>
          <w:tcPr>
            <w:tcW w:w="441" w:type="dxa"/>
            <w:shd w:val="clear" w:color="auto" w:fill="auto"/>
            <w:textDirection w:val="tbRl"/>
            <w:vAlign w:val="center"/>
          </w:tcPr>
          <w:p w14:paraId="632E7678" w14:textId="77777777" w:rsidR="00E90764" w:rsidRPr="00E84419" w:rsidRDefault="0099166C" w:rsidP="001D1CF9">
            <w:pPr>
              <w:pStyle w:val="BodyText"/>
              <w:rPr>
                <w:rStyle w:val="Strong"/>
              </w:rPr>
            </w:pPr>
            <w:r w:rsidRPr="00E84419">
              <w:rPr>
                <w:rStyle w:val="Strong"/>
              </w:rPr>
              <w:t>2024–25</w:t>
            </w:r>
          </w:p>
        </w:tc>
      </w:tr>
      <w:tr w:rsidR="00E90764" w:rsidRPr="00CF6322" w14:paraId="632E7697" w14:textId="77777777" w:rsidTr="005C3FDA">
        <w:trPr>
          <w:trHeight w:val="3045"/>
        </w:trPr>
        <w:tc>
          <w:tcPr>
            <w:tcW w:w="8541" w:type="dxa"/>
            <w:shd w:val="clear" w:color="auto" w:fill="auto"/>
            <w:vAlign w:val="center"/>
          </w:tcPr>
          <w:p w14:paraId="632E767A" w14:textId="77777777" w:rsidR="00E90764" w:rsidRPr="005C3FDA" w:rsidRDefault="0099166C" w:rsidP="001D1CF9">
            <w:pPr>
              <w:pStyle w:val="BodyText"/>
            </w:pPr>
            <w:r w:rsidRPr="00CF6322">
              <w:t>Providing incentive payments to eligible general practices and general practitioners. Incentives include the:</w:t>
            </w:r>
          </w:p>
          <w:p w14:paraId="632E767B" w14:textId="77777777" w:rsidR="00E90764" w:rsidRPr="005C3FDA" w:rsidRDefault="0099166C" w:rsidP="005C3FDA">
            <w:pPr>
              <w:pStyle w:val="Bullets"/>
            </w:pPr>
            <w:r w:rsidRPr="005C3FDA">
              <w:t>After Hours Incentive</w:t>
            </w:r>
          </w:p>
          <w:p w14:paraId="632E767C" w14:textId="77777777" w:rsidR="00E90764" w:rsidRPr="005C3FDA" w:rsidRDefault="0099166C" w:rsidP="005C3FDA">
            <w:pPr>
              <w:pStyle w:val="Bullets"/>
            </w:pPr>
            <w:r w:rsidRPr="005C3FDA">
              <w:t>Aged Care Access Incentive</w:t>
            </w:r>
          </w:p>
          <w:p w14:paraId="632E767D" w14:textId="77777777" w:rsidR="00E90764" w:rsidRPr="005C3FDA" w:rsidRDefault="0099166C" w:rsidP="005C3FDA">
            <w:pPr>
              <w:pStyle w:val="Bullets"/>
            </w:pPr>
            <w:r w:rsidRPr="005C3FDA">
              <w:t>eHealth Incentive</w:t>
            </w:r>
          </w:p>
          <w:p w14:paraId="632E767E" w14:textId="77777777" w:rsidR="00E90764" w:rsidRPr="005C3FDA" w:rsidRDefault="0099166C" w:rsidP="005C3FDA">
            <w:pPr>
              <w:pStyle w:val="Bullets"/>
            </w:pPr>
            <w:r w:rsidRPr="005C3FDA">
              <w:t>Rural Loading Incentive</w:t>
            </w:r>
          </w:p>
          <w:p w14:paraId="632E767F" w14:textId="77777777" w:rsidR="00E90764" w:rsidRPr="005C3FDA" w:rsidRDefault="0099166C" w:rsidP="005C3FDA">
            <w:pPr>
              <w:pStyle w:val="Bullets"/>
            </w:pPr>
            <w:r w:rsidRPr="005C3FDA">
              <w:t>Teaching Payment</w:t>
            </w:r>
          </w:p>
          <w:p w14:paraId="632E7680" w14:textId="77777777" w:rsidR="00E90764" w:rsidRPr="005C3FDA" w:rsidRDefault="0099166C" w:rsidP="005C3FDA">
            <w:pPr>
              <w:pStyle w:val="Bullets"/>
            </w:pPr>
            <w:r w:rsidRPr="005C3FDA">
              <w:t>Indigenous Health Incentive</w:t>
            </w:r>
          </w:p>
          <w:p w14:paraId="632E7681" w14:textId="77777777" w:rsidR="00E90764" w:rsidRPr="005C3FDA" w:rsidRDefault="0099166C" w:rsidP="005C3FDA">
            <w:pPr>
              <w:pStyle w:val="Bullets"/>
            </w:pPr>
            <w:r w:rsidRPr="005C3FDA">
              <w:t>Procedural General Practitioner Incentive</w:t>
            </w:r>
          </w:p>
          <w:p w14:paraId="632E7682" w14:textId="77777777" w:rsidR="00E90764" w:rsidRPr="00CF6322" w:rsidRDefault="0099166C" w:rsidP="005C3FDA">
            <w:pPr>
              <w:pStyle w:val="Bullets"/>
            </w:pPr>
            <w:r w:rsidRPr="005C3FDA">
              <w:t>Quality Improvement</w:t>
            </w:r>
            <w:r w:rsidRPr="00CF6322">
              <w:t xml:space="preserve"> Incentive.</w:t>
            </w:r>
          </w:p>
        </w:tc>
        <w:tc>
          <w:tcPr>
            <w:tcW w:w="441" w:type="dxa"/>
            <w:shd w:val="clear" w:color="auto" w:fill="auto"/>
          </w:tcPr>
          <w:p w14:paraId="632E7687" w14:textId="2227B96C"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68C" w14:textId="69CC54BA"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691" w14:textId="1F422F1E"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696" w14:textId="767EA4E6" w:rsidR="00E90764" w:rsidRPr="00CF6322" w:rsidRDefault="00041BDA" w:rsidP="001D1CF9">
            <w:pPr>
              <w:pStyle w:val="BodyText"/>
            </w:pPr>
            <w:r>
              <w:rPr>
                <w:rFonts w:ascii="Segoe UI Symbol" w:hAnsi="Segoe UI Symbol" w:cs="Segoe UI Symbol"/>
              </w:rPr>
              <w:t>✓</w:t>
            </w:r>
          </w:p>
        </w:tc>
      </w:tr>
      <w:tr w:rsidR="00E90764" w:rsidRPr="00CF6322" w14:paraId="632E76A1" w14:textId="77777777" w:rsidTr="005C3FDA">
        <w:trPr>
          <w:trHeight w:val="842"/>
        </w:trPr>
        <w:tc>
          <w:tcPr>
            <w:tcW w:w="8541" w:type="dxa"/>
            <w:shd w:val="clear" w:color="auto" w:fill="auto"/>
            <w:vAlign w:val="center"/>
          </w:tcPr>
          <w:p w14:paraId="632E7698" w14:textId="5FA96DB1" w:rsidR="00E90764" w:rsidRPr="00CF6322" w:rsidRDefault="0099166C" w:rsidP="001D1CF9">
            <w:pPr>
              <w:pStyle w:val="BodyText"/>
            </w:pPr>
            <w:r w:rsidRPr="00CF6322">
              <w:t xml:space="preserve">Administering the medical and midwife indemnity schemes to promote ongoing stability, affordability and availability of medical indemnity insurance. Through these schemes, </w:t>
            </w:r>
            <w:proofErr w:type="spellStart"/>
            <w:r w:rsidRPr="00CF6322">
              <w:t>subsidise</w:t>
            </w:r>
            <w:proofErr w:type="spellEnd"/>
            <w:r w:rsidRPr="00CF6322">
              <w:t xml:space="preserve"> claims costs and ensure the cost of insurance premiums remains affordable.</w:t>
            </w:r>
          </w:p>
        </w:tc>
        <w:tc>
          <w:tcPr>
            <w:tcW w:w="441" w:type="dxa"/>
            <w:shd w:val="clear" w:color="auto" w:fill="auto"/>
          </w:tcPr>
          <w:p w14:paraId="632E769A" w14:textId="686D27A3"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69C" w14:textId="2FBBB111"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69E" w14:textId="5008DDD6"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6A0" w14:textId="6C29F624" w:rsidR="00E90764" w:rsidRPr="00CF6322" w:rsidRDefault="00041BDA" w:rsidP="001D1CF9">
            <w:pPr>
              <w:pStyle w:val="BodyText"/>
            </w:pPr>
            <w:r>
              <w:rPr>
                <w:rFonts w:ascii="Segoe UI Symbol" w:hAnsi="Segoe UI Symbol" w:cs="Segoe UI Symbol"/>
              </w:rPr>
              <w:t>✓</w:t>
            </w:r>
          </w:p>
        </w:tc>
      </w:tr>
      <w:tr w:rsidR="00E90764" w:rsidRPr="00CF6322" w14:paraId="632E76A7" w14:textId="77777777" w:rsidTr="005C3FDA">
        <w:trPr>
          <w:trHeight w:val="582"/>
        </w:trPr>
        <w:tc>
          <w:tcPr>
            <w:tcW w:w="8541" w:type="dxa"/>
            <w:shd w:val="clear" w:color="auto" w:fill="auto"/>
            <w:vAlign w:val="center"/>
          </w:tcPr>
          <w:p w14:paraId="632E76A2" w14:textId="01E1FEC3" w:rsidR="00E90764" w:rsidRPr="00CF6322" w:rsidRDefault="0099166C" w:rsidP="001D1CF9">
            <w:pPr>
              <w:pStyle w:val="BodyText"/>
            </w:pPr>
            <w:r w:rsidRPr="00CF6322">
              <w:t>Administering a contract with an eligible insurer for the provision of professional indemnity insurance to deliver the Midwife Professional Indemnity Scheme on behalf of the Government.</w:t>
            </w:r>
          </w:p>
        </w:tc>
        <w:tc>
          <w:tcPr>
            <w:tcW w:w="441" w:type="dxa"/>
            <w:shd w:val="clear" w:color="auto" w:fill="auto"/>
            <w:vAlign w:val="center"/>
          </w:tcPr>
          <w:p w14:paraId="632E76A3" w14:textId="1B660926"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6A4" w14:textId="3E3DD306"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6A5" w14:textId="6699821F"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6A6" w14:textId="6C33FBB1" w:rsidR="00E90764" w:rsidRPr="00CF6322" w:rsidRDefault="00041BDA" w:rsidP="001D1CF9">
            <w:pPr>
              <w:pStyle w:val="BodyText"/>
            </w:pPr>
            <w:r>
              <w:rPr>
                <w:rFonts w:ascii="Segoe UI Symbol" w:hAnsi="Segoe UI Symbol" w:cs="Segoe UI Symbol"/>
              </w:rPr>
              <w:t>✓</w:t>
            </w:r>
          </w:p>
        </w:tc>
      </w:tr>
      <w:tr w:rsidR="00E90764" w:rsidRPr="00CF6322" w14:paraId="632E76AD" w14:textId="77777777" w:rsidTr="005C3FDA">
        <w:trPr>
          <w:trHeight w:val="391"/>
        </w:trPr>
        <w:tc>
          <w:tcPr>
            <w:tcW w:w="8541" w:type="dxa"/>
            <w:shd w:val="clear" w:color="auto" w:fill="auto"/>
            <w:vAlign w:val="center"/>
          </w:tcPr>
          <w:p w14:paraId="632E76A8" w14:textId="77777777" w:rsidR="00E90764" w:rsidRPr="00CF6322" w:rsidRDefault="0099166C" w:rsidP="001D1CF9">
            <w:pPr>
              <w:pStyle w:val="BodyText"/>
            </w:pPr>
            <w:r w:rsidRPr="00CF6322">
              <w:t>Establishing a COVID-19 Vaccine Claims Scheme.</w:t>
            </w:r>
          </w:p>
        </w:tc>
        <w:tc>
          <w:tcPr>
            <w:tcW w:w="441" w:type="dxa"/>
            <w:shd w:val="clear" w:color="auto" w:fill="auto"/>
            <w:vAlign w:val="center"/>
          </w:tcPr>
          <w:p w14:paraId="632E76A9" w14:textId="6CBBF2DB"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6AA" w14:textId="77777777" w:rsidR="00E90764" w:rsidRPr="00CF6322" w:rsidRDefault="00E90764" w:rsidP="001D1CF9">
            <w:pPr>
              <w:pStyle w:val="BodyText"/>
            </w:pPr>
          </w:p>
        </w:tc>
        <w:tc>
          <w:tcPr>
            <w:tcW w:w="439" w:type="dxa"/>
            <w:shd w:val="clear" w:color="auto" w:fill="auto"/>
            <w:vAlign w:val="center"/>
          </w:tcPr>
          <w:p w14:paraId="632E76AB" w14:textId="77777777" w:rsidR="00E90764" w:rsidRPr="00CF6322" w:rsidRDefault="00E90764" w:rsidP="001D1CF9">
            <w:pPr>
              <w:pStyle w:val="BodyText"/>
            </w:pPr>
          </w:p>
        </w:tc>
        <w:tc>
          <w:tcPr>
            <w:tcW w:w="441" w:type="dxa"/>
            <w:shd w:val="clear" w:color="auto" w:fill="auto"/>
            <w:vAlign w:val="center"/>
          </w:tcPr>
          <w:p w14:paraId="632E76AC" w14:textId="77777777" w:rsidR="00E90764" w:rsidRPr="00CF6322" w:rsidRDefault="00E90764" w:rsidP="001D1CF9">
            <w:pPr>
              <w:pStyle w:val="BodyText"/>
            </w:pPr>
          </w:p>
        </w:tc>
      </w:tr>
    </w:tbl>
    <w:p w14:paraId="632E76AF" w14:textId="77777777" w:rsidR="00E90764" w:rsidRPr="00E84419" w:rsidRDefault="0099166C" w:rsidP="00E84419">
      <w:pPr>
        <w:pStyle w:val="Heading4"/>
      </w:pPr>
      <w:r w:rsidRPr="00CF6322">
        <w:t>Our Performance</w:t>
      </w:r>
    </w:p>
    <w:p w14:paraId="632E76B1" w14:textId="27372BB6" w:rsidR="00E90764" w:rsidRPr="00CF6322" w:rsidRDefault="0099166C" w:rsidP="00E84419">
      <w:pPr>
        <w:pStyle w:val="Heading5"/>
      </w:pPr>
      <w:r w:rsidRPr="00CF6322">
        <w:t>Performance Measures for Primary Care Practice Incentives and Medical Indemnity – Program 1.7</w:t>
      </w:r>
    </w:p>
    <w:tbl>
      <w:tblPr>
        <w:tblW w:w="102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0" w:type="dxa"/>
        </w:tblCellMar>
        <w:tblLook w:val="01E0" w:firstRow="1" w:lastRow="1" w:firstColumn="1" w:lastColumn="1" w:noHBand="0" w:noVBand="0"/>
      </w:tblPr>
      <w:tblGrid>
        <w:gridCol w:w="2577"/>
        <w:gridCol w:w="2577"/>
        <w:gridCol w:w="2577"/>
        <w:gridCol w:w="2552"/>
      </w:tblGrid>
      <w:tr w:rsidR="00E90764" w:rsidRPr="00CF6322" w14:paraId="632E76B3" w14:textId="77777777" w:rsidTr="006E10D0">
        <w:trPr>
          <w:trHeight w:val="965"/>
          <w:tblHeader/>
        </w:trPr>
        <w:tc>
          <w:tcPr>
            <w:tcW w:w="10283" w:type="dxa"/>
            <w:gridSpan w:val="4"/>
            <w:shd w:val="clear" w:color="auto" w:fill="auto"/>
          </w:tcPr>
          <w:p w14:paraId="632E76B2" w14:textId="303B2484" w:rsidR="00E90764" w:rsidRPr="00E84419" w:rsidRDefault="0099166C" w:rsidP="001D1CF9">
            <w:pPr>
              <w:pStyle w:val="BodyText"/>
              <w:rPr>
                <w:rStyle w:val="Strong"/>
              </w:rPr>
            </w:pPr>
            <w:r w:rsidRPr="00E84419">
              <w:rPr>
                <w:rStyle w:val="Strong"/>
              </w:rPr>
              <w:t>Maintain Australia’s access to quality general practitioner care through the percentage of accredited general practices submitting Practice Incentive Program (PIP) Quality Improvement Incentive data to their Primary Health Network (PHN).</w:t>
            </w:r>
            <w:r w:rsidR="001B12B1">
              <w:rPr>
                <w:rStyle w:val="FootnoteReference"/>
                <w:b/>
                <w:bCs/>
              </w:rPr>
              <w:footnoteReference w:id="26"/>
            </w:r>
          </w:p>
        </w:tc>
      </w:tr>
      <w:tr w:rsidR="00E90764" w:rsidRPr="00CF6322" w14:paraId="632E76B8" w14:textId="77777777" w:rsidTr="005C3FDA">
        <w:trPr>
          <w:trHeight w:val="458"/>
        </w:trPr>
        <w:tc>
          <w:tcPr>
            <w:tcW w:w="2577" w:type="dxa"/>
            <w:shd w:val="clear" w:color="auto" w:fill="auto"/>
          </w:tcPr>
          <w:p w14:paraId="632E76B4" w14:textId="77777777" w:rsidR="00E90764" w:rsidRPr="00E84419" w:rsidRDefault="0099166C" w:rsidP="001D1CF9">
            <w:pPr>
              <w:pStyle w:val="BodyText"/>
              <w:rPr>
                <w:rStyle w:val="Strong"/>
              </w:rPr>
            </w:pPr>
            <w:r w:rsidRPr="00E84419">
              <w:rPr>
                <w:rStyle w:val="Strong"/>
              </w:rPr>
              <w:t>2021–22 Target</w:t>
            </w:r>
          </w:p>
        </w:tc>
        <w:tc>
          <w:tcPr>
            <w:tcW w:w="2577" w:type="dxa"/>
            <w:shd w:val="clear" w:color="auto" w:fill="auto"/>
          </w:tcPr>
          <w:p w14:paraId="632E76B5" w14:textId="77777777" w:rsidR="00E90764" w:rsidRPr="00E84419" w:rsidRDefault="0099166C" w:rsidP="001D1CF9">
            <w:pPr>
              <w:pStyle w:val="BodyText"/>
              <w:rPr>
                <w:rStyle w:val="Strong"/>
              </w:rPr>
            </w:pPr>
            <w:r w:rsidRPr="00E84419">
              <w:rPr>
                <w:rStyle w:val="Strong"/>
              </w:rPr>
              <w:t>2022–23 Target</w:t>
            </w:r>
          </w:p>
        </w:tc>
        <w:tc>
          <w:tcPr>
            <w:tcW w:w="2577" w:type="dxa"/>
            <w:shd w:val="clear" w:color="auto" w:fill="auto"/>
          </w:tcPr>
          <w:p w14:paraId="632E76B6" w14:textId="77777777" w:rsidR="00E90764" w:rsidRPr="00E84419" w:rsidRDefault="0099166C" w:rsidP="001D1CF9">
            <w:pPr>
              <w:pStyle w:val="BodyText"/>
              <w:rPr>
                <w:rStyle w:val="Strong"/>
              </w:rPr>
            </w:pPr>
            <w:r w:rsidRPr="00E84419">
              <w:rPr>
                <w:rStyle w:val="Strong"/>
              </w:rPr>
              <w:t>2023–24 Target</w:t>
            </w:r>
          </w:p>
        </w:tc>
        <w:tc>
          <w:tcPr>
            <w:tcW w:w="2552" w:type="dxa"/>
            <w:shd w:val="clear" w:color="auto" w:fill="auto"/>
          </w:tcPr>
          <w:p w14:paraId="632E76B7" w14:textId="77777777" w:rsidR="00E90764" w:rsidRPr="00E84419" w:rsidRDefault="0099166C" w:rsidP="001D1CF9">
            <w:pPr>
              <w:pStyle w:val="BodyText"/>
              <w:rPr>
                <w:rStyle w:val="Strong"/>
              </w:rPr>
            </w:pPr>
            <w:r w:rsidRPr="00E84419">
              <w:rPr>
                <w:rStyle w:val="Strong"/>
              </w:rPr>
              <w:t>2024–25 Target</w:t>
            </w:r>
          </w:p>
        </w:tc>
      </w:tr>
      <w:tr w:rsidR="00E90764" w:rsidRPr="00CF6322" w14:paraId="632E76BD" w14:textId="77777777" w:rsidTr="005C3FDA">
        <w:trPr>
          <w:trHeight w:val="465"/>
        </w:trPr>
        <w:tc>
          <w:tcPr>
            <w:tcW w:w="2577" w:type="dxa"/>
            <w:shd w:val="clear" w:color="auto" w:fill="auto"/>
          </w:tcPr>
          <w:p w14:paraId="632E76B9" w14:textId="77777777" w:rsidR="00E90764" w:rsidRPr="00CF6322" w:rsidRDefault="0099166C" w:rsidP="001D1CF9">
            <w:pPr>
              <w:pStyle w:val="BodyText"/>
            </w:pPr>
            <w:r w:rsidRPr="00CF6322">
              <w:t>≥89.0%</w:t>
            </w:r>
          </w:p>
        </w:tc>
        <w:tc>
          <w:tcPr>
            <w:tcW w:w="2577" w:type="dxa"/>
            <w:shd w:val="clear" w:color="auto" w:fill="auto"/>
          </w:tcPr>
          <w:p w14:paraId="632E76BA" w14:textId="77777777" w:rsidR="00E90764" w:rsidRPr="00CF6322" w:rsidRDefault="0099166C" w:rsidP="001D1CF9">
            <w:pPr>
              <w:pStyle w:val="BodyText"/>
            </w:pPr>
            <w:r w:rsidRPr="00CF6322">
              <w:t>≥92.0%</w:t>
            </w:r>
          </w:p>
        </w:tc>
        <w:tc>
          <w:tcPr>
            <w:tcW w:w="2577" w:type="dxa"/>
            <w:shd w:val="clear" w:color="auto" w:fill="auto"/>
          </w:tcPr>
          <w:p w14:paraId="632E76BB" w14:textId="77777777" w:rsidR="00E90764" w:rsidRPr="00CF6322" w:rsidRDefault="0099166C" w:rsidP="001D1CF9">
            <w:pPr>
              <w:pStyle w:val="BodyText"/>
            </w:pPr>
            <w:r w:rsidRPr="00CF6322">
              <w:t>≥94.0%</w:t>
            </w:r>
          </w:p>
        </w:tc>
        <w:tc>
          <w:tcPr>
            <w:tcW w:w="2552" w:type="dxa"/>
            <w:shd w:val="clear" w:color="auto" w:fill="auto"/>
          </w:tcPr>
          <w:p w14:paraId="632E76BC" w14:textId="77777777" w:rsidR="00E90764" w:rsidRPr="00CF6322" w:rsidRDefault="0099166C" w:rsidP="001D1CF9">
            <w:pPr>
              <w:pStyle w:val="BodyText"/>
            </w:pPr>
            <w:r w:rsidRPr="00CF6322">
              <w:t>≥95.0%</w:t>
            </w:r>
          </w:p>
        </w:tc>
      </w:tr>
      <w:tr w:rsidR="00E90764" w:rsidRPr="00CF6322" w14:paraId="632E76C6" w14:textId="77777777" w:rsidTr="005C3FDA">
        <w:trPr>
          <w:trHeight w:val="3089"/>
        </w:trPr>
        <w:tc>
          <w:tcPr>
            <w:tcW w:w="10283" w:type="dxa"/>
            <w:gridSpan w:val="4"/>
            <w:shd w:val="clear" w:color="auto" w:fill="auto"/>
          </w:tcPr>
          <w:p w14:paraId="632E76BE" w14:textId="77777777" w:rsidR="00E90764" w:rsidRPr="00CF6322" w:rsidRDefault="0099166C" w:rsidP="001D1CF9">
            <w:pPr>
              <w:pStyle w:val="Heading6"/>
            </w:pPr>
            <w:r w:rsidRPr="00CF6322">
              <w:t xml:space="preserve">Data source and </w:t>
            </w:r>
            <w:r w:rsidRPr="00E84419">
              <w:t>methodology</w:t>
            </w:r>
          </w:p>
          <w:p w14:paraId="632E76BF" w14:textId="0A94BB83" w:rsidR="00E90764" w:rsidRPr="00CF6322" w:rsidRDefault="0099166C" w:rsidP="001D1CF9">
            <w:pPr>
              <w:pStyle w:val="BodyText"/>
            </w:pPr>
            <w:r w:rsidRPr="00CF6322">
              <w:t>Data is obtained from Services Australia for the number of practices participating in PIP, and PHNs reporting practice participation results. This data is maintained internally by the Department. Data relating to accredited practices is obtained from the Australian Commission on Safety and Quality in Healthcare, and is maintained by them.</w:t>
            </w:r>
          </w:p>
          <w:p w14:paraId="632E76C1" w14:textId="77777777" w:rsidR="00E90764" w:rsidRPr="00CF6322" w:rsidRDefault="0099166C" w:rsidP="001D1CF9">
            <w:pPr>
              <w:pStyle w:val="Heading6"/>
            </w:pPr>
            <w:r w:rsidRPr="00E84419">
              <w:t>Measure</w:t>
            </w:r>
            <w:r w:rsidRPr="00CF6322">
              <w:t xml:space="preserve"> type</w:t>
            </w:r>
          </w:p>
          <w:p w14:paraId="632E76C2" w14:textId="77777777" w:rsidR="00E90764" w:rsidRPr="00CF6322" w:rsidRDefault="0099166C" w:rsidP="001D1CF9">
            <w:pPr>
              <w:pStyle w:val="BodyText"/>
            </w:pPr>
            <w:r w:rsidRPr="00CF6322">
              <w:t>Quantitative/Output</w:t>
            </w:r>
          </w:p>
          <w:p w14:paraId="632E76C4" w14:textId="77777777" w:rsidR="00E90764" w:rsidRPr="00CF6322" w:rsidRDefault="0099166C" w:rsidP="001D1CF9">
            <w:pPr>
              <w:pStyle w:val="Heading6"/>
            </w:pPr>
            <w:r w:rsidRPr="00E84419">
              <w:t>Discussion</w:t>
            </w:r>
          </w:p>
          <w:p w14:paraId="632E76C5" w14:textId="5AC32E10" w:rsidR="00E90764" w:rsidRPr="00CF6322" w:rsidRDefault="0099166C" w:rsidP="001D1CF9">
            <w:pPr>
              <w:pStyle w:val="BodyText"/>
            </w:pPr>
            <w:r w:rsidRPr="00CF6322">
              <w:t>This measure assesses whether PIP practices are gradually adopting continuous quality improvements that will enhance</w:t>
            </w:r>
            <w:r w:rsidR="00202747" w:rsidRPr="00CF6322">
              <w:t xml:space="preserve"> </w:t>
            </w:r>
            <w:r w:rsidRPr="00CF6322">
              <w:t>the effectiveness of the other PIP incentives and multiply the benefits to health outcomes.</w:t>
            </w:r>
          </w:p>
        </w:tc>
      </w:tr>
    </w:tbl>
    <w:p w14:paraId="632E76CB" w14:textId="77777777" w:rsidR="00E90764" w:rsidRPr="00CF6322" w:rsidRDefault="00E90764" w:rsidP="001D1CF9">
      <w:pPr>
        <w:pStyle w:val="BodyText"/>
      </w:pPr>
    </w:p>
    <w:tbl>
      <w:tblPr>
        <w:tblW w:w="102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0" w:type="dxa"/>
        </w:tblCellMar>
        <w:tblLook w:val="01E0" w:firstRow="1" w:lastRow="1" w:firstColumn="1" w:lastColumn="1" w:noHBand="0" w:noVBand="0"/>
      </w:tblPr>
      <w:tblGrid>
        <w:gridCol w:w="2577"/>
        <w:gridCol w:w="2577"/>
        <w:gridCol w:w="2577"/>
        <w:gridCol w:w="2552"/>
      </w:tblGrid>
      <w:tr w:rsidR="00E90764" w:rsidRPr="00CF6322" w14:paraId="632E76CD" w14:textId="77777777" w:rsidTr="006E10D0">
        <w:trPr>
          <w:trHeight w:val="715"/>
          <w:tblHeader/>
        </w:trPr>
        <w:tc>
          <w:tcPr>
            <w:tcW w:w="10283" w:type="dxa"/>
            <w:gridSpan w:val="4"/>
            <w:shd w:val="clear" w:color="auto" w:fill="auto"/>
          </w:tcPr>
          <w:p w14:paraId="632E76CC" w14:textId="17C449AA" w:rsidR="00E90764" w:rsidRPr="001B12B1" w:rsidRDefault="0099166C" w:rsidP="001D1CF9">
            <w:pPr>
              <w:pStyle w:val="BodyText"/>
              <w:rPr>
                <w:rStyle w:val="Strong"/>
              </w:rPr>
            </w:pPr>
            <w:r w:rsidRPr="001B12B1">
              <w:rPr>
                <w:rStyle w:val="Strong"/>
              </w:rPr>
              <w:lastRenderedPageBreak/>
              <w:t>Percentage of medical professionals who can access medical indemnity insurance without the application of a risk surcharge or a refusal of cover.</w:t>
            </w:r>
            <w:r w:rsidR="001B12B1">
              <w:rPr>
                <w:rStyle w:val="FootnoteReference"/>
                <w:b/>
                <w:bCs/>
              </w:rPr>
              <w:footnoteReference w:id="27"/>
            </w:r>
          </w:p>
        </w:tc>
      </w:tr>
      <w:tr w:rsidR="00E90764" w:rsidRPr="00CF6322" w14:paraId="632E76D2" w14:textId="77777777" w:rsidTr="005C3FDA">
        <w:trPr>
          <w:trHeight w:val="458"/>
        </w:trPr>
        <w:tc>
          <w:tcPr>
            <w:tcW w:w="2577" w:type="dxa"/>
            <w:shd w:val="clear" w:color="auto" w:fill="auto"/>
          </w:tcPr>
          <w:p w14:paraId="632E76CE" w14:textId="77777777" w:rsidR="00E90764" w:rsidRPr="001B12B1" w:rsidRDefault="0099166C" w:rsidP="001D1CF9">
            <w:pPr>
              <w:pStyle w:val="BodyText"/>
              <w:rPr>
                <w:rStyle w:val="Strong"/>
              </w:rPr>
            </w:pPr>
            <w:r w:rsidRPr="001B12B1">
              <w:rPr>
                <w:rStyle w:val="Strong"/>
              </w:rPr>
              <w:t>2021–22 Target</w:t>
            </w:r>
          </w:p>
        </w:tc>
        <w:tc>
          <w:tcPr>
            <w:tcW w:w="2577" w:type="dxa"/>
            <w:shd w:val="clear" w:color="auto" w:fill="auto"/>
          </w:tcPr>
          <w:p w14:paraId="632E76CF" w14:textId="77777777" w:rsidR="00E90764" w:rsidRPr="001B12B1" w:rsidRDefault="0099166C" w:rsidP="001D1CF9">
            <w:pPr>
              <w:pStyle w:val="BodyText"/>
              <w:rPr>
                <w:rStyle w:val="Strong"/>
              </w:rPr>
            </w:pPr>
            <w:r w:rsidRPr="001B12B1">
              <w:rPr>
                <w:rStyle w:val="Strong"/>
              </w:rPr>
              <w:t>2022–23 Target</w:t>
            </w:r>
          </w:p>
        </w:tc>
        <w:tc>
          <w:tcPr>
            <w:tcW w:w="2577" w:type="dxa"/>
            <w:shd w:val="clear" w:color="auto" w:fill="auto"/>
          </w:tcPr>
          <w:p w14:paraId="632E76D0" w14:textId="77777777" w:rsidR="00E90764" w:rsidRPr="001B12B1" w:rsidRDefault="0099166C" w:rsidP="001D1CF9">
            <w:pPr>
              <w:pStyle w:val="BodyText"/>
              <w:rPr>
                <w:rStyle w:val="Strong"/>
              </w:rPr>
            </w:pPr>
            <w:r w:rsidRPr="001B12B1">
              <w:rPr>
                <w:rStyle w:val="Strong"/>
              </w:rPr>
              <w:t>2023–24 Target</w:t>
            </w:r>
          </w:p>
        </w:tc>
        <w:tc>
          <w:tcPr>
            <w:tcW w:w="2552" w:type="dxa"/>
            <w:shd w:val="clear" w:color="auto" w:fill="auto"/>
          </w:tcPr>
          <w:p w14:paraId="632E76D1" w14:textId="77777777" w:rsidR="00E90764" w:rsidRPr="001B12B1" w:rsidRDefault="0099166C" w:rsidP="001D1CF9">
            <w:pPr>
              <w:pStyle w:val="BodyText"/>
              <w:rPr>
                <w:rStyle w:val="Strong"/>
              </w:rPr>
            </w:pPr>
            <w:r w:rsidRPr="001B12B1">
              <w:rPr>
                <w:rStyle w:val="Strong"/>
              </w:rPr>
              <w:t>2024–25 Target</w:t>
            </w:r>
          </w:p>
        </w:tc>
      </w:tr>
      <w:tr w:rsidR="00E90764" w:rsidRPr="00CF6322" w14:paraId="632E76D7" w14:textId="77777777" w:rsidTr="005C3FDA">
        <w:trPr>
          <w:trHeight w:val="465"/>
        </w:trPr>
        <w:tc>
          <w:tcPr>
            <w:tcW w:w="2577" w:type="dxa"/>
            <w:shd w:val="clear" w:color="auto" w:fill="auto"/>
          </w:tcPr>
          <w:p w14:paraId="632E76D3" w14:textId="77777777" w:rsidR="00E90764" w:rsidRPr="00CF6322" w:rsidRDefault="0099166C" w:rsidP="001D1CF9">
            <w:pPr>
              <w:pStyle w:val="BodyText"/>
            </w:pPr>
            <w:r w:rsidRPr="00CF6322">
              <w:t>95.0%</w:t>
            </w:r>
          </w:p>
        </w:tc>
        <w:tc>
          <w:tcPr>
            <w:tcW w:w="2577" w:type="dxa"/>
            <w:shd w:val="clear" w:color="auto" w:fill="auto"/>
          </w:tcPr>
          <w:p w14:paraId="632E76D4" w14:textId="77777777" w:rsidR="00E90764" w:rsidRPr="00CF6322" w:rsidRDefault="0099166C" w:rsidP="001D1CF9">
            <w:pPr>
              <w:pStyle w:val="BodyText"/>
            </w:pPr>
            <w:r w:rsidRPr="00CF6322">
              <w:t>95.0%</w:t>
            </w:r>
          </w:p>
        </w:tc>
        <w:tc>
          <w:tcPr>
            <w:tcW w:w="2577" w:type="dxa"/>
            <w:shd w:val="clear" w:color="auto" w:fill="auto"/>
          </w:tcPr>
          <w:p w14:paraId="632E76D5" w14:textId="77777777" w:rsidR="00E90764" w:rsidRPr="00CF6322" w:rsidRDefault="0099166C" w:rsidP="001D1CF9">
            <w:pPr>
              <w:pStyle w:val="BodyText"/>
            </w:pPr>
            <w:r w:rsidRPr="00CF6322">
              <w:t>95.0%</w:t>
            </w:r>
          </w:p>
        </w:tc>
        <w:tc>
          <w:tcPr>
            <w:tcW w:w="2552" w:type="dxa"/>
            <w:shd w:val="clear" w:color="auto" w:fill="auto"/>
          </w:tcPr>
          <w:p w14:paraId="632E76D6" w14:textId="77777777" w:rsidR="00E90764" w:rsidRPr="00CF6322" w:rsidRDefault="0099166C" w:rsidP="001D1CF9">
            <w:pPr>
              <w:pStyle w:val="BodyText"/>
            </w:pPr>
            <w:r w:rsidRPr="00CF6322">
              <w:t>95.0%</w:t>
            </w:r>
          </w:p>
        </w:tc>
      </w:tr>
      <w:tr w:rsidR="00E90764" w:rsidRPr="00CF6322" w14:paraId="632E76E1" w14:textId="77777777" w:rsidTr="005C3FDA">
        <w:trPr>
          <w:trHeight w:val="3759"/>
        </w:trPr>
        <w:tc>
          <w:tcPr>
            <w:tcW w:w="10283" w:type="dxa"/>
            <w:gridSpan w:val="4"/>
            <w:shd w:val="clear" w:color="auto" w:fill="auto"/>
          </w:tcPr>
          <w:p w14:paraId="632E76D8" w14:textId="77777777" w:rsidR="00E90764" w:rsidRPr="00CF6322" w:rsidRDefault="0099166C" w:rsidP="001D1CF9">
            <w:pPr>
              <w:pStyle w:val="Heading6"/>
            </w:pPr>
            <w:r w:rsidRPr="00CF6322">
              <w:t xml:space="preserve">Data source and </w:t>
            </w:r>
            <w:r w:rsidRPr="001B12B1">
              <w:t>methodology</w:t>
            </w:r>
          </w:p>
          <w:p w14:paraId="632E76D9" w14:textId="3E653DFE" w:rsidR="00E90764" w:rsidRPr="00CF6322" w:rsidRDefault="0099166C" w:rsidP="001D1CF9">
            <w:pPr>
              <w:pStyle w:val="BodyText"/>
            </w:pPr>
            <w:r w:rsidRPr="00CF6322">
              <w:t>Medical indemnity insurers provide data to the Department annually. Results are available on the Department’s website</w:t>
            </w:r>
            <w:r w:rsidR="001B12B1">
              <w:rPr>
                <w:rStyle w:val="FootnoteReference"/>
              </w:rPr>
              <w:footnoteReference w:id="28"/>
            </w:r>
            <w:r w:rsidRPr="00CF6322">
              <w:t>, where the number of refusals of cover and the application of risk surcharges for medical practitioners is also available.</w:t>
            </w:r>
          </w:p>
          <w:p w14:paraId="632E76DB" w14:textId="77777777" w:rsidR="00E90764" w:rsidRPr="00CF6322" w:rsidRDefault="0099166C" w:rsidP="001D1CF9">
            <w:pPr>
              <w:pStyle w:val="Heading6"/>
            </w:pPr>
            <w:r w:rsidRPr="00CF6322">
              <w:t xml:space="preserve">Measure </w:t>
            </w:r>
            <w:r w:rsidRPr="001B12B1">
              <w:t>type</w:t>
            </w:r>
          </w:p>
          <w:p w14:paraId="632E76DC" w14:textId="77777777" w:rsidR="00E90764" w:rsidRPr="00CF6322" w:rsidRDefault="0099166C" w:rsidP="001D1CF9">
            <w:pPr>
              <w:pStyle w:val="BodyText"/>
            </w:pPr>
            <w:r w:rsidRPr="00CF6322">
              <w:t>Quantitative/Effectiveness</w:t>
            </w:r>
          </w:p>
          <w:p w14:paraId="632E76DE" w14:textId="77777777" w:rsidR="00E90764" w:rsidRPr="00CF6322" w:rsidRDefault="0099166C" w:rsidP="001D1CF9">
            <w:pPr>
              <w:pStyle w:val="Heading6"/>
            </w:pPr>
            <w:r w:rsidRPr="001B12B1">
              <w:t>Discussion</w:t>
            </w:r>
          </w:p>
          <w:p w14:paraId="632E76DF" w14:textId="0D9E95C8" w:rsidR="00E90764" w:rsidRPr="00CF6322" w:rsidRDefault="0099166C" w:rsidP="001D1CF9">
            <w:pPr>
              <w:pStyle w:val="BodyText"/>
            </w:pPr>
            <w:r w:rsidRPr="00CF6322">
              <w:t>This measure assesses the effectiveness of legislative changes made under the Medical Indemnity Reform. A reduction in the number of refusals and risk surcharge applications applied to premiums demonstrates the changes are successful in ensuring accessible and affordable medical indemnity cover.</w:t>
            </w:r>
          </w:p>
          <w:p w14:paraId="632E76E0" w14:textId="77777777" w:rsidR="00E90764" w:rsidRPr="00CF6322" w:rsidRDefault="0099166C" w:rsidP="001D1CF9">
            <w:pPr>
              <w:pStyle w:val="BodyText"/>
            </w:pPr>
            <w:r w:rsidRPr="00CF6322">
              <w:t>As this measure is new, the 95% target is considered a reasonable estimate to allow for non-compliant practitioners where an insurer may refuse cover if the risk is deemed to be too high.</w:t>
            </w:r>
          </w:p>
        </w:tc>
      </w:tr>
    </w:tbl>
    <w:p w14:paraId="6C0FEE08" w14:textId="77777777" w:rsidR="00E26861" w:rsidRDefault="00E26861" w:rsidP="00E26861"/>
    <w:p w14:paraId="3745B174" w14:textId="77777777" w:rsidR="00E26861" w:rsidRDefault="00E26861" w:rsidP="00E26861">
      <w:r>
        <w:br w:type="page"/>
      </w:r>
    </w:p>
    <w:p w14:paraId="3B715CA7" w14:textId="3A2BA42A" w:rsidR="001B12B1" w:rsidRPr="001B12B1" w:rsidRDefault="001B12B1" w:rsidP="001B12B1">
      <w:pPr>
        <w:pStyle w:val="Heading3"/>
      </w:pPr>
      <w:r w:rsidRPr="001B12B1">
        <w:lastRenderedPageBreak/>
        <w:t>1.8 - Health Protection, Emergency Response and Regulation</w:t>
      </w:r>
    </w:p>
    <w:p w14:paraId="632E76EA" w14:textId="77777777" w:rsidR="00E90764" w:rsidRPr="001B12B1" w:rsidRDefault="0099166C" w:rsidP="001B12B1">
      <w:pPr>
        <w:pStyle w:val="Heading4"/>
      </w:pPr>
      <w:r w:rsidRPr="001B12B1">
        <w:t>Program Objective</w:t>
      </w:r>
    </w:p>
    <w:p w14:paraId="26AB8806" w14:textId="77777777" w:rsidR="001B12B1" w:rsidRDefault="001B12B1" w:rsidP="001D1CF9">
      <w:pPr>
        <w:pStyle w:val="BodyText"/>
        <w:rPr>
          <w:color w:val="000000"/>
        </w:rPr>
      </w:pPr>
      <w:r>
        <w:t>Protect</w:t>
      </w:r>
      <w:r>
        <w:rPr>
          <w:spacing w:val="2"/>
        </w:rPr>
        <w:t xml:space="preserve"> </w:t>
      </w:r>
      <w:r>
        <w:t>the</w:t>
      </w:r>
      <w:r>
        <w:rPr>
          <w:spacing w:val="3"/>
        </w:rPr>
        <w:t xml:space="preserve"> </w:t>
      </w:r>
      <w:r>
        <w:t>health</w:t>
      </w:r>
      <w:r>
        <w:rPr>
          <w:spacing w:val="3"/>
        </w:rPr>
        <w:t xml:space="preserve"> </w:t>
      </w:r>
      <w:r>
        <w:t>of</w:t>
      </w:r>
      <w:r>
        <w:rPr>
          <w:spacing w:val="3"/>
        </w:rPr>
        <w:t xml:space="preserve"> </w:t>
      </w:r>
      <w:r>
        <w:t>the</w:t>
      </w:r>
      <w:r>
        <w:rPr>
          <w:spacing w:val="3"/>
        </w:rPr>
        <w:t xml:space="preserve"> </w:t>
      </w:r>
      <w:r>
        <w:t>Australian</w:t>
      </w:r>
      <w:r>
        <w:rPr>
          <w:spacing w:val="3"/>
        </w:rPr>
        <w:t xml:space="preserve"> </w:t>
      </w:r>
      <w:r>
        <w:t>community</w:t>
      </w:r>
      <w:r>
        <w:rPr>
          <w:spacing w:val="3"/>
        </w:rPr>
        <w:t xml:space="preserve"> </w:t>
      </w:r>
      <w:r>
        <w:t>through</w:t>
      </w:r>
      <w:r>
        <w:rPr>
          <w:spacing w:val="2"/>
        </w:rPr>
        <w:t xml:space="preserve"> </w:t>
      </w:r>
      <w:r>
        <w:t>national</w:t>
      </w:r>
      <w:r>
        <w:rPr>
          <w:spacing w:val="3"/>
        </w:rPr>
        <w:t xml:space="preserve"> </w:t>
      </w:r>
      <w:r>
        <w:t>leadership</w:t>
      </w:r>
      <w:r>
        <w:rPr>
          <w:spacing w:val="4"/>
        </w:rPr>
        <w:t xml:space="preserve"> </w:t>
      </w:r>
      <w:r>
        <w:t>and</w:t>
      </w:r>
      <w:r>
        <w:rPr>
          <w:spacing w:val="3"/>
        </w:rPr>
        <w:t xml:space="preserve"> </w:t>
      </w:r>
      <w:r>
        <w:t>capacity</w:t>
      </w:r>
      <w:r>
        <w:rPr>
          <w:spacing w:val="3"/>
        </w:rPr>
        <w:t xml:space="preserve"> </w:t>
      </w:r>
      <w:r>
        <w:t>building</w:t>
      </w:r>
      <w:r>
        <w:rPr>
          <w:spacing w:val="3"/>
        </w:rPr>
        <w:t xml:space="preserve"> </w:t>
      </w:r>
      <w:r>
        <w:t>to</w:t>
      </w:r>
      <w:r>
        <w:rPr>
          <w:spacing w:val="3"/>
        </w:rPr>
        <w:t xml:space="preserve"> </w:t>
      </w:r>
      <w:r>
        <w:t>detect,</w:t>
      </w:r>
      <w:r>
        <w:rPr>
          <w:spacing w:val="1"/>
        </w:rPr>
        <w:t xml:space="preserve"> </w:t>
      </w:r>
      <w:r>
        <w:t>prevent, prepare</w:t>
      </w:r>
      <w:r>
        <w:rPr>
          <w:spacing w:val="1"/>
        </w:rPr>
        <w:t xml:space="preserve"> </w:t>
      </w:r>
      <w:r>
        <w:t>for, and</w:t>
      </w:r>
      <w:r>
        <w:rPr>
          <w:spacing w:val="1"/>
        </w:rPr>
        <w:t xml:space="preserve"> </w:t>
      </w:r>
      <w:r>
        <w:t>respond</w:t>
      </w:r>
      <w:r>
        <w:rPr>
          <w:spacing w:val="1"/>
        </w:rPr>
        <w:t xml:space="preserve"> </w:t>
      </w:r>
      <w:r>
        <w:t>to, threats</w:t>
      </w:r>
      <w:r>
        <w:rPr>
          <w:spacing w:val="1"/>
        </w:rPr>
        <w:t xml:space="preserve"> </w:t>
      </w:r>
      <w:r>
        <w:t>to public</w:t>
      </w:r>
      <w:r>
        <w:rPr>
          <w:spacing w:val="1"/>
        </w:rPr>
        <w:t xml:space="preserve"> </w:t>
      </w:r>
      <w:r>
        <w:t>health</w:t>
      </w:r>
      <w:r>
        <w:rPr>
          <w:spacing w:val="1"/>
        </w:rPr>
        <w:t xml:space="preserve"> </w:t>
      </w:r>
      <w:r>
        <w:t>and safety,</w:t>
      </w:r>
      <w:r>
        <w:rPr>
          <w:spacing w:val="1"/>
        </w:rPr>
        <w:t xml:space="preserve"> </w:t>
      </w:r>
      <w:r>
        <w:t>including those</w:t>
      </w:r>
      <w:r>
        <w:rPr>
          <w:spacing w:val="1"/>
        </w:rPr>
        <w:t xml:space="preserve"> </w:t>
      </w:r>
      <w:r>
        <w:t>arising</w:t>
      </w:r>
      <w:r>
        <w:rPr>
          <w:spacing w:val="1"/>
        </w:rPr>
        <w:t xml:space="preserve"> </w:t>
      </w:r>
      <w:r>
        <w:t>from</w:t>
      </w:r>
      <w:r>
        <w:rPr>
          <w:spacing w:val="1"/>
        </w:rPr>
        <w:t xml:space="preserve"> </w:t>
      </w:r>
      <w:r>
        <w:t>communicable</w:t>
      </w:r>
      <w:r>
        <w:rPr>
          <w:spacing w:val="5"/>
        </w:rPr>
        <w:t xml:space="preserve"> </w:t>
      </w:r>
      <w:r>
        <w:t>diseases,</w:t>
      </w:r>
      <w:r>
        <w:rPr>
          <w:spacing w:val="6"/>
        </w:rPr>
        <w:t xml:space="preserve"> </w:t>
      </w:r>
      <w:r>
        <w:t>natural</w:t>
      </w:r>
      <w:r>
        <w:rPr>
          <w:spacing w:val="5"/>
        </w:rPr>
        <w:t xml:space="preserve"> </w:t>
      </w:r>
      <w:r>
        <w:t>disasters,</w:t>
      </w:r>
      <w:r>
        <w:rPr>
          <w:spacing w:val="6"/>
        </w:rPr>
        <w:t xml:space="preserve"> </w:t>
      </w:r>
      <w:r>
        <w:t>acts</w:t>
      </w:r>
      <w:r>
        <w:rPr>
          <w:spacing w:val="5"/>
        </w:rPr>
        <w:t xml:space="preserve"> </w:t>
      </w:r>
      <w:r>
        <w:t>of</w:t>
      </w:r>
      <w:r>
        <w:rPr>
          <w:spacing w:val="6"/>
        </w:rPr>
        <w:t xml:space="preserve"> </w:t>
      </w:r>
      <w:r>
        <w:t>terrorism</w:t>
      </w:r>
      <w:r>
        <w:rPr>
          <w:spacing w:val="5"/>
        </w:rPr>
        <w:t xml:space="preserve"> </w:t>
      </w:r>
      <w:r>
        <w:t>and</w:t>
      </w:r>
      <w:r>
        <w:rPr>
          <w:spacing w:val="6"/>
        </w:rPr>
        <w:t xml:space="preserve"> </w:t>
      </w:r>
      <w:r>
        <w:t>other</w:t>
      </w:r>
      <w:r>
        <w:rPr>
          <w:spacing w:val="5"/>
        </w:rPr>
        <w:t xml:space="preserve"> </w:t>
      </w:r>
      <w:r>
        <w:t>incidents</w:t>
      </w:r>
      <w:r>
        <w:rPr>
          <w:spacing w:val="6"/>
        </w:rPr>
        <w:t xml:space="preserve"> </w:t>
      </w:r>
      <w:r>
        <w:t>that</w:t>
      </w:r>
      <w:r>
        <w:rPr>
          <w:spacing w:val="5"/>
        </w:rPr>
        <w:t xml:space="preserve"> </w:t>
      </w:r>
      <w:r>
        <w:t>may</w:t>
      </w:r>
      <w:r>
        <w:rPr>
          <w:spacing w:val="6"/>
        </w:rPr>
        <w:t xml:space="preserve"> </w:t>
      </w:r>
      <w:r>
        <w:t>lead</w:t>
      </w:r>
      <w:r>
        <w:rPr>
          <w:spacing w:val="5"/>
        </w:rPr>
        <w:t xml:space="preserve"> </w:t>
      </w:r>
      <w:r>
        <w:t>to</w:t>
      </w:r>
      <w:r>
        <w:rPr>
          <w:spacing w:val="6"/>
        </w:rPr>
        <w:t xml:space="preserve"> </w:t>
      </w:r>
      <w:r>
        <w:t>morbidity</w:t>
      </w:r>
      <w:r>
        <w:rPr>
          <w:spacing w:val="1"/>
        </w:rPr>
        <w:t xml:space="preserve"> </w:t>
      </w:r>
      <w:r>
        <w:t>and</w:t>
      </w:r>
      <w:r>
        <w:rPr>
          <w:spacing w:val="4"/>
        </w:rPr>
        <w:t xml:space="preserve"> </w:t>
      </w:r>
      <w:r>
        <w:t>mortality</w:t>
      </w:r>
      <w:r>
        <w:rPr>
          <w:spacing w:val="4"/>
        </w:rPr>
        <w:t xml:space="preserve"> </w:t>
      </w:r>
      <w:r>
        <w:t>and</w:t>
      </w:r>
      <w:r>
        <w:rPr>
          <w:spacing w:val="4"/>
        </w:rPr>
        <w:t xml:space="preserve"> </w:t>
      </w:r>
      <w:r>
        <w:t>significant</w:t>
      </w:r>
      <w:r>
        <w:rPr>
          <w:spacing w:val="4"/>
        </w:rPr>
        <w:t xml:space="preserve"> </w:t>
      </w:r>
      <w:r>
        <w:t>burden</w:t>
      </w:r>
      <w:r>
        <w:rPr>
          <w:spacing w:val="5"/>
        </w:rPr>
        <w:t xml:space="preserve"> </w:t>
      </w:r>
      <w:r>
        <w:t>on</w:t>
      </w:r>
      <w:r>
        <w:rPr>
          <w:spacing w:val="4"/>
        </w:rPr>
        <w:t xml:space="preserve"> </w:t>
      </w:r>
      <w:r>
        <w:t>the</w:t>
      </w:r>
      <w:r>
        <w:rPr>
          <w:spacing w:val="4"/>
        </w:rPr>
        <w:t xml:space="preserve"> </w:t>
      </w:r>
      <w:r>
        <w:t>health</w:t>
      </w:r>
      <w:r>
        <w:rPr>
          <w:spacing w:val="4"/>
        </w:rPr>
        <w:t xml:space="preserve"> </w:t>
      </w:r>
      <w:r>
        <w:t>system.</w:t>
      </w:r>
      <w:r>
        <w:rPr>
          <w:spacing w:val="4"/>
        </w:rPr>
        <w:t xml:space="preserve"> </w:t>
      </w:r>
      <w:r>
        <w:t>Protect</w:t>
      </w:r>
      <w:r>
        <w:rPr>
          <w:spacing w:val="5"/>
        </w:rPr>
        <w:t xml:space="preserve"> </w:t>
      </w:r>
      <w:r>
        <w:t>human</w:t>
      </w:r>
      <w:r>
        <w:rPr>
          <w:spacing w:val="4"/>
        </w:rPr>
        <w:t xml:space="preserve"> </w:t>
      </w:r>
      <w:r>
        <w:t>health</w:t>
      </w:r>
      <w:r>
        <w:rPr>
          <w:spacing w:val="4"/>
        </w:rPr>
        <w:t xml:space="preserve"> </w:t>
      </w:r>
      <w:r>
        <w:t>and</w:t>
      </w:r>
      <w:r>
        <w:rPr>
          <w:spacing w:val="4"/>
        </w:rPr>
        <w:t xml:space="preserve"> </w:t>
      </w:r>
      <w:r>
        <w:t>the</w:t>
      </w:r>
      <w:r>
        <w:rPr>
          <w:spacing w:val="4"/>
        </w:rPr>
        <w:t xml:space="preserve"> </w:t>
      </w:r>
      <w:r>
        <w:t>environment</w:t>
      </w:r>
      <w:r>
        <w:rPr>
          <w:spacing w:val="5"/>
        </w:rPr>
        <w:t xml:space="preserve"> </w:t>
      </w:r>
      <w:r>
        <w:t>through</w:t>
      </w:r>
      <w:r>
        <w:rPr>
          <w:spacing w:val="-50"/>
        </w:rPr>
        <w:t xml:space="preserve"> </w:t>
      </w:r>
      <w:r>
        <w:t>regulatory</w:t>
      </w:r>
      <w:r>
        <w:rPr>
          <w:spacing w:val="2"/>
        </w:rPr>
        <w:t xml:space="preserve"> </w:t>
      </w:r>
      <w:r>
        <w:t>oversight</w:t>
      </w:r>
      <w:r>
        <w:rPr>
          <w:spacing w:val="3"/>
        </w:rPr>
        <w:t xml:space="preserve"> </w:t>
      </w:r>
      <w:r>
        <w:t>of:</w:t>
      </w:r>
      <w:r>
        <w:rPr>
          <w:spacing w:val="3"/>
        </w:rPr>
        <w:t xml:space="preserve"> </w:t>
      </w:r>
      <w:r>
        <w:t>therapeutic</w:t>
      </w:r>
      <w:r>
        <w:rPr>
          <w:spacing w:val="2"/>
        </w:rPr>
        <w:t xml:space="preserve"> </w:t>
      </w:r>
      <w:r>
        <w:t>goods;</w:t>
      </w:r>
      <w:r>
        <w:rPr>
          <w:spacing w:val="3"/>
        </w:rPr>
        <w:t xml:space="preserve"> </w:t>
      </w:r>
      <w:r>
        <w:t>controlled</w:t>
      </w:r>
      <w:r>
        <w:rPr>
          <w:spacing w:val="3"/>
        </w:rPr>
        <w:t xml:space="preserve"> </w:t>
      </w:r>
      <w:r>
        <w:t>drugs;</w:t>
      </w:r>
      <w:r>
        <w:rPr>
          <w:spacing w:val="3"/>
        </w:rPr>
        <w:t xml:space="preserve"> </w:t>
      </w:r>
      <w:r>
        <w:t>genetically</w:t>
      </w:r>
      <w:r>
        <w:rPr>
          <w:spacing w:val="2"/>
        </w:rPr>
        <w:t xml:space="preserve"> </w:t>
      </w:r>
      <w:r>
        <w:t>modified</w:t>
      </w:r>
      <w:r>
        <w:rPr>
          <w:spacing w:val="3"/>
        </w:rPr>
        <w:t xml:space="preserve"> </w:t>
      </w:r>
      <w:r>
        <w:t>organisms</w:t>
      </w:r>
      <w:r>
        <w:rPr>
          <w:spacing w:val="3"/>
        </w:rPr>
        <w:t xml:space="preserve"> </w:t>
      </w:r>
      <w:r>
        <w:t>(GMOs);</w:t>
      </w:r>
      <w:r>
        <w:rPr>
          <w:spacing w:val="2"/>
        </w:rPr>
        <w:t xml:space="preserve"> </w:t>
      </w:r>
      <w:r>
        <w:t>and</w:t>
      </w:r>
      <w:r>
        <w:rPr>
          <w:spacing w:val="1"/>
        </w:rPr>
        <w:t xml:space="preserve"> </w:t>
      </w:r>
      <w:r>
        <w:t>industrial chemicals.</w:t>
      </w:r>
    </w:p>
    <w:p w14:paraId="632E76EE" w14:textId="77777777" w:rsidR="00E90764" w:rsidRPr="00CF6322" w:rsidRDefault="0099166C" w:rsidP="001B12B1">
      <w:pPr>
        <w:pStyle w:val="Heading4"/>
      </w:pPr>
      <w:r w:rsidRPr="00CF6322">
        <w:t xml:space="preserve">Our </w:t>
      </w:r>
      <w:r w:rsidRPr="001B12B1">
        <w:t>O</w:t>
      </w:r>
      <w:r w:rsidRPr="00CF6322">
        <w:t>perating Focus</w:t>
      </w:r>
    </w:p>
    <w:p w14:paraId="632E76EF" w14:textId="6D8608D2" w:rsidR="00E90764" w:rsidRPr="00CF6322" w:rsidRDefault="0099166C" w:rsidP="001D1CF9">
      <w:pPr>
        <w:pStyle w:val="BodyText"/>
      </w:pPr>
      <w:r w:rsidRPr="00CF6322">
        <w:t>Australia is currently facing one of the greatest health challenges in its history. The response to the COVID-19 pandemic has demonstrated the critical importance of maintaining and strengthening Australia’s health emergency</w:t>
      </w:r>
      <w:r w:rsidR="00202747" w:rsidRPr="00CF6322">
        <w:t xml:space="preserve"> </w:t>
      </w:r>
      <w:r w:rsidRPr="00CF6322">
        <w:t>preparedness and response capacity and capabilities.</w:t>
      </w:r>
    </w:p>
    <w:p w14:paraId="632E76F0" w14:textId="4A0D45D1" w:rsidR="00E90764" w:rsidRPr="00CF6322" w:rsidRDefault="0099166C" w:rsidP="001D1CF9">
      <w:pPr>
        <w:pStyle w:val="BodyText"/>
      </w:pPr>
      <w:r w:rsidRPr="00CF6322">
        <w:t>Our National Incident Centre (NIC) is responsible for ensuring the national health sector has integrated and coordinated arrangements in place to prepare for and respond to domestic and international health emergencies and emergencies with a health impact.</w:t>
      </w:r>
    </w:p>
    <w:p w14:paraId="632E76F2" w14:textId="74ABF498" w:rsidR="00E90764" w:rsidRPr="00CF6322" w:rsidRDefault="0099166C" w:rsidP="001D1CF9">
      <w:pPr>
        <w:pStyle w:val="BodyText"/>
      </w:pPr>
      <w:r w:rsidRPr="00CF6322">
        <w:t>The NIC also ensures that all obligations are met as Australia’s National Focal Point under the International Health Regulations (2005). The NIC is pivotal in developing robust technical and medical advice through the Australian</w:t>
      </w:r>
      <w:r w:rsidR="00202747" w:rsidRPr="00CF6322">
        <w:t xml:space="preserve"> </w:t>
      </w:r>
      <w:r w:rsidRPr="00CF6322">
        <w:t>Health Protection Principal Committee to inform decision making by the Cabinet and various sub-committees</w:t>
      </w:r>
      <w:r w:rsidR="002965C7" w:rsidRPr="00CF6322">
        <w:t xml:space="preserve"> </w:t>
      </w:r>
      <w:r w:rsidRPr="00CF6322">
        <w:t>of Cabinet, National Coordination Mechanism and the National Cabinet.</w:t>
      </w:r>
    </w:p>
    <w:p w14:paraId="632E76F4" w14:textId="4A34B4DA" w:rsidR="00E90764" w:rsidRPr="00CF6322" w:rsidRDefault="0099166C" w:rsidP="001D1CF9">
      <w:pPr>
        <w:pStyle w:val="BodyText"/>
      </w:pPr>
      <w:r w:rsidRPr="00CF6322">
        <w:t>We continue to collaborate with international counterparts</w:t>
      </w:r>
      <w:r w:rsidR="00202747" w:rsidRPr="00CF6322">
        <w:t xml:space="preserve"> </w:t>
      </w:r>
      <w:r w:rsidRPr="00CF6322">
        <w:t>to respond to the COVID-19 pandemic. Our ongoing engagement assists our awareness of emerging treatments, diagnostics and vaccines, as well as supply issues for existing products. A priority of our response</w:t>
      </w:r>
      <w:r w:rsidR="005C3FDA">
        <w:t xml:space="preserve"> </w:t>
      </w:r>
      <w:r w:rsidRPr="00CF6322">
        <w:t>is to expedite medicines and medical devices that are associated with COVID-19 without compromising safety,</w:t>
      </w:r>
      <w:r w:rsidR="001B12B1">
        <w:t xml:space="preserve"> </w:t>
      </w:r>
      <w:r w:rsidRPr="00CF6322">
        <w:t xml:space="preserve">and work together with our international regulatory counterparts. We will ensure the </w:t>
      </w:r>
      <w:proofErr w:type="spellStart"/>
      <w:r w:rsidRPr="00CF6322">
        <w:t>COVIDSafe</w:t>
      </w:r>
      <w:proofErr w:type="spellEnd"/>
      <w:r w:rsidRPr="00CF6322">
        <w:t xml:space="preserve"> app is strategically managed to support Australian health protection objectives.</w:t>
      </w:r>
    </w:p>
    <w:p w14:paraId="632E76F8" w14:textId="6D5686FA" w:rsidR="00E90764" w:rsidRPr="00CF6322" w:rsidRDefault="0099166C" w:rsidP="001D1CF9">
      <w:pPr>
        <w:pStyle w:val="BodyText"/>
      </w:pPr>
      <w:r w:rsidRPr="00CF6322">
        <w:t xml:space="preserve">Preparedness and response activities not related to the pandemic have continued, however these have been impacted by our </w:t>
      </w:r>
      <w:proofErr w:type="spellStart"/>
      <w:r w:rsidRPr="00CF6322">
        <w:t>mobilisation</w:t>
      </w:r>
      <w:proofErr w:type="spellEnd"/>
      <w:r w:rsidRPr="00CF6322">
        <w:t xml:space="preserve"> response activities during the pandemic. We will continue to assess and monitor</w:t>
      </w:r>
      <w:r w:rsidR="001B12B1">
        <w:t xml:space="preserve"> </w:t>
      </w:r>
      <w:r w:rsidRPr="00CF6322">
        <w:t>therapeutic goods available in Australia to ensure they are of an acceptable standard and that the Australian community has access to new and emerging therapeutic goods.</w:t>
      </w:r>
      <w:r w:rsidR="001B12B1">
        <w:t xml:space="preserve"> </w:t>
      </w:r>
      <w:r w:rsidRPr="00CF6322">
        <w:t>Scientific advancements in therapeutic goods offer better outcomes for Australians, therefore our regulatory</w:t>
      </w:r>
      <w:r w:rsidR="001B12B1">
        <w:t xml:space="preserve"> </w:t>
      </w:r>
      <w:r w:rsidRPr="00CF6322">
        <w:t>framework needs to safeguard consumers whilst being contemporary, adaptable and supportive of innovation.</w:t>
      </w:r>
      <w:r w:rsidR="002965C7" w:rsidRPr="00CF6322">
        <w:t xml:space="preserve"> </w:t>
      </w:r>
      <w:r w:rsidRPr="00CF6322">
        <w:t>Our education activities, including in response to emerging issues, will assist businesses to apply and comply with the regulatory requirements.</w:t>
      </w:r>
    </w:p>
    <w:p w14:paraId="632E76F9" w14:textId="29441E78" w:rsidR="00E90764" w:rsidRPr="00CF6322" w:rsidRDefault="0099166C" w:rsidP="001D1CF9">
      <w:pPr>
        <w:pStyle w:val="BodyText"/>
      </w:pPr>
      <w:r w:rsidRPr="00CF6322">
        <w:t xml:space="preserve">Our response, through the Therapeutic Goods Administration (TGA), to the COVID-19 pandemic has been a leading example in risk based, data driven regulation. We engage with international regulators, other Commonwealth agencies, jurisdictions and key stakeholders with a determined focus on continuous improvement. Through this, we have secured the trust of the Australian community. The TGA’s adaptive regulation of hand </w:t>
      </w:r>
      <w:proofErr w:type="spellStart"/>
      <w:r w:rsidRPr="00CF6322">
        <w:t>sanitisers</w:t>
      </w:r>
      <w:proofErr w:type="spellEnd"/>
      <w:r w:rsidRPr="00CF6322">
        <w:t xml:space="preserve"> is but one example of best practice performance.</w:t>
      </w:r>
    </w:p>
    <w:p w14:paraId="632E76FA" w14:textId="3551ADB9" w:rsidR="00E90764" w:rsidRPr="00CF6322" w:rsidRDefault="0099166C" w:rsidP="001D1CF9">
      <w:pPr>
        <w:pStyle w:val="BodyText"/>
      </w:pPr>
      <w:r w:rsidRPr="00CF6322">
        <w:t xml:space="preserve">We will also continue working in partnership with government, industry and community stakeholders to aid in the protection of Australians and the environment from the harmful effects of industrial chemicals through the </w:t>
      </w:r>
      <w:r w:rsidRPr="005C3FDA">
        <w:rPr>
          <w:i/>
          <w:iCs/>
        </w:rPr>
        <w:t>Industrial Chemicals Act 2019</w:t>
      </w:r>
      <w:r w:rsidRPr="00CF6322">
        <w:t>. It establishes the Australian</w:t>
      </w:r>
      <w:r w:rsidR="006D2CDC" w:rsidRPr="00CF6322">
        <w:t xml:space="preserve"> </w:t>
      </w:r>
      <w:r w:rsidRPr="00CF6322">
        <w:t>Industrial Chemicals Introduction Scheme for regulating the introduction (import and manufacture) of industrial chemicals in Australia.</w:t>
      </w:r>
    </w:p>
    <w:p w14:paraId="632E76FB" w14:textId="19825AAA" w:rsidR="00E90764" w:rsidRPr="00CF6322" w:rsidRDefault="0099166C" w:rsidP="001D1CF9">
      <w:pPr>
        <w:pStyle w:val="BodyText"/>
      </w:pPr>
      <w:r w:rsidRPr="00CF6322">
        <w:t>Through the Office of the Gene Technology Regulator, we support the Gene Technology Regulator to protect the health and safety of people, and to protect the environment, by identifying risks posed by or as a result of gene technology, and by managing those risks through regulating certain dealings with GMOs.</w:t>
      </w:r>
    </w:p>
    <w:p w14:paraId="632E76FE" w14:textId="07B592F3" w:rsidR="00E26861" w:rsidRDefault="00E26861">
      <w:pPr>
        <w:rPr>
          <w:rFonts w:ascii="Helvetica" w:hAnsi="Helvetica"/>
          <w:color w:val="231F20"/>
          <w:sz w:val="19"/>
          <w:szCs w:val="19"/>
        </w:rPr>
      </w:pPr>
      <w:r>
        <w:br w:type="page"/>
      </w:r>
    </w:p>
    <w:tbl>
      <w:tblPr>
        <w:tblW w:w="103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0" w:type="dxa"/>
        </w:tblCellMar>
        <w:tblLook w:val="01E0" w:firstRow="1" w:lastRow="1" w:firstColumn="1" w:lastColumn="1" w:noHBand="0" w:noVBand="0"/>
      </w:tblPr>
      <w:tblGrid>
        <w:gridCol w:w="8541"/>
        <w:gridCol w:w="441"/>
        <w:gridCol w:w="441"/>
        <w:gridCol w:w="439"/>
        <w:gridCol w:w="441"/>
      </w:tblGrid>
      <w:tr w:rsidR="00E90764" w:rsidRPr="006E10D0" w14:paraId="632E7705" w14:textId="77777777" w:rsidTr="006E10D0">
        <w:trPr>
          <w:trHeight w:val="1079"/>
          <w:tblHeader/>
        </w:trPr>
        <w:tc>
          <w:tcPr>
            <w:tcW w:w="8541" w:type="dxa"/>
            <w:shd w:val="clear" w:color="auto" w:fill="auto"/>
          </w:tcPr>
          <w:p w14:paraId="632E7700" w14:textId="77777777" w:rsidR="00E90764" w:rsidRPr="006E10D0" w:rsidRDefault="0099166C" w:rsidP="001D1CF9">
            <w:pPr>
              <w:pStyle w:val="BodyText"/>
              <w:rPr>
                <w:rStyle w:val="Strong"/>
              </w:rPr>
            </w:pPr>
            <w:r w:rsidRPr="006E10D0">
              <w:rPr>
                <w:rStyle w:val="Strong"/>
              </w:rPr>
              <w:lastRenderedPageBreak/>
              <w:t>Key Activities</w:t>
            </w:r>
          </w:p>
        </w:tc>
        <w:tc>
          <w:tcPr>
            <w:tcW w:w="441" w:type="dxa"/>
            <w:shd w:val="clear" w:color="auto" w:fill="auto"/>
            <w:textDirection w:val="tbRl"/>
            <w:vAlign w:val="center"/>
          </w:tcPr>
          <w:p w14:paraId="632E7701" w14:textId="77777777" w:rsidR="00E90764" w:rsidRPr="006E10D0" w:rsidRDefault="0099166C" w:rsidP="001D1CF9">
            <w:pPr>
              <w:pStyle w:val="BodyText"/>
              <w:rPr>
                <w:rStyle w:val="Strong"/>
              </w:rPr>
            </w:pPr>
            <w:r w:rsidRPr="006E10D0">
              <w:rPr>
                <w:rStyle w:val="Strong"/>
              </w:rPr>
              <w:t>2021–22</w:t>
            </w:r>
          </w:p>
        </w:tc>
        <w:tc>
          <w:tcPr>
            <w:tcW w:w="441" w:type="dxa"/>
            <w:shd w:val="clear" w:color="auto" w:fill="auto"/>
            <w:textDirection w:val="tbRl"/>
            <w:vAlign w:val="center"/>
          </w:tcPr>
          <w:p w14:paraId="632E7702" w14:textId="77777777" w:rsidR="00E90764" w:rsidRPr="006E10D0" w:rsidRDefault="0099166C" w:rsidP="001D1CF9">
            <w:pPr>
              <w:pStyle w:val="BodyText"/>
              <w:rPr>
                <w:rStyle w:val="Strong"/>
              </w:rPr>
            </w:pPr>
            <w:r w:rsidRPr="006E10D0">
              <w:rPr>
                <w:rStyle w:val="Strong"/>
              </w:rPr>
              <w:t>2022–23</w:t>
            </w:r>
          </w:p>
        </w:tc>
        <w:tc>
          <w:tcPr>
            <w:tcW w:w="439" w:type="dxa"/>
            <w:shd w:val="clear" w:color="auto" w:fill="auto"/>
            <w:textDirection w:val="tbRl"/>
            <w:vAlign w:val="center"/>
          </w:tcPr>
          <w:p w14:paraId="632E7703" w14:textId="77777777" w:rsidR="00E90764" w:rsidRPr="006E10D0" w:rsidRDefault="0099166C" w:rsidP="001D1CF9">
            <w:pPr>
              <w:pStyle w:val="BodyText"/>
              <w:rPr>
                <w:rStyle w:val="Strong"/>
              </w:rPr>
            </w:pPr>
            <w:r w:rsidRPr="006E10D0">
              <w:rPr>
                <w:rStyle w:val="Strong"/>
              </w:rPr>
              <w:t>2023–24</w:t>
            </w:r>
          </w:p>
        </w:tc>
        <w:tc>
          <w:tcPr>
            <w:tcW w:w="441" w:type="dxa"/>
            <w:shd w:val="clear" w:color="auto" w:fill="auto"/>
            <w:textDirection w:val="tbRl"/>
            <w:vAlign w:val="center"/>
          </w:tcPr>
          <w:p w14:paraId="632E7704" w14:textId="77777777" w:rsidR="00E90764" w:rsidRPr="006E10D0" w:rsidRDefault="0099166C" w:rsidP="001D1CF9">
            <w:pPr>
              <w:pStyle w:val="BodyText"/>
              <w:rPr>
                <w:rStyle w:val="Strong"/>
              </w:rPr>
            </w:pPr>
            <w:r w:rsidRPr="006E10D0">
              <w:rPr>
                <w:rStyle w:val="Strong"/>
              </w:rPr>
              <w:t>2024–25</w:t>
            </w:r>
          </w:p>
        </w:tc>
      </w:tr>
      <w:tr w:rsidR="00E90764" w:rsidRPr="00CF6322" w14:paraId="632E770B" w14:textId="77777777" w:rsidTr="005C3FDA">
        <w:trPr>
          <w:trHeight w:val="391"/>
        </w:trPr>
        <w:tc>
          <w:tcPr>
            <w:tcW w:w="8541" w:type="dxa"/>
            <w:shd w:val="clear" w:color="auto" w:fill="auto"/>
            <w:vAlign w:val="center"/>
          </w:tcPr>
          <w:p w14:paraId="632E7706" w14:textId="77777777" w:rsidR="00E90764" w:rsidRPr="00CF6322" w:rsidRDefault="0099166C" w:rsidP="001D1CF9">
            <w:pPr>
              <w:pStyle w:val="BodyText"/>
            </w:pPr>
            <w:r w:rsidRPr="00CF6322">
              <w:t>Strengthening preparedness to respond to public health threats and health emergencies.</w:t>
            </w:r>
          </w:p>
        </w:tc>
        <w:tc>
          <w:tcPr>
            <w:tcW w:w="441" w:type="dxa"/>
            <w:shd w:val="clear" w:color="auto" w:fill="auto"/>
          </w:tcPr>
          <w:p w14:paraId="632E7707" w14:textId="76EA9B57"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708" w14:textId="07270B19"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709" w14:textId="05C2F8A7"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70A" w14:textId="1072E869" w:rsidR="00E90764" w:rsidRPr="00CF6322" w:rsidRDefault="00041BDA" w:rsidP="001D1CF9">
            <w:pPr>
              <w:pStyle w:val="BodyText"/>
            </w:pPr>
            <w:r>
              <w:rPr>
                <w:rFonts w:ascii="Segoe UI Symbol" w:hAnsi="Segoe UI Symbol" w:cs="Segoe UI Symbol"/>
              </w:rPr>
              <w:t>✓</w:t>
            </w:r>
          </w:p>
        </w:tc>
      </w:tr>
      <w:tr w:rsidR="00E90764" w:rsidRPr="00CF6322" w14:paraId="632E7715" w14:textId="77777777" w:rsidTr="005C3FDA">
        <w:trPr>
          <w:trHeight w:val="822"/>
        </w:trPr>
        <w:tc>
          <w:tcPr>
            <w:tcW w:w="8541" w:type="dxa"/>
            <w:shd w:val="clear" w:color="auto" w:fill="auto"/>
            <w:vAlign w:val="center"/>
          </w:tcPr>
          <w:p w14:paraId="632E770C" w14:textId="7F557042" w:rsidR="00E90764" w:rsidRPr="00CF6322" w:rsidRDefault="0099166C" w:rsidP="001D1CF9">
            <w:pPr>
              <w:pStyle w:val="BodyText"/>
            </w:pPr>
            <w:r w:rsidRPr="00CF6322">
              <w:t>Through the National Incident Centre, engaging with states and territories and international partners</w:t>
            </w:r>
            <w:r w:rsidR="006D2CDC" w:rsidRPr="00CF6322">
              <w:t xml:space="preserve"> </w:t>
            </w:r>
            <w:r w:rsidRPr="00CF6322">
              <w:t>to refine coordination arrangements, to ensure Australia maintains its capacity and capability to prepare for, and respond to, health emergencies.</w:t>
            </w:r>
          </w:p>
        </w:tc>
        <w:tc>
          <w:tcPr>
            <w:tcW w:w="441" w:type="dxa"/>
            <w:shd w:val="clear" w:color="auto" w:fill="auto"/>
          </w:tcPr>
          <w:p w14:paraId="632E770E" w14:textId="04CF1C4D"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710" w14:textId="1BAE1032"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712" w14:textId="223B1436"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714" w14:textId="7636ABBA" w:rsidR="00E90764" w:rsidRPr="00CF6322" w:rsidRDefault="00041BDA" w:rsidP="001D1CF9">
            <w:pPr>
              <w:pStyle w:val="BodyText"/>
            </w:pPr>
            <w:r>
              <w:rPr>
                <w:rFonts w:ascii="Segoe UI Symbol" w:hAnsi="Segoe UI Symbol" w:cs="Segoe UI Symbol"/>
              </w:rPr>
              <w:t>✓</w:t>
            </w:r>
          </w:p>
        </w:tc>
      </w:tr>
      <w:tr w:rsidR="00E90764" w:rsidRPr="00CF6322" w14:paraId="632E771B" w14:textId="77777777" w:rsidTr="005C3FDA">
        <w:trPr>
          <w:trHeight w:val="391"/>
        </w:trPr>
        <w:tc>
          <w:tcPr>
            <w:tcW w:w="8541" w:type="dxa"/>
            <w:shd w:val="clear" w:color="auto" w:fill="auto"/>
            <w:vAlign w:val="center"/>
          </w:tcPr>
          <w:p w14:paraId="632E7716" w14:textId="77777777" w:rsidR="00E90764" w:rsidRPr="00CF6322" w:rsidRDefault="0099166C" w:rsidP="001D1CF9">
            <w:pPr>
              <w:pStyle w:val="BodyText"/>
            </w:pPr>
            <w:r w:rsidRPr="00CF6322">
              <w:t>Leading the Australian Government and National health sector response to the COVID-19 pandemic.</w:t>
            </w:r>
          </w:p>
        </w:tc>
        <w:tc>
          <w:tcPr>
            <w:tcW w:w="441" w:type="dxa"/>
            <w:shd w:val="clear" w:color="auto" w:fill="auto"/>
            <w:vAlign w:val="center"/>
          </w:tcPr>
          <w:p w14:paraId="632E7717" w14:textId="4AC79501"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718" w14:textId="1AC15431"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719" w14:textId="77777777" w:rsidR="00E90764" w:rsidRPr="00CF6322" w:rsidRDefault="00E90764" w:rsidP="001D1CF9">
            <w:pPr>
              <w:pStyle w:val="BodyText"/>
            </w:pPr>
          </w:p>
        </w:tc>
        <w:tc>
          <w:tcPr>
            <w:tcW w:w="441" w:type="dxa"/>
            <w:shd w:val="clear" w:color="auto" w:fill="auto"/>
            <w:vAlign w:val="center"/>
          </w:tcPr>
          <w:p w14:paraId="632E771A" w14:textId="77777777" w:rsidR="00E90764" w:rsidRPr="00CF6322" w:rsidRDefault="00E90764" w:rsidP="001D1CF9">
            <w:pPr>
              <w:pStyle w:val="BodyText"/>
            </w:pPr>
          </w:p>
        </w:tc>
      </w:tr>
      <w:tr w:rsidR="00E90764" w:rsidRPr="00CF6322" w14:paraId="632E7721" w14:textId="77777777" w:rsidTr="005C3FDA">
        <w:trPr>
          <w:trHeight w:val="582"/>
        </w:trPr>
        <w:tc>
          <w:tcPr>
            <w:tcW w:w="8541" w:type="dxa"/>
            <w:shd w:val="clear" w:color="auto" w:fill="auto"/>
            <w:vAlign w:val="center"/>
          </w:tcPr>
          <w:p w14:paraId="632E771C" w14:textId="77777777" w:rsidR="00E90764" w:rsidRPr="00CF6322" w:rsidRDefault="0099166C" w:rsidP="001D1CF9">
            <w:pPr>
              <w:pStyle w:val="BodyText"/>
            </w:pPr>
            <w:r w:rsidRPr="00CF6322">
              <w:t xml:space="preserve">Regulating therapeutic goods, including vaccines, to ensure safety, efficacy, performance and quality. Promote best practice, monitor compliance, and take appropriate action to address </w:t>
            </w:r>
            <w:proofErr w:type="spellStart"/>
            <w:r w:rsidRPr="00CF6322">
              <w:t>non compliance</w:t>
            </w:r>
            <w:proofErr w:type="spellEnd"/>
            <w:r w:rsidRPr="00CF6322">
              <w:t>.</w:t>
            </w:r>
          </w:p>
        </w:tc>
        <w:tc>
          <w:tcPr>
            <w:tcW w:w="441" w:type="dxa"/>
            <w:shd w:val="clear" w:color="auto" w:fill="auto"/>
            <w:vAlign w:val="center"/>
          </w:tcPr>
          <w:p w14:paraId="632E771D" w14:textId="537D0C37"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71E" w14:textId="66E26A1B"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71F" w14:textId="7A030951"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720" w14:textId="6D8B90BC" w:rsidR="00E90764" w:rsidRPr="00CF6322" w:rsidRDefault="00041BDA" w:rsidP="001D1CF9">
            <w:pPr>
              <w:pStyle w:val="BodyText"/>
            </w:pPr>
            <w:r>
              <w:rPr>
                <w:rFonts w:ascii="Segoe UI Symbol" w:hAnsi="Segoe UI Symbol" w:cs="Segoe UI Symbol"/>
              </w:rPr>
              <w:t>✓</w:t>
            </w:r>
          </w:p>
        </w:tc>
      </w:tr>
      <w:tr w:rsidR="00E90764" w:rsidRPr="00CF6322" w14:paraId="632E7727" w14:textId="77777777" w:rsidTr="005C3FDA">
        <w:trPr>
          <w:trHeight w:val="391"/>
        </w:trPr>
        <w:tc>
          <w:tcPr>
            <w:tcW w:w="8541" w:type="dxa"/>
            <w:shd w:val="clear" w:color="auto" w:fill="auto"/>
            <w:vAlign w:val="center"/>
          </w:tcPr>
          <w:p w14:paraId="632E7722" w14:textId="77777777" w:rsidR="00E90764" w:rsidRPr="00CF6322" w:rsidRDefault="0099166C" w:rsidP="001D1CF9">
            <w:pPr>
              <w:pStyle w:val="BodyText"/>
            </w:pPr>
            <w:r w:rsidRPr="00CF6322">
              <w:t>Improving access to therapeutic goods for consumers and streamline regulatory processes for industry.</w:t>
            </w:r>
          </w:p>
        </w:tc>
        <w:tc>
          <w:tcPr>
            <w:tcW w:w="441" w:type="dxa"/>
            <w:shd w:val="clear" w:color="auto" w:fill="auto"/>
            <w:vAlign w:val="center"/>
          </w:tcPr>
          <w:p w14:paraId="632E7723" w14:textId="10B4F55B"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724" w14:textId="61F56BB4"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725" w14:textId="516CA926"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726" w14:textId="6DF8EE5D" w:rsidR="00E90764" w:rsidRPr="00CF6322" w:rsidRDefault="00041BDA" w:rsidP="001D1CF9">
            <w:pPr>
              <w:pStyle w:val="BodyText"/>
            </w:pPr>
            <w:r>
              <w:rPr>
                <w:rFonts w:ascii="Segoe UI Symbol" w:hAnsi="Segoe UI Symbol" w:cs="Segoe UI Symbol"/>
              </w:rPr>
              <w:t>✓</w:t>
            </w:r>
          </w:p>
        </w:tc>
      </w:tr>
      <w:tr w:rsidR="00E90764" w:rsidRPr="00CF6322" w14:paraId="632E7731" w14:textId="77777777" w:rsidTr="005C3FDA">
        <w:trPr>
          <w:trHeight w:val="822"/>
        </w:trPr>
        <w:tc>
          <w:tcPr>
            <w:tcW w:w="8541" w:type="dxa"/>
            <w:shd w:val="clear" w:color="auto" w:fill="auto"/>
            <w:vAlign w:val="center"/>
          </w:tcPr>
          <w:p w14:paraId="632E7728" w14:textId="5DE77D59" w:rsidR="00E90764" w:rsidRPr="00CF6322" w:rsidRDefault="0099166C" w:rsidP="001D1CF9">
            <w:pPr>
              <w:pStyle w:val="BodyText"/>
            </w:pPr>
            <w:r w:rsidRPr="00CF6322">
              <w:t>Delivering efficient, best practice therapeutic goods regulatory outcomes through regulatory science</w:t>
            </w:r>
            <w:r w:rsidR="006D2CDC" w:rsidRPr="00CF6322">
              <w:t xml:space="preserve"> </w:t>
            </w:r>
            <w:r w:rsidRPr="00CF6322">
              <w:t xml:space="preserve">excellence, international collaboration and reform in accordance with the </w:t>
            </w:r>
            <w:r w:rsidRPr="005C3FDA">
              <w:rPr>
                <w:i/>
                <w:iCs/>
              </w:rPr>
              <w:t>Regulatory Science Strategy 2020–2025</w:t>
            </w:r>
            <w:r w:rsidR="001B12B1">
              <w:rPr>
                <w:rStyle w:val="FootnoteReference"/>
              </w:rPr>
              <w:footnoteReference w:id="29"/>
            </w:r>
            <w:r w:rsidRPr="00CF6322">
              <w:t>.</w:t>
            </w:r>
          </w:p>
        </w:tc>
        <w:tc>
          <w:tcPr>
            <w:tcW w:w="441" w:type="dxa"/>
            <w:shd w:val="clear" w:color="auto" w:fill="auto"/>
          </w:tcPr>
          <w:p w14:paraId="632E772A" w14:textId="231D696C"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72C" w14:textId="633B1B53"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72E" w14:textId="6A8BE086"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730" w14:textId="67530254" w:rsidR="00E90764" w:rsidRPr="00CF6322" w:rsidRDefault="00041BDA" w:rsidP="001D1CF9">
            <w:pPr>
              <w:pStyle w:val="BodyText"/>
            </w:pPr>
            <w:r>
              <w:rPr>
                <w:rFonts w:ascii="Segoe UI Symbol" w:hAnsi="Segoe UI Symbol" w:cs="Segoe UI Symbol"/>
              </w:rPr>
              <w:t>✓</w:t>
            </w:r>
          </w:p>
        </w:tc>
      </w:tr>
      <w:tr w:rsidR="00E90764" w:rsidRPr="00CF6322" w14:paraId="632E7737" w14:textId="77777777" w:rsidTr="005C3FDA">
        <w:trPr>
          <w:trHeight w:val="582"/>
        </w:trPr>
        <w:tc>
          <w:tcPr>
            <w:tcW w:w="8541" w:type="dxa"/>
            <w:shd w:val="clear" w:color="auto" w:fill="auto"/>
            <w:vAlign w:val="center"/>
          </w:tcPr>
          <w:p w14:paraId="632E7732" w14:textId="77777777" w:rsidR="00E90764" w:rsidRPr="00CF6322" w:rsidRDefault="0099166C" w:rsidP="001D1CF9">
            <w:pPr>
              <w:pStyle w:val="BodyText"/>
            </w:pPr>
            <w:r w:rsidRPr="00CF6322">
              <w:t>Undertaking a range of education activities to inform the public and health professionals on reforms to the regulation of prescription opioid medicines.</w:t>
            </w:r>
          </w:p>
        </w:tc>
        <w:tc>
          <w:tcPr>
            <w:tcW w:w="441" w:type="dxa"/>
            <w:shd w:val="clear" w:color="auto" w:fill="auto"/>
            <w:vAlign w:val="center"/>
          </w:tcPr>
          <w:p w14:paraId="632E7733" w14:textId="246A4B05"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734" w14:textId="77777777" w:rsidR="00E90764" w:rsidRPr="00CF6322" w:rsidRDefault="00E90764" w:rsidP="001D1CF9">
            <w:pPr>
              <w:pStyle w:val="BodyText"/>
            </w:pPr>
          </w:p>
        </w:tc>
        <w:tc>
          <w:tcPr>
            <w:tcW w:w="439" w:type="dxa"/>
            <w:shd w:val="clear" w:color="auto" w:fill="auto"/>
            <w:vAlign w:val="center"/>
          </w:tcPr>
          <w:p w14:paraId="632E7735" w14:textId="77777777" w:rsidR="00E90764" w:rsidRPr="00CF6322" w:rsidRDefault="00E90764" w:rsidP="001D1CF9">
            <w:pPr>
              <w:pStyle w:val="BodyText"/>
            </w:pPr>
          </w:p>
        </w:tc>
        <w:tc>
          <w:tcPr>
            <w:tcW w:w="441" w:type="dxa"/>
            <w:shd w:val="clear" w:color="auto" w:fill="auto"/>
            <w:vAlign w:val="center"/>
          </w:tcPr>
          <w:p w14:paraId="632E7736" w14:textId="77777777" w:rsidR="00E90764" w:rsidRPr="00CF6322" w:rsidRDefault="00E90764" w:rsidP="001D1CF9">
            <w:pPr>
              <w:pStyle w:val="BodyText"/>
            </w:pPr>
          </w:p>
        </w:tc>
      </w:tr>
      <w:tr w:rsidR="00E90764" w:rsidRPr="00CF6322" w14:paraId="632E773D" w14:textId="77777777" w:rsidTr="005C3FDA">
        <w:trPr>
          <w:trHeight w:val="582"/>
        </w:trPr>
        <w:tc>
          <w:tcPr>
            <w:tcW w:w="8541" w:type="dxa"/>
            <w:shd w:val="clear" w:color="auto" w:fill="auto"/>
            <w:vAlign w:val="center"/>
          </w:tcPr>
          <w:p w14:paraId="632E7738" w14:textId="77777777" w:rsidR="00E90764" w:rsidRPr="00CF6322" w:rsidRDefault="0099166C" w:rsidP="001D1CF9">
            <w:pPr>
              <w:pStyle w:val="BodyText"/>
            </w:pPr>
            <w:r w:rsidRPr="00CF6322">
              <w:t>Regulating and providing advice on the import, export, cultivation, production and manufacture of controlled drugs to support Australia’s obligations under the International Narcotic Drugs Conventions.</w:t>
            </w:r>
          </w:p>
        </w:tc>
        <w:tc>
          <w:tcPr>
            <w:tcW w:w="441" w:type="dxa"/>
            <w:shd w:val="clear" w:color="auto" w:fill="auto"/>
            <w:vAlign w:val="center"/>
          </w:tcPr>
          <w:p w14:paraId="632E7739" w14:textId="77C90BE9"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73A" w14:textId="450555B4"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73B" w14:textId="6D1255A3"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73C" w14:textId="1D7C2B73" w:rsidR="00E90764" w:rsidRPr="00CF6322" w:rsidRDefault="00041BDA" w:rsidP="001D1CF9">
            <w:pPr>
              <w:pStyle w:val="BodyText"/>
            </w:pPr>
            <w:r>
              <w:rPr>
                <w:rFonts w:ascii="Segoe UI Symbol" w:hAnsi="Segoe UI Symbol" w:cs="Segoe UI Symbol"/>
              </w:rPr>
              <w:t>✓</w:t>
            </w:r>
          </w:p>
        </w:tc>
      </w:tr>
      <w:tr w:rsidR="00E90764" w:rsidRPr="00CF6322" w14:paraId="632E7747" w14:textId="77777777" w:rsidTr="005C3FDA">
        <w:trPr>
          <w:trHeight w:val="822"/>
        </w:trPr>
        <w:tc>
          <w:tcPr>
            <w:tcW w:w="8541" w:type="dxa"/>
            <w:shd w:val="clear" w:color="auto" w:fill="auto"/>
            <w:vAlign w:val="center"/>
          </w:tcPr>
          <w:p w14:paraId="632E773E" w14:textId="77777777" w:rsidR="00E90764" w:rsidRPr="00CF6322" w:rsidRDefault="0099166C" w:rsidP="001D1CF9">
            <w:pPr>
              <w:pStyle w:val="BodyText"/>
            </w:pPr>
            <w:r w:rsidRPr="00CF6322">
              <w:t xml:space="preserve">Regulating the medicinal cannabis industry by issuing </w:t>
            </w:r>
            <w:proofErr w:type="spellStart"/>
            <w:r w:rsidRPr="00CF6322">
              <w:t>licences</w:t>
            </w:r>
            <w:proofErr w:type="spellEnd"/>
            <w:r w:rsidRPr="00CF6322">
              <w:t xml:space="preserve"> and permits support domestic patient and international export requirements, and liaising with law enforcement and state and territory regulatory authorities.</w:t>
            </w:r>
          </w:p>
        </w:tc>
        <w:tc>
          <w:tcPr>
            <w:tcW w:w="441" w:type="dxa"/>
            <w:shd w:val="clear" w:color="auto" w:fill="auto"/>
          </w:tcPr>
          <w:p w14:paraId="632E7740" w14:textId="4CF52D90"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742" w14:textId="13D8BDE5"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744" w14:textId="1473A92C"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746" w14:textId="58336C66" w:rsidR="00E90764" w:rsidRPr="00CF6322" w:rsidRDefault="00041BDA" w:rsidP="001D1CF9">
            <w:pPr>
              <w:pStyle w:val="BodyText"/>
            </w:pPr>
            <w:r>
              <w:rPr>
                <w:rFonts w:ascii="Segoe UI Symbol" w:hAnsi="Segoe UI Symbol" w:cs="Segoe UI Symbol"/>
              </w:rPr>
              <w:t>✓</w:t>
            </w:r>
          </w:p>
        </w:tc>
      </w:tr>
      <w:tr w:rsidR="00E90764" w:rsidRPr="00CF6322" w14:paraId="632E774D" w14:textId="77777777" w:rsidTr="005C3FDA">
        <w:trPr>
          <w:trHeight w:val="582"/>
        </w:trPr>
        <w:tc>
          <w:tcPr>
            <w:tcW w:w="8541" w:type="dxa"/>
            <w:shd w:val="clear" w:color="auto" w:fill="auto"/>
            <w:vAlign w:val="center"/>
          </w:tcPr>
          <w:p w14:paraId="632E7748" w14:textId="77777777" w:rsidR="00E90764" w:rsidRPr="00CF6322" w:rsidRDefault="0099166C" w:rsidP="001D1CF9">
            <w:pPr>
              <w:pStyle w:val="BodyText"/>
            </w:pPr>
            <w:r w:rsidRPr="00CF6322">
              <w:t>Supporting Australian and state and territory law enforcement by regulating the import of chemicals which could be diverted into illicit drug manufacture.</w:t>
            </w:r>
          </w:p>
        </w:tc>
        <w:tc>
          <w:tcPr>
            <w:tcW w:w="441" w:type="dxa"/>
            <w:shd w:val="clear" w:color="auto" w:fill="auto"/>
            <w:vAlign w:val="center"/>
          </w:tcPr>
          <w:p w14:paraId="632E7749" w14:textId="6FB9E464"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74A" w14:textId="2C3B5754"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74B" w14:textId="2C601884"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74C" w14:textId="7EE2D4BE" w:rsidR="00E90764" w:rsidRPr="00CF6322" w:rsidRDefault="00041BDA" w:rsidP="001D1CF9">
            <w:pPr>
              <w:pStyle w:val="BodyText"/>
            </w:pPr>
            <w:r>
              <w:rPr>
                <w:rFonts w:ascii="Segoe UI Symbol" w:hAnsi="Segoe UI Symbol" w:cs="Segoe UI Symbol"/>
              </w:rPr>
              <w:t>✓</w:t>
            </w:r>
          </w:p>
        </w:tc>
      </w:tr>
      <w:tr w:rsidR="00E90764" w:rsidRPr="00CF6322" w14:paraId="632E7757" w14:textId="77777777" w:rsidTr="005C3FDA">
        <w:trPr>
          <w:trHeight w:val="1062"/>
        </w:trPr>
        <w:tc>
          <w:tcPr>
            <w:tcW w:w="8541" w:type="dxa"/>
            <w:shd w:val="clear" w:color="auto" w:fill="auto"/>
            <w:vAlign w:val="center"/>
          </w:tcPr>
          <w:p w14:paraId="632E774E" w14:textId="77777777" w:rsidR="00E90764" w:rsidRPr="00CF6322" w:rsidRDefault="0099166C" w:rsidP="001D1CF9">
            <w:pPr>
              <w:pStyle w:val="BodyText"/>
            </w:pPr>
            <w:r w:rsidRPr="00CF6322">
              <w:t>Completing industrial chemical risk assessments and evaluations, within statutory timeframes, under the Australian Industrial Chemicals Introduction Scheme to provide the Australian community with access to information about the safe use of industrial chemicals, and to support innovation by Australian businesses.</w:t>
            </w:r>
          </w:p>
        </w:tc>
        <w:tc>
          <w:tcPr>
            <w:tcW w:w="441" w:type="dxa"/>
            <w:shd w:val="clear" w:color="auto" w:fill="auto"/>
            <w:vAlign w:val="center"/>
          </w:tcPr>
          <w:p w14:paraId="632E7750" w14:textId="6345F0FD"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752" w14:textId="2C54DF84"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754" w14:textId="2240DED0"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756" w14:textId="6BE91464" w:rsidR="00E90764" w:rsidRPr="00CF6322" w:rsidRDefault="00041BDA" w:rsidP="001D1CF9">
            <w:pPr>
              <w:pStyle w:val="BodyText"/>
            </w:pPr>
            <w:r>
              <w:rPr>
                <w:rFonts w:ascii="Segoe UI Symbol" w:hAnsi="Segoe UI Symbol" w:cs="Segoe UI Symbol"/>
              </w:rPr>
              <w:t>✓</w:t>
            </w:r>
          </w:p>
        </w:tc>
      </w:tr>
      <w:tr w:rsidR="00E90764" w:rsidRPr="00CF6322" w14:paraId="632E775D" w14:textId="77777777" w:rsidTr="005C3FDA">
        <w:trPr>
          <w:trHeight w:val="391"/>
        </w:trPr>
        <w:tc>
          <w:tcPr>
            <w:tcW w:w="8541" w:type="dxa"/>
            <w:shd w:val="clear" w:color="auto" w:fill="auto"/>
            <w:vAlign w:val="center"/>
          </w:tcPr>
          <w:p w14:paraId="632E7758" w14:textId="77777777" w:rsidR="00E90764" w:rsidRPr="00CF6322" w:rsidRDefault="0099166C" w:rsidP="001D1CF9">
            <w:pPr>
              <w:pStyle w:val="BodyText"/>
            </w:pPr>
            <w:r w:rsidRPr="00CF6322">
              <w:t>Raising awareness of regulatory obligations and monitor compliance among industrial chemical introducers.</w:t>
            </w:r>
          </w:p>
        </w:tc>
        <w:tc>
          <w:tcPr>
            <w:tcW w:w="441" w:type="dxa"/>
            <w:shd w:val="clear" w:color="auto" w:fill="auto"/>
            <w:vAlign w:val="center"/>
          </w:tcPr>
          <w:p w14:paraId="632E7759" w14:textId="54A0DCC7"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75A" w14:textId="28153F0D"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75B" w14:textId="4835F8ED"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75C" w14:textId="3F07C754" w:rsidR="00E90764" w:rsidRPr="00CF6322" w:rsidRDefault="00041BDA" w:rsidP="001D1CF9">
            <w:pPr>
              <w:pStyle w:val="BodyText"/>
            </w:pPr>
            <w:r>
              <w:rPr>
                <w:rFonts w:ascii="Segoe UI Symbol" w:hAnsi="Segoe UI Symbol" w:cs="Segoe UI Symbol"/>
              </w:rPr>
              <w:t>✓</w:t>
            </w:r>
          </w:p>
        </w:tc>
      </w:tr>
      <w:tr w:rsidR="00E90764" w:rsidRPr="00CF6322" w14:paraId="632E7763" w14:textId="77777777" w:rsidTr="005C3FDA">
        <w:trPr>
          <w:trHeight w:val="582"/>
        </w:trPr>
        <w:tc>
          <w:tcPr>
            <w:tcW w:w="8541" w:type="dxa"/>
            <w:shd w:val="clear" w:color="auto" w:fill="auto"/>
            <w:vAlign w:val="center"/>
          </w:tcPr>
          <w:p w14:paraId="632E775E" w14:textId="77777777" w:rsidR="00E90764" w:rsidRPr="00CF6322" w:rsidRDefault="0099166C" w:rsidP="001D1CF9">
            <w:pPr>
              <w:pStyle w:val="BodyText"/>
            </w:pPr>
            <w:r w:rsidRPr="00CF6322">
              <w:t>Limiting the use of animal test data while maintaining human health and environment protections in accordance with the I</w:t>
            </w:r>
            <w:r w:rsidRPr="005C3FDA">
              <w:rPr>
                <w:i/>
                <w:iCs/>
              </w:rPr>
              <w:t>ndustrial Chemicals Act 2019</w:t>
            </w:r>
            <w:r w:rsidRPr="00CF6322">
              <w:t>.</w:t>
            </w:r>
          </w:p>
        </w:tc>
        <w:tc>
          <w:tcPr>
            <w:tcW w:w="441" w:type="dxa"/>
            <w:shd w:val="clear" w:color="auto" w:fill="auto"/>
            <w:vAlign w:val="center"/>
          </w:tcPr>
          <w:p w14:paraId="632E775F" w14:textId="6FC1AF6C"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760" w14:textId="18AC2C5D"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761" w14:textId="3AFEF837"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762" w14:textId="2929ACBE" w:rsidR="00E90764" w:rsidRPr="00CF6322" w:rsidRDefault="00041BDA" w:rsidP="001D1CF9">
            <w:pPr>
              <w:pStyle w:val="BodyText"/>
            </w:pPr>
            <w:r>
              <w:rPr>
                <w:rFonts w:ascii="Segoe UI Symbol" w:hAnsi="Segoe UI Symbol" w:cs="Segoe UI Symbol"/>
              </w:rPr>
              <w:t>✓</w:t>
            </w:r>
          </w:p>
        </w:tc>
      </w:tr>
      <w:tr w:rsidR="00E90764" w:rsidRPr="00CF6322" w14:paraId="632E7769" w14:textId="77777777" w:rsidTr="005C3FDA">
        <w:trPr>
          <w:trHeight w:val="582"/>
        </w:trPr>
        <w:tc>
          <w:tcPr>
            <w:tcW w:w="8541" w:type="dxa"/>
            <w:shd w:val="clear" w:color="auto" w:fill="auto"/>
            <w:vAlign w:val="center"/>
          </w:tcPr>
          <w:p w14:paraId="632E7764" w14:textId="421FED82" w:rsidR="00E90764" w:rsidRPr="00CF6322" w:rsidRDefault="0099166C" w:rsidP="001D1CF9">
            <w:pPr>
              <w:pStyle w:val="BodyText"/>
            </w:pPr>
            <w:r w:rsidRPr="00CF6322">
              <w:t>Administering the National Gene Technology Scheme by assessing applications and issuing approvals,</w:t>
            </w:r>
            <w:r w:rsidR="006D2CDC" w:rsidRPr="00CF6322">
              <w:t xml:space="preserve"> </w:t>
            </w:r>
            <w:r w:rsidRPr="00CF6322">
              <w:t>and by conducting routine inspections of certified facilities and licensed activities with GMOs.</w:t>
            </w:r>
          </w:p>
        </w:tc>
        <w:tc>
          <w:tcPr>
            <w:tcW w:w="441" w:type="dxa"/>
            <w:shd w:val="clear" w:color="auto" w:fill="auto"/>
            <w:vAlign w:val="center"/>
          </w:tcPr>
          <w:p w14:paraId="632E7765" w14:textId="7FDB01F6"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766" w14:textId="33C78FE9"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767" w14:textId="3C6CE8E8"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768" w14:textId="7AF2C395" w:rsidR="00E90764" w:rsidRPr="00CF6322" w:rsidRDefault="00041BDA" w:rsidP="001D1CF9">
            <w:pPr>
              <w:pStyle w:val="BodyText"/>
            </w:pPr>
            <w:r>
              <w:rPr>
                <w:rFonts w:ascii="Segoe UI Symbol" w:hAnsi="Segoe UI Symbol" w:cs="Segoe UI Symbol"/>
              </w:rPr>
              <w:t>✓</w:t>
            </w:r>
          </w:p>
        </w:tc>
      </w:tr>
      <w:tr w:rsidR="00E90764" w:rsidRPr="00CF6322" w14:paraId="632E776F" w14:textId="77777777" w:rsidTr="005C3FDA">
        <w:trPr>
          <w:trHeight w:val="391"/>
        </w:trPr>
        <w:tc>
          <w:tcPr>
            <w:tcW w:w="8541" w:type="dxa"/>
            <w:shd w:val="clear" w:color="auto" w:fill="auto"/>
            <w:vAlign w:val="center"/>
          </w:tcPr>
          <w:p w14:paraId="632E776A" w14:textId="77777777" w:rsidR="00E90764" w:rsidRPr="00CF6322" w:rsidRDefault="0099166C" w:rsidP="001D1CF9">
            <w:pPr>
              <w:pStyle w:val="BodyText"/>
            </w:pPr>
            <w:r w:rsidRPr="00CF6322">
              <w:t>Supporting a modern, flexible and innovative National Gene Technology Scheme.</w:t>
            </w:r>
          </w:p>
        </w:tc>
        <w:tc>
          <w:tcPr>
            <w:tcW w:w="441" w:type="dxa"/>
            <w:shd w:val="clear" w:color="auto" w:fill="auto"/>
            <w:vAlign w:val="center"/>
          </w:tcPr>
          <w:p w14:paraId="632E776B" w14:textId="71CBB226"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76C" w14:textId="3D18D307"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76D" w14:textId="386B5BF5"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76E" w14:textId="47815BC0" w:rsidR="00E90764" w:rsidRPr="00CF6322" w:rsidRDefault="00041BDA" w:rsidP="001D1CF9">
            <w:pPr>
              <w:pStyle w:val="BodyText"/>
            </w:pPr>
            <w:r>
              <w:rPr>
                <w:rFonts w:ascii="Segoe UI Symbol" w:hAnsi="Segoe UI Symbol" w:cs="Segoe UI Symbol"/>
              </w:rPr>
              <w:t>✓</w:t>
            </w:r>
          </w:p>
        </w:tc>
      </w:tr>
      <w:tr w:rsidR="00E90764" w:rsidRPr="00CF6322" w14:paraId="632E7775" w14:textId="77777777" w:rsidTr="005C3FDA">
        <w:trPr>
          <w:trHeight w:val="582"/>
        </w:trPr>
        <w:tc>
          <w:tcPr>
            <w:tcW w:w="8541" w:type="dxa"/>
            <w:shd w:val="clear" w:color="auto" w:fill="auto"/>
            <w:vAlign w:val="center"/>
          </w:tcPr>
          <w:p w14:paraId="632E7770" w14:textId="09767C08" w:rsidR="00E90764" w:rsidRPr="00CF6322" w:rsidRDefault="0099166C" w:rsidP="001D1CF9">
            <w:pPr>
              <w:pStyle w:val="BodyText"/>
            </w:pPr>
            <w:r w:rsidRPr="00CF6322">
              <w:t>Working with Australian and state and territory governments to implement the recommendations outlined in the Third Review of the National Gene Technology Scheme</w:t>
            </w:r>
            <w:r w:rsidR="001B12B1">
              <w:rPr>
                <w:rStyle w:val="FootnoteReference"/>
              </w:rPr>
              <w:footnoteReference w:id="30"/>
            </w:r>
            <w:r w:rsidRPr="00CF6322">
              <w:t>.</w:t>
            </w:r>
          </w:p>
        </w:tc>
        <w:tc>
          <w:tcPr>
            <w:tcW w:w="441" w:type="dxa"/>
            <w:shd w:val="clear" w:color="auto" w:fill="auto"/>
            <w:vAlign w:val="center"/>
          </w:tcPr>
          <w:p w14:paraId="632E7771" w14:textId="2EFDBB27"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772" w14:textId="716B7F59"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773" w14:textId="77777777" w:rsidR="00E90764" w:rsidRPr="00CF6322" w:rsidRDefault="00E90764" w:rsidP="001D1CF9">
            <w:pPr>
              <w:pStyle w:val="BodyText"/>
            </w:pPr>
          </w:p>
        </w:tc>
        <w:tc>
          <w:tcPr>
            <w:tcW w:w="441" w:type="dxa"/>
            <w:shd w:val="clear" w:color="auto" w:fill="auto"/>
            <w:vAlign w:val="center"/>
          </w:tcPr>
          <w:p w14:paraId="632E7774" w14:textId="77777777" w:rsidR="00E90764" w:rsidRPr="00CF6322" w:rsidRDefault="00E90764" w:rsidP="001D1CF9">
            <w:pPr>
              <w:pStyle w:val="BodyText"/>
            </w:pPr>
          </w:p>
        </w:tc>
      </w:tr>
      <w:tr w:rsidR="00E90764" w:rsidRPr="00CF6322" w14:paraId="632E777B" w14:textId="77777777" w:rsidTr="005C3FDA">
        <w:trPr>
          <w:trHeight w:val="582"/>
        </w:trPr>
        <w:tc>
          <w:tcPr>
            <w:tcW w:w="8541" w:type="dxa"/>
            <w:shd w:val="clear" w:color="auto" w:fill="auto"/>
            <w:vAlign w:val="center"/>
          </w:tcPr>
          <w:p w14:paraId="632E7776" w14:textId="242A5093" w:rsidR="00E90764" w:rsidRPr="00CF6322" w:rsidRDefault="0099166C" w:rsidP="001D1CF9">
            <w:pPr>
              <w:pStyle w:val="BodyText"/>
            </w:pPr>
            <w:proofErr w:type="spellStart"/>
            <w:r w:rsidRPr="00CF6322">
              <w:lastRenderedPageBreak/>
              <w:t>Operationalising</w:t>
            </w:r>
            <w:proofErr w:type="spellEnd"/>
            <w:r w:rsidRPr="00CF6322">
              <w:t xml:space="preserve"> legislative changes resulting from the Third Review of the National Gene Technology</w:t>
            </w:r>
            <w:r w:rsidR="006D2CDC" w:rsidRPr="00CF6322">
              <w:t xml:space="preserve"> </w:t>
            </w:r>
            <w:r w:rsidRPr="00CF6322">
              <w:t>Scheme</w:t>
            </w:r>
          </w:p>
        </w:tc>
        <w:tc>
          <w:tcPr>
            <w:tcW w:w="441" w:type="dxa"/>
            <w:shd w:val="clear" w:color="auto" w:fill="auto"/>
            <w:vAlign w:val="center"/>
          </w:tcPr>
          <w:p w14:paraId="632E7777" w14:textId="77777777" w:rsidR="00E90764" w:rsidRPr="00CF6322" w:rsidRDefault="00E90764" w:rsidP="001D1CF9">
            <w:pPr>
              <w:pStyle w:val="BodyText"/>
            </w:pPr>
          </w:p>
        </w:tc>
        <w:tc>
          <w:tcPr>
            <w:tcW w:w="441" w:type="dxa"/>
            <w:shd w:val="clear" w:color="auto" w:fill="auto"/>
            <w:vAlign w:val="center"/>
          </w:tcPr>
          <w:p w14:paraId="632E7778" w14:textId="06C5D859"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779" w14:textId="5CB13DC1"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77A" w14:textId="545FEF30" w:rsidR="00E90764" w:rsidRPr="00CF6322" w:rsidRDefault="00041BDA" w:rsidP="001D1CF9">
            <w:pPr>
              <w:pStyle w:val="BodyText"/>
            </w:pPr>
            <w:r>
              <w:rPr>
                <w:rFonts w:ascii="Segoe UI Symbol" w:hAnsi="Segoe UI Symbol" w:cs="Segoe UI Symbol"/>
              </w:rPr>
              <w:t>✓</w:t>
            </w:r>
          </w:p>
        </w:tc>
      </w:tr>
      <w:tr w:rsidR="00E90764" w:rsidRPr="00CF6322" w14:paraId="632E7781" w14:textId="77777777" w:rsidTr="005C3FDA">
        <w:trPr>
          <w:trHeight w:val="582"/>
        </w:trPr>
        <w:tc>
          <w:tcPr>
            <w:tcW w:w="8541" w:type="dxa"/>
            <w:shd w:val="clear" w:color="auto" w:fill="auto"/>
            <w:vAlign w:val="center"/>
          </w:tcPr>
          <w:p w14:paraId="632E777C" w14:textId="77777777" w:rsidR="00E90764" w:rsidRPr="00CF6322" w:rsidRDefault="0099166C" w:rsidP="001D1CF9">
            <w:pPr>
              <w:pStyle w:val="BodyText"/>
            </w:pPr>
            <w:r w:rsidRPr="00CF6322">
              <w:t>Implementing the National Strategies for Blood Borne Viruses (BBV) and Sexually Transmissible Infections (STI) 2018–2022, and support a coordinated response to reducing the spread of BBV and STI.</w:t>
            </w:r>
          </w:p>
        </w:tc>
        <w:tc>
          <w:tcPr>
            <w:tcW w:w="441" w:type="dxa"/>
            <w:shd w:val="clear" w:color="auto" w:fill="auto"/>
            <w:vAlign w:val="center"/>
          </w:tcPr>
          <w:p w14:paraId="632E777D" w14:textId="4DCA26D8"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77E" w14:textId="5F2B38E2"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77F" w14:textId="77777777" w:rsidR="00E90764" w:rsidRPr="00CF6322" w:rsidRDefault="00E90764" w:rsidP="001D1CF9">
            <w:pPr>
              <w:pStyle w:val="BodyText"/>
            </w:pPr>
          </w:p>
        </w:tc>
        <w:tc>
          <w:tcPr>
            <w:tcW w:w="441" w:type="dxa"/>
            <w:shd w:val="clear" w:color="auto" w:fill="auto"/>
            <w:vAlign w:val="center"/>
          </w:tcPr>
          <w:p w14:paraId="632E7780" w14:textId="77777777" w:rsidR="00E90764" w:rsidRPr="00CF6322" w:rsidRDefault="00E90764" w:rsidP="001D1CF9">
            <w:pPr>
              <w:pStyle w:val="BodyText"/>
            </w:pPr>
          </w:p>
        </w:tc>
      </w:tr>
      <w:tr w:rsidR="00E90764" w:rsidRPr="00CF6322" w14:paraId="632E7787" w14:textId="77777777" w:rsidTr="005C3FDA">
        <w:trPr>
          <w:trHeight w:val="582"/>
        </w:trPr>
        <w:tc>
          <w:tcPr>
            <w:tcW w:w="8541" w:type="dxa"/>
            <w:shd w:val="clear" w:color="auto" w:fill="auto"/>
            <w:vAlign w:val="center"/>
          </w:tcPr>
          <w:p w14:paraId="632E7782" w14:textId="64807DD7" w:rsidR="00E90764" w:rsidRPr="00CF6322" w:rsidRDefault="0099166C" w:rsidP="001D1CF9">
            <w:pPr>
              <w:pStyle w:val="BodyText"/>
            </w:pPr>
            <w:r w:rsidRPr="00CF6322">
              <w:t>Continued compliance with the World Health Organization’s (WHO) International Health Regulations (2005) core capacities.</w:t>
            </w:r>
          </w:p>
        </w:tc>
        <w:tc>
          <w:tcPr>
            <w:tcW w:w="441" w:type="dxa"/>
            <w:shd w:val="clear" w:color="auto" w:fill="auto"/>
            <w:vAlign w:val="center"/>
          </w:tcPr>
          <w:p w14:paraId="632E7783" w14:textId="5674815F"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784" w14:textId="20F666D0"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785" w14:textId="63AE155A"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786" w14:textId="54046DA5" w:rsidR="00E90764" w:rsidRPr="00CF6322" w:rsidRDefault="00041BDA" w:rsidP="001D1CF9">
            <w:pPr>
              <w:pStyle w:val="BodyText"/>
            </w:pPr>
            <w:r>
              <w:rPr>
                <w:rFonts w:ascii="Segoe UI Symbol" w:hAnsi="Segoe UI Symbol" w:cs="Segoe UI Symbol"/>
              </w:rPr>
              <w:t>✓</w:t>
            </w:r>
          </w:p>
        </w:tc>
      </w:tr>
      <w:tr w:rsidR="00E90764" w:rsidRPr="00CF6322" w14:paraId="632E778D" w14:textId="77777777" w:rsidTr="005C3FDA">
        <w:trPr>
          <w:trHeight w:val="582"/>
        </w:trPr>
        <w:tc>
          <w:tcPr>
            <w:tcW w:w="8541" w:type="dxa"/>
            <w:shd w:val="clear" w:color="auto" w:fill="auto"/>
            <w:vAlign w:val="center"/>
          </w:tcPr>
          <w:p w14:paraId="632E7788" w14:textId="77777777" w:rsidR="00E90764" w:rsidRPr="00CF6322" w:rsidRDefault="0099166C" w:rsidP="001D1CF9">
            <w:pPr>
              <w:pStyle w:val="BodyText"/>
            </w:pPr>
            <w:r w:rsidRPr="00CF6322">
              <w:t>Maintaining a strategic reserve of essential pharmaceuticals and personal protective equipment through the National Medical Stockpile.</w:t>
            </w:r>
          </w:p>
        </w:tc>
        <w:tc>
          <w:tcPr>
            <w:tcW w:w="441" w:type="dxa"/>
            <w:shd w:val="clear" w:color="auto" w:fill="auto"/>
            <w:vAlign w:val="center"/>
          </w:tcPr>
          <w:p w14:paraId="632E7789" w14:textId="1937161C"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78A" w14:textId="544F22C5"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78B" w14:textId="3EE52751"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78C" w14:textId="51868957" w:rsidR="00E90764" w:rsidRPr="00CF6322" w:rsidRDefault="00041BDA" w:rsidP="001D1CF9">
            <w:pPr>
              <w:pStyle w:val="BodyText"/>
            </w:pPr>
            <w:r>
              <w:rPr>
                <w:rFonts w:ascii="Segoe UI Symbol" w:hAnsi="Segoe UI Symbol" w:cs="Segoe UI Symbol"/>
              </w:rPr>
              <w:t>✓</w:t>
            </w:r>
          </w:p>
        </w:tc>
      </w:tr>
      <w:tr w:rsidR="00E90764" w:rsidRPr="00CF6322" w14:paraId="632E7793" w14:textId="77777777" w:rsidTr="005C3FDA">
        <w:trPr>
          <w:trHeight w:val="391"/>
        </w:trPr>
        <w:tc>
          <w:tcPr>
            <w:tcW w:w="8541" w:type="dxa"/>
            <w:shd w:val="clear" w:color="auto" w:fill="auto"/>
            <w:vAlign w:val="center"/>
          </w:tcPr>
          <w:p w14:paraId="632E778E" w14:textId="77777777" w:rsidR="00E90764" w:rsidRPr="00CF6322" w:rsidRDefault="0099166C" w:rsidP="001D1CF9">
            <w:pPr>
              <w:pStyle w:val="BodyText"/>
            </w:pPr>
            <w:r w:rsidRPr="00CF6322">
              <w:t xml:space="preserve">Ensuring Australia has a readily available supply of </w:t>
            </w:r>
            <w:proofErr w:type="spellStart"/>
            <w:r w:rsidRPr="00CF6322">
              <w:t>antivenoms</w:t>
            </w:r>
            <w:proofErr w:type="spellEnd"/>
            <w:r w:rsidRPr="00CF6322">
              <w:t>, Q fever and pandemic influenza vaccines.</w:t>
            </w:r>
          </w:p>
        </w:tc>
        <w:tc>
          <w:tcPr>
            <w:tcW w:w="441" w:type="dxa"/>
            <w:shd w:val="clear" w:color="auto" w:fill="auto"/>
            <w:vAlign w:val="center"/>
          </w:tcPr>
          <w:p w14:paraId="632E778F" w14:textId="58C1664A"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790" w14:textId="168FE39E"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791" w14:textId="2E74642F"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792" w14:textId="2466ACEF" w:rsidR="009E48CE" w:rsidRPr="009E48CE" w:rsidRDefault="00041BDA" w:rsidP="001D1CF9">
            <w:pPr>
              <w:pStyle w:val="BodyText"/>
            </w:pPr>
            <w:r>
              <w:rPr>
                <w:rFonts w:ascii="Segoe UI Symbol" w:hAnsi="Segoe UI Symbol" w:cs="Segoe UI Symbol"/>
              </w:rPr>
              <w:t>✓</w:t>
            </w:r>
          </w:p>
        </w:tc>
      </w:tr>
      <w:tr w:rsidR="009E48CE" w:rsidRPr="00CF6322" w14:paraId="7115E74B" w14:textId="77777777" w:rsidTr="005C3FDA">
        <w:trPr>
          <w:trHeight w:val="582"/>
        </w:trPr>
        <w:tc>
          <w:tcPr>
            <w:tcW w:w="8541" w:type="dxa"/>
            <w:shd w:val="clear" w:color="auto" w:fill="auto"/>
            <w:vAlign w:val="center"/>
          </w:tcPr>
          <w:p w14:paraId="71F0DCD1" w14:textId="77777777" w:rsidR="009E48CE" w:rsidRPr="00CF6322" w:rsidRDefault="009E48CE" w:rsidP="001D1CF9">
            <w:pPr>
              <w:pStyle w:val="BodyText"/>
            </w:pPr>
            <w:r w:rsidRPr="00CF6322">
              <w:t>Providing a One Health response</w:t>
            </w:r>
            <w:r>
              <w:rPr>
                <w:rStyle w:val="FootnoteReference"/>
              </w:rPr>
              <w:footnoteReference w:id="31"/>
            </w:r>
            <w:r w:rsidRPr="00CF6322">
              <w:t xml:space="preserve"> to detect, address and respond to the threat of antimicrobial resistance (AMR).</w:t>
            </w:r>
          </w:p>
        </w:tc>
        <w:tc>
          <w:tcPr>
            <w:tcW w:w="441" w:type="dxa"/>
            <w:shd w:val="clear" w:color="auto" w:fill="auto"/>
            <w:vAlign w:val="center"/>
          </w:tcPr>
          <w:p w14:paraId="40542086" w14:textId="77777777" w:rsidR="009E48CE" w:rsidRPr="00CF6322" w:rsidRDefault="009E48CE" w:rsidP="001D1CF9">
            <w:pPr>
              <w:pStyle w:val="BodyText"/>
            </w:pPr>
            <w:r>
              <w:rPr>
                <w:rFonts w:ascii="Segoe UI Symbol" w:hAnsi="Segoe UI Symbol" w:cs="Segoe UI Symbol"/>
              </w:rPr>
              <w:t>✓</w:t>
            </w:r>
          </w:p>
        </w:tc>
        <w:tc>
          <w:tcPr>
            <w:tcW w:w="441" w:type="dxa"/>
            <w:shd w:val="clear" w:color="auto" w:fill="auto"/>
            <w:vAlign w:val="center"/>
          </w:tcPr>
          <w:p w14:paraId="767080E1" w14:textId="77777777" w:rsidR="009E48CE" w:rsidRPr="00CF6322" w:rsidRDefault="009E48CE" w:rsidP="001D1CF9">
            <w:pPr>
              <w:pStyle w:val="BodyText"/>
            </w:pPr>
            <w:r>
              <w:rPr>
                <w:rFonts w:ascii="Segoe UI Symbol" w:hAnsi="Segoe UI Symbol" w:cs="Segoe UI Symbol"/>
              </w:rPr>
              <w:t>✓</w:t>
            </w:r>
          </w:p>
        </w:tc>
        <w:tc>
          <w:tcPr>
            <w:tcW w:w="439" w:type="dxa"/>
            <w:shd w:val="clear" w:color="auto" w:fill="auto"/>
            <w:vAlign w:val="center"/>
          </w:tcPr>
          <w:p w14:paraId="550D2D86" w14:textId="77777777" w:rsidR="009E48CE" w:rsidRPr="00CF6322" w:rsidRDefault="009E48CE" w:rsidP="001D1CF9">
            <w:pPr>
              <w:pStyle w:val="BodyText"/>
            </w:pPr>
            <w:r>
              <w:rPr>
                <w:rFonts w:ascii="Segoe UI Symbol" w:hAnsi="Segoe UI Symbol" w:cs="Segoe UI Symbol"/>
              </w:rPr>
              <w:t>✓</w:t>
            </w:r>
          </w:p>
        </w:tc>
        <w:tc>
          <w:tcPr>
            <w:tcW w:w="441" w:type="dxa"/>
            <w:shd w:val="clear" w:color="auto" w:fill="auto"/>
            <w:vAlign w:val="center"/>
          </w:tcPr>
          <w:p w14:paraId="75985C32" w14:textId="77777777" w:rsidR="009E48CE" w:rsidRPr="00CF6322" w:rsidRDefault="009E48CE" w:rsidP="001D1CF9">
            <w:pPr>
              <w:pStyle w:val="BodyText"/>
            </w:pPr>
            <w:r>
              <w:rPr>
                <w:rFonts w:ascii="Segoe UI Symbol" w:hAnsi="Segoe UI Symbol" w:cs="Segoe UI Symbol"/>
              </w:rPr>
              <w:t>✓</w:t>
            </w:r>
          </w:p>
        </w:tc>
      </w:tr>
      <w:tr w:rsidR="009E48CE" w:rsidRPr="00CF6322" w14:paraId="14A0328E" w14:textId="77777777" w:rsidTr="005C3FDA">
        <w:trPr>
          <w:trHeight w:val="822"/>
        </w:trPr>
        <w:tc>
          <w:tcPr>
            <w:tcW w:w="8541" w:type="dxa"/>
            <w:shd w:val="clear" w:color="auto" w:fill="auto"/>
            <w:vAlign w:val="center"/>
          </w:tcPr>
          <w:p w14:paraId="70570F45" w14:textId="77777777" w:rsidR="009E48CE" w:rsidRPr="00CF6322" w:rsidRDefault="009E48CE" w:rsidP="001D1CF9">
            <w:pPr>
              <w:pStyle w:val="BodyText"/>
            </w:pPr>
            <w:r w:rsidRPr="00CF6322">
              <w:t xml:space="preserve">Providing national direction to </w:t>
            </w:r>
            <w:proofErr w:type="spellStart"/>
            <w:r w:rsidRPr="00CF6322">
              <w:t>minimise</w:t>
            </w:r>
            <w:proofErr w:type="spellEnd"/>
            <w:r w:rsidRPr="00CF6322">
              <w:t xml:space="preserve"> the spread of antimicrobial resistance and implement </w:t>
            </w:r>
            <w:r w:rsidRPr="005C3FDA">
              <w:rPr>
                <w:i/>
                <w:iCs/>
              </w:rPr>
              <w:t>Australia’s National AMR Strategy – 2020</w:t>
            </w:r>
            <w:r w:rsidRPr="00CF6322">
              <w:t xml:space="preserve"> and beyond, including the development of supporting action plans.</w:t>
            </w:r>
          </w:p>
        </w:tc>
        <w:tc>
          <w:tcPr>
            <w:tcW w:w="441" w:type="dxa"/>
            <w:shd w:val="clear" w:color="auto" w:fill="auto"/>
          </w:tcPr>
          <w:p w14:paraId="56F1C0FA" w14:textId="77777777" w:rsidR="009E48CE" w:rsidRPr="00CF6322" w:rsidRDefault="009E48CE" w:rsidP="001D1CF9">
            <w:pPr>
              <w:pStyle w:val="BodyText"/>
            </w:pPr>
            <w:r>
              <w:rPr>
                <w:rFonts w:ascii="Segoe UI Symbol" w:hAnsi="Segoe UI Symbol" w:cs="Segoe UI Symbol"/>
              </w:rPr>
              <w:t>✓</w:t>
            </w:r>
          </w:p>
        </w:tc>
        <w:tc>
          <w:tcPr>
            <w:tcW w:w="441" w:type="dxa"/>
            <w:shd w:val="clear" w:color="auto" w:fill="auto"/>
          </w:tcPr>
          <w:p w14:paraId="13851ADA" w14:textId="77777777" w:rsidR="009E48CE" w:rsidRPr="00CF6322" w:rsidRDefault="009E48CE" w:rsidP="001D1CF9">
            <w:pPr>
              <w:pStyle w:val="BodyText"/>
            </w:pPr>
            <w:r>
              <w:rPr>
                <w:rFonts w:ascii="Segoe UI Symbol" w:hAnsi="Segoe UI Symbol" w:cs="Segoe UI Symbol"/>
              </w:rPr>
              <w:t>✓</w:t>
            </w:r>
          </w:p>
        </w:tc>
        <w:tc>
          <w:tcPr>
            <w:tcW w:w="439" w:type="dxa"/>
            <w:shd w:val="clear" w:color="auto" w:fill="auto"/>
          </w:tcPr>
          <w:p w14:paraId="7463E37A" w14:textId="77777777" w:rsidR="009E48CE" w:rsidRPr="00CF6322" w:rsidRDefault="009E48CE" w:rsidP="001D1CF9">
            <w:pPr>
              <w:pStyle w:val="BodyText"/>
            </w:pPr>
            <w:r>
              <w:rPr>
                <w:rFonts w:ascii="Segoe UI Symbol" w:hAnsi="Segoe UI Symbol" w:cs="Segoe UI Symbol"/>
              </w:rPr>
              <w:t>✓</w:t>
            </w:r>
          </w:p>
        </w:tc>
        <w:tc>
          <w:tcPr>
            <w:tcW w:w="441" w:type="dxa"/>
            <w:shd w:val="clear" w:color="auto" w:fill="auto"/>
          </w:tcPr>
          <w:p w14:paraId="371AA7B2" w14:textId="77777777" w:rsidR="009E48CE" w:rsidRPr="00CF6322" w:rsidRDefault="009E48CE" w:rsidP="001D1CF9">
            <w:pPr>
              <w:pStyle w:val="BodyText"/>
            </w:pPr>
            <w:r>
              <w:rPr>
                <w:rFonts w:ascii="Segoe UI Symbol" w:hAnsi="Segoe UI Symbol" w:cs="Segoe UI Symbol"/>
              </w:rPr>
              <w:t>✓</w:t>
            </w:r>
          </w:p>
        </w:tc>
      </w:tr>
    </w:tbl>
    <w:p w14:paraId="632E77B2" w14:textId="77777777" w:rsidR="00E90764" w:rsidRPr="00CF6322" w:rsidRDefault="0099166C" w:rsidP="001B12B1">
      <w:pPr>
        <w:pStyle w:val="Heading4"/>
      </w:pPr>
      <w:r w:rsidRPr="00CF6322">
        <w:t>Our Performance</w:t>
      </w:r>
    </w:p>
    <w:p w14:paraId="632E77B3" w14:textId="77777777" w:rsidR="00E90764" w:rsidRPr="00CF6322" w:rsidRDefault="0099166C" w:rsidP="001B12B1">
      <w:pPr>
        <w:pStyle w:val="Heading5"/>
      </w:pPr>
      <w:r w:rsidRPr="00CF6322">
        <w:t>Performance Measures for Health Protection, Emergency Response and Regulation – Program 1.8</w:t>
      </w:r>
    </w:p>
    <w:tbl>
      <w:tblPr>
        <w:tblW w:w="102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0" w:type="dxa"/>
        </w:tblCellMar>
        <w:tblLook w:val="01E0" w:firstRow="1" w:lastRow="1" w:firstColumn="1" w:lastColumn="1" w:noHBand="0" w:noVBand="0"/>
      </w:tblPr>
      <w:tblGrid>
        <w:gridCol w:w="2577"/>
        <w:gridCol w:w="2577"/>
        <w:gridCol w:w="2577"/>
        <w:gridCol w:w="2552"/>
      </w:tblGrid>
      <w:tr w:rsidR="00E90764" w:rsidRPr="00CF6322" w14:paraId="632E77B6" w14:textId="77777777" w:rsidTr="006E10D0">
        <w:trPr>
          <w:trHeight w:val="465"/>
          <w:tblHeader/>
        </w:trPr>
        <w:tc>
          <w:tcPr>
            <w:tcW w:w="10283" w:type="dxa"/>
            <w:gridSpan w:val="4"/>
            <w:shd w:val="clear" w:color="auto" w:fill="auto"/>
          </w:tcPr>
          <w:p w14:paraId="632E77B5" w14:textId="400A1EF5" w:rsidR="00E90764" w:rsidRPr="001B12B1" w:rsidRDefault="0099166C" w:rsidP="001D1CF9">
            <w:pPr>
              <w:pStyle w:val="BodyText"/>
              <w:rPr>
                <w:rStyle w:val="Strong"/>
              </w:rPr>
            </w:pPr>
            <w:r w:rsidRPr="001B12B1">
              <w:rPr>
                <w:rStyle w:val="Strong"/>
              </w:rPr>
              <w:t>Percentage of therapeutic goods evaluations that meet statutory timeframes.</w:t>
            </w:r>
            <w:r w:rsidR="009E48CE">
              <w:rPr>
                <w:rStyle w:val="FootnoteReference"/>
                <w:b/>
                <w:bCs/>
              </w:rPr>
              <w:footnoteReference w:id="32"/>
            </w:r>
          </w:p>
        </w:tc>
      </w:tr>
      <w:tr w:rsidR="00E90764" w:rsidRPr="00CF6322" w14:paraId="632E77BB" w14:textId="77777777" w:rsidTr="005C3FDA">
        <w:trPr>
          <w:trHeight w:val="458"/>
        </w:trPr>
        <w:tc>
          <w:tcPr>
            <w:tcW w:w="2577" w:type="dxa"/>
            <w:shd w:val="clear" w:color="auto" w:fill="auto"/>
          </w:tcPr>
          <w:p w14:paraId="632E77B7" w14:textId="77777777" w:rsidR="00E90764" w:rsidRPr="001B12B1" w:rsidRDefault="0099166C" w:rsidP="001D1CF9">
            <w:pPr>
              <w:pStyle w:val="BodyText"/>
              <w:rPr>
                <w:rStyle w:val="Strong"/>
              </w:rPr>
            </w:pPr>
            <w:r w:rsidRPr="001B12B1">
              <w:rPr>
                <w:rStyle w:val="Strong"/>
              </w:rPr>
              <w:t>2021–22 Target</w:t>
            </w:r>
          </w:p>
        </w:tc>
        <w:tc>
          <w:tcPr>
            <w:tcW w:w="2577" w:type="dxa"/>
            <w:shd w:val="clear" w:color="auto" w:fill="auto"/>
          </w:tcPr>
          <w:p w14:paraId="632E77B8" w14:textId="77777777" w:rsidR="00E90764" w:rsidRPr="001B12B1" w:rsidRDefault="0099166C" w:rsidP="001D1CF9">
            <w:pPr>
              <w:pStyle w:val="BodyText"/>
              <w:rPr>
                <w:rStyle w:val="Strong"/>
              </w:rPr>
            </w:pPr>
            <w:r w:rsidRPr="001B12B1">
              <w:rPr>
                <w:rStyle w:val="Strong"/>
              </w:rPr>
              <w:t>2022–23 Target</w:t>
            </w:r>
          </w:p>
        </w:tc>
        <w:tc>
          <w:tcPr>
            <w:tcW w:w="2577" w:type="dxa"/>
            <w:shd w:val="clear" w:color="auto" w:fill="auto"/>
          </w:tcPr>
          <w:p w14:paraId="632E77B9" w14:textId="77777777" w:rsidR="00E90764" w:rsidRPr="001B12B1" w:rsidRDefault="0099166C" w:rsidP="001D1CF9">
            <w:pPr>
              <w:pStyle w:val="BodyText"/>
              <w:rPr>
                <w:rStyle w:val="Strong"/>
              </w:rPr>
            </w:pPr>
            <w:r w:rsidRPr="001B12B1">
              <w:rPr>
                <w:rStyle w:val="Strong"/>
              </w:rPr>
              <w:t>2023–24 Target</w:t>
            </w:r>
          </w:p>
        </w:tc>
        <w:tc>
          <w:tcPr>
            <w:tcW w:w="2552" w:type="dxa"/>
            <w:shd w:val="clear" w:color="auto" w:fill="auto"/>
          </w:tcPr>
          <w:p w14:paraId="632E77BA" w14:textId="77777777" w:rsidR="00E90764" w:rsidRPr="001B12B1" w:rsidRDefault="0099166C" w:rsidP="001D1CF9">
            <w:pPr>
              <w:pStyle w:val="BodyText"/>
              <w:rPr>
                <w:rStyle w:val="Strong"/>
              </w:rPr>
            </w:pPr>
            <w:r w:rsidRPr="001B12B1">
              <w:rPr>
                <w:rStyle w:val="Strong"/>
              </w:rPr>
              <w:t>2024–25 Target</w:t>
            </w:r>
          </w:p>
        </w:tc>
      </w:tr>
      <w:tr w:rsidR="00E90764" w:rsidRPr="00CF6322" w14:paraId="632E77C0" w14:textId="77777777" w:rsidTr="005C3FDA">
        <w:trPr>
          <w:trHeight w:val="465"/>
        </w:trPr>
        <w:tc>
          <w:tcPr>
            <w:tcW w:w="2577" w:type="dxa"/>
            <w:shd w:val="clear" w:color="auto" w:fill="auto"/>
          </w:tcPr>
          <w:p w14:paraId="632E77BC" w14:textId="77777777" w:rsidR="00E90764" w:rsidRPr="00CF6322" w:rsidRDefault="0099166C" w:rsidP="001D1CF9">
            <w:pPr>
              <w:pStyle w:val="BodyText"/>
            </w:pPr>
            <w:r w:rsidRPr="00CF6322">
              <w:t>100%</w:t>
            </w:r>
          </w:p>
        </w:tc>
        <w:tc>
          <w:tcPr>
            <w:tcW w:w="2577" w:type="dxa"/>
            <w:shd w:val="clear" w:color="auto" w:fill="auto"/>
          </w:tcPr>
          <w:p w14:paraId="632E77BD" w14:textId="77777777" w:rsidR="00E90764" w:rsidRPr="00CF6322" w:rsidRDefault="0099166C" w:rsidP="001D1CF9">
            <w:pPr>
              <w:pStyle w:val="BodyText"/>
            </w:pPr>
            <w:r w:rsidRPr="00CF6322">
              <w:t>100%</w:t>
            </w:r>
          </w:p>
        </w:tc>
        <w:tc>
          <w:tcPr>
            <w:tcW w:w="2577" w:type="dxa"/>
            <w:shd w:val="clear" w:color="auto" w:fill="auto"/>
          </w:tcPr>
          <w:p w14:paraId="632E77BE" w14:textId="77777777" w:rsidR="00E90764" w:rsidRPr="00CF6322" w:rsidRDefault="0099166C" w:rsidP="001D1CF9">
            <w:pPr>
              <w:pStyle w:val="BodyText"/>
            </w:pPr>
            <w:r w:rsidRPr="00CF6322">
              <w:t>100%</w:t>
            </w:r>
          </w:p>
        </w:tc>
        <w:tc>
          <w:tcPr>
            <w:tcW w:w="2552" w:type="dxa"/>
            <w:shd w:val="clear" w:color="auto" w:fill="auto"/>
          </w:tcPr>
          <w:p w14:paraId="632E77BF" w14:textId="77777777" w:rsidR="00E90764" w:rsidRPr="00CF6322" w:rsidRDefault="0099166C" w:rsidP="001D1CF9">
            <w:pPr>
              <w:pStyle w:val="BodyText"/>
            </w:pPr>
            <w:r w:rsidRPr="00CF6322">
              <w:t>100%</w:t>
            </w:r>
          </w:p>
        </w:tc>
      </w:tr>
      <w:tr w:rsidR="00E90764" w:rsidRPr="00CF6322" w14:paraId="632E77C9" w14:textId="77777777" w:rsidTr="005C3FDA">
        <w:trPr>
          <w:trHeight w:val="3089"/>
        </w:trPr>
        <w:tc>
          <w:tcPr>
            <w:tcW w:w="10283" w:type="dxa"/>
            <w:gridSpan w:val="4"/>
            <w:shd w:val="clear" w:color="auto" w:fill="auto"/>
          </w:tcPr>
          <w:p w14:paraId="632E77C1" w14:textId="0784A1BC" w:rsidR="00E90764" w:rsidRPr="001B12B1" w:rsidRDefault="0099166C" w:rsidP="001D1CF9">
            <w:pPr>
              <w:pStyle w:val="Heading6"/>
            </w:pPr>
            <w:r w:rsidRPr="00CF6322">
              <w:t>Data source and methodology</w:t>
            </w:r>
          </w:p>
          <w:p w14:paraId="632E77C2" w14:textId="1A41851F" w:rsidR="00E90764" w:rsidRPr="00CF6322" w:rsidRDefault="0099166C" w:rsidP="001D1CF9">
            <w:pPr>
              <w:pStyle w:val="BodyText"/>
            </w:pPr>
            <w:r w:rsidRPr="00CF6322">
              <w:t xml:space="preserve">Records of medicines, medical devices and biologicals applications. Data is </w:t>
            </w:r>
            <w:proofErr w:type="spellStart"/>
            <w:r w:rsidRPr="00CF6322">
              <w:t>analysed</w:t>
            </w:r>
            <w:proofErr w:type="spellEnd"/>
            <w:r w:rsidRPr="00CF6322">
              <w:t xml:space="preserve"> and maintained internally by the Department. Evaluation activities are measured against statutory timeframes, contained within the Therapeutic Goods Regulations 1990</w:t>
            </w:r>
            <w:r w:rsidR="009E48CE">
              <w:rPr>
                <w:rStyle w:val="FootnoteReference"/>
              </w:rPr>
              <w:footnoteReference w:id="33"/>
            </w:r>
            <w:r w:rsidRPr="00CF6322">
              <w:t>.</w:t>
            </w:r>
          </w:p>
          <w:p w14:paraId="632E77C4" w14:textId="77777777" w:rsidR="00E90764" w:rsidRPr="00CF6322" w:rsidRDefault="0099166C" w:rsidP="001D1CF9">
            <w:pPr>
              <w:pStyle w:val="Heading6"/>
            </w:pPr>
            <w:r w:rsidRPr="00CF6322">
              <w:t xml:space="preserve">Measure </w:t>
            </w:r>
            <w:r w:rsidRPr="001B12B1">
              <w:t>type</w:t>
            </w:r>
          </w:p>
          <w:p w14:paraId="632E77C5" w14:textId="77777777" w:rsidR="00E90764" w:rsidRPr="00CF6322" w:rsidRDefault="0099166C" w:rsidP="001D1CF9">
            <w:pPr>
              <w:pStyle w:val="BodyText"/>
            </w:pPr>
            <w:r w:rsidRPr="00CF6322">
              <w:t>Quantitative/Efficiency</w:t>
            </w:r>
          </w:p>
          <w:p w14:paraId="632E77C7" w14:textId="77777777" w:rsidR="00E90764" w:rsidRPr="001B12B1" w:rsidRDefault="0099166C" w:rsidP="001D1CF9">
            <w:pPr>
              <w:pStyle w:val="Heading6"/>
            </w:pPr>
            <w:r w:rsidRPr="00CF6322">
              <w:t>Discussion</w:t>
            </w:r>
          </w:p>
          <w:p w14:paraId="632E77C8" w14:textId="77777777" w:rsidR="00E90764" w:rsidRPr="00CF6322" w:rsidRDefault="0099166C" w:rsidP="001D1CF9">
            <w:pPr>
              <w:pStyle w:val="BodyText"/>
            </w:pPr>
            <w:r w:rsidRPr="00CF6322">
              <w:t>Previous measure was to “improve timeliness, transparency and compliance”. This new measure is more specific and objective. A target of 100% ensures efficient regulatory processes are in place.</w:t>
            </w:r>
          </w:p>
        </w:tc>
      </w:tr>
    </w:tbl>
    <w:p w14:paraId="632E77CA" w14:textId="77777777" w:rsidR="00E90764" w:rsidRPr="00CF6322" w:rsidRDefault="00E90764" w:rsidP="001D1CF9">
      <w:pPr>
        <w:pStyle w:val="BodyText"/>
      </w:pPr>
    </w:p>
    <w:tbl>
      <w:tblPr>
        <w:tblW w:w="102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0" w:type="dxa"/>
        </w:tblCellMar>
        <w:tblLook w:val="01E0" w:firstRow="1" w:lastRow="1" w:firstColumn="1" w:lastColumn="1" w:noHBand="0" w:noVBand="0"/>
      </w:tblPr>
      <w:tblGrid>
        <w:gridCol w:w="2577"/>
        <w:gridCol w:w="2577"/>
        <w:gridCol w:w="2577"/>
        <w:gridCol w:w="2552"/>
      </w:tblGrid>
      <w:tr w:rsidR="00E90764" w:rsidRPr="00CF6322" w14:paraId="632E77CC" w14:textId="77777777" w:rsidTr="006E10D0">
        <w:trPr>
          <w:trHeight w:val="465"/>
          <w:tblHeader/>
        </w:trPr>
        <w:tc>
          <w:tcPr>
            <w:tcW w:w="10283" w:type="dxa"/>
            <w:gridSpan w:val="4"/>
            <w:shd w:val="clear" w:color="auto" w:fill="auto"/>
          </w:tcPr>
          <w:p w14:paraId="632E77CB" w14:textId="464F8821" w:rsidR="00E90764" w:rsidRPr="001B12B1" w:rsidRDefault="0099166C" w:rsidP="001D1CF9">
            <w:pPr>
              <w:pStyle w:val="BodyText"/>
              <w:rPr>
                <w:rStyle w:val="Strong"/>
              </w:rPr>
            </w:pPr>
            <w:r w:rsidRPr="001B12B1">
              <w:rPr>
                <w:rStyle w:val="Strong"/>
              </w:rPr>
              <w:lastRenderedPageBreak/>
              <w:t>Number of completed medicinal cannabis inspections.</w:t>
            </w:r>
            <w:r w:rsidR="009E48CE">
              <w:rPr>
                <w:rStyle w:val="FootnoteReference"/>
                <w:b/>
                <w:bCs/>
              </w:rPr>
              <w:footnoteReference w:id="34"/>
            </w:r>
          </w:p>
        </w:tc>
      </w:tr>
      <w:tr w:rsidR="00E90764" w:rsidRPr="00CF6322" w14:paraId="632E77D1" w14:textId="77777777" w:rsidTr="006E10D0">
        <w:trPr>
          <w:trHeight w:val="458"/>
        </w:trPr>
        <w:tc>
          <w:tcPr>
            <w:tcW w:w="2577" w:type="dxa"/>
            <w:shd w:val="clear" w:color="auto" w:fill="auto"/>
          </w:tcPr>
          <w:p w14:paraId="632E77CD" w14:textId="77777777" w:rsidR="00E90764" w:rsidRPr="001B12B1" w:rsidRDefault="0099166C" w:rsidP="001D1CF9">
            <w:pPr>
              <w:pStyle w:val="BodyText"/>
              <w:rPr>
                <w:rStyle w:val="Strong"/>
              </w:rPr>
            </w:pPr>
            <w:r w:rsidRPr="001B12B1">
              <w:rPr>
                <w:rStyle w:val="Strong"/>
              </w:rPr>
              <w:t>2021–22 Target</w:t>
            </w:r>
          </w:p>
        </w:tc>
        <w:tc>
          <w:tcPr>
            <w:tcW w:w="2577" w:type="dxa"/>
            <w:shd w:val="clear" w:color="auto" w:fill="auto"/>
          </w:tcPr>
          <w:p w14:paraId="632E77CE" w14:textId="77777777" w:rsidR="00E90764" w:rsidRPr="001B12B1" w:rsidRDefault="0099166C" w:rsidP="001D1CF9">
            <w:pPr>
              <w:pStyle w:val="BodyText"/>
              <w:rPr>
                <w:rStyle w:val="Strong"/>
              </w:rPr>
            </w:pPr>
            <w:r w:rsidRPr="001B12B1">
              <w:rPr>
                <w:rStyle w:val="Strong"/>
              </w:rPr>
              <w:t>2022–23 Target</w:t>
            </w:r>
          </w:p>
        </w:tc>
        <w:tc>
          <w:tcPr>
            <w:tcW w:w="2577" w:type="dxa"/>
            <w:shd w:val="clear" w:color="auto" w:fill="auto"/>
          </w:tcPr>
          <w:p w14:paraId="632E77CF" w14:textId="77777777" w:rsidR="00E90764" w:rsidRPr="001B12B1" w:rsidRDefault="0099166C" w:rsidP="001D1CF9">
            <w:pPr>
              <w:pStyle w:val="BodyText"/>
              <w:rPr>
                <w:rStyle w:val="Strong"/>
              </w:rPr>
            </w:pPr>
            <w:r w:rsidRPr="001B12B1">
              <w:rPr>
                <w:rStyle w:val="Strong"/>
              </w:rPr>
              <w:t>2023–24 Target</w:t>
            </w:r>
          </w:p>
        </w:tc>
        <w:tc>
          <w:tcPr>
            <w:tcW w:w="2552" w:type="dxa"/>
            <w:shd w:val="clear" w:color="auto" w:fill="auto"/>
          </w:tcPr>
          <w:p w14:paraId="632E77D0" w14:textId="77777777" w:rsidR="00E90764" w:rsidRPr="001B12B1" w:rsidRDefault="0099166C" w:rsidP="001D1CF9">
            <w:pPr>
              <w:pStyle w:val="BodyText"/>
              <w:rPr>
                <w:rStyle w:val="Strong"/>
              </w:rPr>
            </w:pPr>
            <w:r w:rsidRPr="001B12B1">
              <w:rPr>
                <w:rStyle w:val="Strong"/>
              </w:rPr>
              <w:t>2024–25 Target</w:t>
            </w:r>
          </w:p>
        </w:tc>
      </w:tr>
      <w:tr w:rsidR="00E90764" w:rsidRPr="00CF6322" w14:paraId="632E77D6" w14:textId="77777777" w:rsidTr="006E10D0">
        <w:trPr>
          <w:trHeight w:val="465"/>
        </w:trPr>
        <w:tc>
          <w:tcPr>
            <w:tcW w:w="2577" w:type="dxa"/>
            <w:shd w:val="clear" w:color="auto" w:fill="auto"/>
          </w:tcPr>
          <w:p w14:paraId="632E77D2" w14:textId="77777777" w:rsidR="00E90764" w:rsidRPr="00CF6322" w:rsidRDefault="0099166C" w:rsidP="001D1CF9">
            <w:pPr>
              <w:pStyle w:val="BodyText"/>
            </w:pPr>
            <w:r w:rsidRPr="00CF6322">
              <w:t>15</w:t>
            </w:r>
          </w:p>
        </w:tc>
        <w:tc>
          <w:tcPr>
            <w:tcW w:w="2577" w:type="dxa"/>
            <w:shd w:val="clear" w:color="auto" w:fill="auto"/>
          </w:tcPr>
          <w:p w14:paraId="632E77D3" w14:textId="77777777" w:rsidR="00E90764" w:rsidRPr="00CF6322" w:rsidRDefault="0099166C" w:rsidP="001D1CF9">
            <w:pPr>
              <w:pStyle w:val="BodyText"/>
            </w:pPr>
            <w:r w:rsidRPr="00CF6322">
              <w:t>25</w:t>
            </w:r>
          </w:p>
        </w:tc>
        <w:tc>
          <w:tcPr>
            <w:tcW w:w="2577" w:type="dxa"/>
            <w:shd w:val="clear" w:color="auto" w:fill="auto"/>
          </w:tcPr>
          <w:p w14:paraId="632E77D4" w14:textId="77777777" w:rsidR="00E90764" w:rsidRPr="00CF6322" w:rsidRDefault="0099166C" w:rsidP="001D1CF9">
            <w:pPr>
              <w:pStyle w:val="BodyText"/>
            </w:pPr>
            <w:r w:rsidRPr="00CF6322">
              <w:t>25</w:t>
            </w:r>
          </w:p>
        </w:tc>
        <w:tc>
          <w:tcPr>
            <w:tcW w:w="2552" w:type="dxa"/>
            <w:shd w:val="clear" w:color="auto" w:fill="auto"/>
          </w:tcPr>
          <w:p w14:paraId="632E77D5" w14:textId="77777777" w:rsidR="00E90764" w:rsidRPr="00CF6322" w:rsidRDefault="0099166C" w:rsidP="001D1CF9">
            <w:pPr>
              <w:pStyle w:val="BodyText"/>
            </w:pPr>
            <w:r w:rsidRPr="00CF6322">
              <w:t>25</w:t>
            </w:r>
          </w:p>
        </w:tc>
      </w:tr>
      <w:tr w:rsidR="00E90764" w:rsidRPr="00CF6322" w14:paraId="632E77DF" w14:textId="77777777" w:rsidTr="006E10D0">
        <w:trPr>
          <w:trHeight w:val="2339"/>
        </w:trPr>
        <w:tc>
          <w:tcPr>
            <w:tcW w:w="10283" w:type="dxa"/>
            <w:gridSpan w:val="4"/>
            <w:shd w:val="clear" w:color="auto" w:fill="auto"/>
          </w:tcPr>
          <w:p w14:paraId="632E77D7" w14:textId="77777777" w:rsidR="00E90764" w:rsidRPr="00CF6322" w:rsidRDefault="0099166C" w:rsidP="001D1CF9">
            <w:pPr>
              <w:pStyle w:val="Heading6"/>
            </w:pPr>
            <w:r w:rsidRPr="00CF6322">
              <w:t xml:space="preserve">Data source and </w:t>
            </w:r>
            <w:r w:rsidRPr="001B12B1">
              <w:t>methodology</w:t>
            </w:r>
          </w:p>
          <w:p w14:paraId="632E77D8" w14:textId="77777777" w:rsidR="00E90764" w:rsidRPr="00CF6322" w:rsidRDefault="0099166C" w:rsidP="001D1CF9">
            <w:pPr>
              <w:pStyle w:val="BodyText"/>
            </w:pPr>
            <w:r w:rsidRPr="00CF6322">
              <w:t xml:space="preserve">Records of compliance and initial inspections undertaken. Data is </w:t>
            </w:r>
            <w:proofErr w:type="spellStart"/>
            <w:r w:rsidRPr="00CF6322">
              <w:t>analysed</w:t>
            </w:r>
            <w:proofErr w:type="spellEnd"/>
            <w:r w:rsidRPr="00CF6322">
              <w:t xml:space="preserve"> and maintained internally by the Department.</w:t>
            </w:r>
          </w:p>
          <w:p w14:paraId="632E77DA" w14:textId="77777777" w:rsidR="00E90764" w:rsidRPr="00CF6322" w:rsidRDefault="0099166C" w:rsidP="001D1CF9">
            <w:pPr>
              <w:pStyle w:val="Heading6"/>
            </w:pPr>
            <w:r w:rsidRPr="00CF6322">
              <w:t xml:space="preserve">Measure </w:t>
            </w:r>
            <w:r w:rsidRPr="001B12B1">
              <w:t>type</w:t>
            </w:r>
          </w:p>
          <w:p w14:paraId="632E77DB" w14:textId="77777777" w:rsidR="00E90764" w:rsidRPr="00CF6322" w:rsidRDefault="0099166C" w:rsidP="001D1CF9">
            <w:pPr>
              <w:pStyle w:val="BodyText"/>
            </w:pPr>
            <w:r w:rsidRPr="00CF6322">
              <w:t>Quantitative/Output</w:t>
            </w:r>
          </w:p>
          <w:p w14:paraId="632E77DD" w14:textId="77777777" w:rsidR="00E90764" w:rsidRPr="00CF6322" w:rsidRDefault="0099166C" w:rsidP="001D1CF9">
            <w:pPr>
              <w:pStyle w:val="Heading6"/>
            </w:pPr>
            <w:r w:rsidRPr="001B12B1">
              <w:t>Discussion</w:t>
            </w:r>
          </w:p>
          <w:p w14:paraId="632E77DE" w14:textId="77777777" w:rsidR="00E90764" w:rsidRPr="00CF6322" w:rsidRDefault="0099166C" w:rsidP="001D1CF9">
            <w:pPr>
              <w:pStyle w:val="BodyText"/>
            </w:pPr>
            <w:r w:rsidRPr="00CF6322">
              <w:t>Previous measure was to ‘improve timeliness, transparency and compliance’. This new measure is more specific and objective.</w:t>
            </w:r>
          </w:p>
        </w:tc>
      </w:tr>
    </w:tbl>
    <w:p w14:paraId="632E77E4" w14:textId="20F7E49B" w:rsidR="00E90764" w:rsidRPr="00CF6322" w:rsidRDefault="00E90764" w:rsidP="001D1CF9">
      <w:pPr>
        <w:pStyle w:val="BodyText"/>
      </w:pPr>
    </w:p>
    <w:tbl>
      <w:tblPr>
        <w:tblW w:w="102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0" w:type="dxa"/>
        </w:tblCellMar>
        <w:tblLook w:val="01E0" w:firstRow="1" w:lastRow="1" w:firstColumn="1" w:lastColumn="1" w:noHBand="0" w:noVBand="0"/>
      </w:tblPr>
      <w:tblGrid>
        <w:gridCol w:w="709"/>
        <w:gridCol w:w="2294"/>
        <w:gridCol w:w="2437"/>
        <w:gridCol w:w="2437"/>
        <w:gridCol w:w="2412"/>
      </w:tblGrid>
      <w:tr w:rsidR="00E90764" w:rsidRPr="009E48CE" w14:paraId="632E77EA" w14:textId="77777777" w:rsidTr="005C3FDA">
        <w:trPr>
          <w:trHeight w:val="772"/>
        </w:trPr>
        <w:tc>
          <w:tcPr>
            <w:tcW w:w="10289" w:type="dxa"/>
            <w:gridSpan w:val="5"/>
            <w:shd w:val="clear" w:color="auto" w:fill="auto"/>
          </w:tcPr>
          <w:p w14:paraId="632E77E8" w14:textId="77777777" w:rsidR="00E90764" w:rsidRPr="009E48CE" w:rsidRDefault="0099166C" w:rsidP="001D1CF9">
            <w:pPr>
              <w:pStyle w:val="BodyText"/>
              <w:rPr>
                <w:rStyle w:val="Strong"/>
              </w:rPr>
            </w:pPr>
            <w:r w:rsidRPr="009E48CE">
              <w:rPr>
                <w:rStyle w:val="Strong"/>
              </w:rPr>
              <w:t xml:space="preserve">Percentage of GMO </w:t>
            </w:r>
            <w:proofErr w:type="spellStart"/>
            <w:r w:rsidRPr="009E48CE">
              <w:rPr>
                <w:rStyle w:val="Strong"/>
              </w:rPr>
              <w:t>licence</w:t>
            </w:r>
            <w:proofErr w:type="spellEnd"/>
            <w:r w:rsidRPr="009E48CE">
              <w:rPr>
                <w:rStyle w:val="Strong"/>
              </w:rPr>
              <w:t xml:space="preserve"> decisions made within statutory timeframes.</w:t>
            </w:r>
          </w:p>
          <w:p w14:paraId="632E77E9" w14:textId="5F8642AF" w:rsidR="00E90764" w:rsidRPr="009E48CE" w:rsidRDefault="0099166C" w:rsidP="001D1CF9">
            <w:pPr>
              <w:pStyle w:val="BodyText"/>
              <w:rPr>
                <w:rStyle w:val="Strong"/>
              </w:rPr>
            </w:pPr>
            <w:r w:rsidRPr="009E48CE">
              <w:rPr>
                <w:rStyle w:val="Strong"/>
              </w:rPr>
              <w:t>Percentage of reported non-compliance with the conditions of GMO approvals assessed.</w:t>
            </w:r>
            <w:r w:rsidR="009E48CE">
              <w:rPr>
                <w:rStyle w:val="FootnoteReference"/>
                <w:b/>
                <w:bCs/>
              </w:rPr>
              <w:footnoteReference w:id="35"/>
            </w:r>
          </w:p>
        </w:tc>
      </w:tr>
      <w:tr w:rsidR="00E90764" w:rsidRPr="009E48CE" w14:paraId="632E77F0" w14:textId="77777777" w:rsidTr="005C3FDA">
        <w:trPr>
          <w:trHeight w:val="472"/>
        </w:trPr>
        <w:tc>
          <w:tcPr>
            <w:tcW w:w="709" w:type="dxa"/>
            <w:shd w:val="clear" w:color="auto" w:fill="auto"/>
          </w:tcPr>
          <w:p w14:paraId="632E77EB" w14:textId="77777777" w:rsidR="00E90764" w:rsidRPr="009E48CE" w:rsidRDefault="00E90764" w:rsidP="001D1CF9">
            <w:pPr>
              <w:pStyle w:val="BodyText"/>
              <w:rPr>
                <w:rStyle w:val="Strong"/>
              </w:rPr>
            </w:pPr>
          </w:p>
        </w:tc>
        <w:tc>
          <w:tcPr>
            <w:tcW w:w="2294" w:type="dxa"/>
            <w:shd w:val="clear" w:color="auto" w:fill="auto"/>
          </w:tcPr>
          <w:p w14:paraId="632E77EC" w14:textId="77777777" w:rsidR="00E90764" w:rsidRPr="009E48CE" w:rsidRDefault="0099166C" w:rsidP="001D1CF9">
            <w:pPr>
              <w:pStyle w:val="BodyText"/>
              <w:rPr>
                <w:rStyle w:val="Strong"/>
              </w:rPr>
            </w:pPr>
            <w:r w:rsidRPr="009E48CE">
              <w:rPr>
                <w:rStyle w:val="Strong"/>
              </w:rPr>
              <w:t>2021–22 Target</w:t>
            </w:r>
          </w:p>
        </w:tc>
        <w:tc>
          <w:tcPr>
            <w:tcW w:w="2437" w:type="dxa"/>
            <w:shd w:val="clear" w:color="auto" w:fill="auto"/>
          </w:tcPr>
          <w:p w14:paraId="632E77ED" w14:textId="77777777" w:rsidR="00E90764" w:rsidRPr="009E48CE" w:rsidRDefault="0099166C" w:rsidP="001D1CF9">
            <w:pPr>
              <w:pStyle w:val="BodyText"/>
              <w:rPr>
                <w:rStyle w:val="Strong"/>
              </w:rPr>
            </w:pPr>
            <w:r w:rsidRPr="009E48CE">
              <w:rPr>
                <w:rStyle w:val="Strong"/>
              </w:rPr>
              <w:t>2022–23 Target</w:t>
            </w:r>
          </w:p>
        </w:tc>
        <w:tc>
          <w:tcPr>
            <w:tcW w:w="2437" w:type="dxa"/>
            <w:shd w:val="clear" w:color="auto" w:fill="auto"/>
          </w:tcPr>
          <w:p w14:paraId="632E77EE" w14:textId="77777777" w:rsidR="00E90764" w:rsidRPr="009E48CE" w:rsidRDefault="0099166C" w:rsidP="001D1CF9">
            <w:pPr>
              <w:pStyle w:val="BodyText"/>
              <w:rPr>
                <w:rStyle w:val="Strong"/>
              </w:rPr>
            </w:pPr>
            <w:r w:rsidRPr="009E48CE">
              <w:rPr>
                <w:rStyle w:val="Strong"/>
              </w:rPr>
              <w:t>2023–24 Target</w:t>
            </w:r>
          </w:p>
        </w:tc>
        <w:tc>
          <w:tcPr>
            <w:tcW w:w="2412" w:type="dxa"/>
            <w:shd w:val="clear" w:color="auto" w:fill="auto"/>
          </w:tcPr>
          <w:p w14:paraId="632E77EF" w14:textId="77777777" w:rsidR="00E90764" w:rsidRPr="009E48CE" w:rsidRDefault="0099166C" w:rsidP="001D1CF9">
            <w:pPr>
              <w:pStyle w:val="BodyText"/>
              <w:rPr>
                <w:rStyle w:val="Strong"/>
              </w:rPr>
            </w:pPr>
            <w:r w:rsidRPr="009E48CE">
              <w:rPr>
                <w:rStyle w:val="Strong"/>
              </w:rPr>
              <w:t>2024–25 Target</w:t>
            </w:r>
          </w:p>
        </w:tc>
      </w:tr>
      <w:tr w:rsidR="00E90764" w:rsidRPr="00CF6322" w14:paraId="632E77F6" w14:textId="77777777" w:rsidTr="005C3FDA">
        <w:trPr>
          <w:trHeight w:val="465"/>
        </w:trPr>
        <w:tc>
          <w:tcPr>
            <w:tcW w:w="709" w:type="dxa"/>
            <w:shd w:val="clear" w:color="auto" w:fill="auto"/>
          </w:tcPr>
          <w:p w14:paraId="632E77F1" w14:textId="77777777" w:rsidR="00E90764" w:rsidRPr="009E48CE" w:rsidRDefault="0099166C" w:rsidP="001D1CF9">
            <w:pPr>
              <w:pStyle w:val="BodyText"/>
              <w:rPr>
                <w:rStyle w:val="Strong"/>
              </w:rPr>
            </w:pPr>
            <w:r w:rsidRPr="009E48CE">
              <w:rPr>
                <w:rStyle w:val="Strong"/>
              </w:rPr>
              <w:t>a.</w:t>
            </w:r>
          </w:p>
        </w:tc>
        <w:tc>
          <w:tcPr>
            <w:tcW w:w="2294" w:type="dxa"/>
            <w:shd w:val="clear" w:color="auto" w:fill="auto"/>
          </w:tcPr>
          <w:p w14:paraId="632E77F2" w14:textId="77777777" w:rsidR="00E90764" w:rsidRPr="00CF6322" w:rsidRDefault="0099166C" w:rsidP="001D1CF9">
            <w:pPr>
              <w:pStyle w:val="BodyText"/>
            </w:pPr>
            <w:r w:rsidRPr="00CF6322">
              <w:t>100%</w:t>
            </w:r>
          </w:p>
        </w:tc>
        <w:tc>
          <w:tcPr>
            <w:tcW w:w="2437" w:type="dxa"/>
            <w:shd w:val="clear" w:color="auto" w:fill="auto"/>
          </w:tcPr>
          <w:p w14:paraId="632E77F3" w14:textId="77777777" w:rsidR="00E90764" w:rsidRPr="00CF6322" w:rsidRDefault="0099166C" w:rsidP="001D1CF9">
            <w:pPr>
              <w:pStyle w:val="BodyText"/>
            </w:pPr>
            <w:r w:rsidRPr="00CF6322">
              <w:t>100%</w:t>
            </w:r>
          </w:p>
        </w:tc>
        <w:tc>
          <w:tcPr>
            <w:tcW w:w="2437" w:type="dxa"/>
            <w:shd w:val="clear" w:color="auto" w:fill="auto"/>
          </w:tcPr>
          <w:p w14:paraId="632E77F4" w14:textId="77777777" w:rsidR="00E90764" w:rsidRPr="00CF6322" w:rsidRDefault="0099166C" w:rsidP="001D1CF9">
            <w:pPr>
              <w:pStyle w:val="BodyText"/>
            </w:pPr>
            <w:r w:rsidRPr="00CF6322">
              <w:t>100%</w:t>
            </w:r>
          </w:p>
        </w:tc>
        <w:tc>
          <w:tcPr>
            <w:tcW w:w="2412" w:type="dxa"/>
            <w:shd w:val="clear" w:color="auto" w:fill="auto"/>
          </w:tcPr>
          <w:p w14:paraId="632E77F5" w14:textId="77777777" w:rsidR="00E90764" w:rsidRPr="00CF6322" w:rsidRDefault="0099166C" w:rsidP="001D1CF9">
            <w:pPr>
              <w:pStyle w:val="BodyText"/>
            </w:pPr>
            <w:r w:rsidRPr="00CF6322">
              <w:t>100%</w:t>
            </w:r>
          </w:p>
        </w:tc>
      </w:tr>
      <w:tr w:rsidR="00E90764" w:rsidRPr="00CF6322" w14:paraId="632E77FC" w14:textId="77777777" w:rsidTr="005C3FDA">
        <w:trPr>
          <w:trHeight w:val="465"/>
        </w:trPr>
        <w:tc>
          <w:tcPr>
            <w:tcW w:w="709" w:type="dxa"/>
            <w:shd w:val="clear" w:color="auto" w:fill="auto"/>
          </w:tcPr>
          <w:p w14:paraId="632E77F7" w14:textId="77777777" w:rsidR="00E90764" w:rsidRPr="009E48CE" w:rsidRDefault="0099166C" w:rsidP="001D1CF9">
            <w:pPr>
              <w:pStyle w:val="BodyText"/>
              <w:rPr>
                <w:rStyle w:val="Strong"/>
              </w:rPr>
            </w:pPr>
            <w:r w:rsidRPr="009E48CE">
              <w:rPr>
                <w:rStyle w:val="Strong"/>
              </w:rPr>
              <w:t>b.</w:t>
            </w:r>
          </w:p>
        </w:tc>
        <w:tc>
          <w:tcPr>
            <w:tcW w:w="2294" w:type="dxa"/>
            <w:shd w:val="clear" w:color="auto" w:fill="auto"/>
          </w:tcPr>
          <w:p w14:paraId="632E77F8" w14:textId="77777777" w:rsidR="00E90764" w:rsidRPr="00CF6322" w:rsidRDefault="0099166C" w:rsidP="001D1CF9">
            <w:pPr>
              <w:pStyle w:val="BodyText"/>
            </w:pPr>
            <w:r w:rsidRPr="00CF6322">
              <w:t>100%</w:t>
            </w:r>
          </w:p>
        </w:tc>
        <w:tc>
          <w:tcPr>
            <w:tcW w:w="2437" w:type="dxa"/>
            <w:shd w:val="clear" w:color="auto" w:fill="auto"/>
          </w:tcPr>
          <w:p w14:paraId="632E77F9" w14:textId="77777777" w:rsidR="00E90764" w:rsidRPr="00CF6322" w:rsidRDefault="0099166C" w:rsidP="001D1CF9">
            <w:pPr>
              <w:pStyle w:val="BodyText"/>
            </w:pPr>
            <w:r w:rsidRPr="00CF6322">
              <w:t>100%</w:t>
            </w:r>
          </w:p>
        </w:tc>
        <w:tc>
          <w:tcPr>
            <w:tcW w:w="2437" w:type="dxa"/>
            <w:shd w:val="clear" w:color="auto" w:fill="auto"/>
          </w:tcPr>
          <w:p w14:paraId="632E77FA" w14:textId="77777777" w:rsidR="00E90764" w:rsidRPr="00CF6322" w:rsidRDefault="0099166C" w:rsidP="001D1CF9">
            <w:pPr>
              <w:pStyle w:val="BodyText"/>
            </w:pPr>
            <w:r w:rsidRPr="00CF6322">
              <w:t>100%</w:t>
            </w:r>
          </w:p>
        </w:tc>
        <w:tc>
          <w:tcPr>
            <w:tcW w:w="2412" w:type="dxa"/>
            <w:shd w:val="clear" w:color="auto" w:fill="auto"/>
          </w:tcPr>
          <w:p w14:paraId="632E77FB" w14:textId="77777777" w:rsidR="00E90764" w:rsidRPr="00CF6322" w:rsidRDefault="0099166C" w:rsidP="001D1CF9">
            <w:pPr>
              <w:pStyle w:val="BodyText"/>
            </w:pPr>
            <w:r w:rsidRPr="00CF6322">
              <w:t>100%</w:t>
            </w:r>
          </w:p>
        </w:tc>
      </w:tr>
      <w:tr w:rsidR="00E90764" w:rsidRPr="00CF6322" w14:paraId="632E7805" w14:textId="77777777" w:rsidTr="005C3FDA">
        <w:trPr>
          <w:trHeight w:val="3339"/>
        </w:trPr>
        <w:tc>
          <w:tcPr>
            <w:tcW w:w="10289" w:type="dxa"/>
            <w:gridSpan w:val="5"/>
            <w:shd w:val="clear" w:color="auto" w:fill="auto"/>
          </w:tcPr>
          <w:p w14:paraId="632E77FD" w14:textId="77777777" w:rsidR="00E90764" w:rsidRPr="00CF6322" w:rsidRDefault="0099166C" w:rsidP="001D1CF9">
            <w:pPr>
              <w:pStyle w:val="Heading6"/>
            </w:pPr>
            <w:r w:rsidRPr="00CF6322">
              <w:t xml:space="preserve">Data source and </w:t>
            </w:r>
            <w:r w:rsidRPr="009E48CE">
              <w:t>methodology</w:t>
            </w:r>
          </w:p>
          <w:p w14:paraId="632E77FE" w14:textId="32D50E3E" w:rsidR="00E90764" w:rsidRPr="00CF6322" w:rsidRDefault="0099166C" w:rsidP="001D1CF9">
            <w:pPr>
              <w:pStyle w:val="BodyText"/>
            </w:pPr>
            <w:r w:rsidRPr="00CF6322">
              <w:t xml:space="preserve">Records of </w:t>
            </w:r>
            <w:proofErr w:type="spellStart"/>
            <w:r w:rsidRPr="00CF6322">
              <w:t>licence</w:t>
            </w:r>
            <w:proofErr w:type="spellEnd"/>
            <w:r w:rsidRPr="00CF6322">
              <w:t xml:space="preserve"> applications and inspections. Data is </w:t>
            </w:r>
            <w:proofErr w:type="spellStart"/>
            <w:r w:rsidRPr="00CF6322">
              <w:t>analysed</w:t>
            </w:r>
            <w:proofErr w:type="spellEnd"/>
            <w:r w:rsidRPr="00CF6322">
              <w:t xml:space="preserve"> and maintained internally by the Department. Statutory requirements are prescribed in Section 136(1A) of the </w:t>
            </w:r>
            <w:r w:rsidRPr="005C3FDA">
              <w:rPr>
                <w:i/>
                <w:iCs/>
              </w:rPr>
              <w:t>Gene Technology Act 2000</w:t>
            </w:r>
            <w:r w:rsidR="009E48CE">
              <w:rPr>
                <w:rStyle w:val="FootnoteReference"/>
              </w:rPr>
              <w:footnoteReference w:id="36"/>
            </w:r>
            <w:r w:rsidRPr="00CF6322">
              <w:t>. Practice reviews, audits and inspections are reported in the Office of the Gene Technology Regulator’s (OGTR’s) quarterly activity statements</w:t>
            </w:r>
            <w:r w:rsidR="009E48CE">
              <w:rPr>
                <w:rStyle w:val="FootnoteReference"/>
              </w:rPr>
              <w:footnoteReference w:id="37"/>
            </w:r>
            <w:r w:rsidRPr="00CF6322">
              <w:t xml:space="preserve"> and annual reports</w:t>
            </w:r>
            <w:r w:rsidR="009E48CE">
              <w:rPr>
                <w:rStyle w:val="FootnoteReference"/>
              </w:rPr>
              <w:footnoteReference w:id="38"/>
            </w:r>
            <w:r w:rsidR="009E48CE">
              <w:t>.</w:t>
            </w:r>
          </w:p>
          <w:p w14:paraId="632E7800" w14:textId="77777777" w:rsidR="00E90764" w:rsidRPr="00CF6322" w:rsidRDefault="0099166C" w:rsidP="001D1CF9">
            <w:pPr>
              <w:pStyle w:val="Heading6"/>
            </w:pPr>
            <w:r w:rsidRPr="00CF6322">
              <w:t xml:space="preserve">Measure </w:t>
            </w:r>
            <w:r w:rsidRPr="009E48CE">
              <w:t>type</w:t>
            </w:r>
          </w:p>
          <w:p w14:paraId="632E7801" w14:textId="77777777" w:rsidR="00E90764" w:rsidRPr="00CF6322" w:rsidRDefault="0099166C" w:rsidP="001D1CF9">
            <w:pPr>
              <w:pStyle w:val="BodyText"/>
            </w:pPr>
            <w:r w:rsidRPr="00CF6322">
              <w:t>Quantitative/Efficiency</w:t>
            </w:r>
          </w:p>
          <w:p w14:paraId="632E7803" w14:textId="77777777" w:rsidR="00E90764" w:rsidRPr="00CF6322" w:rsidRDefault="0099166C" w:rsidP="001D1CF9">
            <w:pPr>
              <w:pStyle w:val="Heading6"/>
            </w:pPr>
            <w:r w:rsidRPr="00CF6322">
              <w:t>Discussion</w:t>
            </w:r>
          </w:p>
          <w:p w14:paraId="632E7804" w14:textId="77777777" w:rsidR="00E90764" w:rsidRPr="00CF6322" w:rsidRDefault="0099166C" w:rsidP="001D1CF9">
            <w:pPr>
              <w:pStyle w:val="BodyText"/>
            </w:pPr>
            <w:r w:rsidRPr="00CF6322">
              <w:t>The previous measure ‘to protect people and the environment through regulation of GMOs’ focused on effectiveness of regulation. This measure focuses instead on efficiency of the OGTR’s activities.</w:t>
            </w:r>
          </w:p>
        </w:tc>
      </w:tr>
    </w:tbl>
    <w:p w14:paraId="632E7807" w14:textId="77777777" w:rsidR="00E90764" w:rsidRPr="00CF6322" w:rsidRDefault="00E90764" w:rsidP="001D1CF9">
      <w:pPr>
        <w:pStyle w:val="BodyText"/>
      </w:pPr>
    </w:p>
    <w:tbl>
      <w:tblPr>
        <w:tblW w:w="102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0" w:type="dxa"/>
        </w:tblCellMar>
        <w:tblLook w:val="01E0" w:firstRow="1" w:lastRow="1" w:firstColumn="1" w:lastColumn="1" w:noHBand="0" w:noVBand="0"/>
      </w:tblPr>
      <w:tblGrid>
        <w:gridCol w:w="2577"/>
        <w:gridCol w:w="2577"/>
        <w:gridCol w:w="2577"/>
        <w:gridCol w:w="2552"/>
      </w:tblGrid>
      <w:tr w:rsidR="00E90764" w:rsidRPr="009E48CE" w14:paraId="632E7809" w14:textId="77777777" w:rsidTr="005C3FDA">
        <w:trPr>
          <w:trHeight w:val="465"/>
        </w:trPr>
        <w:tc>
          <w:tcPr>
            <w:tcW w:w="10283" w:type="dxa"/>
            <w:gridSpan w:val="4"/>
            <w:shd w:val="clear" w:color="auto" w:fill="auto"/>
          </w:tcPr>
          <w:p w14:paraId="632E7808" w14:textId="3A9106C6" w:rsidR="00E90764" w:rsidRPr="009E48CE" w:rsidRDefault="0099166C" w:rsidP="001D1CF9">
            <w:pPr>
              <w:pStyle w:val="BodyText"/>
              <w:rPr>
                <w:rStyle w:val="Strong"/>
              </w:rPr>
            </w:pPr>
            <w:r w:rsidRPr="009E48CE">
              <w:rPr>
                <w:rStyle w:val="Strong"/>
              </w:rPr>
              <w:t>Industrial chemical risk assessments and evaluations completed within statutory timeframes.</w:t>
            </w:r>
            <w:r w:rsidR="009E48CE">
              <w:rPr>
                <w:rStyle w:val="FootnoteReference"/>
                <w:b/>
                <w:bCs/>
              </w:rPr>
              <w:footnoteReference w:id="39"/>
            </w:r>
          </w:p>
        </w:tc>
      </w:tr>
      <w:tr w:rsidR="00E90764" w:rsidRPr="009E48CE" w14:paraId="632E780E" w14:textId="77777777" w:rsidTr="005C3FDA">
        <w:trPr>
          <w:trHeight w:val="458"/>
        </w:trPr>
        <w:tc>
          <w:tcPr>
            <w:tcW w:w="2577" w:type="dxa"/>
            <w:shd w:val="clear" w:color="auto" w:fill="auto"/>
          </w:tcPr>
          <w:p w14:paraId="632E780A" w14:textId="77777777" w:rsidR="00E90764" w:rsidRPr="009E48CE" w:rsidRDefault="0099166C" w:rsidP="001D1CF9">
            <w:pPr>
              <w:pStyle w:val="BodyText"/>
              <w:rPr>
                <w:rStyle w:val="Strong"/>
              </w:rPr>
            </w:pPr>
            <w:r w:rsidRPr="009E48CE">
              <w:rPr>
                <w:rStyle w:val="Strong"/>
              </w:rPr>
              <w:t>2021–22 Target</w:t>
            </w:r>
          </w:p>
        </w:tc>
        <w:tc>
          <w:tcPr>
            <w:tcW w:w="2577" w:type="dxa"/>
            <w:shd w:val="clear" w:color="auto" w:fill="auto"/>
          </w:tcPr>
          <w:p w14:paraId="632E780B" w14:textId="77777777" w:rsidR="00E90764" w:rsidRPr="009E48CE" w:rsidRDefault="0099166C" w:rsidP="001D1CF9">
            <w:pPr>
              <w:pStyle w:val="BodyText"/>
              <w:rPr>
                <w:rStyle w:val="Strong"/>
              </w:rPr>
            </w:pPr>
            <w:r w:rsidRPr="009E48CE">
              <w:rPr>
                <w:rStyle w:val="Strong"/>
              </w:rPr>
              <w:t>2022–23 Target</w:t>
            </w:r>
          </w:p>
        </w:tc>
        <w:tc>
          <w:tcPr>
            <w:tcW w:w="2577" w:type="dxa"/>
            <w:shd w:val="clear" w:color="auto" w:fill="auto"/>
          </w:tcPr>
          <w:p w14:paraId="632E780C" w14:textId="77777777" w:rsidR="00E90764" w:rsidRPr="009E48CE" w:rsidRDefault="0099166C" w:rsidP="001D1CF9">
            <w:pPr>
              <w:pStyle w:val="BodyText"/>
              <w:rPr>
                <w:rStyle w:val="Strong"/>
              </w:rPr>
            </w:pPr>
            <w:r w:rsidRPr="009E48CE">
              <w:rPr>
                <w:rStyle w:val="Strong"/>
              </w:rPr>
              <w:t>2023–24 Target</w:t>
            </w:r>
          </w:p>
        </w:tc>
        <w:tc>
          <w:tcPr>
            <w:tcW w:w="2552" w:type="dxa"/>
            <w:shd w:val="clear" w:color="auto" w:fill="auto"/>
          </w:tcPr>
          <w:p w14:paraId="632E780D" w14:textId="77777777" w:rsidR="00E90764" w:rsidRPr="009E48CE" w:rsidRDefault="0099166C" w:rsidP="001D1CF9">
            <w:pPr>
              <w:pStyle w:val="BodyText"/>
              <w:rPr>
                <w:rStyle w:val="Strong"/>
              </w:rPr>
            </w:pPr>
            <w:r w:rsidRPr="009E48CE">
              <w:rPr>
                <w:rStyle w:val="Strong"/>
              </w:rPr>
              <w:t>2024–25 Target</w:t>
            </w:r>
          </w:p>
        </w:tc>
      </w:tr>
      <w:tr w:rsidR="00E90764" w:rsidRPr="00CF6322" w14:paraId="632E7813" w14:textId="77777777" w:rsidTr="005C3FDA">
        <w:trPr>
          <w:trHeight w:val="465"/>
        </w:trPr>
        <w:tc>
          <w:tcPr>
            <w:tcW w:w="2577" w:type="dxa"/>
            <w:shd w:val="clear" w:color="auto" w:fill="auto"/>
          </w:tcPr>
          <w:p w14:paraId="632E780F" w14:textId="77777777" w:rsidR="00E90764" w:rsidRPr="00CF6322" w:rsidRDefault="0099166C" w:rsidP="001D1CF9">
            <w:pPr>
              <w:pStyle w:val="BodyText"/>
            </w:pPr>
            <w:r w:rsidRPr="00CF6322">
              <w:t>≥95%</w:t>
            </w:r>
          </w:p>
        </w:tc>
        <w:tc>
          <w:tcPr>
            <w:tcW w:w="2577" w:type="dxa"/>
            <w:shd w:val="clear" w:color="auto" w:fill="auto"/>
          </w:tcPr>
          <w:p w14:paraId="632E7810" w14:textId="77777777" w:rsidR="00E90764" w:rsidRPr="00CF6322" w:rsidRDefault="0099166C" w:rsidP="001D1CF9">
            <w:pPr>
              <w:pStyle w:val="BodyText"/>
            </w:pPr>
            <w:r w:rsidRPr="00CF6322">
              <w:t>≥95%</w:t>
            </w:r>
          </w:p>
        </w:tc>
        <w:tc>
          <w:tcPr>
            <w:tcW w:w="2577" w:type="dxa"/>
            <w:shd w:val="clear" w:color="auto" w:fill="auto"/>
          </w:tcPr>
          <w:p w14:paraId="632E7811" w14:textId="77777777" w:rsidR="00E90764" w:rsidRPr="00CF6322" w:rsidRDefault="0099166C" w:rsidP="001D1CF9">
            <w:pPr>
              <w:pStyle w:val="BodyText"/>
            </w:pPr>
            <w:r w:rsidRPr="00CF6322">
              <w:t>≥95%</w:t>
            </w:r>
          </w:p>
        </w:tc>
        <w:tc>
          <w:tcPr>
            <w:tcW w:w="2552" w:type="dxa"/>
            <w:shd w:val="clear" w:color="auto" w:fill="auto"/>
          </w:tcPr>
          <w:p w14:paraId="632E7812" w14:textId="77777777" w:rsidR="00E90764" w:rsidRPr="00CF6322" w:rsidRDefault="0099166C" w:rsidP="001D1CF9">
            <w:pPr>
              <w:pStyle w:val="BodyText"/>
            </w:pPr>
            <w:r w:rsidRPr="00CF6322">
              <w:t>≥95%</w:t>
            </w:r>
          </w:p>
        </w:tc>
      </w:tr>
      <w:tr w:rsidR="00E90764" w:rsidRPr="00CF6322" w14:paraId="632E7819" w14:textId="77777777" w:rsidTr="005C3FDA">
        <w:trPr>
          <w:trHeight w:val="2055"/>
        </w:trPr>
        <w:tc>
          <w:tcPr>
            <w:tcW w:w="10283" w:type="dxa"/>
            <w:gridSpan w:val="4"/>
            <w:shd w:val="clear" w:color="auto" w:fill="auto"/>
          </w:tcPr>
          <w:p w14:paraId="632E7814" w14:textId="77777777" w:rsidR="00E90764" w:rsidRPr="00CF6322" w:rsidRDefault="0099166C" w:rsidP="001D1CF9">
            <w:pPr>
              <w:pStyle w:val="Heading6"/>
            </w:pPr>
            <w:r w:rsidRPr="00CF6322">
              <w:lastRenderedPageBreak/>
              <w:t xml:space="preserve">Data source and </w:t>
            </w:r>
            <w:r w:rsidRPr="009E48CE">
              <w:t>methodology</w:t>
            </w:r>
          </w:p>
          <w:p w14:paraId="632E7815" w14:textId="7A4FCC1C" w:rsidR="00E90764" w:rsidRPr="00CF6322" w:rsidRDefault="0099166C" w:rsidP="001D1CF9">
            <w:pPr>
              <w:pStyle w:val="BodyText"/>
            </w:pPr>
            <w:r w:rsidRPr="00CF6322">
              <w:t xml:space="preserve">Records of applications and completed assessment and evaluation reports. Data is </w:t>
            </w:r>
            <w:proofErr w:type="spellStart"/>
            <w:r w:rsidRPr="00CF6322">
              <w:t>analysed</w:t>
            </w:r>
            <w:proofErr w:type="spellEnd"/>
            <w:r w:rsidRPr="00CF6322">
              <w:t xml:space="preserve"> and maintained internally by the Department. Industrial chemical assessment and evaluation statements are published on the Australian Industrial Chemicals Introduction Scheme (AICIS) website</w:t>
            </w:r>
            <w:r w:rsidR="009E48CE">
              <w:rPr>
                <w:rStyle w:val="FootnoteReference"/>
              </w:rPr>
              <w:footnoteReference w:id="40"/>
            </w:r>
            <w:r w:rsidRPr="00CF6322">
              <w:t>.</w:t>
            </w:r>
          </w:p>
          <w:p w14:paraId="632E7817" w14:textId="77777777" w:rsidR="00E90764" w:rsidRPr="00CF6322" w:rsidRDefault="0099166C" w:rsidP="001D1CF9">
            <w:pPr>
              <w:pStyle w:val="Heading6"/>
            </w:pPr>
            <w:r w:rsidRPr="00CF6322">
              <w:t>Measure type</w:t>
            </w:r>
          </w:p>
          <w:p w14:paraId="632E7818" w14:textId="77777777" w:rsidR="00E90764" w:rsidRPr="00CF6322" w:rsidRDefault="0099166C" w:rsidP="001D1CF9">
            <w:pPr>
              <w:pStyle w:val="BodyText"/>
            </w:pPr>
            <w:r w:rsidRPr="00CF6322">
              <w:t>Quantitative/Efficiency</w:t>
            </w:r>
          </w:p>
        </w:tc>
      </w:tr>
    </w:tbl>
    <w:p w14:paraId="632E7824" w14:textId="77777777" w:rsidR="00E90764" w:rsidRPr="00CF6322" w:rsidRDefault="00E90764" w:rsidP="001D1CF9">
      <w:pPr>
        <w:pStyle w:val="BodyText"/>
      </w:pPr>
    </w:p>
    <w:tbl>
      <w:tblPr>
        <w:tblW w:w="102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0" w:type="dxa"/>
        </w:tblCellMar>
        <w:tblLook w:val="01E0" w:firstRow="1" w:lastRow="1" w:firstColumn="1" w:lastColumn="1" w:noHBand="0" w:noVBand="0"/>
      </w:tblPr>
      <w:tblGrid>
        <w:gridCol w:w="2577"/>
        <w:gridCol w:w="2577"/>
        <w:gridCol w:w="2577"/>
        <w:gridCol w:w="2552"/>
      </w:tblGrid>
      <w:tr w:rsidR="00E90764" w:rsidRPr="00CF6322" w14:paraId="632E7826" w14:textId="77777777" w:rsidTr="006E10D0">
        <w:trPr>
          <w:trHeight w:val="715"/>
          <w:tblHeader/>
        </w:trPr>
        <w:tc>
          <w:tcPr>
            <w:tcW w:w="10283" w:type="dxa"/>
            <w:gridSpan w:val="4"/>
            <w:shd w:val="clear" w:color="auto" w:fill="auto"/>
          </w:tcPr>
          <w:p w14:paraId="632E7825" w14:textId="59A5E2B8" w:rsidR="00E90764" w:rsidRPr="009E48CE" w:rsidRDefault="0099166C" w:rsidP="001D1CF9">
            <w:pPr>
              <w:pStyle w:val="BodyText"/>
              <w:rPr>
                <w:rStyle w:val="Strong"/>
              </w:rPr>
            </w:pPr>
            <w:r w:rsidRPr="009E48CE">
              <w:rPr>
                <w:rStyle w:val="Strong"/>
              </w:rPr>
              <w:t>Percentage of recommendations from the World Health Organization’s (WHO’s) Joint External Evaluation (JEE) of Australia’s implementation of International Health Regulations Core Capacities addressed.</w:t>
            </w:r>
            <w:r w:rsidR="009E48CE">
              <w:rPr>
                <w:rStyle w:val="FootnoteReference"/>
                <w:b/>
                <w:bCs/>
              </w:rPr>
              <w:footnoteReference w:id="41"/>
            </w:r>
          </w:p>
        </w:tc>
      </w:tr>
      <w:tr w:rsidR="00E90764" w:rsidRPr="00CF6322" w14:paraId="632E782B" w14:textId="77777777" w:rsidTr="005C3FDA">
        <w:trPr>
          <w:trHeight w:val="458"/>
        </w:trPr>
        <w:tc>
          <w:tcPr>
            <w:tcW w:w="2577" w:type="dxa"/>
            <w:shd w:val="clear" w:color="auto" w:fill="auto"/>
          </w:tcPr>
          <w:p w14:paraId="632E7827" w14:textId="77777777" w:rsidR="00E90764" w:rsidRPr="009E48CE" w:rsidRDefault="0099166C" w:rsidP="001D1CF9">
            <w:pPr>
              <w:pStyle w:val="BodyText"/>
              <w:rPr>
                <w:rStyle w:val="Strong"/>
              </w:rPr>
            </w:pPr>
            <w:r w:rsidRPr="009E48CE">
              <w:rPr>
                <w:rStyle w:val="Strong"/>
              </w:rPr>
              <w:t>2021–22 Target</w:t>
            </w:r>
          </w:p>
        </w:tc>
        <w:tc>
          <w:tcPr>
            <w:tcW w:w="2577" w:type="dxa"/>
            <w:shd w:val="clear" w:color="auto" w:fill="auto"/>
          </w:tcPr>
          <w:p w14:paraId="632E7828" w14:textId="77777777" w:rsidR="00E90764" w:rsidRPr="009E48CE" w:rsidRDefault="0099166C" w:rsidP="001D1CF9">
            <w:pPr>
              <w:pStyle w:val="BodyText"/>
              <w:rPr>
                <w:rStyle w:val="Strong"/>
              </w:rPr>
            </w:pPr>
            <w:r w:rsidRPr="009E48CE">
              <w:rPr>
                <w:rStyle w:val="Strong"/>
              </w:rPr>
              <w:t>2022–23 Target</w:t>
            </w:r>
          </w:p>
        </w:tc>
        <w:tc>
          <w:tcPr>
            <w:tcW w:w="2577" w:type="dxa"/>
            <w:shd w:val="clear" w:color="auto" w:fill="auto"/>
          </w:tcPr>
          <w:p w14:paraId="632E7829" w14:textId="77777777" w:rsidR="00E90764" w:rsidRPr="009E48CE" w:rsidRDefault="0099166C" w:rsidP="001D1CF9">
            <w:pPr>
              <w:pStyle w:val="BodyText"/>
              <w:rPr>
                <w:rStyle w:val="Strong"/>
              </w:rPr>
            </w:pPr>
            <w:r w:rsidRPr="009E48CE">
              <w:rPr>
                <w:rStyle w:val="Strong"/>
              </w:rPr>
              <w:t>2023–24 Target</w:t>
            </w:r>
          </w:p>
        </w:tc>
        <w:tc>
          <w:tcPr>
            <w:tcW w:w="2552" w:type="dxa"/>
            <w:shd w:val="clear" w:color="auto" w:fill="auto"/>
          </w:tcPr>
          <w:p w14:paraId="632E782A" w14:textId="77777777" w:rsidR="00E90764" w:rsidRPr="009E48CE" w:rsidRDefault="0099166C" w:rsidP="001D1CF9">
            <w:pPr>
              <w:pStyle w:val="BodyText"/>
              <w:rPr>
                <w:rStyle w:val="Strong"/>
              </w:rPr>
            </w:pPr>
            <w:r w:rsidRPr="009E48CE">
              <w:rPr>
                <w:rStyle w:val="Strong"/>
              </w:rPr>
              <w:t>2024–25 Target</w:t>
            </w:r>
          </w:p>
        </w:tc>
      </w:tr>
      <w:tr w:rsidR="00E90764" w:rsidRPr="00CF6322" w14:paraId="632E7830" w14:textId="77777777" w:rsidTr="005C3FDA">
        <w:trPr>
          <w:trHeight w:val="465"/>
        </w:trPr>
        <w:tc>
          <w:tcPr>
            <w:tcW w:w="2577" w:type="dxa"/>
            <w:shd w:val="clear" w:color="auto" w:fill="auto"/>
          </w:tcPr>
          <w:p w14:paraId="632E782C" w14:textId="77777777" w:rsidR="00E90764" w:rsidRPr="00CF6322" w:rsidRDefault="0099166C" w:rsidP="001D1CF9">
            <w:pPr>
              <w:pStyle w:val="BodyText"/>
            </w:pPr>
            <w:r w:rsidRPr="00CF6322">
              <w:t>TBC</w:t>
            </w:r>
          </w:p>
        </w:tc>
        <w:tc>
          <w:tcPr>
            <w:tcW w:w="2577" w:type="dxa"/>
            <w:shd w:val="clear" w:color="auto" w:fill="auto"/>
          </w:tcPr>
          <w:p w14:paraId="632E782D" w14:textId="77777777" w:rsidR="00E90764" w:rsidRPr="00CF6322" w:rsidRDefault="0099166C" w:rsidP="001D1CF9">
            <w:pPr>
              <w:pStyle w:val="BodyText"/>
            </w:pPr>
            <w:r w:rsidRPr="00CF6322">
              <w:t>TBC</w:t>
            </w:r>
          </w:p>
        </w:tc>
        <w:tc>
          <w:tcPr>
            <w:tcW w:w="2577" w:type="dxa"/>
            <w:shd w:val="clear" w:color="auto" w:fill="auto"/>
          </w:tcPr>
          <w:p w14:paraId="632E782E" w14:textId="77777777" w:rsidR="00E90764" w:rsidRPr="00CF6322" w:rsidRDefault="0099166C" w:rsidP="001D1CF9">
            <w:pPr>
              <w:pStyle w:val="BodyText"/>
            </w:pPr>
            <w:r w:rsidRPr="00CF6322">
              <w:t>TBC</w:t>
            </w:r>
          </w:p>
        </w:tc>
        <w:tc>
          <w:tcPr>
            <w:tcW w:w="2552" w:type="dxa"/>
            <w:shd w:val="clear" w:color="auto" w:fill="auto"/>
          </w:tcPr>
          <w:p w14:paraId="632E782F" w14:textId="77777777" w:rsidR="00E90764" w:rsidRPr="00CF6322" w:rsidRDefault="0099166C" w:rsidP="001D1CF9">
            <w:pPr>
              <w:pStyle w:val="BodyText"/>
            </w:pPr>
            <w:r w:rsidRPr="00CF6322">
              <w:t>TBC</w:t>
            </w:r>
          </w:p>
        </w:tc>
      </w:tr>
      <w:tr w:rsidR="00E90764" w:rsidRPr="00CF6322" w14:paraId="632E783A" w14:textId="77777777" w:rsidTr="005C3FDA">
        <w:trPr>
          <w:trHeight w:val="4509"/>
        </w:trPr>
        <w:tc>
          <w:tcPr>
            <w:tcW w:w="10283" w:type="dxa"/>
            <w:gridSpan w:val="4"/>
            <w:shd w:val="clear" w:color="auto" w:fill="auto"/>
          </w:tcPr>
          <w:p w14:paraId="632E7831" w14:textId="77777777" w:rsidR="00E90764" w:rsidRPr="00CF6322" w:rsidRDefault="0099166C" w:rsidP="001D1CF9">
            <w:pPr>
              <w:pStyle w:val="Heading6"/>
            </w:pPr>
            <w:r w:rsidRPr="00CF6322">
              <w:t>Data source and methodology</w:t>
            </w:r>
          </w:p>
          <w:p w14:paraId="632E7832" w14:textId="2B688330" w:rsidR="00E90764" w:rsidRPr="00CF6322" w:rsidRDefault="0099166C" w:rsidP="001D1CF9">
            <w:pPr>
              <w:pStyle w:val="BodyText"/>
            </w:pPr>
            <w:r w:rsidRPr="00CF6322">
              <w:t>Australia’s JEE in 2017 resulted in 66 recommendations. The Department reports against the implementation of these biannually. The resulting data is owned by the Department. Australia’s JEE mission report is published on the Department’s website</w:t>
            </w:r>
            <w:r w:rsidR="009E48CE">
              <w:rPr>
                <w:rStyle w:val="FootnoteReference"/>
              </w:rPr>
              <w:footnoteReference w:id="42"/>
            </w:r>
            <w:r w:rsidRPr="00CF6322">
              <w:t>.</w:t>
            </w:r>
          </w:p>
          <w:p w14:paraId="632E7834" w14:textId="77777777" w:rsidR="00E90764" w:rsidRPr="00CF6322" w:rsidRDefault="0099166C" w:rsidP="001D1CF9">
            <w:pPr>
              <w:pStyle w:val="Heading6"/>
            </w:pPr>
            <w:r w:rsidRPr="00CF6322">
              <w:t xml:space="preserve">Measure </w:t>
            </w:r>
            <w:r w:rsidRPr="009E48CE">
              <w:t>type</w:t>
            </w:r>
          </w:p>
          <w:p w14:paraId="632E7835" w14:textId="77777777" w:rsidR="00E90764" w:rsidRPr="00CF6322" w:rsidRDefault="0099166C" w:rsidP="001D1CF9">
            <w:pPr>
              <w:pStyle w:val="BodyText"/>
            </w:pPr>
            <w:r w:rsidRPr="00CF6322">
              <w:t>Quantitative/Output</w:t>
            </w:r>
          </w:p>
          <w:p w14:paraId="632E7837" w14:textId="77777777" w:rsidR="00E90764" w:rsidRPr="00CF6322" w:rsidRDefault="0099166C" w:rsidP="001D1CF9">
            <w:pPr>
              <w:pStyle w:val="Heading6"/>
            </w:pPr>
            <w:r w:rsidRPr="009E48CE">
              <w:t>Discussion</w:t>
            </w:r>
          </w:p>
          <w:p w14:paraId="632E7838" w14:textId="1CCD65ED" w:rsidR="00E90764" w:rsidRPr="00CF6322" w:rsidRDefault="0099166C" w:rsidP="001D1CF9">
            <w:pPr>
              <w:pStyle w:val="BodyText"/>
            </w:pPr>
            <w:r w:rsidRPr="00CF6322">
              <w:t>The WHO has established a Monitoring and Evaluation Framework to assess country compliance with the International</w:t>
            </w:r>
            <w:r w:rsidR="006D2CDC" w:rsidRPr="00CF6322">
              <w:t xml:space="preserve"> </w:t>
            </w:r>
            <w:r w:rsidRPr="00CF6322">
              <w:t>Health Regulations (2005) (IHR). One pillar of the framework is the JEE, a voluntary process in which a team of internal and external experts jointly assess a country’s ability to prevent, detect and respond to public health threats across 19 core capacities of the IHR.</w:t>
            </w:r>
          </w:p>
          <w:p w14:paraId="632E7839" w14:textId="2BDCBE63" w:rsidR="00E90764" w:rsidRPr="00CF6322" w:rsidRDefault="0099166C" w:rsidP="001D1CF9">
            <w:pPr>
              <w:pStyle w:val="BodyText"/>
            </w:pPr>
            <w:r w:rsidRPr="00CF6322">
              <w:t>The response to the COVID-19 pandemic has accelerated implementation of some recommendations, and overtaken</w:t>
            </w:r>
            <w:r w:rsidR="006D2CDC" w:rsidRPr="00CF6322">
              <w:t xml:space="preserve"> </w:t>
            </w:r>
            <w:r w:rsidRPr="00CF6322">
              <w:t>others. Further consultation and validation of the recommendations, including with the WHO, is required before a baseline and targets can be confirmed.</w:t>
            </w:r>
          </w:p>
        </w:tc>
      </w:tr>
    </w:tbl>
    <w:p w14:paraId="43BEDBEF" w14:textId="77777777" w:rsidR="00E26861" w:rsidRDefault="00E26861">
      <w:pPr>
        <w:rPr>
          <w:rFonts w:ascii="Helvetica" w:hAnsi="Helvetica"/>
          <w:color w:val="231F20"/>
          <w:sz w:val="19"/>
          <w:szCs w:val="19"/>
        </w:rPr>
      </w:pPr>
      <w:r>
        <w:br w:type="page"/>
      </w:r>
    </w:p>
    <w:p w14:paraId="1A870EC1" w14:textId="774EEB74" w:rsidR="004B0B3C" w:rsidRPr="004B0B3C" w:rsidRDefault="004B0B3C" w:rsidP="004B0B3C">
      <w:pPr>
        <w:pStyle w:val="Heading3"/>
      </w:pPr>
      <w:r w:rsidRPr="004B0B3C">
        <w:lastRenderedPageBreak/>
        <w:t xml:space="preserve">1.9 </w:t>
      </w:r>
      <w:r w:rsidR="005C3FDA">
        <w:t>–</w:t>
      </w:r>
      <w:r w:rsidRPr="004B0B3C">
        <w:t xml:space="preserve"> Immunisation</w:t>
      </w:r>
    </w:p>
    <w:p w14:paraId="632E7842" w14:textId="77777777" w:rsidR="00E90764" w:rsidRPr="00CF6322" w:rsidRDefault="0099166C" w:rsidP="004B0B3C">
      <w:pPr>
        <w:pStyle w:val="Heading4"/>
      </w:pPr>
      <w:r w:rsidRPr="00CF6322">
        <w:t>Program Objective</w:t>
      </w:r>
    </w:p>
    <w:p w14:paraId="1EEF22B5" w14:textId="57134129" w:rsidR="004B0B3C" w:rsidRDefault="004B0B3C" w:rsidP="001D1CF9">
      <w:pPr>
        <w:pStyle w:val="BodyText"/>
        <w:rPr>
          <w:color w:val="000000"/>
        </w:rPr>
      </w:pPr>
      <w:r>
        <w:t>Reduce</w:t>
      </w:r>
      <w:r>
        <w:rPr>
          <w:spacing w:val="3"/>
        </w:rPr>
        <w:t xml:space="preserve"> </w:t>
      </w:r>
      <w:r>
        <w:t>the</w:t>
      </w:r>
      <w:r>
        <w:rPr>
          <w:spacing w:val="4"/>
        </w:rPr>
        <w:t xml:space="preserve"> </w:t>
      </w:r>
      <w:r>
        <w:t>incidence</w:t>
      </w:r>
      <w:r>
        <w:rPr>
          <w:spacing w:val="4"/>
        </w:rPr>
        <w:t xml:space="preserve"> </w:t>
      </w:r>
      <w:r>
        <w:t>of</w:t>
      </w:r>
      <w:r>
        <w:rPr>
          <w:spacing w:val="4"/>
        </w:rPr>
        <w:t xml:space="preserve"> </w:t>
      </w:r>
      <w:r>
        <w:t>vaccine</w:t>
      </w:r>
      <w:r>
        <w:rPr>
          <w:spacing w:val="4"/>
        </w:rPr>
        <w:t xml:space="preserve"> </w:t>
      </w:r>
      <w:r>
        <w:t>preventable</w:t>
      </w:r>
      <w:r>
        <w:rPr>
          <w:spacing w:val="4"/>
        </w:rPr>
        <w:t xml:space="preserve"> </w:t>
      </w:r>
      <w:r>
        <w:t>diseases</w:t>
      </w:r>
      <w:r>
        <w:rPr>
          <w:spacing w:val="4"/>
        </w:rPr>
        <w:t xml:space="preserve"> </w:t>
      </w:r>
      <w:r>
        <w:t>to</w:t>
      </w:r>
      <w:r>
        <w:rPr>
          <w:spacing w:val="4"/>
        </w:rPr>
        <w:t xml:space="preserve"> </w:t>
      </w:r>
      <w:r>
        <w:t>protect</w:t>
      </w:r>
      <w:r>
        <w:rPr>
          <w:spacing w:val="4"/>
        </w:rPr>
        <w:t xml:space="preserve"> </w:t>
      </w:r>
      <w:r>
        <w:t>individuals</w:t>
      </w:r>
      <w:r>
        <w:rPr>
          <w:spacing w:val="4"/>
        </w:rPr>
        <w:t xml:space="preserve"> </w:t>
      </w:r>
      <w:r>
        <w:t>and</w:t>
      </w:r>
      <w:r>
        <w:rPr>
          <w:spacing w:val="4"/>
        </w:rPr>
        <w:t xml:space="preserve"> </w:t>
      </w:r>
      <w:r>
        <w:t>increase</w:t>
      </w:r>
      <w:r>
        <w:rPr>
          <w:spacing w:val="4"/>
        </w:rPr>
        <w:t xml:space="preserve"> </w:t>
      </w:r>
      <w:r>
        <w:t>national</w:t>
      </w:r>
      <w:r>
        <w:rPr>
          <w:spacing w:val="4"/>
        </w:rPr>
        <w:t xml:space="preserve"> </w:t>
      </w:r>
      <w:proofErr w:type="spellStart"/>
      <w:r>
        <w:t>immunisation</w:t>
      </w:r>
      <w:proofErr w:type="spellEnd"/>
      <w:r>
        <w:rPr>
          <w:spacing w:val="-50"/>
        </w:rPr>
        <w:t xml:space="preserve"> </w:t>
      </w:r>
      <w:r>
        <w:t>coverage rates to protect the Australian community.</w:t>
      </w:r>
    </w:p>
    <w:p w14:paraId="632E7846" w14:textId="77777777" w:rsidR="00E90764" w:rsidRPr="00CF6322" w:rsidRDefault="0099166C" w:rsidP="004B0B3C">
      <w:pPr>
        <w:pStyle w:val="Heading4"/>
      </w:pPr>
      <w:r w:rsidRPr="00CF6322">
        <w:t>Our Operating Focus</w:t>
      </w:r>
    </w:p>
    <w:p w14:paraId="632E7847" w14:textId="5776A61D" w:rsidR="00E90764" w:rsidRPr="00CF6322" w:rsidRDefault="0099166C" w:rsidP="001D1CF9">
      <w:pPr>
        <w:pStyle w:val="BodyText"/>
      </w:pPr>
      <w:r w:rsidRPr="00CF6322">
        <w:t xml:space="preserve">The National Immunisation Program (NIP) is a collaborative program between the Australian and state and territory governments. It aims to increase national </w:t>
      </w:r>
      <w:proofErr w:type="spellStart"/>
      <w:r w:rsidRPr="00CF6322">
        <w:t>immunisation</w:t>
      </w:r>
      <w:proofErr w:type="spellEnd"/>
      <w:r w:rsidRPr="00CF6322">
        <w:t xml:space="preserve"> rates</w:t>
      </w:r>
      <w:r w:rsidR="004B0B3C">
        <w:t xml:space="preserve"> </w:t>
      </w:r>
      <w:r w:rsidRPr="00CF6322">
        <w:t>to improve the health and wellbeing of Australians through the provision of free vaccines to eligible Australians, to protect against vaccine preventable diseases.</w:t>
      </w:r>
    </w:p>
    <w:p w14:paraId="632E784B" w14:textId="4C1ACA21" w:rsidR="00E90764" w:rsidRPr="00CF6322" w:rsidRDefault="0099166C" w:rsidP="001D1CF9">
      <w:pPr>
        <w:pStyle w:val="BodyText"/>
      </w:pPr>
      <w:r w:rsidRPr="00CF6322">
        <w:t>We also support the Australian Government’s COVID-19</w:t>
      </w:r>
      <w:r w:rsidR="004B0B3C">
        <w:t xml:space="preserve"> </w:t>
      </w:r>
      <w:r w:rsidRPr="00CF6322">
        <w:t>Vaccine and Treatment Strategy, which is separate to the NIP. On 8 June 2021, the Prime Minister appointed</w:t>
      </w:r>
      <w:r w:rsidR="006D2CDC" w:rsidRPr="00CF6322">
        <w:t xml:space="preserve"> </w:t>
      </w:r>
      <w:r w:rsidRPr="00CF6322">
        <w:t xml:space="preserve">Lieutenant General John </w:t>
      </w:r>
      <w:proofErr w:type="spellStart"/>
      <w:r w:rsidRPr="00CF6322">
        <w:t>Frewen</w:t>
      </w:r>
      <w:proofErr w:type="spellEnd"/>
      <w:r w:rsidRPr="00CF6322">
        <w:t xml:space="preserve"> Coordinator General of</w:t>
      </w:r>
      <w:r w:rsidR="002965C7" w:rsidRPr="00CF6322">
        <w:t xml:space="preserve"> </w:t>
      </w:r>
      <w:r w:rsidRPr="00CF6322">
        <w:t>the National COVID Vaccine Taskforce, known as Operation</w:t>
      </w:r>
      <w:r w:rsidR="004B0B3C">
        <w:t xml:space="preserve"> </w:t>
      </w:r>
      <w:r w:rsidRPr="00CF6322">
        <w:t>COVID Shield. Operation COVID Shield’s goal is to ensure public confidence in the Australian vaccine rollout and</w:t>
      </w:r>
      <w:r w:rsidR="002965C7" w:rsidRPr="00CF6322">
        <w:t xml:space="preserve"> </w:t>
      </w:r>
      <w:r w:rsidRPr="00CF6322">
        <w:t>to ensure as many Australians are vaccinated as early</w:t>
      </w:r>
      <w:r w:rsidR="004B0B3C">
        <w:t xml:space="preserve"> </w:t>
      </w:r>
      <w:r w:rsidRPr="00CF6322">
        <w:t>as possible. To deliver the most efficient and effective</w:t>
      </w:r>
      <w:r w:rsidR="002965C7" w:rsidRPr="00CF6322">
        <w:t xml:space="preserve"> </w:t>
      </w:r>
      <w:r w:rsidRPr="00CF6322">
        <w:t xml:space="preserve">distribution and delivery of the vaccine, Operation COVID </w:t>
      </w:r>
      <w:r w:rsidR="004B0B3C">
        <w:t>S</w:t>
      </w:r>
      <w:r w:rsidRPr="00CF6322">
        <w:t>hield’s key areas of focus are:</w:t>
      </w:r>
    </w:p>
    <w:p w14:paraId="632E784C" w14:textId="22F5A027" w:rsidR="00E90764" w:rsidRPr="004B0B3C" w:rsidRDefault="0099166C" w:rsidP="004B0B3C">
      <w:pPr>
        <w:pStyle w:val="Bullets"/>
      </w:pPr>
      <w:r w:rsidRPr="00CF6322">
        <w:t xml:space="preserve">Improving coordination and </w:t>
      </w:r>
      <w:proofErr w:type="spellStart"/>
      <w:r w:rsidRPr="00CF6322">
        <w:t>optimising</w:t>
      </w:r>
      <w:proofErr w:type="spellEnd"/>
      <w:r w:rsidRPr="00CF6322">
        <w:t xml:space="preserve"> </w:t>
      </w:r>
      <w:r w:rsidRPr="004B0B3C">
        <w:t>the vaccine</w:t>
      </w:r>
      <w:r w:rsidR="004B0B3C" w:rsidRPr="004B0B3C">
        <w:t xml:space="preserve"> </w:t>
      </w:r>
      <w:proofErr w:type="spellStart"/>
      <w:r w:rsidR="004B0B3C" w:rsidRPr="004B0B3C">
        <w:t>n</w:t>
      </w:r>
      <w:r w:rsidRPr="004B0B3C">
        <w:t>rollout</w:t>
      </w:r>
      <w:proofErr w:type="spellEnd"/>
      <w:r w:rsidRPr="004B0B3C">
        <w:t xml:space="preserve"> plan.</w:t>
      </w:r>
    </w:p>
    <w:p w14:paraId="632E784D" w14:textId="5C19E3A1" w:rsidR="00E90764" w:rsidRPr="004B0B3C" w:rsidRDefault="0099166C" w:rsidP="004B0B3C">
      <w:pPr>
        <w:pStyle w:val="Bullets"/>
      </w:pPr>
      <w:r w:rsidRPr="004B0B3C">
        <w:t>Building public confidence through clear and</w:t>
      </w:r>
      <w:r w:rsidR="004B0B3C" w:rsidRPr="004B0B3C">
        <w:t xml:space="preserve"> </w:t>
      </w:r>
      <w:r w:rsidRPr="004B0B3C">
        <w:t>consistent messaging.</w:t>
      </w:r>
    </w:p>
    <w:p w14:paraId="632E784E" w14:textId="683E7885" w:rsidR="00E90764" w:rsidRDefault="0099166C" w:rsidP="004B0B3C">
      <w:pPr>
        <w:pStyle w:val="Bullets"/>
      </w:pPr>
      <w:r w:rsidRPr="004B0B3C">
        <w:t>Delivering a safe and efficient rollo</w:t>
      </w:r>
      <w:r w:rsidRPr="00CF6322">
        <w:t>ut.</w:t>
      </w:r>
    </w:p>
    <w:p w14:paraId="632E784F" w14:textId="549A4154" w:rsidR="00E90764" w:rsidRPr="00CF6322" w:rsidRDefault="0099166C" w:rsidP="001D1CF9">
      <w:pPr>
        <w:pStyle w:val="BodyText"/>
      </w:pPr>
      <w:r w:rsidRPr="00CF6322">
        <w:t xml:space="preserve">The Office of the Coordinator General is based within the Department of Health and consists of Australian Public Servants and Australian </w:t>
      </w:r>
      <w:proofErr w:type="spellStart"/>
      <w:r w:rsidRPr="00CF6322">
        <w:t>Defence</w:t>
      </w:r>
      <w:proofErr w:type="spellEnd"/>
      <w:r w:rsidRPr="00CF6322">
        <w:t xml:space="preserve"> Force members.</w:t>
      </w:r>
    </w:p>
    <w:p w14:paraId="632E7851" w14:textId="4AEDFB69" w:rsidR="00E90764" w:rsidRPr="00CF6322" w:rsidRDefault="0099166C" w:rsidP="001D1CF9">
      <w:pPr>
        <w:pStyle w:val="BodyText"/>
      </w:pPr>
      <w:r w:rsidRPr="00CF6322">
        <w:t xml:space="preserve">To ensure targeted vaccine programs are delivered, we will continue to monitor arrangements and services provided through the NIP and associated </w:t>
      </w:r>
      <w:proofErr w:type="spellStart"/>
      <w:r w:rsidRPr="00CF6322">
        <w:t>immunisation</w:t>
      </w:r>
      <w:proofErr w:type="spellEnd"/>
      <w:r w:rsidRPr="00CF6322">
        <w:t xml:space="preserve"> initiatives.</w:t>
      </w:r>
      <w:r w:rsidR="002965C7" w:rsidRPr="00CF6322">
        <w:t xml:space="preserve"> </w:t>
      </w:r>
      <w:r w:rsidRPr="00CF6322">
        <w:t>We will also continue to invest in program promotion and awareness, refining program populations and measurement of screening outside of the programs.</w:t>
      </w:r>
    </w:p>
    <w:p w14:paraId="632E7852" w14:textId="61F916D8" w:rsidR="00E90764" w:rsidRPr="00CF6322" w:rsidRDefault="0099166C" w:rsidP="001D1CF9">
      <w:pPr>
        <w:pStyle w:val="BodyText"/>
      </w:pPr>
      <w:r w:rsidRPr="00CF6322">
        <w:t xml:space="preserve">We work in partnership with our Government colleagues, the Department of Education Skills and Employment and the Department of Social Services to increase </w:t>
      </w:r>
      <w:proofErr w:type="spellStart"/>
      <w:r w:rsidRPr="00CF6322">
        <w:t>immunisation</w:t>
      </w:r>
      <w:proofErr w:type="spellEnd"/>
      <w:r w:rsidR="006D2CDC" w:rsidRPr="00CF6322">
        <w:t xml:space="preserve"> </w:t>
      </w:r>
      <w:r w:rsidRPr="00CF6322">
        <w:t>coverage rates, and with Services Australia who administer</w:t>
      </w:r>
      <w:r w:rsidR="006D2CDC" w:rsidRPr="00CF6322">
        <w:t xml:space="preserve"> </w:t>
      </w:r>
      <w:r w:rsidRPr="00CF6322">
        <w:t>the Australian Immunisation Register (AIR) on our behalf.</w:t>
      </w:r>
    </w:p>
    <w:p w14:paraId="632E7853" w14:textId="68A2DC65" w:rsidR="00E90764" w:rsidRPr="00CF6322" w:rsidRDefault="0099166C" w:rsidP="001D1CF9">
      <w:pPr>
        <w:pStyle w:val="BodyText"/>
      </w:pPr>
      <w:r w:rsidRPr="00CF6322">
        <w:t>We will continue to implement the National</w:t>
      </w:r>
      <w:r w:rsidR="002965C7" w:rsidRPr="00CF6322">
        <w:t xml:space="preserve"> </w:t>
      </w:r>
      <w:r w:rsidRPr="00CF6322">
        <w:t xml:space="preserve">Immunisation Strategy 2019–24 and the NIP and maintain high rates of </w:t>
      </w:r>
      <w:proofErr w:type="spellStart"/>
      <w:r w:rsidRPr="00CF6322">
        <w:t>immunisation</w:t>
      </w:r>
      <w:proofErr w:type="spellEnd"/>
      <w:r w:rsidRPr="00CF6322">
        <w:t xml:space="preserve"> across the Australian community.</w:t>
      </w:r>
    </w:p>
    <w:p w14:paraId="632E7854" w14:textId="1F501565" w:rsidR="00E26861" w:rsidRDefault="0099166C" w:rsidP="001D1CF9">
      <w:pPr>
        <w:pStyle w:val="BodyText"/>
      </w:pPr>
      <w:r w:rsidRPr="00CF6322">
        <w:t>Mandatory reporting to the AIR commenced for COVID-19 vaccines administered on or after 20 February 2021, Influenza vaccines administered on or after 1 March 2021, and all NIP vaccines administered on or after 1 July 2021. Mandatory reporting to the AIR ensures that the AIR contains a complete and reliable dataset of vaccines administered in Australia.</w:t>
      </w:r>
    </w:p>
    <w:p w14:paraId="5E517A76" w14:textId="77777777" w:rsidR="00E26861" w:rsidRDefault="00E26861">
      <w:pPr>
        <w:rPr>
          <w:rFonts w:ascii="Helvetica" w:hAnsi="Helvetica"/>
          <w:color w:val="231F20"/>
          <w:sz w:val="19"/>
          <w:szCs w:val="19"/>
        </w:rPr>
      </w:pPr>
      <w:r>
        <w:br w:type="page"/>
      </w:r>
    </w:p>
    <w:tbl>
      <w:tblPr>
        <w:tblW w:w="103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0" w:type="dxa"/>
        </w:tblCellMar>
        <w:tblLook w:val="01E0" w:firstRow="1" w:lastRow="1" w:firstColumn="1" w:lastColumn="1" w:noHBand="0" w:noVBand="0"/>
      </w:tblPr>
      <w:tblGrid>
        <w:gridCol w:w="8541"/>
        <w:gridCol w:w="441"/>
        <w:gridCol w:w="441"/>
        <w:gridCol w:w="439"/>
        <w:gridCol w:w="441"/>
      </w:tblGrid>
      <w:tr w:rsidR="00E90764" w:rsidRPr="004B0B3C" w14:paraId="632E785D" w14:textId="77777777" w:rsidTr="006E10D0">
        <w:trPr>
          <w:trHeight w:val="1228"/>
          <w:tblHeader/>
        </w:trPr>
        <w:tc>
          <w:tcPr>
            <w:tcW w:w="8541" w:type="dxa"/>
            <w:shd w:val="clear" w:color="auto" w:fill="auto"/>
          </w:tcPr>
          <w:p w14:paraId="632E7858" w14:textId="77777777" w:rsidR="00E90764" w:rsidRPr="004B0B3C" w:rsidRDefault="0099166C" w:rsidP="001D1CF9">
            <w:pPr>
              <w:pStyle w:val="BodyText"/>
              <w:rPr>
                <w:rStyle w:val="Strong"/>
              </w:rPr>
            </w:pPr>
            <w:r w:rsidRPr="004B0B3C">
              <w:rPr>
                <w:rStyle w:val="Strong"/>
              </w:rPr>
              <w:lastRenderedPageBreak/>
              <w:t>Key Activities</w:t>
            </w:r>
          </w:p>
        </w:tc>
        <w:tc>
          <w:tcPr>
            <w:tcW w:w="441" w:type="dxa"/>
            <w:shd w:val="clear" w:color="auto" w:fill="auto"/>
            <w:textDirection w:val="tbRl"/>
            <w:vAlign w:val="center"/>
          </w:tcPr>
          <w:p w14:paraId="632E7859" w14:textId="77777777" w:rsidR="00E90764" w:rsidRPr="004B0B3C" w:rsidRDefault="0099166C" w:rsidP="001D1CF9">
            <w:pPr>
              <w:pStyle w:val="BodyText"/>
              <w:rPr>
                <w:rStyle w:val="Strong"/>
              </w:rPr>
            </w:pPr>
            <w:r w:rsidRPr="004B0B3C">
              <w:rPr>
                <w:rStyle w:val="Strong"/>
              </w:rPr>
              <w:t>2021–22</w:t>
            </w:r>
          </w:p>
        </w:tc>
        <w:tc>
          <w:tcPr>
            <w:tcW w:w="441" w:type="dxa"/>
            <w:shd w:val="clear" w:color="auto" w:fill="auto"/>
            <w:textDirection w:val="tbRl"/>
            <w:vAlign w:val="center"/>
          </w:tcPr>
          <w:p w14:paraId="632E785A" w14:textId="77777777" w:rsidR="00E90764" w:rsidRPr="004B0B3C" w:rsidRDefault="0099166C" w:rsidP="001D1CF9">
            <w:pPr>
              <w:pStyle w:val="BodyText"/>
              <w:rPr>
                <w:rStyle w:val="Strong"/>
              </w:rPr>
            </w:pPr>
            <w:r w:rsidRPr="004B0B3C">
              <w:rPr>
                <w:rStyle w:val="Strong"/>
              </w:rPr>
              <w:t>2022–23</w:t>
            </w:r>
          </w:p>
        </w:tc>
        <w:tc>
          <w:tcPr>
            <w:tcW w:w="439" w:type="dxa"/>
            <w:shd w:val="clear" w:color="auto" w:fill="auto"/>
            <w:textDirection w:val="tbRl"/>
            <w:vAlign w:val="center"/>
          </w:tcPr>
          <w:p w14:paraId="632E785B" w14:textId="77777777" w:rsidR="00E90764" w:rsidRPr="004B0B3C" w:rsidRDefault="0099166C" w:rsidP="001D1CF9">
            <w:pPr>
              <w:pStyle w:val="BodyText"/>
              <w:rPr>
                <w:rStyle w:val="Strong"/>
              </w:rPr>
            </w:pPr>
            <w:r w:rsidRPr="004B0B3C">
              <w:rPr>
                <w:rStyle w:val="Strong"/>
              </w:rPr>
              <w:t>2023–24</w:t>
            </w:r>
          </w:p>
        </w:tc>
        <w:tc>
          <w:tcPr>
            <w:tcW w:w="441" w:type="dxa"/>
            <w:shd w:val="clear" w:color="auto" w:fill="auto"/>
            <w:textDirection w:val="tbRl"/>
            <w:vAlign w:val="center"/>
          </w:tcPr>
          <w:p w14:paraId="632E785C" w14:textId="77777777" w:rsidR="00E90764" w:rsidRPr="004B0B3C" w:rsidRDefault="0099166C" w:rsidP="001D1CF9">
            <w:pPr>
              <w:pStyle w:val="BodyText"/>
              <w:rPr>
                <w:rStyle w:val="Strong"/>
              </w:rPr>
            </w:pPr>
            <w:r w:rsidRPr="004B0B3C">
              <w:rPr>
                <w:rStyle w:val="Strong"/>
              </w:rPr>
              <w:t>2024–25</w:t>
            </w:r>
          </w:p>
        </w:tc>
      </w:tr>
      <w:tr w:rsidR="00E90764" w:rsidRPr="00CF6322" w14:paraId="632E7863" w14:textId="77777777" w:rsidTr="005C3FDA">
        <w:trPr>
          <w:trHeight w:val="391"/>
        </w:trPr>
        <w:tc>
          <w:tcPr>
            <w:tcW w:w="8541" w:type="dxa"/>
            <w:shd w:val="clear" w:color="auto" w:fill="auto"/>
            <w:vAlign w:val="center"/>
          </w:tcPr>
          <w:p w14:paraId="632E785E" w14:textId="77777777" w:rsidR="00E90764" w:rsidRPr="00CF6322" w:rsidRDefault="0099166C" w:rsidP="001D1CF9">
            <w:pPr>
              <w:pStyle w:val="BodyText"/>
            </w:pPr>
            <w:r w:rsidRPr="00CF6322">
              <w:t>Delivering the Government’s COVID-19 Vaccine and Treatment Strategy.</w:t>
            </w:r>
          </w:p>
        </w:tc>
        <w:tc>
          <w:tcPr>
            <w:tcW w:w="441" w:type="dxa"/>
            <w:shd w:val="clear" w:color="auto" w:fill="auto"/>
            <w:vAlign w:val="center"/>
          </w:tcPr>
          <w:p w14:paraId="632E785F" w14:textId="41088195"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860" w14:textId="77777777" w:rsidR="00E90764" w:rsidRPr="00CF6322" w:rsidRDefault="00E90764" w:rsidP="001D1CF9">
            <w:pPr>
              <w:pStyle w:val="BodyText"/>
            </w:pPr>
          </w:p>
        </w:tc>
        <w:tc>
          <w:tcPr>
            <w:tcW w:w="439" w:type="dxa"/>
            <w:shd w:val="clear" w:color="auto" w:fill="auto"/>
            <w:vAlign w:val="center"/>
          </w:tcPr>
          <w:p w14:paraId="632E7861" w14:textId="77777777" w:rsidR="00E90764" w:rsidRPr="00CF6322" w:rsidRDefault="00E90764" w:rsidP="001D1CF9">
            <w:pPr>
              <w:pStyle w:val="BodyText"/>
            </w:pPr>
          </w:p>
        </w:tc>
        <w:tc>
          <w:tcPr>
            <w:tcW w:w="441" w:type="dxa"/>
            <w:shd w:val="clear" w:color="auto" w:fill="auto"/>
            <w:vAlign w:val="center"/>
          </w:tcPr>
          <w:p w14:paraId="632E7862" w14:textId="77777777" w:rsidR="00E90764" w:rsidRPr="00CF6322" w:rsidRDefault="00E90764" w:rsidP="001D1CF9">
            <w:pPr>
              <w:pStyle w:val="BodyText"/>
            </w:pPr>
          </w:p>
        </w:tc>
      </w:tr>
      <w:tr w:rsidR="00E90764" w:rsidRPr="00CF6322" w14:paraId="632E7869" w14:textId="77777777" w:rsidTr="005C3FDA">
        <w:trPr>
          <w:trHeight w:val="391"/>
        </w:trPr>
        <w:tc>
          <w:tcPr>
            <w:tcW w:w="8541" w:type="dxa"/>
            <w:shd w:val="clear" w:color="auto" w:fill="auto"/>
            <w:vAlign w:val="center"/>
          </w:tcPr>
          <w:p w14:paraId="632E7864" w14:textId="77777777" w:rsidR="00E90764" w:rsidRPr="00CF6322" w:rsidRDefault="0099166C" w:rsidP="001D1CF9">
            <w:pPr>
              <w:pStyle w:val="BodyText"/>
            </w:pPr>
            <w:r w:rsidRPr="00CF6322">
              <w:t xml:space="preserve">Developing, implementing and evaluating strategies to improve </w:t>
            </w:r>
            <w:proofErr w:type="spellStart"/>
            <w:r w:rsidRPr="00CF6322">
              <w:t>immunisation</w:t>
            </w:r>
            <w:proofErr w:type="spellEnd"/>
            <w:r w:rsidRPr="00CF6322">
              <w:t xml:space="preserve"> coverage.</w:t>
            </w:r>
          </w:p>
        </w:tc>
        <w:tc>
          <w:tcPr>
            <w:tcW w:w="441" w:type="dxa"/>
            <w:shd w:val="clear" w:color="auto" w:fill="auto"/>
            <w:vAlign w:val="center"/>
          </w:tcPr>
          <w:p w14:paraId="632E7865" w14:textId="43D9D18D"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866" w14:textId="086E234C"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867" w14:textId="0F12901E"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868" w14:textId="7B3B856B" w:rsidR="00E90764" w:rsidRPr="00CF6322" w:rsidRDefault="00041BDA" w:rsidP="001D1CF9">
            <w:pPr>
              <w:pStyle w:val="BodyText"/>
            </w:pPr>
            <w:r>
              <w:rPr>
                <w:rFonts w:ascii="Segoe UI Symbol" w:hAnsi="Segoe UI Symbol" w:cs="Segoe UI Symbol"/>
              </w:rPr>
              <w:t>✓</w:t>
            </w:r>
          </w:p>
        </w:tc>
      </w:tr>
      <w:tr w:rsidR="00E90764" w:rsidRPr="00CF6322" w14:paraId="632E786F" w14:textId="77777777" w:rsidTr="005C3FDA">
        <w:trPr>
          <w:trHeight w:val="391"/>
        </w:trPr>
        <w:tc>
          <w:tcPr>
            <w:tcW w:w="8541" w:type="dxa"/>
            <w:shd w:val="clear" w:color="auto" w:fill="auto"/>
            <w:vAlign w:val="center"/>
          </w:tcPr>
          <w:p w14:paraId="632E786A" w14:textId="77777777" w:rsidR="00E90764" w:rsidRPr="00CF6322" w:rsidRDefault="0099166C" w:rsidP="001D1CF9">
            <w:pPr>
              <w:pStyle w:val="BodyText"/>
            </w:pPr>
            <w:r w:rsidRPr="00CF6322">
              <w:t>Partnering with states, territories and other important stakeholders to deliver vaccine initiatives.</w:t>
            </w:r>
          </w:p>
        </w:tc>
        <w:tc>
          <w:tcPr>
            <w:tcW w:w="441" w:type="dxa"/>
            <w:shd w:val="clear" w:color="auto" w:fill="auto"/>
            <w:vAlign w:val="center"/>
          </w:tcPr>
          <w:p w14:paraId="632E786B" w14:textId="30E16808"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86C" w14:textId="65A3AE04"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86D" w14:textId="692B2432"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86E" w14:textId="40F6BCE3" w:rsidR="00E90764" w:rsidRPr="00CF6322" w:rsidRDefault="00041BDA" w:rsidP="001D1CF9">
            <w:pPr>
              <w:pStyle w:val="BodyText"/>
            </w:pPr>
            <w:r>
              <w:rPr>
                <w:rFonts w:ascii="Segoe UI Symbol" w:hAnsi="Segoe UI Symbol" w:cs="Segoe UI Symbol"/>
              </w:rPr>
              <w:t>✓</w:t>
            </w:r>
          </w:p>
        </w:tc>
      </w:tr>
      <w:tr w:rsidR="00E90764" w:rsidRPr="00CF6322" w14:paraId="632E7875" w14:textId="77777777" w:rsidTr="005C3FDA">
        <w:trPr>
          <w:trHeight w:val="582"/>
        </w:trPr>
        <w:tc>
          <w:tcPr>
            <w:tcW w:w="8541" w:type="dxa"/>
            <w:shd w:val="clear" w:color="auto" w:fill="auto"/>
            <w:vAlign w:val="center"/>
          </w:tcPr>
          <w:p w14:paraId="632E7870" w14:textId="77777777" w:rsidR="00E90764" w:rsidRPr="00CF6322" w:rsidRDefault="0099166C" w:rsidP="001D1CF9">
            <w:pPr>
              <w:pStyle w:val="BodyText"/>
            </w:pPr>
            <w:r w:rsidRPr="00CF6322">
              <w:t>Promoting the safety and effectiveness of the NIP Schedule, including the need to remain vigilant against vaccine-preventable disease.</w:t>
            </w:r>
          </w:p>
        </w:tc>
        <w:tc>
          <w:tcPr>
            <w:tcW w:w="441" w:type="dxa"/>
            <w:shd w:val="clear" w:color="auto" w:fill="auto"/>
            <w:vAlign w:val="center"/>
          </w:tcPr>
          <w:p w14:paraId="632E7871" w14:textId="5D3733EA"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872" w14:textId="17777630"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873" w14:textId="0DBB41BA"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874" w14:textId="05A6A244" w:rsidR="00E90764" w:rsidRPr="00CF6322" w:rsidRDefault="00041BDA" w:rsidP="001D1CF9">
            <w:pPr>
              <w:pStyle w:val="BodyText"/>
            </w:pPr>
            <w:r>
              <w:rPr>
                <w:rFonts w:ascii="Segoe UI Symbol" w:hAnsi="Segoe UI Symbol" w:cs="Segoe UI Symbol"/>
              </w:rPr>
              <w:t>✓</w:t>
            </w:r>
          </w:p>
        </w:tc>
      </w:tr>
      <w:tr w:rsidR="00E90764" w:rsidRPr="00CF6322" w14:paraId="632E787B" w14:textId="77777777" w:rsidTr="005C3FDA">
        <w:trPr>
          <w:trHeight w:val="582"/>
        </w:trPr>
        <w:tc>
          <w:tcPr>
            <w:tcW w:w="8541" w:type="dxa"/>
            <w:shd w:val="clear" w:color="auto" w:fill="auto"/>
            <w:vAlign w:val="center"/>
          </w:tcPr>
          <w:p w14:paraId="632E7876" w14:textId="77777777" w:rsidR="00E90764" w:rsidRPr="00CF6322" w:rsidRDefault="0099166C" w:rsidP="001D1CF9">
            <w:pPr>
              <w:pStyle w:val="BodyText"/>
            </w:pPr>
            <w:r w:rsidRPr="00CF6322">
              <w:t xml:space="preserve">Implementing </w:t>
            </w:r>
            <w:proofErr w:type="spellStart"/>
            <w:r w:rsidRPr="00CF6322">
              <w:t>immunisation</w:t>
            </w:r>
            <w:proofErr w:type="spellEnd"/>
            <w:r w:rsidRPr="00CF6322">
              <w:t xml:space="preserve"> campaigns to ensure patients and </w:t>
            </w:r>
            <w:proofErr w:type="spellStart"/>
            <w:r w:rsidRPr="00CF6322">
              <w:t>carers</w:t>
            </w:r>
            <w:proofErr w:type="spellEnd"/>
            <w:r w:rsidRPr="00CF6322">
              <w:t xml:space="preserve"> of children have access to evidence-based information to inform their decision making.</w:t>
            </w:r>
          </w:p>
        </w:tc>
        <w:tc>
          <w:tcPr>
            <w:tcW w:w="441" w:type="dxa"/>
            <w:shd w:val="clear" w:color="auto" w:fill="auto"/>
            <w:vAlign w:val="center"/>
          </w:tcPr>
          <w:p w14:paraId="632E7877" w14:textId="2CE50E4A"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878" w14:textId="4984089A"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879" w14:textId="74D34A64"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87A" w14:textId="066399F4" w:rsidR="00E90764" w:rsidRPr="00CF6322" w:rsidRDefault="00041BDA" w:rsidP="001D1CF9">
            <w:pPr>
              <w:pStyle w:val="BodyText"/>
            </w:pPr>
            <w:r>
              <w:rPr>
                <w:rFonts w:ascii="Segoe UI Symbol" w:hAnsi="Segoe UI Symbol" w:cs="Segoe UI Symbol"/>
              </w:rPr>
              <w:t>✓</w:t>
            </w:r>
          </w:p>
        </w:tc>
      </w:tr>
      <w:tr w:rsidR="00E90764" w:rsidRPr="00CF6322" w14:paraId="632E7881" w14:textId="77777777" w:rsidTr="005C3FDA">
        <w:trPr>
          <w:trHeight w:val="391"/>
        </w:trPr>
        <w:tc>
          <w:tcPr>
            <w:tcW w:w="8541" w:type="dxa"/>
            <w:shd w:val="clear" w:color="auto" w:fill="auto"/>
            <w:vAlign w:val="center"/>
          </w:tcPr>
          <w:p w14:paraId="632E787C" w14:textId="77777777" w:rsidR="00E90764" w:rsidRPr="00CF6322" w:rsidRDefault="0099166C" w:rsidP="001D1CF9">
            <w:pPr>
              <w:pStyle w:val="BodyText"/>
            </w:pPr>
            <w:r w:rsidRPr="00CF6322">
              <w:t>Ensuring secure vaccine supply and efficient use of vaccines for the NIP.</w:t>
            </w:r>
          </w:p>
        </w:tc>
        <w:tc>
          <w:tcPr>
            <w:tcW w:w="441" w:type="dxa"/>
            <w:shd w:val="clear" w:color="auto" w:fill="auto"/>
            <w:vAlign w:val="center"/>
          </w:tcPr>
          <w:p w14:paraId="632E787D" w14:textId="7C8264BC"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87E" w14:textId="371C6852"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87F" w14:textId="03270154"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880" w14:textId="3AF97467" w:rsidR="00E90764" w:rsidRPr="00CF6322" w:rsidRDefault="00041BDA" w:rsidP="001D1CF9">
            <w:pPr>
              <w:pStyle w:val="BodyText"/>
            </w:pPr>
            <w:r>
              <w:rPr>
                <w:rFonts w:ascii="Segoe UI Symbol" w:hAnsi="Segoe UI Symbol" w:cs="Segoe UI Symbol"/>
              </w:rPr>
              <w:t>✓</w:t>
            </w:r>
          </w:p>
        </w:tc>
      </w:tr>
      <w:tr w:rsidR="00E90764" w:rsidRPr="00CF6322" w14:paraId="632E7887" w14:textId="77777777" w:rsidTr="005C3FDA">
        <w:trPr>
          <w:trHeight w:val="391"/>
        </w:trPr>
        <w:tc>
          <w:tcPr>
            <w:tcW w:w="8541" w:type="dxa"/>
            <w:shd w:val="clear" w:color="auto" w:fill="auto"/>
            <w:vAlign w:val="center"/>
          </w:tcPr>
          <w:p w14:paraId="632E7882" w14:textId="77777777" w:rsidR="00E90764" w:rsidRPr="00CF6322" w:rsidRDefault="0099166C" w:rsidP="001D1CF9">
            <w:pPr>
              <w:pStyle w:val="BodyText"/>
            </w:pPr>
            <w:r w:rsidRPr="00CF6322">
              <w:t>Developing the next National Partnership on Essential Vaccines.</w:t>
            </w:r>
          </w:p>
        </w:tc>
        <w:tc>
          <w:tcPr>
            <w:tcW w:w="441" w:type="dxa"/>
            <w:shd w:val="clear" w:color="auto" w:fill="auto"/>
            <w:vAlign w:val="center"/>
          </w:tcPr>
          <w:p w14:paraId="632E7883" w14:textId="2A03C609"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884" w14:textId="0B34FDBE"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885" w14:textId="466205C1"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886" w14:textId="097F1217" w:rsidR="00E90764" w:rsidRPr="00CF6322" w:rsidRDefault="00041BDA" w:rsidP="001D1CF9">
            <w:pPr>
              <w:pStyle w:val="BodyText"/>
            </w:pPr>
            <w:r>
              <w:rPr>
                <w:rFonts w:ascii="Segoe UI Symbol" w:hAnsi="Segoe UI Symbol" w:cs="Segoe UI Symbol"/>
              </w:rPr>
              <w:t>✓</w:t>
            </w:r>
          </w:p>
        </w:tc>
      </w:tr>
      <w:tr w:rsidR="00E90764" w:rsidRPr="00CF6322" w14:paraId="632E788D" w14:textId="77777777" w:rsidTr="005C3FDA">
        <w:trPr>
          <w:trHeight w:val="391"/>
        </w:trPr>
        <w:tc>
          <w:tcPr>
            <w:tcW w:w="8541" w:type="dxa"/>
            <w:shd w:val="clear" w:color="auto" w:fill="auto"/>
            <w:vAlign w:val="center"/>
          </w:tcPr>
          <w:p w14:paraId="632E7888" w14:textId="77777777" w:rsidR="00E90764" w:rsidRPr="00CF6322" w:rsidRDefault="0099166C" w:rsidP="001D1CF9">
            <w:pPr>
              <w:pStyle w:val="BodyText"/>
            </w:pPr>
            <w:r w:rsidRPr="00CF6322">
              <w:t>Implementing mandatory reporting of vaccinations to the AIR.</w:t>
            </w:r>
          </w:p>
        </w:tc>
        <w:tc>
          <w:tcPr>
            <w:tcW w:w="441" w:type="dxa"/>
            <w:shd w:val="clear" w:color="auto" w:fill="auto"/>
            <w:vAlign w:val="center"/>
          </w:tcPr>
          <w:p w14:paraId="632E7889" w14:textId="099444AC"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88A" w14:textId="68D86458"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88B" w14:textId="02A5C95F"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88C" w14:textId="65BA4BED" w:rsidR="00E90764" w:rsidRPr="00CF6322" w:rsidRDefault="00041BDA" w:rsidP="001D1CF9">
            <w:pPr>
              <w:pStyle w:val="BodyText"/>
            </w:pPr>
            <w:r>
              <w:rPr>
                <w:rFonts w:ascii="Segoe UI Symbol" w:hAnsi="Segoe UI Symbol" w:cs="Segoe UI Symbol"/>
              </w:rPr>
              <w:t>✓</w:t>
            </w:r>
          </w:p>
        </w:tc>
      </w:tr>
      <w:tr w:rsidR="00E90764" w:rsidRPr="00CF6322" w14:paraId="632E7893" w14:textId="77777777" w:rsidTr="005C3FDA">
        <w:trPr>
          <w:trHeight w:val="582"/>
        </w:trPr>
        <w:tc>
          <w:tcPr>
            <w:tcW w:w="8541" w:type="dxa"/>
            <w:shd w:val="clear" w:color="auto" w:fill="auto"/>
            <w:vAlign w:val="center"/>
          </w:tcPr>
          <w:p w14:paraId="632E788E" w14:textId="77777777" w:rsidR="00E90764" w:rsidRPr="00CF6322" w:rsidRDefault="0099166C" w:rsidP="001D1CF9">
            <w:pPr>
              <w:pStyle w:val="BodyText"/>
            </w:pPr>
            <w:r w:rsidRPr="00CF6322">
              <w:t>Implementing governance and access requirements for Australian Immunisation Register Data (AIR) data – including enabling COVID-19 vaccinations to be recorded on the AIR.</w:t>
            </w:r>
          </w:p>
        </w:tc>
        <w:tc>
          <w:tcPr>
            <w:tcW w:w="441" w:type="dxa"/>
            <w:shd w:val="clear" w:color="auto" w:fill="auto"/>
            <w:vAlign w:val="center"/>
          </w:tcPr>
          <w:p w14:paraId="632E788F" w14:textId="08B2C3AA"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890" w14:textId="6C3C7741"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891" w14:textId="378141C0"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892" w14:textId="257AF3DE" w:rsidR="00E90764" w:rsidRPr="00CF6322" w:rsidRDefault="00041BDA" w:rsidP="001D1CF9">
            <w:pPr>
              <w:pStyle w:val="BodyText"/>
            </w:pPr>
            <w:r>
              <w:rPr>
                <w:rFonts w:ascii="Segoe UI Symbol" w:hAnsi="Segoe UI Symbol" w:cs="Segoe UI Symbol"/>
              </w:rPr>
              <w:t>✓</w:t>
            </w:r>
          </w:p>
        </w:tc>
      </w:tr>
    </w:tbl>
    <w:p w14:paraId="632E7896" w14:textId="77777777" w:rsidR="00E90764" w:rsidRPr="004B0B3C" w:rsidRDefault="0099166C" w:rsidP="004B0B3C">
      <w:pPr>
        <w:pStyle w:val="Heading4"/>
      </w:pPr>
      <w:r w:rsidRPr="004B0B3C">
        <w:t>Our Performance</w:t>
      </w:r>
    </w:p>
    <w:p w14:paraId="632E7897" w14:textId="77777777" w:rsidR="00E90764" w:rsidRPr="00CF6322" w:rsidRDefault="0099166C" w:rsidP="004B0B3C">
      <w:pPr>
        <w:pStyle w:val="Heading5"/>
      </w:pPr>
      <w:r w:rsidRPr="00CF6322">
        <w:t xml:space="preserve">Performance measures for </w:t>
      </w:r>
      <w:r w:rsidRPr="004B0B3C">
        <w:t>Immunisation</w:t>
      </w:r>
      <w:r w:rsidRPr="00CF6322">
        <w:t xml:space="preserve"> – Program 1.9</w:t>
      </w:r>
    </w:p>
    <w:tbl>
      <w:tblPr>
        <w:tblW w:w="102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0" w:type="dxa"/>
        </w:tblCellMar>
        <w:tblLook w:val="01E0" w:firstRow="1" w:lastRow="1" w:firstColumn="1" w:lastColumn="1" w:noHBand="0" w:noVBand="0"/>
      </w:tblPr>
      <w:tblGrid>
        <w:gridCol w:w="702"/>
        <w:gridCol w:w="2288"/>
        <w:gridCol w:w="2431"/>
        <w:gridCol w:w="2431"/>
        <w:gridCol w:w="2431"/>
      </w:tblGrid>
      <w:tr w:rsidR="00E90764" w:rsidRPr="00CF6322" w14:paraId="632E789D" w14:textId="77777777" w:rsidTr="006E10D0">
        <w:trPr>
          <w:trHeight w:val="1693"/>
          <w:tblHeader/>
        </w:trPr>
        <w:tc>
          <w:tcPr>
            <w:tcW w:w="10283" w:type="dxa"/>
            <w:gridSpan w:val="5"/>
            <w:shd w:val="clear" w:color="auto" w:fill="auto"/>
          </w:tcPr>
          <w:p w14:paraId="632E7899" w14:textId="31B1974D" w:rsidR="00E90764" w:rsidRPr="005C3FDA" w:rsidRDefault="0099166C" w:rsidP="001D1CF9">
            <w:pPr>
              <w:pStyle w:val="BodyText"/>
              <w:rPr>
                <w:rStyle w:val="Strong"/>
              </w:rPr>
            </w:pPr>
            <w:r w:rsidRPr="005C3FDA">
              <w:rPr>
                <w:rStyle w:val="Strong"/>
              </w:rPr>
              <w:t>Immunisation coverage rates:</w:t>
            </w:r>
            <w:r w:rsidR="001E128C" w:rsidRPr="005C3FDA">
              <w:rPr>
                <w:rStyle w:val="Strong"/>
              </w:rPr>
              <w:footnoteReference w:id="43"/>
            </w:r>
          </w:p>
          <w:p w14:paraId="632E789A" w14:textId="77777777" w:rsidR="00E90764" w:rsidRPr="005C3FDA" w:rsidRDefault="0099166C" w:rsidP="001D1CF9">
            <w:pPr>
              <w:pStyle w:val="BodyText"/>
              <w:numPr>
                <w:ilvl w:val="0"/>
                <w:numId w:val="29"/>
              </w:numPr>
              <w:rPr>
                <w:rStyle w:val="Strong"/>
              </w:rPr>
            </w:pPr>
            <w:r w:rsidRPr="005C3FDA">
              <w:rPr>
                <w:rStyle w:val="Strong"/>
              </w:rPr>
              <w:t>For children at 5 years of age are increased and maintained at the protective rate of 95%.</w:t>
            </w:r>
          </w:p>
          <w:p w14:paraId="632E789B" w14:textId="77777777" w:rsidR="00E90764" w:rsidRPr="005C3FDA" w:rsidRDefault="0099166C" w:rsidP="001D1CF9">
            <w:pPr>
              <w:pStyle w:val="BodyText"/>
              <w:numPr>
                <w:ilvl w:val="0"/>
                <w:numId w:val="29"/>
              </w:numPr>
              <w:rPr>
                <w:rStyle w:val="Strong"/>
              </w:rPr>
            </w:pPr>
            <w:r w:rsidRPr="005C3FDA">
              <w:rPr>
                <w:rStyle w:val="Strong"/>
              </w:rPr>
              <w:t>For Aboriginal and Torres Strait Islander children 12–15 months of age are increased to close the gap.</w:t>
            </w:r>
          </w:p>
          <w:p w14:paraId="632E789C" w14:textId="77777777" w:rsidR="00E90764" w:rsidRPr="00CF6322" w:rsidRDefault="0099166C" w:rsidP="001D1CF9">
            <w:pPr>
              <w:pStyle w:val="BodyText"/>
              <w:numPr>
                <w:ilvl w:val="0"/>
                <w:numId w:val="29"/>
              </w:numPr>
            </w:pPr>
            <w:r w:rsidRPr="005C3FDA">
              <w:rPr>
                <w:rStyle w:val="Strong"/>
              </w:rPr>
              <w:t>For adults at increased risk of vaccine preventable diseases due to age or underlying medical conditions.</w:t>
            </w:r>
          </w:p>
        </w:tc>
      </w:tr>
      <w:tr w:rsidR="00E90764" w:rsidRPr="00CF6322" w14:paraId="632E78A3" w14:textId="77777777" w:rsidTr="005C3FDA">
        <w:trPr>
          <w:trHeight w:val="472"/>
        </w:trPr>
        <w:tc>
          <w:tcPr>
            <w:tcW w:w="702" w:type="dxa"/>
            <w:shd w:val="clear" w:color="auto" w:fill="auto"/>
          </w:tcPr>
          <w:p w14:paraId="632E789E" w14:textId="77777777" w:rsidR="00E90764" w:rsidRPr="004B0B3C" w:rsidRDefault="00E90764" w:rsidP="001D1CF9">
            <w:pPr>
              <w:pStyle w:val="BodyText"/>
              <w:rPr>
                <w:rStyle w:val="Strong"/>
              </w:rPr>
            </w:pPr>
          </w:p>
        </w:tc>
        <w:tc>
          <w:tcPr>
            <w:tcW w:w="2288" w:type="dxa"/>
            <w:shd w:val="clear" w:color="auto" w:fill="auto"/>
          </w:tcPr>
          <w:p w14:paraId="632E789F" w14:textId="77777777" w:rsidR="00E90764" w:rsidRPr="004B0B3C" w:rsidRDefault="0099166C" w:rsidP="001D1CF9">
            <w:pPr>
              <w:pStyle w:val="BodyText"/>
              <w:rPr>
                <w:rStyle w:val="Strong"/>
              </w:rPr>
            </w:pPr>
            <w:r w:rsidRPr="004B0B3C">
              <w:rPr>
                <w:rStyle w:val="Strong"/>
              </w:rPr>
              <w:t>2021–22 Target</w:t>
            </w:r>
          </w:p>
        </w:tc>
        <w:tc>
          <w:tcPr>
            <w:tcW w:w="2431" w:type="dxa"/>
            <w:shd w:val="clear" w:color="auto" w:fill="auto"/>
          </w:tcPr>
          <w:p w14:paraId="632E78A0" w14:textId="77777777" w:rsidR="00E90764" w:rsidRPr="004B0B3C" w:rsidRDefault="0099166C" w:rsidP="001D1CF9">
            <w:pPr>
              <w:pStyle w:val="BodyText"/>
              <w:rPr>
                <w:rStyle w:val="Strong"/>
              </w:rPr>
            </w:pPr>
            <w:r w:rsidRPr="004B0B3C">
              <w:rPr>
                <w:rStyle w:val="Strong"/>
              </w:rPr>
              <w:t>2022–23 Target</w:t>
            </w:r>
          </w:p>
        </w:tc>
        <w:tc>
          <w:tcPr>
            <w:tcW w:w="2431" w:type="dxa"/>
            <w:shd w:val="clear" w:color="auto" w:fill="auto"/>
          </w:tcPr>
          <w:p w14:paraId="632E78A1" w14:textId="77777777" w:rsidR="00E90764" w:rsidRPr="004B0B3C" w:rsidRDefault="0099166C" w:rsidP="001D1CF9">
            <w:pPr>
              <w:pStyle w:val="BodyText"/>
              <w:rPr>
                <w:rStyle w:val="Strong"/>
              </w:rPr>
            </w:pPr>
            <w:r w:rsidRPr="004B0B3C">
              <w:rPr>
                <w:rStyle w:val="Strong"/>
              </w:rPr>
              <w:t>2023–24 Target</w:t>
            </w:r>
          </w:p>
        </w:tc>
        <w:tc>
          <w:tcPr>
            <w:tcW w:w="2431" w:type="dxa"/>
            <w:shd w:val="clear" w:color="auto" w:fill="auto"/>
          </w:tcPr>
          <w:p w14:paraId="632E78A2" w14:textId="77777777" w:rsidR="00E90764" w:rsidRPr="004B0B3C" w:rsidRDefault="0099166C" w:rsidP="001D1CF9">
            <w:pPr>
              <w:pStyle w:val="BodyText"/>
              <w:rPr>
                <w:rStyle w:val="Strong"/>
              </w:rPr>
            </w:pPr>
            <w:r w:rsidRPr="004B0B3C">
              <w:rPr>
                <w:rStyle w:val="Strong"/>
              </w:rPr>
              <w:t>2024–25 Target</w:t>
            </w:r>
          </w:p>
        </w:tc>
      </w:tr>
      <w:tr w:rsidR="00E90764" w:rsidRPr="00CF6322" w14:paraId="632E78A9" w14:textId="77777777" w:rsidTr="005C3FDA">
        <w:trPr>
          <w:trHeight w:val="465"/>
        </w:trPr>
        <w:tc>
          <w:tcPr>
            <w:tcW w:w="702" w:type="dxa"/>
            <w:shd w:val="clear" w:color="auto" w:fill="auto"/>
          </w:tcPr>
          <w:p w14:paraId="632E78A4" w14:textId="77777777" w:rsidR="00E90764" w:rsidRPr="004B0B3C" w:rsidRDefault="0099166C" w:rsidP="001D1CF9">
            <w:pPr>
              <w:pStyle w:val="BodyText"/>
              <w:rPr>
                <w:rStyle w:val="Strong"/>
              </w:rPr>
            </w:pPr>
            <w:r w:rsidRPr="004B0B3C">
              <w:rPr>
                <w:rStyle w:val="Strong"/>
              </w:rPr>
              <w:t>a.</w:t>
            </w:r>
          </w:p>
        </w:tc>
        <w:tc>
          <w:tcPr>
            <w:tcW w:w="2288" w:type="dxa"/>
            <w:shd w:val="clear" w:color="auto" w:fill="auto"/>
          </w:tcPr>
          <w:p w14:paraId="632E78A5" w14:textId="77777777" w:rsidR="00E90764" w:rsidRPr="00CF6322" w:rsidRDefault="0099166C" w:rsidP="001D1CF9">
            <w:pPr>
              <w:pStyle w:val="BodyText"/>
            </w:pPr>
            <w:r w:rsidRPr="00CF6322">
              <w:t>≥95.00%</w:t>
            </w:r>
          </w:p>
        </w:tc>
        <w:tc>
          <w:tcPr>
            <w:tcW w:w="2431" w:type="dxa"/>
            <w:shd w:val="clear" w:color="auto" w:fill="auto"/>
          </w:tcPr>
          <w:p w14:paraId="632E78A6" w14:textId="77777777" w:rsidR="00E90764" w:rsidRPr="00CF6322" w:rsidRDefault="0099166C" w:rsidP="001D1CF9">
            <w:pPr>
              <w:pStyle w:val="BodyText"/>
            </w:pPr>
            <w:r w:rsidRPr="00CF6322">
              <w:t>≥95.00%</w:t>
            </w:r>
          </w:p>
        </w:tc>
        <w:tc>
          <w:tcPr>
            <w:tcW w:w="2431" w:type="dxa"/>
            <w:shd w:val="clear" w:color="auto" w:fill="auto"/>
          </w:tcPr>
          <w:p w14:paraId="632E78A7" w14:textId="77777777" w:rsidR="00E90764" w:rsidRPr="00CF6322" w:rsidRDefault="0099166C" w:rsidP="001D1CF9">
            <w:pPr>
              <w:pStyle w:val="BodyText"/>
            </w:pPr>
            <w:r w:rsidRPr="00CF6322">
              <w:t>≥95.00%</w:t>
            </w:r>
          </w:p>
        </w:tc>
        <w:tc>
          <w:tcPr>
            <w:tcW w:w="2431" w:type="dxa"/>
            <w:shd w:val="clear" w:color="auto" w:fill="auto"/>
          </w:tcPr>
          <w:p w14:paraId="632E78A8" w14:textId="77777777" w:rsidR="00E90764" w:rsidRPr="00CF6322" w:rsidRDefault="0099166C" w:rsidP="001D1CF9">
            <w:pPr>
              <w:pStyle w:val="BodyText"/>
            </w:pPr>
            <w:r w:rsidRPr="00CF6322">
              <w:t>≥95.00%</w:t>
            </w:r>
          </w:p>
        </w:tc>
      </w:tr>
      <w:tr w:rsidR="00E90764" w:rsidRPr="00CF6322" w14:paraId="632E78AF" w14:textId="77777777" w:rsidTr="005C3FDA">
        <w:trPr>
          <w:trHeight w:val="465"/>
        </w:trPr>
        <w:tc>
          <w:tcPr>
            <w:tcW w:w="702" w:type="dxa"/>
            <w:shd w:val="clear" w:color="auto" w:fill="auto"/>
          </w:tcPr>
          <w:p w14:paraId="632E78AA" w14:textId="77777777" w:rsidR="00E90764" w:rsidRPr="004B0B3C" w:rsidRDefault="0099166C" w:rsidP="001D1CF9">
            <w:pPr>
              <w:pStyle w:val="BodyText"/>
              <w:rPr>
                <w:rStyle w:val="Strong"/>
              </w:rPr>
            </w:pPr>
            <w:r w:rsidRPr="004B0B3C">
              <w:rPr>
                <w:rStyle w:val="Strong"/>
              </w:rPr>
              <w:t>b.</w:t>
            </w:r>
          </w:p>
        </w:tc>
        <w:tc>
          <w:tcPr>
            <w:tcW w:w="2288" w:type="dxa"/>
            <w:shd w:val="clear" w:color="auto" w:fill="auto"/>
          </w:tcPr>
          <w:p w14:paraId="632E78AB" w14:textId="77777777" w:rsidR="00E90764" w:rsidRPr="00CF6322" w:rsidRDefault="0099166C" w:rsidP="001D1CF9">
            <w:pPr>
              <w:pStyle w:val="BodyText"/>
            </w:pPr>
            <w:r w:rsidRPr="00CF6322">
              <w:t>≥94.00%</w:t>
            </w:r>
          </w:p>
        </w:tc>
        <w:tc>
          <w:tcPr>
            <w:tcW w:w="2431" w:type="dxa"/>
            <w:shd w:val="clear" w:color="auto" w:fill="auto"/>
          </w:tcPr>
          <w:p w14:paraId="632E78AC" w14:textId="77777777" w:rsidR="00E90764" w:rsidRPr="00CF6322" w:rsidRDefault="0099166C" w:rsidP="001D1CF9">
            <w:pPr>
              <w:pStyle w:val="BodyText"/>
            </w:pPr>
            <w:r w:rsidRPr="00CF6322">
              <w:t>≥94.25%</w:t>
            </w:r>
          </w:p>
        </w:tc>
        <w:tc>
          <w:tcPr>
            <w:tcW w:w="2431" w:type="dxa"/>
            <w:shd w:val="clear" w:color="auto" w:fill="auto"/>
          </w:tcPr>
          <w:p w14:paraId="632E78AD" w14:textId="77777777" w:rsidR="00E90764" w:rsidRPr="00CF6322" w:rsidRDefault="0099166C" w:rsidP="001D1CF9">
            <w:pPr>
              <w:pStyle w:val="BodyText"/>
            </w:pPr>
            <w:r w:rsidRPr="00CF6322">
              <w:t>≥95.00%</w:t>
            </w:r>
          </w:p>
        </w:tc>
        <w:tc>
          <w:tcPr>
            <w:tcW w:w="2431" w:type="dxa"/>
            <w:shd w:val="clear" w:color="auto" w:fill="auto"/>
          </w:tcPr>
          <w:p w14:paraId="632E78AE" w14:textId="77777777" w:rsidR="00E90764" w:rsidRPr="00CF6322" w:rsidRDefault="0099166C" w:rsidP="001D1CF9">
            <w:pPr>
              <w:pStyle w:val="BodyText"/>
            </w:pPr>
            <w:r w:rsidRPr="00CF6322">
              <w:t>≥95.00%</w:t>
            </w:r>
          </w:p>
        </w:tc>
      </w:tr>
      <w:tr w:rsidR="00E90764" w:rsidRPr="00CF6322" w14:paraId="632E78B5" w14:textId="77777777" w:rsidTr="005C3FDA">
        <w:trPr>
          <w:trHeight w:val="705"/>
        </w:trPr>
        <w:tc>
          <w:tcPr>
            <w:tcW w:w="702" w:type="dxa"/>
            <w:shd w:val="clear" w:color="auto" w:fill="auto"/>
          </w:tcPr>
          <w:p w14:paraId="632E78B0" w14:textId="77777777" w:rsidR="00E90764" w:rsidRPr="004B0B3C" w:rsidRDefault="0099166C" w:rsidP="001D1CF9">
            <w:pPr>
              <w:pStyle w:val="BodyText"/>
              <w:rPr>
                <w:rStyle w:val="Strong"/>
              </w:rPr>
            </w:pPr>
            <w:r w:rsidRPr="004B0B3C">
              <w:rPr>
                <w:rStyle w:val="Strong"/>
              </w:rPr>
              <w:t>c.</w:t>
            </w:r>
          </w:p>
        </w:tc>
        <w:tc>
          <w:tcPr>
            <w:tcW w:w="2288" w:type="dxa"/>
            <w:shd w:val="clear" w:color="auto" w:fill="auto"/>
          </w:tcPr>
          <w:p w14:paraId="632E78B1" w14:textId="3259ED1E" w:rsidR="00E90764" w:rsidRPr="00CF6322" w:rsidRDefault="0099166C" w:rsidP="001D1CF9">
            <w:pPr>
              <w:pStyle w:val="BodyText"/>
            </w:pPr>
            <w:r w:rsidRPr="00CF6322">
              <w:t>Identify data source and baseline coverage rates.</w:t>
            </w:r>
          </w:p>
        </w:tc>
        <w:tc>
          <w:tcPr>
            <w:tcW w:w="2431" w:type="dxa"/>
            <w:shd w:val="clear" w:color="auto" w:fill="auto"/>
          </w:tcPr>
          <w:p w14:paraId="632E78B2" w14:textId="77777777" w:rsidR="00E90764" w:rsidRPr="00CF6322" w:rsidRDefault="0099166C" w:rsidP="001D1CF9">
            <w:pPr>
              <w:pStyle w:val="BodyText"/>
            </w:pPr>
            <w:r w:rsidRPr="00CF6322">
              <w:t>To be set in 2022</w:t>
            </w:r>
          </w:p>
        </w:tc>
        <w:tc>
          <w:tcPr>
            <w:tcW w:w="2431" w:type="dxa"/>
            <w:shd w:val="clear" w:color="auto" w:fill="auto"/>
          </w:tcPr>
          <w:p w14:paraId="632E78B3" w14:textId="77777777" w:rsidR="00E90764" w:rsidRPr="00CF6322" w:rsidRDefault="0099166C" w:rsidP="001D1CF9">
            <w:pPr>
              <w:pStyle w:val="BodyText"/>
            </w:pPr>
            <w:r w:rsidRPr="00CF6322">
              <w:t>To be set in 2022</w:t>
            </w:r>
          </w:p>
        </w:tc>
        <w:tc>
          <w:tcPr>
            <w:tcW w:w="2431" w:type="dxa"/>
            <w:shd w:val="clear" w:color="auto" w:fill="auto"/>
          </w:tcPr>
          <w:p w14:paraId="632E78B4" w14:textId="77777777" w:rsidR="00E90764" w:rsidRPr="00CF6322" w:rsidRDefault="0099166C" w:rsidP="001D1CF9">
            <w:pPr>
              <w:pStyle w:val="BodyText"/>
            </w:pPr>
            <w:r w:rsidRPr="00CF6322">
              <w:t>To be set in 2022</w:t>
            </w:r>
          </w:p>
        </w:tc>
      </w:tr>
      <w:tr w:rsidR="00E90764" w:rsidRPr="00CF6322" w14:paraId="632E78C0" w14:textId="77777777" w:rsidTr="005C3FDA">
        <w:trPr>
          <w:trHeight w:val="4452"/>
        </w:trPr>
        <w:tc>
          <w:tcPr>
            <w:tcW w:w="10283" w:type="dxa"/>
            <w:gridSpan w:val="5"/>
            <w:shd w:val="clear" w:color="auto" w:fill="auto"/>
          </w:tcPr>
          <w:p w14:paraId="632E78B6" w14:textId="77777777" w:rsidR="00E90764" w:rsidRPr="004B0B3C" w:rsidRDefault="0099166C" w:rsidP="001D1CF9">
            <w:pPr>
              <w:pStyle w:val="Heading6"/>
            </w:pPr>
            <w:r w:rsidRPr="00CF6322">
              <w:lastRenderedPageBreak/>
              <w:t>Data source and methodology</w:t>
            </w:r>
          </w:p>
          <w:p w14:paraId="632E78B7" w14:textId="50D33AA3" w:rsidR="00E90764" w:rsidRPr="00CF6322" w:rsidRDefault="0099166C" w:rsidP="001D1CF9">
            <w:pPr>
              <w:pStyle w:val="BodyText"/>
            </w:pPr>
            <w:r w:rsidRPr="00CF6322">
              <w:t>Immunisation data is reported to the AIR</w:t>
            </w:r>
            <w:r w:rsidR="001E128C">
              <w:rPr>
                <w:rStyle w:val="FootnoteReference"/>
              </w:rPr>
              <w:footnoteReference w:id="44"/>
            </w:r>
            <w:r w:rsidRPr="00CF6322">
              <w:t xml:space="preserve"> and produced by Services Australia. The National Centre for Immunisation Research and Surveillance (NCIRS) also produces independent coverage reports which validate the coverage rates reported by the Department. These are available on the NCIRS website</w:t>
            </w:r>
            <w:r w:rsidR="001E128C">
              <w:rPr>
                <w:rStyle w:val="FootnoteReference"/>
              </w:rPr>
              <w:footnoteReference w:id="45"/>
            </w:r>
            <w:r w:rsidRPr="00CF6322">
              <w:t>.</w:t>
            </w:r>
          </w:p>
          <w:p w14:paraId="632E78B9" w14:textId="77777777" w:rsidR="00E90764" w:rsidRPr="00CF6322" w:rsidRDefault="0099166C" w:rsidP="001D1CF9">
            <w:pPr>
              <w:pStyle w:val="Heading6"/>
            </w:pPr>
            <w:r w:rsidRPr="00CF6322">
              <w:t>Measure type</w:t>
            </w:r>
          </w:p>
          <w:p w14:paraId="632E78BA" w14:textId="77777777" w:rsidR="00E90764" w:rsidRPr="00CF6322" w:rsidRDefault="0099166C" w:rsidP="001D1CF9">
            <w:pPr>
              <w:pStyle w:val="BodyText"/>
            </w:pPr>
            <w:r w:rsidRPr="00CF6322">
              <w:t>Quantitative/Effectiveness</w:t>
            </w:r>
          </w:p>
          <w:p w14:paraId="632E78BC" w14:textId="77777777" w:rsidR="00E90764" w:rsidRPr="00CF6322" w:rsidRDefault="0099166C" w:rsidP="001D1CF9">
            <w:pPr>
              <w:pStyle w:val="Heading6"/>
            </w:pPr>
            <w:r w:rsidRPr="00CF6322">
              <w:t>Discussion</w:t>
            </w:r>
          </w:p>
          <w:p w14:paraId="632E78BD" w14:textId="3C1F9DC2" w:rsidR="00E90764" w:rsidRPr="00CF6322" w:rsidRDefault="0099166C" w:rsidP="001D1CF9">
            <w:pPr>
              <w:pStyle w:val="BodyText"/>
            </w:pPr>
            <w:r w:rsidRPr="00CF6322">
              <w:t>Please note: This performance measure relates to the National Immunisation Program which is separate to the COVID-19</w:t>
            </w:r>
            <w:r w:rsidR="004B0B3C">
              <w:t xml:space="preserve"> </w:t>
            </w:r>
            <w:r w:rsidRPr="00CF6322">
              <w:t>vaccine rollout. Comprehensive reporting on the performance of the COVID-19 vaccine rollout is published daily</w:t>
            </w:r>
            <w:r w:rsidR="001E128C">
              <w:rPr>
                <w:rStyle w:val="FootnoteReference"/>
              </w:rPr>
              <w:footnoteReference w:id="46"/>
            </w:r>
            <w:r w:rsidRPr="00CF6322">
              <w:t>.</w:t>
            </w:r>
          </w:p>
          <w:p w14:paraId="632E78BE" w14:textId="5850A467" w:rsidR="00E90764" w:rsidRPr="00CF6322" w:rsidRDefault="0099166C" w:rsidP="001D1CF9">
            <w:pPr>
              <w:pStyle w:val="BodyText"/>
            </w:pPr>
            <w:r w:rsidRPr="005C3FDA">
              <w:rPr>
                <w:b/>
                <w:bCs/>
              </w:rPr>
              <w:t>a., b.</w:t>
            </w:r>
            <w:r w:rsidRPr="00CF6322">
              <w:tab/>
              <w:t>The target has been set at 95% for children aged 5 years as this level provides sufficient herd immunity to</w:t>
            </w:r>
            <w:r w:rsidR="004B0B3C">
              <w:t xml:space="preserve"> </w:t>
            </w:r>
            <w:r w:rsidRPr="00CF6322">
              <w:t>prevent transmission of vaccine preventable diseases in the community.</w:t>
            </w:r>
          </w:p>
          <w:p w14:paraId="632E78BF" w14:textId="28BFDBC3" w:rsidR="00E90764" w:rsidRPr="00CF6322" w:rsidRDefault="0099166C" w:rsidP="001D1CF9">
            <w:pPr>
              <w:pStyle w:val="BodyText"/>
            </w:pPr>
            <w:r w:rsidRPr="005C3FDA">
              <w:rPr>
                <w:b/>
                <w:bCs/>
              </w:rPr>
              <w:t>c.</w:t>
            </w:r>
            <w:r w:rsidRPr="00CF6322">
              <w:tab/>
              <w:t xml:space="preserve">Amendments to the </w:t>
            </w:r>
            <w:r w:rsidRPr="005C3FDA">
              <w:rPr>
                <w:i/>
                <w:iCs/>
              </w:rPr>
              <w:t>Australian Immunisation Register Act 2015</w:t>
            </w:r>
            <w:r w:rsidRPr="00CF6322">
              <w:t xml:space="preserve"> make it mandatory to report COVID-19 vaccinations to the AIR from 20 February 2021, and influenza vaccinations from 1 March 2021. Accordingly, 2021–22 will set a baseline from which future targets will be defined.</w:t>
            </w:r>
          </w:p>
        </w:tc>
      </w:tr>
    </w:tbl>
    <w:p w14:paraId="223496B4" w14:textId="77777777" w:rsidR="001E128C" w:rsidRPr="001E128C" w:rsidRDefault="001E128C" w:rsidP="001E128C">
      <w:pPr>
        <w:pStyle w:val="Heading3"/>
      </w:pPr>
      <w:r w:rsidRPr="001E128C">
        <w:t>Our Partners in delivering Outcome 1</w:t>
      </w:r>
    </w:p>
    <w:p w14:paraId="56863069" w14:textId="77777777" w:rsidR="001E128C" w:rsidRPr="001E128C" w:rsidRDefault="001E128C" w:rsidP="001D1CF9">
      <w:pPr>
        <w:pStyle w:val="BodyText"/>
      </w:pPr>
      <w:r w:rsidRPr="001E128C">
        <w:t xml:space="preserve">In working towards achieving our purpose, we cooperate with all entities within the Health portfolio and other Commonwealth entities. We also partner with a wide range of external stakeholders including states and territories, peak bodies and international </w:t>
      </w:r>
      <w:proofErr w:type="spellStart"/>
      <w:r w:rsidRPr="001E128C">
        <w:t>organisations</w:t>
      </w:r>
      <w:proofErr w:type="spellEnd"/>
      <w:r w:rsidRPr="001E128C">
        <w:t xml:space="preserve">. More detail on our partners can be found in the </w:t>
      </w:r>
      <w:r w:rsidRPr="006E10D0">
        <w:rPr>
          <w:i/>
        </w:rPr>
        <w:t xml:space="preserve">2021–22 Health Portfolio Budget Statements </w:t>
      </w:r>
      <w:r w:rsidRPr="001E128C">
        <w:t>linked programs section.</w:t>
      </w:r>
    </w:p>
    <w:p w14:paraId="632E78F0" w14:textId="18DF388F" w:rsidR="00E90764" w:rsidRPr="00CF6322" w:rsidRDefault="00E90764" w:rsidP="001D1CF9">
      <w:pPr>
        <w:pStyle w:val="BodyText"/>
      </w:pPr>
    </w:p>
    <w:p w14:paraId="64640B3A" w14:textId="77777777" w:rsidR="00E26861" w:rsidRDefault="00E26861" w:rsidP="00563408">
      <w:pPr>
        <w:pStyle w:val="Heading2"/>
        <w:sectPr w:rsidR="00E26861" w:rsidSect="00AA64E9">
          <w:pgSz w:w="11910" w:h="16840"/>
          <w:pgMar w:top="720" w:right="720" w:bottom="720" w:left="720" w:header="0" w:footer="330" w:gutter="0"/>
          <w:cols w:space="720"/>
        </w:sectPr>
      </w:pPr>
      <w:bookmarkStart w:id="29" w:name="_Toc83043019"/>
    </w:p>
    <w:p w14:paraId="632E78F2" w14:textId="46FFF4ED" w:rsidR="00E90764" w:rsidRPr="00CF6322" w:rsidRDefault="0099166C" w:rsidP="00563408">
      <w:pPr>
        <w:pStyle w:val="Heading2"/>
      </w:pPr>
      <w:r w:rsidRPr="00CF6322">
        <w:lastRenderedPageBreak/>
        <w:t>OUTCOME 2</w:t>
      </w:r>
      <w:r w:rsidR="00563408">
        <w:t xml:space="preserve"> </w:t>
      </w:r>
      <w:r w:rsidR="005C3FDA">
        <w:t>–</w:t>
      </w:r>
      <w:r w:rsidR="00563408">
        <w:t xml:space="preserve"> </w:t>
      </w:r>
      <w:r w:rsidRPr="00CF6322">
        <w:t>Individual Health Benefits</w:t>
      </w:r>
      <w:bookmarkEnd w:id="29"/>
    </w:p>
    <w:p w14:paraId="632E78F4" w14:textId="7CC14C54" w:rsidR="00E90764" w:rsidRPr="00CF6322" w:rsidRDefault="0099166C" w:rsidP="001D1CF9">
      <w:pPr>
        <w:pStyle w:val="BodyText"/>
      </w:pPr>
      <w:r w:rsidRPr="00CF6322">
        <w:t>Ensuring improved access for all Australians to cost-effective and affordable medicines, medical, dental and hearing services; improved choice in health care services, through guaranteeing Medicare and the Pharmaceutical Benefits</w:t>
      </w:r>
      <w:r w:rsidR="002965C7" w:rsidRPr="00CF6322">
        <w:t xml:space="preserve"> </w:t>
      </w:r>
      <w:r w:rsidRPr="00CF6322">
        <w:t>Scheme; supporting targeted assistance strategies and private health insurance.</w:t>
      </w:r>
    </w:p>
    <w:p w14:paraId="66357A8A" w14:textId="39B3163C" w:rsidR="00563408" w:rsidRPr="00563408" w:rsidRDefault="0099166C" w:rsidP="001D1CF9">
      <w:pPr>
        <w:pStyle w:val="BodyText"/>
      </w:pPr>
      <w:r w:rsidRPr="00CF6322">
        <w:t>Outcome 2 is delivered through</w:t>
      </w:r>
      <w:r w:rsidR="00563408">
        <w:t xml:space="preserve"> </w:t>
      </w:r>
      <w:r w:rsidRPr="00CF6322">
        <w:t>the following programs:</w:t>
      </w:r>
    </w:p>
    <w:p w14:paraId="5490A537" w14:textId="428DAAD4" w:rsidR="00563408" w:rsidRPr="00563408" w:rsidRDefault="00563408" w:rsidP="001D1CF9">
      <w:pPr>
        <w:pStyle w:val="BodyText"/>
      </w:pPr>
      <w:r>
        <w:t xml:space="preserve">2.1 </w:t>
      </w:r>
      <w:r w:rsidRPr="00563408">
        <w:t>Medical Benefits</w:t>
      </w:r>
    </w:p>
    <w:p w14:paraId="5D3D967C" w14:textId="2FB7620E" w:rsidR="00563408" w:rsidRPr="00563408" w:rsidRDefault="00563408" w:rsidP="001D1CF9">
      <w:pPr>
        <w:pStyle w:val="BodyText"/>
      </w:pPr>
      <w:r>
        <w:t xml:space="preserve">2.2 </w:t>
      </w:r>
      <w:r w:rsidRPr="00563408">
        <w:t>Hearing Services</w:t>
      </w:r>
    </w:p>
    <w:p w14:paraId="3B53809B" w14:textId="53633460" w:rsidR="00563408" w:rsidRPr="00563408" w:rsidRDefault="00563408" w:rsidP="001D1CF9">
      <w:pPr>
        <w:pStyle w:val="BodyText"/>
      </w:pPr>
      <w:r>
        <w:t xml:space="preserve">2.3 </w:t>
      </w:r>
      <w:r w:rsidRPr="00563408">
        <w:t>Pharmaceutical Benefits</w:t>
      </w:r>
    </w:p>
    <w:p w14:paraId="0B5231B2" w14:textId="37327600" w:rsidR="00563408" w:rsidRPr="00563408" w:rsidRDefault="00563408" w:rsidP="001D1CF9">
      <w:pPr>
        <w:pStyle w:val="BodyText"/>
      </w:pPr>
      <w:r>
        <w:t xml:space="preserve">2.4 </w:t>
      </w:r>
      <w:r w:rsidRPr="00563408">
        <w:t>Private Health Insurance</w:t>
      </w:r>
    </w:p>
    <w:p w14:paraId="74101052" w14:textId="647F2FFA" w:rsidR="00563408" w:rsidRPr="00563408" w:rsidRDefault="00563408" w:rsidP="001D1CF9">
      <w:pPr>
        <w:pStyle w:val="BodyText"/>
      </w:pPr>
      <w:r>
        <w:t xml:space="preserve">2.5 </w:t>
      </w:r>
      <w:r w:rsidRPr="00563408">
        <w:t>Dental Services</w:t>
      </w:r>
    </w:p>
    <w:p w14:paraId="1FFE3E86" w14:textId="026E3A4B" w:rsidR="00563408" w:rsidRPr="00563408" w:rsidRDefault="00563408" w:rsidP="001D1CF9">
      <w:pPr>
        <w:pStyle w:val="BodyText"/>
      </w:pPr>
      <w:r>
        <w:t xml:space="preserve">2.6 </w:t>
      </w:r>
      <w:r w:rsidRPr="00563408">
        <w:t>Health Benefit Compliance</w:t>
      </w:r>
    </w:p>
    <w:p w14:paraId="6A5D6BB0" w14:textId="18CE2F8F" w:rsidR="00563408" w:rsidRPr="00563408" w:rsidRDefault="00563408" w:rsidP="001D1CF9">
      <w:pPr>
        <w:pStyle w:val="BodyText"/>
      </w:pPr>
      <w:r>
        <w:t xml:space="preserve">2.7 </w:t>
      </w:r>
      <w:r w:rsidRPr="00563408">
        <w:t>Assistance through Aids and Appliances</w:t>
      </w:r>
    </w:p>
    <w:p w14:paraId="632E78F7" w14:textId="46E04899" w:rsidR="00E90764" w:rsidRPr="00CF6322" w:rsidRDefault="0099166C" w:rsidP="00563408">
      <w:pPr>
        <w:pStyle w:val="Heading3"/>
      </w:pPr>
      <w:r w:rsidRPr="00CF6322">
        <w:t xml:space="preserve">Outcome </w:t>
      </w:r>
      <w:r w:rsidRPr="00563408">
        <w:t>Snapshot</w:t>
      </w:r>
    </w:p>
    <w:p w14:paraId="632E791B" w14:textId="7E784F3E" w:rsidR="00E90764" w:rsidRPr="00CF6322" w:rsidRDefault="0099166C" w:rsidP="001D1CF9">
      <w:pPr>
        <w:pStyle w:val="BodyText"/>
      </w:pPr>
      <w:r w:rsidRPr="00CF6322">
        <w:t>Through Outcome 2 we undertake a wide range of functions to provide Australians affordable and</w:t>
      </w:r>
      <w:r w:rsidR="00563408">
        <w:t xml:space="preserve"> </w:t>
      </w:r>
      <w:r w:rsidRPr="00CF6322">
        <w:t>accessible health care services. This includes:</w:t>
      </w:r>
    </w:p>
    <w:p w14:paraId="632E791C" w14:textId="77777777" w:rsidR="00E90764" w:rsidRPr="00563408" w:rsidRDefault="0099166C" w:rsidP="00563408">
      <w:pPr>
        <w:pStyle w:val="Bullets"/>
      </w:pPr>
      <w:r w:rsidRPr="00563408">
        <w:t>Supporting patient access to telehealth services during the COVID-19 pandemic.</w:t>
      </w:r>
    </w:p>
    <w:p w14:paraId="632E791D" w14:textId="77777777" w:rsidR="00E90764" w:rsidRPr="00563408" w:rsidRDefault="0099166C" w:rsidP="00563408">
      <w:pPr>
        <w:pStyle w:val="Bullets"/>
      </w:pPr>
      <w:r w:rsidRPr="00563408">
        <w:t>Implementing initiatives from the Roadmap for Hearing Health.</w:t>
      </w:r>
    </w:p>
    <w:p w14:paraId="632E791E" w14:textId="77777777" w:rsidR="00E90764" w:rsidRPr="00563408" w:rsidRDefault="0099166C" w:rsidP="00563408">
      <w:pPr>
        <w:pStyle w:val="Bullets"/>
      </w:pPr>
      <w:r w:rsidRPr="00563408">
        <w:t>Supporting ongoing access to the latest innovative medicines for patients.</w:t>
      </w:r>
    </w:p>
    <w:p w14:paraId="632E791F" w14:textId="77777777" w:rsidR="00E90764" w:rsidRPr="00563408" w:rsidRDefault="0099166C" w:rsidP="00563408">
      <w:pPr>
        <w:pStyle w:val="Bullets"/>
      </w:pPr>
      <w:r w:rsidRPr="00563408">
        <w:t>Ensuring choice for consumers across a range of cost effective Private Health Insurance products.</w:t>
      </w:r>
    </w:p>
    <w:p w14:paraId="632E7920" w14:textId="77777777" w:rsidR="00E90764" w:rsidRPr="00563408" w:rsidRDefault="0099166C" w:rsidP="00563408">
      <w:pPr>
        <w:pStyle w:val="Bullets"/>
      </w:pPr>
      <w:r w:rsidRPr="00563408">
        <w:t>Supporting access to dental health services for eligible children.</w:t>
      </w:r>
    </w:p>
    <w:p w14:paraId="632E7921" w14:textId="77777777" w:rsidR="00E90764" w:rsidRPr="00563408" w:rsidRDefault="0099166C" w:rsidP="00563408">
      <w:pPr>
        <w:pStyle w:val="Bullets"/>
      </w:pPr>
      <w:r w:rsidRPr="00563408">
        <w:t>Helping health providers meet their compliance obligations.</w:t>
      </w:r>
    </w:p>
    <w:p w14:paraId="632E7922" w14:textId="10C33CDE" w:rsidR="00E90764" w:rsidRPr="00563408" w:rsidRDefault="0099166C" w:rsidP="00563408">
      <w:pPr>
        <w:pStyle w:val="Bullets"/>
      </w:pPr>
      <w:r w:rsidRPr="00563408">
        <w:t>Supporting Australians managing specific health conditions.</w:t>
      </w:r>
    </w:p>
    <w:p w14:paraId="31CA154F" w14:textId="4A0B4F5C" w:rsidR="009C48F9" w:rsidRDefault="009C48F9">
      <w:pPr>
        <w:rPr>
          <w:rStyle w:val="Teal-OCColours"/>
          <w:rFonts w:ascii="Helvetica" w:hAnsi="Helvetica"/>
          <w:color w:val="auto"/>
          <w:sz w:val="19"/>
          <w:szCs w:val="19"/>
        </w:rPr>
      </w:pPr>
      <w:r>
        <w:rPr>
          <w:rStyle w:val="Teal-OCColours"/>
          <w:color w:val="auto"/>
        </w:rPr>
        <w:br w:type="page"/>
      </w:r>
    </w:p>
    <w:p w14:paraId="52ECCC79" w14:textId="2B2DC56B" w:rsidR="00902D05" w:rsidRPr="00902D05" w:rsidRDefault="00902D05" w:rsidP="009C48F9">
      <w:pPr>
        <w:pStyle w:val="Heading3"/>
        <w:rPr>
          <w:rStyle w:val="Teal-OCColours"/>
          <w:color w:val="auto"/>
        </w:rPr>
      </w:pPr>
      <w:r w:rsidRPr="00902D05">
        <w:rPr>
          <w:rStyle w:val="Teal-OCColours"/>
          <w:color w:val="auto"/>
        </w:rPr>
        <w:lastRenderedPageBreak/>
        <w:t xml:space="preserve">2.1 </w:t>
      </w:r>
      <w:r w:rsidR="005C3FDA">
        <w:rPr>
          <w:rStyle w:val="Teal-OCColours"/>
          <w:color w:val="auto"/>
        </w:rPr>
        <w:t>–</w:t>
      </w:r>
      <w:r w:rsidRPr="00902D05">
        <w:rPr>
          <w:rStyle w:val="Teal-OCColours"/>
          <w:color w:val="auto"/>
        </w:rPr>
        <w:t xml:space="preserve"> </w:t>
      </w:r>
      <w:r w:rsidRPr="009C48F9">
        <w:rPr>
          <w:rStyle w:val="Teal-OCColours"/>
          <w:color w:val="auto"/>
        </w:rPr>
        <w:t>Medical</w:t>
      </w:r>
      <w:r w:rsidRPr="00902D05">
        <w:rPr>
          <w:rStyle w:val="Teal-OCColours"/>
          <w:color w:val="auto"/>
        </w:rPr>
        <w:t xml:space="preserve"> Benefits</w:t>
      </w:r>
    </w:p>
    <w:p w14:paraId="632E7946" w14:textId="77777777" w:rsidR="00E90764" w:rsidRPr="00CF6322" w:rsidRDefault="0099166C" w:rsidP="00902D05">
      <w:pPr>
        <w:pStyle w:val="Heading4"/>
      </w:pPr>
      <w:r w:rsidRPr="00CF6322">
        <w:t>Program Objective</w:t>
      </w:r>
    </w:p>
    <w:p w14:paraId="205A3A8E" w14:textId="4D18D633" w:rsidR="00902D05" w:rsidRDefault="00902D05" w:rsidP="001D1CF9">
      <w:pPr>
        <w:pStyle w:val="BodyText"/>
        <w:rPr>
          <w:color w:val="000000"/>
        </w:rPr>
      </w:pPr>
      <w:r>
        <w:t>Deliver</w:t>
      </w:r>
      <w:r>
        <w:rPr>
          <w:spacing w:val="3"/>
        </w:rPr>
        <w:t xml:space="preserve"> </w:t>
      </w:r>
      <w:r>
        <w:t>a</w:t>
      </w:r>
      <w:r>
        <w:rPr>
          <w:spacing w:val="3"/>
        </w:rPr>
        <w:t xml:space="preserve"> </w:t>
      </w:r>
      <w:r>
        <w:t>modern,</w:t>
      </w:r>
      <w:r>
        <w:rPr>
          <w:spacing w:val="4"/>
        </w:rPr>
        <w:t xml:space="preserve"> </w:t>
      </w:r>
      <w:r>
        <w:t>sustainable</w:t>
      </w:r>
      <w:r>
        <w:rPr>
          <w:spacing w:val="3"/>
        </w:rPr>
        <w:t xml:space="preserve"> </w:t>
      </w:r>
      <w:r>
        <w:t>Medicare</w:t>
      </w:r>
      <w:r>
        <w:rPr>
          <w:spacing w:val="3"/>
        </w:rPr>
        <w:t xml:space="preserve"> </w:t>
      </w:r>
      <w:r>
        <w:t>program</w:t>
      </w:r>
      <w:r>
        <w:rPr>
          <w:spacing w:val="4"/>
        </w:rPr>
        <w:t xml:space="preserve"> </w:t>
      </w:r>
      <w:r>
        <w:t>that</w:t>
      </w:r>
      <w:r>
        <w:rPr>
          <w:spacing w:val="3"/>
        </w:rPr>
        <w:t xml:space="preserve"> </w:t>
      </w:r>
      <w:r>
        <w:t>supports</w:t>
      </w:r>
      <w:r>
        <w:rPr>
          <w:spacing w:val="3"/>
        </w:rPr>
        <w:t xml:space="preserve"> </w:t>
      </w:r>
      <w:r>
        <w:t>all</w:t>
      </w:r>
      <w:r>
        <w:rPr>
          <w:spacing w:val="4"/>
        </w:rPr>
        <w:t xml:space="preserve"> </w:t>
      </w:r>
      <w:r>
        <w:t>Australians</w:t>
      </w:r>
      <w:r>
        <w:rPr>
          <w:spacing w:val="3"/>
        </w:rPr>
        <w:t xml:space="preserve"> </w:t>
      </w:r>
      <w:r>
        <w:t>to</w:t>
      </w:r>
      <w:r>
        <w:rPr>
          <w:spacing w:val="3"/>
        </w:rPr>
        <w:t xml:space="preserve"> </w:t>
      </w:r>
      <w:r>
        <w:t>access</w:t>
      </w:r>
      <w:r>
        <w:rPr>
          <w:spacing w:val="4"/>
        </w:rPr>
        <w:t xml:space="preserve"> </w:t>
      </w:r>
      <w:r>
        <w:t>high</w:t>
      </w:r>
      <w:r>
        <w:rPr>
          <w:spacing w:val="3"/>
        </w:rPr>
        <w:t xml:space="preserve"> </w:t>
      </w:r>
      <w:r>
        <w:t>quality</w:t>
      </w:r>
      <w:r>
        <w:rPr>
          <w:spacing w:val="3"/>
        </w:rPr>
        <w:t xml:space="preserve"> </w:t>
      </w:r>
      <w:r>
        <w:t>and</w:t>
      </w:r>
      <w:r>
        <w:rPr>
          <w:spacing w:val="1"/>
        </w:rPr>
        <w:t xml:space="preserve"> </w:t>
      </w:r>
      <w:r>
        <w:t>cost-effective</w:t>
      </w:r>
      <w:r>
        <w:rPr>
          <w:spacing w:val="5"/>
        </w:rPr>
        <w:t xml:space="preserve"> </w:t>
      </w:r>
      <w:r>
        <w:t>professional</w:t>
      </w:r>
      <w:r>
        <w:rPr>
          <w:spacing w:val="5"/>
        </w:rPr>
        <w:t xml:space="preserve"> </w:t>
      </w:r>
      <w:r>
        <w:t>services.</w:t>
      </w:r>
      <w:r>
        <w:rPr>
          <w:spacing w:val="6"/>
        </w:rPr>
        <w:t xml:space="preserve"> </w:t>
      </w:r>
      <w:r>
        <w:t>Work</w:t>
      </w:r>
      <w:r>
        <w:rPr>
          <w:spacing w:val="6"/>
        </w:rPr>
        <w:t xml:space="preserve"> </w:t>
      </w:r>
      <w:r>
        <w:t>with</w:t>
      </w:r>
      <w:r>
        <w:rPr>
          <w:spacing w:val="6"/>
        </w:rPr>
        <w:t xml:space="preserve"> </w:t>
      </w:r>
      <w:r>
        <w:t>consumers,</w:t>
      </w:r>
      <w:r>
        <w:rPr>
          <w:spacing w:val="6"/>
        </w:rPr>
        <w:t xml:space="preserve"> </w:t>
      </w:r>
      <w:r>
        <w:t>health</w:t>
      </w:r>
      <w:r>
        <w:rPr>
          <w:spacing w:val="5"/>
        </w:rPr>
        <w:t xml:space="preserve"> </w:t>
      </w:r>
      <w:r>
        <w:t>professionals,</w:t>
      </w:r>
      <w:r>
        <w:rPr>
          <w:spacing w:val="6"/>
        </w:rPr>
        <w:t xml:space="preserve"> </w:t>
      </w:r>
      <w:r>
        <w:t>private</w:t>
      </w:r>
      <w:r>
        <w:rPr>
          <w:spacing w:val="6"/>
        </w:rPr>
        <w:t xml:space="preserve"> </w:t>
      </w:r>
      <w:r>
        <w:t>health</w:t>
      </w:r>
      <w:r>
        <w:rPr>
          <w:spacing w:val="6"/>
        </w:rPr>
        <w:t xml:space="preserve"> </w:t>
      </w:r>
      <w:r>
        <w:t>insurers,</w:t>
      </w:r>
      <w:r>
        <w:rPr>
          <w:spacing w:val="6"/>
        </w:rPr>
        <w:t xml:space="preserve"> </w:t>
      </w:r>
      <w:r>
        <w:t>and states</w:t>
      </w:r>
      <w:r>
        <w:rPr>
          <w:spacing w:val="3"/>
        </w:rPr>
        <w:t xml:space="preserve"> </w:t>
      </w:r>
      <w:r>
        <w:t>and</w:t>
      </w:r>
      <w:r>
        <w:rPr>
          <w:spacing w:val="3"/>
        </w:rPr>
        <w:t xml:space="preserve"> </w:t>
      </w:r>
      <w:r>
        <w:t>territories</w:t>
      </w:r>
      <w:r>
        <w:rPr>
          <w:spacing w:val="4"/>
        </w:rPr>
        <w:t xml:space="preserve"> </w:t>
      </w:r>
      <w:r>
        <w:t>to</w:t>
      </w:r>
      <w:r>
        <w:rPr>
          <w:spacing w:val="3"/>
        </w:rPr>
        <w:t xml:space="preserve"> </w:t>
      </w:r>
      <w:r>
        <w:t>continue</w:t>
      </w:r>
      <w:r>
        <w:rPr>
          <w:spacing w:val="3"/>
        </w:rPr>
        <w:t xml:space="preserve"> </w:t>
      </w:r>
      <w:r>
        <w:t>strengthening</w:t>
      </w:r>
      <w:r>
        <w:rPr>
          <w:spacing w:val="4"/>
        </w:rPr>
        <w:t xml:space="preserve"> </w:t>
      </w:r>
      <w:r>
        <w:t>Medicare</w:t>
      </w:r>
      <w:r>
        <w:rPr>
          <w:spacing w:val="3"/>
        </w:rPr>
        <w:t xml:space="preserve"> </w:t>
      </w:r>
      <w:r>
        <w:t>and</w:t>
      </w:r>
      <w:r>
        <w:rPr>
          <w:spacing w:val="4"/>
        </w:rPr>
        <w:t xml:space="preserve"> </w:t>
      </w:r>
      <w:r>
        <w:t>progressing</w:t>
      </w:r>
      <w:r>
        <w:rPr>
          <w:spacing w:val="3"/>
        </w:rPr>
        <w:t xml:space="preserve"> </w:t>
      </w:r>
      <w:r>
        <w:t>the</w:t>
      </w:r>
      <w:r>
        <w:rPr>
          <w:spacing w:val="3"/>
        </w:rPr>
        <w:t xml:space="preserve"> </w:t>
      </w:r>
      <w:r>
        <w:t>Long</w:t>
      </w:r>
      <w:r>
        <w:rPr>
          <w:spacing w:val="4"/>
        </w:rPr>
        <w:t xml:space="preserve"> </w:t>
      </w:r>
      <w:r>
        <w:t>Term</w:t>
      </w:r>
      <w:r>
        <w:rPr>
          <w:spacing w:val="3"/>
        </w:rPr>
        <w:t xml:space="preserve"> </w:t>
      </w:r>
      <w:r>
        <w:t>National</w:t>
      </w:r>
      <w:r>
        <w:rPr>
          <w:spacing w:val="4"/>
        </w:rPr>
        <w:t xml:space="preserve"> </w:t>
      </w:r>
      <w:r>
        <w:t>Health</w:t>
      </w:r>
      <w:r>
        <w:rPr>
          <w:spacing w:val="3"/>
        </w:rPr>
        <w:t xml:space="preserve"> </w:t>
      </w:r>
      <w:r>
        <w:t>Plan to</w:t>
      </w:r>
      <w:r>
        <w:rPr>
          <w:spacing w:val="-50"/>
        </w:rPr>
        <w:t xml:space="preserve"> </w:t>
      </w:r>
      <w:r>
        <w:t>improve health outcomes for patients.</w:t>
      </w:r>
    </w:p>
    <w:p w14:paraId="632E794A" w14:textId="77777777" w:rsidR="00E90764" w:rsidRPr="00CF6322" w:rsidRDefault="0099166C" w:rsidP="00902D05">
      <w:pPr>
        <w:pStyle w:val="Heading4"/>
      </w:pPr>
      <w:r w:rsidRPr="00CF6322">
        <w:t xml:space="preserve">Our Operating </w:t>
      </w:r>
      <w:r w:rsidRPr="00902D05">
        <w:t>Focus</w:t>
      </w:r>
    </w:p>
    <w:p w14:paraId="632E794B" w14:textId="09E630D0" w:rsidR="00E90764" w:rsidRPr="00CF6322" w:rsidRDefault="0099166C" w:rsidP="001D1CF9">
      <w:pPr>
        <w:pStyle w:val="BodyText"/>
      </w:pPr>
      <w:r w:rsidRPr="00CF6322">
        <w:t>The current environment continues to require our increased support to the Australian Government as we quickly respond and adapt to the COVID-19 pandemic. This has included the extension of temporary Medicare items to help health care practitioners deliver telehealth services via phone or video conferencing, and the establishment of new Medicare items to support the COVID-19 vaccine rollout in general practice settings.</w:t>
      </w:r>
    </w:p>
    <w:p w14:paraId="5E794CEE" w14:textId="77777777" w:rsidR="00902D05" w:rsidRDefault="0099166C" w:rsidP="001D1CF9">
      <w:pPr>
        <w:pStyle w:val="BodyText"/>
      </w:pPr>
      <w:r w:rsidRPr="00CF6322">
        <w:t>Telehealth has been critical in guaranteeing ongoing access to health care during the COVID-19 pandemic response, particularly for parts of Australia that experience</w:t>
      </w:r>
      <w:r w:rsidR="00533B10" w:rsidRPr="00CF6322">
        <w:t xml:space="preserve"> </w:t>
      </w:r>
      <w:r w:rsidRPr="00CF6322">
        <w:t>lockdowns. Work will continue with peak bodies to</w:t>
      </w:r>
      <w:r w:rsidR="00BA72C6" w:rsidRPr="00CF6322">
        <w:t xml:space="preserve"> </w:t>
      </w:r>
      <w:r w:rsidRPr="00CF6322">
        <w:t xml:space="preserve">co-design and implement permanent post pandemic telehealth, as part of broader reforms to </w:t>
      </w:r>
      <w:proofErr w:type="spellStart"/>
      <w:r w:rsidRPr="00CF6322">
        <w:t>modernise</w:t>
      </w:r>
      <w:proofErr w:type="spellEnd"/>
      <w:r w:rsidRPr="00CF6322">
        <w:t xml:space="preserve"> Medicare and provide flexibility of access to primary, specialist, nursing and allied health care services.</w:t>
      </w:r>
      <w:r w:rsidR="00902D05">
        <w:t xml:space="preserve"> </w:t>
      </w:r>
    </w:p>
    <w:p w14:paraId="632E794F" w14:textId="7D7D54F1" w:rsidR="00E90764" w:rsidRPr="00CF6322" w:rsidRDefault="0099166C" w:rsidP="001D1CF9">
      <w:pPr>
        <w:pStyle w:val="BodyText"/>
      </w:pPr>
      <w:r w:rsidRPr="00CF6322">
        <w:t>Following the completion of the Medicare Benefits Schedule (MBS) Review in 2020, the rolling process of consideration by Government of the recommendations and</w:t>
      </w:r>
      <w:r w:rsidR="00533B10" w:rsidRPr="00CF6322">
        <w:t xml:space="preserve"> </w:t>
      </w:r>
      <w:r w:rsidRPr="00CF6322">
        <w:t>implementation of subsequent changes to the MBS will continue. These reforms will support a contemporary and sustainable MBS, however many of these are significant and complex. Balancing their timely implementation with processes which enable adequate time for the sector</w:t>
      </w:r>
      <w:r w:rsidR="00BA72C6" w:rsidRPr="00CF6322">
        <w:t xml:space="preserve"> </w:t>
      </w:r>
      <w:r w:rsidRPr="00CF6322">
        <w:t>to incorporate the changes into their care and business</w:t>
      </w:r>
      <w:r w:rsidR="00533B10" w:rsidRPr="00CF6322">
        <w:t xml:space="preserve"> </w:t>
      </w:r>
      <w:r w:rsidRPr="00CF6322">
        <w:t>models, will require ongoing resourcing and significant stakeholder engagement.</w:t>
      </w:r>
    </w:p>
    <w:p w14:paraId="632E7953" w14:textId="37ACC84F" w:rsidR="00E90764" w:rsidRDefault="0099166C" w:rsidP="001D1CF9">
      <w:pPr>
        <w:pStyle w:val="BodyText"/>
      </w:pPr>
      <w:r w:rsidRPr="00CF6322">
        <w:t>A continuous MBS review mechanism will be established</w:t>
      </w:r>
      <w:r w:rsidR="00533B10" w:rsidRPr="00CF6322">
        <w:t xml:space="preserve"> </w:t>
      </w:r>
      <w:r w:rsidRPr="00CF6322">
        <w:t>to support the ongoing provision of contemporary, evidence-based, high value health care for all Australians. The continuous review function, which</w:t>
      </w:r>
      <w:r w:rsidR="00BA72C6" w:rsidRPr="00CF6322">
        <w:t xml:space="preserve"> </w:t>
      </w:r>
      <w:r w:rsidRPr="00CF6322">
        <w:t>will complement the health technology assessment processes of the Medical Services Advisory Committee, will provide clinician led independent advice that drives value for the patient and taxpayer.</w:t>
      </w:r>
    </w:p>
    <w:tbl>
      <w:tblPr>
        <w:tblW w:w="103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0" w:type="dxa"/>
        </w:tblCellMar>
        <w:tblLook w:val="01E0" w:firstRow="1" w:lastRow="1" w:firstColumn="1" w:lastColumn="1" w:noHBand="0" w:noVBand="0"/>
      </w:tblPr>
      <w:tblGrid>
        <w:gridCol w:w="8541"/>
        <w:gridCol w:w="441"/>
        <w:gridCol w:w="441"/>
        <w:gridCol w:w="439"/>
        <w:gridCol w:w="441"/>
      </w:tblGrid>
      <w:tr w:rsidR="00E90764" w:rsidRPr="00902D05" w14:paraId="632E795A" w14:textId="77777777" w:rsidTr="00FA6C8A">
        <w:trPr>
          <w:trHeight w:val="1187"/>
          <w:tblHeader/>
        </w:trPr>
        <w:tc>
          <w:tcPr>
            <w:tcW w:w="8541" w:type="dxa"/>
            <w:shd w:val="clear" w:color="auto" w:fill="auto"/>
          </w:tcPr>
          <w:p w14:paraId="632E7955" w14:textId="77777777" w:rsidR="00E90764" w:rsidRPr="00902D05" w:rsidRDefault="0099166C" w:rsidP="001D1CF9">
            <w:pPr>
              <w:pStyle w:val="BodyText"/>
              <w:rPr>
                <w:rStyle w:val="Strong"/>
              </w:rPr>
            </w:pPr>
            <w:r w:rsidRPr="00902D05">
              <w:rPr>
                <w:rStyle w:val="Strong"/>
              </w:rPr>
              <w:t>Key Activities</w:t>
            </w:r>
          </w:p>
        </w:tc>
        <w:tc>
          <w:tcPr>
            <w:tcW w:w="441" w:type="dxa"/>
            <w:shd w:val="clear" w:color="auto" w:fill="auto"/>
            <w:textDirection w:val="tbRl"/>
          </w:tcPr>
          <w:p w14:paraId="632E7956" w14:textId="77777777" w:rsidR="00E90764" w:rsidRPr="00902D05" w:rsidRDefault="0099166C" w:rsidP="001D1CF9">
            <w:pPr>
              <w:pStyle w:val="BodyText"/>
              <w:rPr>
                <w:rStyle w:val="Strong"/>
              </w:rPr>
            </w:pPr>
            <w:r w:rsidRPr="00902D05">
              <w:rPr>
                <w:rStyle w:val="Strong"/>
              </w:rPr>
              <w:t>2021–22</w:t>
            </w:r>
          </w:p>
        </w:tc>
        <w:tc>
          <w:tcPr>
            <w:tcW w:w="441" w:type="dxa"/>
            <w:shd w:val="clear" w:color="auto" w:fill="auto"/>
            <w:textDirection w:val="tbRl"/>
          </w:tcPr>
          <w:p w14:paraId="632E7957" w14:textId="77777777" w:rsidR="00E90764" w:rsidRPr="00902D05" w:rsidRDefault="0099166C" w:rsidP="001D1CF9">
            <w:pPr>
              <w:pStyle w:val="BodyText"/>
              <w:rPr>
                <w:rStyle w:val="Strong"/>
              </w:rPr>
            </w:pPr>
            <w:r w:rsidRPr="00902D05">
              <w:rPr>
                <w:rStyle w:val="Strong"/>
              </w:rPr>
              <w:t>2022–23</w:t>
            </w:r>
          </w:p>
        </w:tc>
        <w:tc>
          <w:tcPr>
            <w:tcW w:w="439" w:type="dxa"/>
            <w:shd w:val="clear" w:color="auto" w:fill="auto"/>
            <w:textDirection w:val="tbRl"/>
          </w:tcPr>
          <w:p w14:paraId="632E7958" w14:textId="77777777" w:rsidR="00E90764" w:rsidRPr="00902D05" w:rsidRDefault="0099166C" w:rsidP="001D1CF9">
            <w:pPr>
              <w:pStyle w:val="BodyText"/>
              <w:rPr>
                <w:rStyle w:val="Strong"/>
              </w:rPr>
            </w:pPr>
            <w:r w:rsidRPr="00902D05">
              <w:rPr>
                <w:rStyle w:val="Strong"/>
              </w:rPr>
              <w:t>2023–24</w:t>
            </w:r>
          </w:p>
        </w:tc>
        <w:tc>
          <w:tcPr>
            <w:tcW w:w="441" w:type="dxa"/>
            <w:shd w:val="clear" w:color="auto" w:fill="auto"/>
            <w:textDirection w:val="tbRl"/>
          </w:tcPr>
          <w:p w14:paraId="632E7959" w14:textId="77777777" w:rsidR="00E90764" w:rsidRPr="00902D05" w:rsidRDefault="0099166C" w:rsidP="001D1CF9">
            <w:pPr>
              <w:pStyle w:val="BodyText"/>
              <w:rPr>
                <w:rStyle w:val="Strong"/>
              </w:rPr>
            </w:pPr>
            <w:r w:rsidRPr="00902D05">
              <w:rPr>
                <w:rStyle w:val="Strong"/>
              </w:rPr>
              <w:t>2024–25</w:t>
            </w:r>
          </w:p>
        </w:tc>
      </w:tr>
      <w:tr w:rsidR="00E90764" w:rsidRPr="00CF6322" w14:paraId="632E7960" w14:textId="77777777" w:rsidTr="005C3FDA">
        <w:trPr>
          <w:trHeight w:val="582"/>
        </w:trPr>
        <w:tc>
          <w:tcPr>
            <w:tcW w:w="8541" w:type="dxa"/>
            <w:shd w:val="clear" w:color="auto" w:fill="auto"/>
            <w:vAlign w:val="center"/>
          </w:tcPr>
          <w:p w14:paraId="632E795B" w14:textId="77777777" w:rsidR="00E90764" w:rsidRPr="00CF6322" w:rsidRDefault="0099166C" w:rsidP="001D1CF9">
            <w:pPr>
              <w:pStyle w:val="BodyText"/>
            </w:pPr>
            <w:r w:rsidRPr="00CF6322">
              <w:t>Implementing recommendations of the MBS Review to ensure over 5,700 items on the MBS are aligned with contemporary clinical evidence and best practice.</w:t>
            </w:r>
          </w:p>
        </w:tc>
        <w:tc>
          <w:tcPr>
            <w:tcW w:w="441" w:type="dxa"/>
            <w:shd w:val="clear" w:color="auto" w:fill="auto"/>
            <w:vAlign w:val="center"/>
          </w:tcPr>
          <w:p w14:paraId="632E795C" w14:textId="51A090F6"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95D" w14:textId="728C216F"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95E" w14:textId="5E878D76"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95F" w14:textId="77777777" w:rsidR="00E90764" w:rsidRPr="00CF6322" w:rsidRDefault="00E90764" w:rsidP="001D1CF9">
            <w:pPr>
              <w:pStyle w:val="BodyText"/>
            </w:pPr>
          </w:p>
        </w:tc>
      </w:tr>
      <w:tr w:rsidR="00E90764" w:rsidRPr="00CF6322" w14:paraId="632E7966" w14:textId="77777777" w:rsidTr="005C3FDA">
        <w:trPr>
          <w:trHeight w:val="582"/>
        </w:trPr>
        <w:tc>
          <w:tcPr>
            <w:tcW w:w="8541" w:type="dxa"/>
            <w:shd w:val="clear" w:color="auto" w:fill="auto"/>
            <w:vAlign w:val="center"/>
          </w:tcPr>
          <w:p w14:paraId="632E7961" w14:textId="75225994" w:rsidR="00E90764" w:rsidRPr="00CF6322" w:rsidRDefault="0099166C" w:rsidP="001D1CF9">
            <w:pPr>
              <w:pStyle w:val="BodyText"/>
            </w:pPr>
            <w:r w:rsidRPr="00CF6322">
              <w:t>Increasing access to health services in areas of need by providing higher, scaled bulk billing rebates</w:t>
            </w:r>
            <w:r w:rsidR="00533B10" w:rsidRPr="00CF6322">
              <w:t xml:space="preserve"> </w:t>
            </w:r>
            <w:r w:rsidRPr="00CF6322">
              <w:t>for eligible patients in rural and remote locations.</w:t>
            </w:r>
          </w:p>
        </w:tc>
        <w:tc>
          <w:tcPr>
            <w:tcW w:w="441" w:type="dxa"/>
            <w:shd w:val="clear" w:color="auto" w:fill="auto"/>
          </w:tcPr>
          <w:p w14:paraId="632E7962" w14:textId="7D51DEC6"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963" w14:textId="473954D2"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964" w14:textId="78BAA907"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965" w14:textId="360636A2" w:rsidR="00E90764" w:rsidRPr="00CF6322" w:rsidRDefault="00041BDA" w:rsidP="001D1CF9">
            <w:pPr>
              <w:pStyle w:val="BodyText"/>
            </w:pPr>
            <w:r>
              <w:rPr>
                <w:rFonts w:ascii="Segoe UI Symbol" w:hAnsi="Segoe UI Symbol" w:cs="Segoe UI Symbol"/>
              </w:rPr>
              <w:t>✓</w:t>
            </w:r>
          </w:p>
        </w:tc>
      </w:tr>
      <w:tr w:rsidR="00E90764" w:rsidRPr="00CF6322" w14:paraId="632E7970" w14:textId="77777777" w:rsidTr="005C3FDA">
        <w:trPr>
          <w:trHeight w:val="822"/>
        </w:trPr>
        <w:tc>
          <w:tcPr>
            <w:tcW w:w="8541" w:type="dxa"/>
            <w:shd w:val="clear" w:color="auto" w:fill="auto"/>
            <w:vAlign w:val="center"/>
          </w:tcPr>
          <w:p w14:paraId="632E7967" w14:textId="51EDC2AB" w:rsidR="00E90764" w:rsidRPr="00CF6322" w:rsidRDefault="0099166C" w:rsidP="001D1CF9">
            <w:pPr>
              <w:pStyle w:val="BodyText"/>
            </w:pPr>
            <w:r w:rsidRPr="00CF6322">
              <w:t>Supporting patient access to radiation oncology services by providing targeted financial contributions to the capital cost of radiation oncology linear accelerators and grants to rural providers for equipment upgrades for diagnostic imaging.</w:t>
            </w:r>
          </w:p>
        </w:tc>
        <w:tc>
          <w:tcPr>
            <w:tcW w:w="441" w:type="dxa"/>
            <w:shd w:val="clear" w:color="auto" w:fill="auto"/>
            <w:vAlign w:val="center"/>
          </w:tcPr>
          <w:p w14:paraId="632E7969" w14:textId="44C941FB"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96B" w14:textId="11E286C6"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96D" w14:textId="082740A5"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96F" w14:textId="2470D084" w:rsidR="00E90764" w:rsidRPr="00CF6322" w:rsidRDefault="00041BDA" w:rsidP="001D1CF9">
            <w:pPr>
              <w:pStyle w:val="BodyText"/>
            </w:pPr>
            <w:r>
              <w:rPr>
                <w:rFonts w:ascii="Segoe UI Symbol" w:hAnsi="Segoe UI Symbol" w:cs="Segoe UI Symbol"/>
              </w:rPr>
              <w:t>✓</w:t>
            </w:r>
          </w:p>
        </w:tc>
      </w:tr>
      <w:tr w:rsidR="00E90764" w:rsidRPr="00CF6322" w14:paraId="632E7976" w14:textId="77777777" w:rsidTr="005C3FDA">
        <w:trPr>
          <w:trHeight w:val="391"/>
        </w:trPr>
        <w:tc>
          <w:tcPr>
            <w:tcW w:w="8541" w:type="dxa"/>
            <w:shd w:val="clear" w:color="auto" w:fill="auto"/>
            <w:vAlign w:val="center"/>
          </w:tcPr>
          <w:p w14:paraId="632E7971" w14:textId="77777777" w:rsidR="00E90764" w:rsidRPr="00CF6322" w:rsidRDefault="0099166C" w:rsidP="001D1CF9">
            <w:pPr>
              <w:pStyle w:val="BodyText"/>
            </w:pPr>
            <w:r w:rsidRPr="00CF6322">
              <w:t>Supporting access to COVID-19 pathology testing through MBS items and targeted programs.</w:t>
            </w:r>
          </w:p>
        </w:tc>
        <w:tc>
          <w:tcPr>
            <w:tcW w:w="441" w:type="dxa"/>
            <w:shd w:val="clear" w:color="auto" w:fill="auto"/>
            <w:vAlign w:val="center"/>
          </w:tcPr>
          <w:p w14:paraId="632E7972" w14:textId="5E9A0945"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973" w14:textId="77777777" w:rsidR="00E90764" w:rsidRPr="00CF6322" w:rsidRDefault="00E90764" w:rsidP="001D1CF9">
            <w:pPr>
              <w:pStyle w:val="BodyText"/>
            </w:pPr>
          </w:p>
        </w:tc>
        <w:tc>
          <w:tcPr>
            <w:tcW w:w="439" w:type="dxa"/>
            <w:shd w:val="clear" w:color="auto" w:fill="auto"/>
            <w:vAlign w:val="center"/>
          </w:tcPr>
          <w:p w14:paraId="632E7974" w14:textId="77777777" w:rsidR="00E90764" w:rsidRPr="00CF6322" w:rsidRDefault="00E90764" w:rsidP="001D1CF9">
            <w:pPr>
              <w:pStyle w:val="BodyText"/>
            </w:pPr>
          </w:p>
        </w:tc>
        <w:tc>
          <w:tcPr>
            <w:tcW w:w="441" w:type="dxa"/>
            <w:shd w:val="clear" w:color="auto" w:fill="auto"/>
            <w:vAlign w:val="center"/>
          </w:tcPr>
          <w:p w14:paraId="632E7975" w14:textId="77777777" w:rsidR="00E90764" w:rsidRPr="00CF6322" w:rsidRDefault="00E90764" w:rsidP="001D1CF9">
            <w:pPr>
              <w:pStyle w:val="BodyText"/>
            </w:pPr>
          </w:p>
        </w:tc>
      </w:tr>
      <w:tr w:rsidR="00E90764" w:rsidRPr="00CF6322" w14:paraId="632E797C" w14:textId="77777777" w:rsidTr="005C3FDA">
        <w:trPr>
          <w:trHeight w:val="582"/>
        </w:trPr>
        <w:tc>
          <w:tcPr>
            <w:tcW w:w="8541" w:type="dxa"/>
            <w:shd w:val="clear" w:color="auto" w:fill="auto"/>
            <w:vAlign w:val="center"/>
          </w:tcPr>
          <w:p w14:paraId="632E7977" w14:textId="77777777" w:rsidR="00E90764" w:rsidRPr="00CF6322" w:rsidRDefault="0099166C" w:rsidP="001D1CF9">
            <w:pPr>
              <w:pStyle w:val="BodyText"/>
            </w:pPr>
            <w:r w:rsidRPr="00CF6322">
              <w:t>Supporting patient access to telehealth services during the COVID-19 pandemic to assist with quarantine, social isolation and infection control.</w:t>
            </w:r>
          </w:p>
        </w:tc>
        <w:tc>
          <w:tcPr>
            <w:tcW w:w="441" w:type="dxa"/>
            <w:shd w:val="clear" w:color="auto" w:fill="auto"/>
            <w:vAlign w:val="center"/>
          </w:tcPr>
          <w:p w14:paraId="632E7978" w14:textId="1B718A06"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979" w14:textId="77777777" w:rsidR="00E90764" w:rsidRPr="00CF6322" w:rsidRDefault="00E90764" w:rsidP="001D1CF9">
            <w:pPr>
              <w:pStyle w:val="BodyText"/>
            </w:pPr>
          </w:p>
        </w:tc>
        <w:tc>
          <w:tcPr>
            <w:tcW w:w="439" w:type="dxa"/>
            <w:shd w:val="clear" w:color="auto" w:fill="auto"/>
            <w:vAlign w:val="center"/>
          </w:tcPr>
          <w:p w14:paraId="632E797A" w14:textId="77777777" w:rsidR="00E90764" w:rsidRPr="00CF6322" w:rsidRDefault="00E90764" w:rsidP="001D1CF9">
            <w:pPr>
              <w:pStyle w:val="BodyText"/>
            </w:pPr>
          </w:p>
        </w:tc>
        <w:tc>
          <w:tcPr>
            <w:tcW w:w="441" w:type="dxa"/>
            <w:shd w:val="clear" w:color="auto" w:fill="auto"/>
            <w:vAlign w:val="center"/>
          </w:tcPr>
          <w:p w14:paraId="632E797B" w14:textId="77777777" w:rsidR="00E90764" w:rsidRPr="00CF6322" w:rsidRDefault="00E90764" w:rsidP="001D1CF9">
            <w:pPr>
              <w:pStyle w:val="BodyText"/>
            </w:pPr>
          </w:p>
        </w:tc>
      </w:tr>
      <w:tr w:rsidR="00E90764" w:rsidRPr="00CF6322" w14:paraId="632E7986" w14:textId="77777777" w:rsidTr="005C3FDA">
        <w:trPr>
          <w:trHeight w:val="822"/>
        </w:trPr>
        <w:tc>
          <w:tcPr>
            <w:tcW w:w="8541" w:type="dxa"/>
            <w:shd w:val="clear" w:color="auto" w:fill="auto"/>
            <w:vAlign w:val="center"/>
          </w:tcPr>
          <w:p w14:paraId="632E797D" w14:textId="77777777" w:rsidR="00E90764" w:rsidRPr="00CF6322" w:rsidRDefault="0099166C" w:rsidP="001D1CF9">
            <w:pPr>
              <w:pStyle w:val="BodyText"/>
            </w:pPr>
            <w:r w:rsidRPr="00CF6322">
              <w:t>Assessing applications for, and providing targeted financial assistance to, Australians who require life-saving medical treatment not available in Australia and patients who incur ill health or injury as a result of a specific act of international terrorism.</w:t>
            </w:r>
          </w:p>
        </w:tc>
        <w:tc>
          <w:tcPr>
            <w:tcW w:w="441" w:type="dxa"/>
            <w:shd w:val="clear" w:color="auto" w:fill="auto"/>
            <w:vAlign w:val="center"/>
          </w:tcPr>
          <w:p w14:paraId="632E797F" w14:textId="4A3E1D68"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981" w14:textId="78BB9F6D"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983" w14:textId="4085FDD3"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985" w14:textId="694DF063" w:rsidR="00E90764" w:rsidRPr="00CF6322" w:rsidRDefault="00041BDA" w:rsidP="001D1CF9">
            <w:pPr>
              <w:pStyle w:val="BodyText"/>
            </w:pPr>
            <w:r>
              <w:rPr>
                <w:rFonts w:ascii="Segoe UI Symbol" w:hAnsi="Segoe UI Symbol" w:cs="Segoe UI Symbol"/>
              </w:rPr>
              <w:t>✓</w:t>
            </w:r>
          </w:p>
        </w:tc>
      </w:tr>
      <w:tr w:rsidR="00E90764" w:rsidRPr="00CF6322" w14:paraId="632E798C" w14:textId="77777777" w:rsidTr="005C3FDA">
        <w:trPr>
          <w:trHeight w:val="582"/>
        </w:trPr>
        <w:tc>
          <w:tcPr>
            <w:tcW w:w="8541" w:type="dxa"/>
            <w:shd w:val="clear" w:color="auto" w:fill="auto"/>
            <w:vAlign w:val="center"/>
          </w:tcPr>
          <w:p w14:paraId="632E7987" w14:textId="2882D0C6" w:rsidR="00902D05" w:rsidRPr="00902D05" w:rsidRDefault="0099166C" w:rsidP="001D1CF9">
            <w:pPr>
              <w:pStyle w:val="BodyText"/>
            </w:pPr>
            <w:r w:rsidRPr="00CF6322">
              <w:t>Establishing a continuous MBS Review mechanism to ensure the MBS reflects contemporary and evidence-based care.</w:t>
            </w:r>
          </w:p>
        </w:tc>
        <w:tc>
          <w:tcPr>
            <w:tcW w:w="441" w:type="dxa"/>
            <w:shd w:val="clear" w:color="auto" w:fill="auto"/>
          </w:tcPr>
          <w:p w14:paraId="632E7988" w14:textId="5B9810D9"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989" w14:textId="55F540B5"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98A" w14:textId="3465D9CA"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98B" w14:textId="1BC848EB" w:rsidR="00E90764" w:rsidRPr="00CF6322" w:rsidRDefault="00041BDA" w:rsidP="001D1CF9">
            <w:pPr>
              <w:pStyle w:val="BodyText"/>
            </w:pPr>
            <w:r>
              <w:rPr>
                <w:rFonts w:ascii="Segoe UI Symbol" w:hAnsi="Segoe UI Symbol" w:cs="Segoe UI Symbol"/>
              </w:rPr>
              <w:t>✓</w:t>
            </w:r>
          </w:p>
        </w:tc>
      </w:tr>
      <w:tr w:rsidR="00E90764" w:rsidRPr="00CF6322" w14:paraId="632E7992" w14:textId="77777777" w:rsidTr="005C3FDA">
        <w:trPr>
          <w:trHeight w:val="582"/>
        </w:trPr>
        <w:tc>
          <w:tcPr>
            <w:tcW w:w="8541" w:type="dxa"/>
            <w:shd w:val="clear" w:color="auto" w:fill="auto"/>
            <w:vAlign w:val="center"/>
          </w:tcPr>
          <w:p w14:paraId="632E798D" w14:textId="67ADD45C" w:rsidR="00E90764" w:rsidRPr="00CF6322" w:rsidRDefault="0099166C" w:rsidP="001D1CF9">
            <w:pPr>
              <w:pStyle w:val="BodyText"/>
            </w:pPr>
            <w:r w:rsidRPr="00CF6322">
              <w:t>Streamlining the Health Products Digital Pathways (the Health Products Portal) to reduce red tape for the</w:t>
            </w:r>
            <w:r w:rsidR="00F33F9D" w:rsidRPr="00CF6322">
              <w:t xml:space="preserve"> </w:t>
            </w:r>
            <w:r w:rsidRPr="00CF6322">
              <w:t>pharmaceutical industry, medical devices industry and medical services companies.</w:t>
            </w:r>
          </w:p>
        </w:tc>
        <w:tc>
          <w:tcPr>
            <w:tcW w:w="441" w:type="dxa"/>
            <w:shd w:val="clear" w:color="auto" w:fill="auto"/>
          </w:tcPr>
          <w:p w14:paraId="632E798E" w14:textId="7E2CDB54"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98F" w14:textId="51DE69C4"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990" w14:textId="0F964275"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991" w14:textId="5B6D1250" w:rsidR="00E90764" w:rsidRPr="00CF6322" w:rsidRDefault="00041BDA" w:rsidP="001D1CF9">
            <w:pPr>
              <w:pStyle w:val="BodyText"/>
            </w:pPr>
            <w:r>
              <w:rPr>
                <w:rFonts w:ascii="Segoe UI Symbol" w:hAnsi="Segoe UI Symbol" w:cs="Segoe UI Symbol"/>
              </w:rPr>
              <w:t>✓</w:t>
            </w:r>
          </w:p>
        </w:tc>
      </w:tr>
    </w:tbl>
    <w:p w14:paraId="632E7994" w14:textId="77777777" w:rsidR="00E90764" w:rsidRPr="00CF6322" w:rsidRDefault="00E90764" w:rsidP="001D1CF9">
      <w:pPr>
        <w:pStyle w:val="BodyText"/>
      </w:pPr>
    </w:p>
    <w:p w14:paraId="632E7995" w14:textId="77777777" w:rsidR="00E90764" w:rsidRPr="00CF6322" w:rsidRDefault="0099166C" w:rsidP="00902D05">
      <w:pPr>
        <w:pStyle w:val="Heading4"/>
      </w:pPr>
      <w:r w:rsidRPr="00CF6322">
        <w:lastRenderedPageBreak/>
        <w:t>Our Performance</w:t>
      </w:r>
    </w:p>
    <w:p w14:paraId="632E7997" w14:textId="3D8FF95F" w:rsidR="00E90764" w:rsidRPr="00CF6322" w:rsidRDefault="0099166C" w:rsidP="00902D05">
      <w:pPr>
        <w:pStyle w:val="Heading5"/>
      </w:pPr>
      <w:r w:rsidRPr="00CF6322">
        <w:t>Performance Measures for Medical Benefits – Program 2.</w:t>
      </w:r>
      <w:r w:rsidRPr="00902D05">
        <w:t>1</w:t>
      </w:r>
    </w:p>
    <w:tbl>
      <w:tblPr>
        <w:tblW w:w="102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0" w:type="dxa"/>
        </w:tblCellMar>
        <w:tblLook w:val="01E0" w:firstRow="1" w:lastRow="1" w:firstColumn="1" w:lastColumn="1" w:noHBand="0" w:noVBand="0"/>
      </w:tblPr>
      <w:tblGrid>
        <w:gridCol w:w="2577"/>
        <w:gridCol w:w="2577"/>
        <w:gridCol w:w="2577"/>
        <w:gridCol w:w="2552"/>
      </w:tblGrid>
      <w:tr w:rsidR="00E90764" w:rsidRPr="00902D05" w14:paraId="632E7999" w14:textId="77777777" w:rsidTr="00FA6C8A">
        <w:trPr>
          <w:trHeight w:val="465"/>
          <w:tblHeader/>
        </w:trPr>
        <w:tc>
          <w:tcPr>
            <w:tcW w:w="10283" w:type="dxa"/>
            <w:gridSpan w:val="4"/>
            <w:shd w:val="clear" w:color="auto" w:fill="auto"/>
          </w:tcPr>
          <w:p w14:paraId="632E7998" w14:textId="4D3DBAD8" w:rsidR="00E90764" w:rsidRPr="00902D05" w:rsidRDefault="0099166C" w:rsidP="001D1CF9">
            <w:pPr>
              <w:pStyle w:val="BodyText"/>
              <w:rPr>
                <w:rStyle w:val="Strong"/>
              </w:rPr>
            </w:pPr>
            <w:r w:rsidRPr="00902D05">
              <w:rPr>
                <w:rStyle w:val="Strong"/>
              </w:rPr>
              <w:t>Percentage of Australians accessing Medicare Benefits Schedule services.</w:t>
            </w:r>
            <w:r w:rsidR="00902D05">
              <w:rPr>
                <w:rStyle w:val="FootnoteReference"/>
                <w:b/>
                <w:bCs/>
              </w:rPr>
              <w:footnoteReference w:id="47"/>
            </w:r>
          </w:p>
        </w:tc>
      </w:tr>
      <w:tr w:rsidR="00E90764" w:rsidRPr="00902D05" w14:paraId="632E799E" w14:textId="77777777" w:rsidTr="005C3FDA">
        <w:trPr>
          <w:trHeight w:val="458"/>
        </w:trPr>
        <w:tc>
          <w:tcPr>
            <w:tcW w:w="2577" w:type="dxa"/>
            <w:shd w:val="clear" w:color="auto" w:fill="auto"/>
          </w:tcPr>
          <w:p w14:paraId="632E799A" w14:textId="77777777" w:rsidR="00E90764" w:rsidRPr="00902D05" w:rsidRDefault="0099166C" w:rsidP="001D1CF9">
            <w:pPr>
              <w:pStyle w:val="BodyText"/>
              <w:rPr>
                <w:rStyle w:val="Strong"/>
              </w:rPr>
            </w:pPr>
            <w:r w:rsidRPr="00902D05">
              <w:rPr>
                <w:rStyle w:val="Strong"/>
              </w:rPr>
              <w:t>2021–22 Target</w:t>
            </w:r>
          </w:p>
        </w:tc>
        <w:tc>
          <w:tcPr>
            <w:tcW w:w="2577" w:type="dxa"/>
            <w:shd w:val="clear" w:color="auto" w:fill="auto"/>
          </w:tcPr>
          <w:p w14:paraId="632E799B" w14:textId="77777777" w:rsidR="00E90764" w:rsidRPr="00902D05" w:rsidRDefault="0099166C" w:rsidP="001D1CF9">
            <w:pPr>
              <w:pStyle w:val="BodyText"/>
              <w:rPr>
                <w:rStyle w:val="Strong"/>
              </w:rPr>
            </w:pPr>
            <w:r w:rsidRPr="00902D05">
              <w:rPr>
                <w:rStyle w:val="Strong"/>
              </w:rPr>
              <w:t>2022–23 Target</w:t>
            </w:r>
          </w:p>
        </w:tc>
        <w:tc>
          <w:tcPr>
            <w:tcW w:w="2577" w:type="dxa"/>
            <w:shd w:val="clear" w:color="auto" w:fill="auto"/>
          </w:tcPr>
          <w:p w14:paraId="632E799C" w14:textId="77777777" w:rsidR="00E90764" w:rsidRPr="00902D05" w:rsidRDefault="0099166C" w:rsidP="001D1CF9">
            <w:pPr>
              <w:pStyle w:val="BodyText"/>
              <w:rPr>
                <w:rStyle w:val="Strong"/>
              </w:rPr>
            </w:pPr>
            <w:r w:rsidRPr="00902D05">
              <w:rPr>
                <w:rStyle w:val="Strong"/>
              </w:rPr>
              <w:t>2023–24 Target</w:t>
            </w:r>
          </w:p>
        </w:tc>
        <w:tc>
          <w:tcPr>
            <w:tcW w:w="2552" w:type="dxa"/>
            <w:shd w:val="clear" w:color="auto" w:fill="auto"/>
          </w:tcPr>
          <w:p w14:paraId="632E799D" w14:textId="77777777" w:rsidR="00E90764" w:rsidRPr="00902D05" w:rsidRDefault="0099166C" w:rsidP="001D1CF9">
            <w:pPr>
              <w:pStyle w:val="BodyText"/>
              <w:rPr>
                <w:rStyle w:val="Strong"/>
              </w:rPr>
            </w:pPr>
            <w:r w:rsidRPr="00902D05">
              <w:rPr>
                <w:rStyle w:val="Strong"/>
              </w:rPr>
              <w:t>2024–25 Target</w:t>
            </w:r>
          </w:p>
        </w:tc>
      </w:tr>
      <w:tr w:rsidR="00E90764" w:rsidRPr="00CF6322" w14:paraId="632E79A3" w14:textId="77777777" w:rsidTr="005C3FDA">
        <w:trPr>
          <w:trHeight w:val="465"/>
        </w:trPr>
        <w:tc>
          <w:tcPr>
            <w:tcW w:w="2577" w:type="dxa"/>
            <w:shd w:val="clear" w:color="auto" w:fill="auto"/>
          </w:tcPr>
          <w:p w14:paraId="632E799F" w14:textId="77777777" w:rsidR="00E90764" w:rsidRPr="00CF6322" w:rsidRDefault="0099166C" w:rsidP="001D1CF9">
            <w:pPr>
              <w:pStyle w:val="BodyText"/>
            </w:pPr>
            <w:r w:rsidRPr="00CF6322">
              <w:t>90%</w:t>
            </w:r>
          </w:p>
        </w:tc>
        <w:tc>
          <w:tcPr>
            <w:tcW w:w="2577" w:type="dxa"/>
            <w:shd w:val="clear" w:color="auto" w:fill="auto"/>
          </w:tcPr>
          <w:p w14:paraId="632E79A0" w14:textId="77777777" w:rsidR="00E90764" w:rsidRPr="00CF6322" w:rsidRDefault="0099166C" w:rsidP="001D1CF9">
            <w:pPr>
              <w:pStyle w:val="BodyText"/>
            </w:pPr>
            <w:r w:rsidRPr="00CF6322">
              <w:t>90%</w:t>
            </w:r>
          </w:p>
        </w:tc>
        <w:tc>
          <w:tcPr>
            <w:tcW w:w="2577" w:type="dxa"/>
            <w:shd w:val="clear" w:color="auto" w:fill="auto"/>
          </w:tcPr>
          <w:p w14:paraId="632E79A1" w14:textId="77777777" w:rsidR="00E90764" w:rsidRPr="00CF6322" w:rsidRDefault="0099166C" w:rsidP="001D1CF9">
            <w:pPr>
              <w:pStyle w:val="BodyText"/>
            </w:pPr>
            <w:r w:rsidRPr="00CF6322">
              <w:t>&gt;90%</w:t>
            </w:r>
          </w:p>
        </w:tc>
        <w:tc>
          <w:tcPr>
            <w:tcW w:w="2552" w:type="dxa"/>
            <w:shd w:val="clear" w:color="auto" w:fill="auto"/>
          </w:tcPr>
          <w:p w14:paraId="632E79A2" w14:textId="77777777" w:rsidR="00E90764" w:rsidRPr="00CF6322" w:rsidRDefault="0099166C" w:rsidP="001D1CF9">
            <w:pPr>
              <w:pStyle w:val="BodyText"/>
            </w:pPr>
            <w:r w:rsidRPr="00CF6322">
              <w:t>&gt;90%</w:t>
            </w:r>
          </w:p>
        </w:tc>
      </w:tr>
      <w:tr w:rsidR="00E90764" w:rsidRPr="00CF6322" w14:paraId="632E79AD" w14:textId="77777777" w:rsidTr="005C3FDA">
        <w:trPr>
          <w:trHeight w:val="3509"/>
        </w:trPr>
        <w:tc>
          <w:tcPr>
            <w:tcW w:w="10283" w:type="dxa"/>
            <w:gridSpan w:val="4"/>
            <w:shd w:val="clear" w:color="auto" w:fill="auto"/>
          </w:tcPr>
          <w:p w14:paraId="632E79A4" w14:textId="77777777" w:rsidR="00E90764" w:rsidRPr="00CF6322" w:rsidRDefault="0099166C" w:rsidP="001D1CF9">
            <w:pPr>
              <w:pStyle w:val="Heading6"/>
            </w:pPr>
            <w:r w:rsidRPr="00CF6322">
              <w:t>Data source and methodolo</w:t>
            </w:r>
            <w:r w:rsidRPr="00902D05">
              <w:t>g</w:t>
            </w:r>
            <w:r w:rsidRPr="00CF6322">
              <w:t>y</w:t>
            </w:r>
          </w:p>
          <w:p w14:paraId="632E79A5" w14:textId="237B3ACF" w:rsidR="00E90764" w:rsidRPr="00CF6322" w:rsidRDefault="0099166C" w:rsidP="001D1CF9">
            <w:pPr>
              <w:pStyle w:val="BodyText"/>
            </w:pPr>
            <w:r w:rsidRPr="00CF6322">
              <w:t>Medicare statistics recorded on a rolling 12 month time series. This is published on the Department of Health’s website</w:t>
            </w:r>
            <w:r w:rsidR="00902D05">
              <w:rPr>
                <w:rStyle w:val="FootnoteReference"/>
              </w:rPr>
              <w:footnoteReference w:id="48"/>
            </w:r>
            <w:r w:rsidRPr="00CF6322">
              <w:t>.</w:t>
            </w:r>
          </w:p>
          <w:p w14:paraId="632E79A7" w14:textId="77777777" w:rsidR="00E90764" w:rsidRPr="00902D05" w:rsidRDefault="0099166C" w:rsidP="001D1CF9">
            <w:pPr>
              <w:pStyle w:val="Heading6"/>
            </w:pPr>
            <w:r w:rsidRPr="00CF6322">
              <w:t>Measure type</w:t>
            </w:r>
          </w:p>
          <w:p w14:paraId="632E79A8" w14:textId="77777777" w:rsidR="00E90764" w:rsidRPr="00CF6322" w:rsidRDefault="0099166C" w:rsidP="001D1CF9">
            <w:pPr>
              <w:pStyle w:val="BodyText"/>
            </w:pPr>
            <w:r w:rsidRPr="00CF6322">
              <w:t>Quantitative/Effectiveness</w:t>
            </w:r>
          </w:p>
          <w:p w14:paraId="632E79AA" w14:textId="77777777" w:rsidR="00E90764" w:rsidRPr="00902D05" w:rsidRDefault="0099166C" w:rsidP="001D1CF9">
            <w:pPr>
              <w:pStyle w:val="Heading6"/>
            </w:pPr>
            <w:r w:rsidRPr="00CF6322">
              <w:t>Discussion</w:t>
            </w:r>
          </w:p>
          <w:p w14:paraId="632E79AB" w14:textId="77777777" w:rsidR="00E90764" w:rsidRPr="00CF6322" w:rsidRDefault="0099166C" w:rsidP="001D1CF9">
            <w:pPr>
              <w:pStyle w:val="BodyText"/>
            </w:pPr>
            <w:r w:rsidRPr="00CF6322">
              <w:t>The proportion of Australians who access MBS services demonstrates its accessibility to the Australian population.</w:t>
            </w:r>
          </w:p>
          <w:p w14:paraId="632E79AC" w14:textId="12B8BB45" w:rsidR="00E90764" w:rsidRPr="00CF6322" w:rsidRDefault="0099166C" w:rsidP="001D1CF9">
            <w:pPr>
              <w:pStyle w:val="BodyText"/>
            </w:pPr>
            <w:r w:rsidRPr="00CF6322">
              <w:t>The target is set taking into account those Australians who do not access the MBS for various reasons, including people</w:t>
            </w:r>
            <w:r w:rsidR="00F33F9D" w:rsidRPr="00CF6322">
              <w:t xml:space="preserve"> </w:t>
            </w:r>
            <w:r w:rsidRPr="00CF6322">
              <w:t>in remote locations, those who cannot physically or financially access services, and people who obtain health services through non-MBS mechanisms. Any significant deviation from the target within a 12 month period would generate concern and be investigated.</w:t>
            </w:r>
          </w:p>
        </w:tc>
      </w:tr>
    </w:tbl>
    <w:p w14:paraId="632E79AE" w14:textId="77777777" w:rsidR="00E90764" w:rsidRPr="00CF6322" w:rsidRDefault="00E90764" w:rsidP="001D1CF9">
      <w:pPr>
        <w:pStyle w:val="BodyText"/>
      </w:pPr>
    </w:p>
    <w:tbl>
      <w:tblPr>
        <w:tblW w:w="102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0" w:type="dxa"/>
        </w:tblCellMar>
        <w:tblLook w:val="01E0" w:firstRow="1" w:lastRow="1" w:firstColumn="1" w:lastColumn="1" w:noHBand="0" w:noVBand="0"/>
      </w:tblPr>
      <w:tblGrid>
        <w:gridCol w:w="2577"/>
        <w:gridCol w:w="2577"/>
        <w:gridCol w:w="2577"/>
        <w:gridCol w:w="2552"/>
      </w:tblGrid>
      <w:tr w:rsidR="00E90764" w:rsidRPr="00902D05" w14:paraId="632E79B0" w14:textId="77777777" w:rsidTr="005C3FDA">
        <w:trPr>
          <w:trHeight w:val="715"/>
        </w:trPr>
        <w:tc>
          <w:tcPr>
            <w:tcW w:w="10283" w:type="dxa"/>
            <w:gridSpan w:val="4"/>
            <w:shd w:val="clear" w:color="auto" w:fill="auto"/>
          </w:tcPr>
          <w:p w14:paraId="632E79AF" w14:textId="18AC8AE6" w:rsidR="00E90764" w:rsidRPr="00902D05" w:rsidRDefault="0099166C" w:rsidP="001D1CF9">
            <w:pPr>
              <w:pStyle w:val="BodyText"/>
              <w:rPr>
                <w:rStyle w:val="Strong"/>
              </w:rPr>
            </w:pPr>
            <w:r w:rsidRPr="00902D05">
              <w:rPr>
                <w:rStyle w:val="Strong"/>
              </w:rPr>
              <w:t>Percentage of Government agreed Medicare Benefits Schedule Taskforce recommendations that have</w:t>
            </w:r>
            <w:r w:rsidR="00F33F9D" w:rsidRPr="00902D05">
              <w:rPr>
                <w:rStyle w:val="Strong"/>
              </w:rPr>
              <w:t xml:space="preserve"> </w:t>
            </w:r>
            <w:r w:rsidRPr="00902D05">
              <w:rPr>
                <w:rStyle w:val="Strong"/>
              </w:rPr>
              <w:t>been implemented.</w:t>
            </w:r>
            <w:r w:rsidR="00902D05">
              <w:rPr>
                <w:rStyle w:val="FootnoteReference"/>
                <w:b/>
                <w:bCs/>
              </w:rPr>
              <w:footnoteReference w:id="49"/>
            </w:r>
          </w:p>
        </w:tc>
      </w:tr>
      <w:tr w:rsidR="00E90764" w:rsidRPr="00902D05" w14:paraId="632E79B5" w14:textId="77777777" w:rsidTr="005C3FDA">
        <w:trPr>
          <w:trHeight w:val="458"/>
        </w:trPr>
        <w:tc>
          <w:tcPr>
            <w:tcW w:w="2577" w:type="dxa"/>
            <w:shd w:val="clear" w:color="auto" w:fill="auto"/>
          </w:tcPr>
          <w:p w14:paraId="632E79B1" w14:textId="77777777" w:rsidR="00E90764" w:rsidRPr="00902D05" w:rsidRDefault="0099166C" w:rsidP="001D1CF9">
            <w:pPr>
              <w:pStyle w:val="BodyText"/>
              <w:rPr>
                <w:rStyle w:val="Strong"/>
              </w:rPr>
            </w:pPr>
            <w:r w:rsidRPr="00902D05">
              <w:rPr>
                <w:rStyle w:val="Strong"/>
              </w:rPr>
              <w:t>2021–22 Target</w:t>
            </w:r>
          </w:p>
        </w:tc>
        <w:tc>
          <w:tcPr>
            <w:tcW w:w="2577" w:type="dxa"/>
            <w:shd w:val="clear" w:color="auto" w:fill="auto"/>
          </w:tcPr>
          <w:p w14:paraId="632E79B2" w14:textId="77777777" w:rsidR="00E90764" w:rsidRPr="00902D05" w:rsidRDefault="0099166C" w:rsidP="001D1CF9">
            <w:pPr>
              <w:pStyle w:val="BodyText"/>
              <w:rPr>
                <w:rStyle w:val="Strong"/>
              </w:rPr>
            </w:pPr>
            <w:r w:rsidRPr="00902D05">
              <w:rPr>
                <w:rStyle w:val="Strong"/>
              </w:rPr>
              <w:t>2022–23 Target</w:t>
            </w:r>
          </w:p>
        </w:tc>
        <w:tc>
          <w:tcPr>
            <w:tcW w:w="2577" w:type="dxa"/>
            <w:shd w:val="clear" w:color="auto" w:fill="auto"/>
          </w:tcPr>
          <w:p w14:paraId="632E79B3" w14:textId="77777777" w:rsidR="00E90764" w:rsidRPr="00902D05" w:rsidRDefault="0099166C" w:rsidP="001D1CF9">
            <w:pPr>
              <w:pStyle w:val="BodyText"/>
              <w:rPr>
                <w:rStyle w:val="Strong"/>
              </w:rPr>
            </w:pPr>
            <w:r w:rsidRPr="00902D05">
              <w:rPr>
                <w:rStyle w:val="Strong"/>
              </w:rPr>
              <w:t>2023–24 Target</w:t>
            </w:r>
          </w:p>
        </w:tc>
        <w:tc>
          <w:tcPr>
            <w:tcW w:w="2552" w:type="dxa"/>
            <w:shd w:val="clear" w:color="auto" w:fill="auto"/>
          </w:tcPr>
          <w:p w14:paraId="632E79B4" w14:textId="77777777" w:rsidR="00E90764" w:rsidRPr="00902D05" w:rsidRDefault="0099166C" w:rsidP="001D1CF9">
            <w:pPr>
              <w:pStyle w:val="BodyText"/>
              <w:rPr>
                <w:rStyle w:val="Strong"/>
              </w:rPr>
            </w:pPr>
            <w:r w:rsidRPr="00902D05">
              <w:rPr>
                <w:rStyle w:val="Strong"/>
              </w:rPr>
              <w:t>2024–25 Target</w:t>
            </w:r>
          </w:p>
        </w:tc>
      </w:tr>
      <w:tr w:rsidR="00E90764" w:rsidRPr="00CF6322" w14:paraId="632E79BA" w14:textId="77777777" w:rsidTr="005C3FDA">
        <w:trPr>
          <w:trHeight w:val="465"/>
        </w:trPr>
        <w:tc>
          <w:tcPr>
            <w:tcW w:w="2577" w:type="dxa"/>
            <w:shd w:val="clear" w:color="auto" w:fill="auto"/>
          </w:tcPr>
          <w:p w14:paraId="632E79B6" w14:textId="77777777" w:rsidR="00E90764" w:rsidRPr="00CF6322" w:rsidRDefault="0099166C" w:rsidP="001D1CF9">
            <w:pPr>
              <w:pStyle w:val="BodyText"/>
            </w:pPr>
            <w:r w:rsidRPr="00CF6322">
              <w:t>80%</w:t>
            </w:r>
          </w:p>
        </w:tc>
        <w:tc>
          <w:tcPr>
            <w:tcW w:w="2577" w:type="dxa"/>
            <w:shd w:val="clear" w:color="auto" w:fill="auto"/>
          </w:tcPr>
          <w:p w14:paraId="632E79B7" w14:textId="77777777" w:rsidR="00E90764" w:rsidRPr="00CF6322" w:rsidRDefault="0099166C" w:rsidP="001D1CF9">
            <w:pPr>
              <w:pStyle w:val="BodyText"/>
            </w:pPr>
            <w:r w:rsidRPr="00CF6322">
              <w:t>90%</w:t>
            </w:r>
          </w:p>
        </w:tc>
        <w:tc>
          <w:tcPr>
            <w:tcW w:w="2577" w:type="dxa"/>
            <w:shd w:val="clear" w:color="auto" w:fill="auto"/>
          </w:tcPr>
          <w:p w14:paraId="632E79B8" w14:textId="77777777" w:rsidR="00E90764" w:rsidRPr="00CF6322" w:rsidRDefault="0099166C" w:rsidP="001D1CF9">
            <w:pPr>
              <w:pStyle w:val="BodyText"/>
            </w:pPr>
            <w:r w:rsidRPr="00CF6322">
              <w:t>95%</w:t>
            </w:r>
          </w:p>
        </w:tc>
        <w:tc>
          <w:tcPr>
            <w:tcW w:w="2552" w:type="dxa"/>
            <w:shd w:val="clear" w:color="auto" w:fill="auto"/>
          </w:tcPr>
          <w:p w14:paraId="632E79B9" w14:textId="77777777" w:rsidR="00E90764" w:rsidRPr="00CF6322" w:rsidRDefault="0099166C" w:rsidP="001D1CF9">
            <w:pPr>
              <w:pStyle w:val="BodyText"/>
            </w:pPr>
            <w:r w:rsidRPr="00CF6322">
              <w:t>100%</w:t>
            </w:r>
          </w:p>
        </w:tc>
      </w:tr>
      <w:tr w:rsidR="00E90764" w:rsidRPr="00CF6322" w14:paraId="632E79C3" w14:textId="77777777" w:rsidTr="005C3FDA">
        <w:trPr>
          <w:trHeight w:val="3839"/>
        </w:trPr>
        <w:tc>
          <w:tcPr>
            <w:tcW w:w="10283" w:type="dxa"/>
            <w:gridSpan w:val="4"/>
            <w:shd w:val="clear" w:color="auto" w:fill="auto"/>
          </w:tcPr>
          <w:p w14:paraId="632E79BB" w14:textId="77777777" w:rsidR="00E90764" w:rsidRPr="00CF6322" w:rsidRDefault="0099166C" w:rsidP="001D1CF9">
            <w:pPr>
              <w:pStyle w:val="Heading6"/>
            </w:pPr>
            <w:r w:rsidRPr="00CF6322">
              <w:t xml:space="preserve">Data source and </w:t>
            </w:r>
            <w:r w:rsidRPr="00902D05">
              <w:t>methodology</w:t>
            </w:r>
          </w:p>
          <w:p w14:paraId="632E79BC" w14:textId="6D40C64F" w:rsidR="00E90764" w:rsidRPr="00CF6322" w:rsidRDefault="0099166C" w:rsidP="001D1CF9">
            <w:pPr>
              <w:pStyle w:val="BodyText"/>
            </w:pPr>
            <w:r w:rsidRPr="00CF6322">
              <w:t>The MBS Review Taskforce delivered over 60 reports to the Government, including a Final Report. Almost 1,400 recommendations were made, of which 811 have been accepted by Government. Copies of these reports are available on the Department’s website</w:t>
            </w:r>
            <w:r w:rsidR="00902D05">
              <w:rPr>
                <w:rStyle w:val="FootnoteReference"/>
              </w:rPr>
              <w:footnoteReference w:id="50"/>
            </w:r>
            <w:r w:rsidRPr="00CF6322">
              <w:t>. Implementation of the agreed recommendations is tracked by the Department and data is maintained internally.</w:t>
            </w:r>
          </w:p>
          <w:p w14:paraId="632E79BE" w14:textId="77777777" w:rsidR="00E90764" w:rsidRPr="00902D05" w:rsidRDefault="0099166C" w:rsidP="001D1CF9">
            <w:pPr>
              <w:pStyle w:val="Heading6"/>
            </w:pPr>
            <w:r w:rsidRPr="00CF6322">
              <w:t>Measure type</w:t>
            </w:r>
          </w:p>
          <w:p w14:paraId="632E79BF" w14:textId="77777777" w:rsidR="00E90764" w:rsidRPr="00CF6322" w:rsidRDefault="0099166C" w:rsidP="001D1CF9">
            <w:pPr>
              <w:pStyle w:val="BodyText"/>
            </w:pPr>
            <w:r w:rsidRPr="00CF6322">
              <w:t>Quantitative/Output</w:t>
            </w:r>
          </w:p>
          <w:p w14:paraId="632E79C1" w14:textId="77777777" w:rsidR="00E90764" w:rsidRPr="00902D05" w:rsidRDefault="0099166C" w:rsidP="001D1CF9">
            <w:pPr>
              <w:pStyle w:val="Heading6"/>
            </w:pPr>
            <w:r w:rsidRPr="00CF6322">
              <w:t>Discussion</w:t>
            </w:r>
          </w:p>
          <w:p w14:paraId="632E79C2" w14:textId="77777777" w:rsidR="00E90764" w:rsidRPr="00CF6322" w:rsidRDefault="0099166C" w:rsidP="001D1CF9">
            <w:pPr>
              <w:pStyle w:val="BodyText"/>
            </w:pPr>
            <w:r w:rsidRPr="00CF6322">
              <w:t>This measure shifts from a focus on the status of clinical committee reviews of MBS items in 2020–21 to the status of the implementation of Government agreed Taskforce recommendations. The implementation of these independently identified improvements to MBS services will ensure the MBS reflects contemporary medical practices and maintains patient safety.</w:t>
            </w:r>
          </w:p>
        </w:tc>
      </w:tr>
    </w:tbl>
    <w:p w14:paraId="6A725629" w14:textId="77777777" w:rsidR="009C48F9" w:rsidRDefault="009C48F9" w:rsidP="009C48F9"/>
    <w:p w14:paraId="6EDDB23A" w14:textId="77777777" w:rsidR="009C48F9" w:rsidRDefault="009C48F9" w:rsidP="009C48F9">
      <w:r>
        <w:br w:type="page"/>
      </w:r>
    </w:p>
    <w:p w14:paraId="632E79CB" w14:textId="3F605D07" w:rsidR="00E90764" w:rsidRPr="00681068" w:rsidRDefault="00681068" w:rsidP="009C48F9">
      <w:pPr>
        <w:pStyle w:val="Heading3"/>
      </w:pPr>
      <w:r w:rsidRPr="00681068">
        <w:lastRenderedPageBreak/>
        <w:t xml:space="preserve">2.2 </w:t>
      </w:r>
      <w:r w:rsidR="005C3FDA">
        <w:t>–</w:t>
      </w:r>
      <w:r w:rsidRPr="00681068">
        <w:t xml:space="preserve"> Hearing </w:t>
      </w:r>
      <w:r w:rsidRPr="009C48F9">
        <w:rPr>
          <w:rStyle w:val="Teal-OCColours"/>
          <w:color w:val="auto"/>
        </w:rPr>
        <w:t>Services</w:t>
      </w:r>
      <w:r w:rsidRPr="00681068">
        <w:t xml:space="preserve"> </w:t>
      </w:r>
    </w:p>
    <w:p w14:paraId="632E79CD" w14:textId="77777777" w:rsidR="00E90764" w:rsidRPr="00CF6322" w:rsidRDefault="0099166C" w:rsidP="00681068">
      <w:pPr>
        <w:pStyle w:val="Heading4"/>
      </w:pPr>
      <w:r w:rsidRPr="00CF6322">
        <w:t xml:space="preserve">Program </w:t>
      </w:r>
      <w:r w:rsidRPr="00681068">
        <w:t>Objective</w:t>
      </w:r>
    </w:p>
    <w:p w14:paraId="1C892379" w14:textId="77777777" w:rsidR="00681068" w:rsidRDefault="00681068" w:rsidP="001D1CF9">
      <w:pPr>
        <w:pStyle w:val="BodyText"/>
        <w:rPr>
          <w:color w:val="000000"/>
        </w:rPr>
      </w:pPr>
      <w:r>
        <w:t>Provide hearing services, including devices, to eligible people to help manage their hearing loss and improve</w:t>
      </w:r>
      <w:r>
        <w:rPr>
          <w:spacing w:val="1"/>
        </w:rPr>
        <w:t xml:space="preserve"> </w:t>
      </w:r>
      <w:r>
        <w:t>engagement with the community. Continue support for hearing research, with a focus on ways to reduce the</w:t>
      </w:r>
      <w:r>
        <w:rPr>
          <w:spacing w:val="1"/>
        </w:rPr>
        <w:t xml:space="preserve"> </w:t>
      </w:r>
      <w:r>
        <w:t>impact of</w:t>
      </w:r>
      <w:r>
        <w:rPr>
          <w:spacing w:val="1"/>
        </w:rPr>
        <w:t xml:space="preserve"> </w:t>
      </w:r>
      <w:r>
        <w:t>hearing</w:t>
      </w:r>
      <w:r>
        <w:rPr>
          <w:spacing w:val="1"/>
        </w:rPr>
        <w:t xml:space="preserve"> </w:t>
      </w:r>
      <w:r>
        <w:t>loss</w:t>
      </w:r>
      <w:r>
        <w:rPr>
          <w:spacing w:val="1"/>
        </w:rPr>
        <w:t xml:space="preserve"> </w:t>
      </w:r>
      <w:r>
        <w:t>and</w:t>
      </w:r>
      <w:r>
        <w:rPr>
          <w:spacing w:val="1"/>
        </w:rPr>
        <w:t xml:space="preserve"> </w:t>
      </w:r>
      <w:r>
        <w:t>the incidence</w:t>
      </w:r>
      <w:r>
        <w:rPr>
          <w:spacing w:val="1"/>
        </w:rPr>
        <w:t xml:space="preserve"> </w:t>
      </w:r>
      <w:r>
        <w:t>and</w:t>
      </w:r>
      <w:r>
        <w:rPr>
          <w:spacing w:val="1"/>
        </w:rPr>
        <w:t xml:space="preserve"> </w:t>
      </w:r>
      <w:r>
        <w:t>consequence</w:t>
      </w:r>
      <w:r>
        <w:rPr>
          <w:spacing w:val="1"/>
        </w:rPr>
        <w:t xml:space="preserve"> </w:t>
      </w:r>
      <w:r>
        <w:t>of</w:t>
      </w:r>
      <w:r>
        <w:rPr>
          <w:spacing w:val="1"/>
        </w:rPr>
        <w:t xml:space="preserve"> </w:t>
      </w:r>
      <w:r>
        <w:t>avoidable</w:t>
      </w:r>
      <w:r>
        <w:rPr>
          <w:spacing w:val="2"/>
        </w:rPr>
        <w:t xml:space="preserve"> </w:t>
      </w:r>
      <w:r>
        <w:t>hearing</w:t>
      </w:r>
      <w:r>
        <w:rPr>
          <w:spacing w:val="1"/>
        </w:rPr>
        <w:t xml:space="preserve"> </w:t>
      </w:r>
      <w:r>
        <w:t>loss.</w:t>
      </w:r>
    </w:p>
    <w:p w14:paraId="632E79D1" w14:textId="77777777" w:rsidR="00E90764" w:rsidRPr="00CF6322" w:rsidRDefault="0099166C" w:rsidP="00681068">
      <w:pPr>
        <w:pStyle w:val="Heading4"/>
      </w:pPr>
      <w:r w:rsidRPr="00CF6322">
        <w:t xml:space="preserve">Our </w:t>
      </w:r>
      <w:r w:rsidRPr="00681068">
        <w:t>Operating</w:t>
      </w:r>
      <w:r w:rsidRPr="00CF6322">
        <w:t xml:space="preserve"> Focus</w:t>
      </w:r>
    </w:p>
    <w:p w14:paraId="632E79D2" w14:textId="4EB6F5DF" w:rsidR="00E90764" w:rsidRPr="00CF6322" w:rsidRDefault="0099166C" w:rsidP="001D1CF9">
      <w:pPr>
        <w:pStyle w:val="BodyText"/>
      </w:pPr>
      <w:r w:rsidRPr="00CF6322">
        <w:t>We are committed to reducing the impact of hearing loss on the lives of Australians and reducing the incidence and consequence of avoidable hearing loss in the Australian community. Through the Hearing Services Program (HSP), we provide access to high quality hearing services and devices. We work with a wide range of stakeholders including consumer and community groups, suppliers and providers, manufacturers, and researchers.</w:t>
      </w:r>
    </w:p>
    <w:p w14:paraId="632E79D3" w14:textId="77777777" w:rsidR="00E90764" w:rsidRPr="00CF6322" w:rsidRDefault="0099166C" w:rsidP="001D1CF9">
      <w:pPr>
        <w:pStyle w:val="BodyText"/>
      </w:pPr>
      <w:r w:rsidRPr="00CF6322">
        <w:t>To ensure the HSP is meeting the needs of vulnerable Australians with hearing loss, an expert panel has conducted a review of the program. Public consultation has taken place on the draft report and the final report will be considered by the Australian Government before the end of 2021. The report will form a significant part of our work over the next few years.</w:t>
      </w:r>
    </w:p>
    <w:p w14:paraId="632E79D5" w14:textId="7B27118A" w:rsidR="00E90764" w:rsidRPr="00CF6322" w:rsidRDefault="0099166C" w:rsidP="001D1CF9">
      <w:pPr>
        <w:pStyle w:val="BodyText"/>
      </w:pPr>
      <w:r w:rsidRPr="00CF6322">
        <w:t>Over the next 5 years, we will continue to administer the HSP. We will also be focusing on implementing initiatives from the Roadmap for Hearing Health. The Roadmap was developed to improve hearing health through a more collaborative and cohesive approach involving governments and stakeholders.</w:t>
      </w:r>
      <w:r w:rsidR="00681068">
        <w:t xml:space="preserve"> </w:t>
      </w:r>
      <w:r w:rsidRPr="00CF6322">
        <w:t>Key initiatives include:</w:t>
      </w:r>
    </w:p>
    <w:p w14:paraId="632E79D6" w14:textId="3962C780" w:rsidR="00E90764" w:rsidRPr="00681068" w:rsidRDefault="0099166C" w:rsidP="00681068">
      <w:pPr>
        <w:pStyle w:val="Bullets"/>
      </w:pPr>
      <w:r w:rsidRPr="00CF6322">
        <w:t xml:space="preserve">Supporting research to develop the </w:t>
      </w:r>
      <w:r w:rsidRPr="00681068">
        <w:t>evidence base for</w:t>
      </w:r>
      <w:r w:rsidR="00681068">
        <w:t xml:space="preserve"> </w:t>
      </w:r>
      <w:r w:rsidRPr="00681068">
        <w:t>effective treatment and prevention of hearing loss.</w:t>
      </w:r>
    </w:p>
    <w:p w14:paraId="632E79D7" w14:textId="2CC4B280" w:rsidR="00E90764" w:rsidRPr="00681068" w:rsidRDefault="0099166C" w:rsidP="00681068">
      <w:pPr>
        <w:pStyle w:val="Bullets"/>
      </w:pPr>
      <w:r w:rsidRPr="00681068">
        <w:t>Conducting a national hearing health awareness and</w:t>
      </w:r>
      <w:r w:rsidR="00681068">
        <w:t xml:space="preserve"> </w:t>
      </w:r>
      <w:r w:rsidRPr="00681068">
        <w:t>prevention campaign.</w:t>
      </w:r>
    </w:p>
    <w:p w14:paraId="632E79D8" w14:textId="621A0D09" w:rsidR="00E90764" w:rsidRPr="00681068" w:rsidRDefault="0099166C" w:rsidP="00681068">
      <w:pPr>
        <w:pStyle w:val="Bullets"/>
      </w:pPr>
      <w:r w:rsidRPr="00681068">
        <w:t>Supporting improvement in and early identification of hearing and speech difficulties for Aboriginal and Torres</w:t>
      </w:r>
      <w:r w:rsidR="00F33F9D" w:rsidRPr="00681068">
        <w:t xml:space="preserve"> </w:t>
      </w:r>
      <w:r w:rsidRPr="00681068">
        <w:t>Strait Islander children.</w:t>
      </w:r>
    </w:p>
    <w:p w14:paraId="632E79D9" w14:textId="1C72FCBF" w:rsidR="00E90764" w:rsidRPr="00681068" w:rsidRDefault="0099166C" w:rsidP="00681068">
      <w:pPr>
        <w:pStyle w:val="Bullets"/>
      </w:pPr>
      <w:r w:rsidRPr="00681068">
        <w:t>Administering initiatives in the aged care sector to improve the capability of the aged care workforce to support people with hearing loss.</w:t>
      </w:r>
    </w:p>
    <w:p w14:paraId="632E79DA" w14:textId="77777777" w:rsidR="00E90764" w:rsidRPr="00681068" w:rsidRDefault="0099166C" w:rsidP="00681068">
      <w:pPr>
        <w:pStyle w:val="Bullets"/>
      </w:pPr>
      <w:r w:rsidRPr="00681068">
        <w:t xml:space="preserve">Development of </w:t>
      </w:r>
      <w:proofErr w:type="spellStart"/>
      <w:r w:rsidRPr="00681068">
        <w:t>teleaudiology</w:t>
      </w:r>
      <w:proofErr w:type="spellEnd"/>
      <w:r w:rsidRPr="00681068">
        <w:t xml:space="preserve"> standards.</w:t>
      </w:r>
    </w:p>
    <w:p w14:paraId="632E79DB" w14:textId="77777777" w:rsidR="00E90764" w:rsidRPr="00681068" w:rsidRDefault="0099166C" w:rsidP="00681068">
      <w:pPr>
        <w:pStyle w:val="Bullets"/>
      </w:pPr>
      <w:r w:rsidRPr="00681068">
        <w:t xml:space="preserve">Development of </w:t>
      </w:r>
      <w:proofErr w:type="spellStart"/>
      <w:r w:rsidRPr="00681068">
        <w:t>paediatric</w:t>
      </w:r>
      <w:proofErr w:type="spellEnd"/>
      <w:r w:rsidRPr="00681068">
        <w:t xml:space="preserve"> standards.</w:t>
      </w:r>
    </w:p>
    <w:p w14:paraId="632E79DC" w14:textId="77777777" w:rsidR="00E90764" w:rsidRPr="00681068" w:rsidRDefault="0099166C" w:rsidP="00681068">
      <w:pPr>
        <w:pStyle w:val="Bullets"/>
      </w:pPr>
      <w:r w:rsidRPr="00681068">
        <w:t>Conducting a rural workforce audit.</w:t>
      </w:r>
    </w:p>
    <w:p w14:paraId="632E79DF" w14:textId="55BBC97F" w:rsidR="00E90764" w:rsidRPr="00CF6322" w:rsidRDefault="0099166C" w:rsidP="004B0B3C">
      <w:pPr>
        <w:pStyle w:val="Bullets"/>
      </w:pPr>
      <w:r w:rsidRPr="00681068">
        <w:t xml:space="preserve">Funding for the Longitudinal Outcomes of Children </w:t>
      </w:r>
      <w:r w:rsidRPr="00CF6322">
        <w:t>with</w:t>
      </w:r>
      <w:r w:rsidR="00F33F9D" w:rsidRPr="00CF6322">
        <w:t xml:space="preserve"> </w:t>
      </w:r>
      <w:r w:rsidRPr="00CF6322">
        <w:t>Hearing Impairment – (draft recommendation of the HSP Review).</w:t>
      </w: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0" w:type="dxa"/>
        </w:tblCellMar>
        <w:tblLook w:val="01E0" w:firstRow="1" w:lastRow="1" w:firstColumn="1" w:lastColumn="1" w:noHBand="0" w:noVBand="0"/>
      </w:tblPr>
      <w:tblGrid>
        <w:gridCol w:w="8541"/>
        <w:gridCol w:w="441"/>
        <w:gridCol w:w="441"/>
        <w:gridCol w:w="439"/>
        <w:gridCol w:w="457"/>
      </w:tblGrid>
      <w:tr w:rsidR="00E90764" w:rsidRPr="00621452" w14:paraId="632E79E6" w14:textId="77777777" w:rsidTr="00FA6C8A">
        <w:trPr>
          <w:trHeight w:val="1290"/>
          <w:tblHeader/>
        </w:trPr>
        <w:tc>
          <w:tcPr>
            <w:tcW w:w="8541" w:type="dxa"/>
            <w:shd w:val="clear" w:color="auto" w:fill="auto"/>
          </w:tcPr>
          <w:p w14:paraId="632E79E1" w14:textId="77777777" w:rsidR="00E90764" w:rsidRPr="00621452" w:rsidRDefault="0099166C" w:rsidP="001D1CF9">
            <w:pPr>
              <w:pStyle w:val="BodyText"/>
              <w:rPr>
                <w:rStyle w:val="Strong"/>
              </w:rPr>
            </w:pPr>
            <w:r w:rsidRPr="00621452">
              <w:rPr>
                <w:rStyle w:val="Strong"/>
              </w:rPr>
              <w:t>Key Activities</w:t>
            </w:r>
          </w:p>
        </w:tc>
        <w:tc>
          <w:tcPr>
            <w:tcW w:w="441" w:type="dxa"/>
            <w:shd w:val="clear" w:color="auto" w:fill="auto"/>
            <w:textDirection w:val="tbRl"/>
            <w:vAlign w:val="center"/>
          </w:tcPr>
          <w:p w14:paraId="632E79E2" w14:textId="77777777" w:rsidR="00E90764" w:rsidRPr="00621452" w:rsidRDefault="0099166C" w:rsidP="001D1CF9">
            <w:pPr>
              <w:pStyle w:val="BodyText"/>
              <w:rPr>
                <w:rStyle w:val="Strong"/>
              </w:rPr>
            </w:pPr>
            <w:r w:rsidRPr="00621452">
              <w:rPr>
                <w:rStyle w:val="Strong"/>
              </w:rPr>
              <w:t>2021–22</w:t>
            </w:r>
          </w:p>
        </w:tc>
        <w:tc>
          <w:tcPr>
            <w:tcW w:w="441" w:type="dxa"/>
            <w:shd w:val="clear" w:color="auto" w:fill="auto"/>
            <w:textDirection w:val="tbRl"/>
            <w:vAlign w:val="center"/>
          </w:tcPr>
          <w:p w14:paraId="632E79E3" w14:textId="77777777" w:rsidR="00E90764" w:rsidRPr="00621452" w:rsidRDefault="0099166C" w:rsidP="001D1CF9">
            <w:pPr>
              <w:pStyle w:val="BodyText"/>
              <w:rPr>
                <w:rStyle w:val="Strong"/>
              </w:rPr>
            </w:pPr>
            <w:r w:rsidRPr="00621452">
              <w:rPr>
                <w:rStyle w:val="Strong"/>
              </w:rPr>
              <w:t>2022–23</w:t>
            </w:r>
          </w:p>
        </w:tc>
        <w:tc>
          <w:tcPr>
            <w:tcW w:w="439" w:type="dxa"/>
            <w:shd w:val="clear" w:color="auto" w:fill="auto"/>
            <w:textDirection w:val="tbRl"/>
            <w:vAlign w:val="center"/>
          </w:tcPr>
          <w:p w14:paraId="632E79E4" w14:textId="77777777" w:rsidR="00E90764" w:rsidRPr="00621452" w:rsidRDefault="0099166C" w:rsidP="001D1CF9">
            <w:pPr>
              <w:pStyle w:val="BodyText"/>
              <w:rPr>
                <w:rStyle w:val="Strong"/>
              </w:rPr>
            </w:pPr>
            <w:r w:rsidRPr="00621452">
              <w:rPr>
                <w:rStyle w:val="Strong"/>
              </w:rPr>
              <w:t>2023–24</w:t>
            </w:r>
          </w:p>
        </w:tc>
        <w:tc>
          <w:tcPr>
            <w:tcW w:w="457" w:type="dxa"/>
            <w:shd w:val="clear" w:color="auto" w:fill="auto"/>
            <w:textDirection w:val="tbRl"/>
            <w:vAlign w:val="center"/>
          </w:tcPr>
          <w:p w14:paraId="632E79E5" w14:textId="77777777" w:rsidR="00E90764" w:rsidRPr="00621452" w:rsidRDefault="0099166C" w:rsidP="001D1CF9">
            <w:pPr>
              <w:pStyle w:val="BodyText"/>
              <w:rPr>
                <w:rStyle w:val="Strong"/>
              </w:rPr>
            </w:pPr>
            <w:r w:rsidRPr="00621452">
              <w:rPr>
                <w:rStyle w:val="Strong"/>
              </w:rPr>
              <w:t>2024–25</w:t>
            </w:r>
          </w:p>
        </w:tc>
      </w:tr>
      <w:tr w:rsidR="00E90764" w:rsidRPr="00CF6322" w14:paraId="632E79EC" w14:textId="77777777" w:rsidTr="005C3FDA">
        <w:trPr>
          <w:trHeight w:val="582"/>
        </w:trPr>
        <w:tc>
          <w:tcPr>
            <w:tcW w:w="8541" w:type="dxa"/>
            <w:shd w:val="clear" w:color="auto" w:fill="auto"/>
            <w:vAlign w:val="center"/>
          </w:tcPr>
          <w:p w14:paraId="632E79E7" w14:textId="167EAA91" w:rsidR="00E90764" w:rsidRPr="00CF6322" w:rsidRDefault="0099166C" w:rsidP="001D1CF9">
            <w:pPr>
              <w:pStyle w:val="BodyText"/>
            </w:pPr>
            <w:r w:rsidRPr="00CF6322">
              <w:t>Supporting access to high quality hearing services through the delivery of the voucher component of</w:t>
            </w:r>
            <w:r w:rsidR="00F33F9D" w:rsidRPr="00CF6322">
              <w:t xml:space="preserve"> </w:t>
            </w:r>
            <w:r w:rsidRPr="00CF6322">
              <w:t>the HSP.</w:t>
            </w:r>
          </w:p>
        </w:tc>
        <w:tc>
          <w:tcPr>
            <w:tcW w:w="441" w:type="dxa"/>
            <w:shd w:val="clear" w:color="auto" w:fill="auto"/>
          </w:tcPr>
          <w:p w14:paraId="632E79E8" w14:textId="60116DA6"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9E9" w14:textId="31B56228"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9EA" w14:textId="4BE436E4" w:rsidR="00E90764" w:rsidRPr="00CF6322" w:rsidRDefault="00041BDA" w:rsidP="001D1CF9">
            <w:pPr>
              <w:pStyle w:val="BodyText"/>
            </w:pPr>
            <w:r>
              <w:rPr>
                <w:rFonts w:ascii="Segoe UI Symbol" w:hAnsi="Segoe UI Symbol" w:cs="Segoe UI Symbol"/>
              </w:rPr>
              <w:t>✓</w:t>
            </w:r>
          </w:p>
        </w:tc>
        <w:tc>
          <w:tcPr>
            <w:tcW w:w="457" w:type="dxa"/>
            <w:shd w:val="clear" w:color="auto" w:fill="auto"/>
          </w:tcPr>
          <w:p w14:paraId="632E79EB" w14:textId="5160D17C" w:rsidR="00E90764" w:rsidRPr="00CF6322" w:rsidRDefault="00041BDA" w:rsidP="001D1CF9">
            <w:pPr>
              <w:pStyle w:val="BodyText"/>
            </w:pPr>
            <w:r>
              <w:rPr>
                <w:rFonts w:ascii="Segoe UI Symbol" w:hAnsi="Segoe UI Symbol" w:cs="Segoe UI Symbol"/>
              </w:rPr>
              <w:t>✓</w:t>
            </w:r>
          </w:p>
        </w:tc>
      </w:tr>
      <w:tr w:rsidR="00E90764" w:rsidRPr="00CF6322" w14:paraId="632E79F2" w14:textId="77777777" w:rsidTr="005C3FDA">
        <w:trPr>
          <w:trHeight w:val="582"/>
        </w:trPr>
        <w:tc>
          <w:tcPr>
            <w:tcW w:w="8541" w:type="dxa"/>
            <w:shd w:val="clear" w:color="auto" w:fill="auto"/>
            <w:vAlign w:val="center"/>
          </w:tcPr>
          <w:p w14:paraId="632E79ED" w14:textId="77777777" w:rsidR="00E90764" w:rsidRPr="00CF6322" w:rsidRDefault="0099166C" w:rsidP="001D1CF9">
            <w:pPr>
              <w:pStyle w:val="BodyText"/>
            </w:pPr>
            <w:r w:rsidRPr="00CF6322">
              <w:t>Administering the Community Service Obligations component of the HSP, providing specialist services to children and other eligible groups through Hearing Australia.</w:t>
            </w:r>
          </w:p>
        </w:tc>
        <w:tc>
          <w:tcPr>
            <w:tcW w:w="441" w:type="dxa"/>
            <w:shd w:val="clear" w:color="auto" w:fill="auto"/>
          </w:tcPr>
          <w:p w14:paraId="632E79EE" w14:textId="6C9B3804"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9EF" w14:textId="1820A182"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9F0" w14:textId="6566FBB5" w:rsidR="00E90764" w:rsidRPr="00CF6322" w:rsidRDefault="00041BDA" w:rsidP="001D1CF9">
            <w:pPr>
              <w:pStyle w:val="BodyText"/>
            </w:pPr>
            <w:r>
              <w:rPr>
                <w:rFonts w:ascii="Segoe UI Symbol" w:hAnsi="Segoe UI Symbol" w:cs="Segoe UI Symbol"/>
              </w:rPr>
              <w:t>✓</w:t>
            </w:r>
          </w:p>
        </w:tc>
        <w:tc>
          <w:tcPr>
            <w:tcW w:w="457" w:type="dxa"/>
            <w:shd w:val="clear" w:color="auto" w:fill="auto"/>
          </w:tcPr>
          <w:p w14:paraId="632E79F1" w14:textId="5227FC9F" w:rsidR="00E90764" w:rsidRPr="00CF6322" w:rsidRDefault="00041BDA" w:rsidP="001D1CF9">
            <w:pPr>
              <w:pStyle w:val="BodyText"/>
            </w:pPr>
            <w:r>
              <w:rPr>
                <w:rFonts w:ascii="Segoe UI Symbol" w:hAnsi="Segoe UI Symbol" w:cs="Segoe UI Symbol"/>
              </w:rPr>
              <w:t>✓</w:t>
            </w:r>
          </w:p>
        </w:tc>
      </w:tr>
      <w:tr w:rsidR="00E90764" w:rsidRPr="00CF6322" w14:paraId="632E79F8" w14:textId="77777777" w:rsidTr="005C3FDA">
        <w:trPr>
          <w:trHeight w:val="391"/>
        </w:trPr>
        <w:tc>
          <w:tcPr>
            <w:tcW w:w="8541" w:type="dxa"/>
            <w:shd w:val="clear" w:color="auto" w:fill="auto"/>
            <w:vAlign w:val="center"/>
          </w:tcPr>
          <w:p w14:paraId="632E79F3" w14:textId="77777777" w:rsidR="00E90764" w:rsidRPr="00CF6322" w:rsidRDefault="0099166C" w:rsidP="001D1CF9">
            <w:pPr>
              <w:pStyle w:val="BodyText"/>
            </w:pPr>
            <w:r w:rsidRPr="00CF6322">
              <w:t>Supporting hearing research and development projects through the National Acoustics Laboratory.</w:t>
            </w:r>
          </w:p>
        </w:tc>
        <w:tc>
          <w:tcPr>
            <w:tcW w:w="441" w:type="dxa"/>
            <w:shd w:val="clear" w:color="auto" w:fill="auto"/>
          </w:tcPr>
          <w:p w14:paraId="632E79F4" w14:textId="76221D42"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9F5" w14:textId="6926C9A2"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9F6" w14:textId="27CEB457" w:rsidR="00E90764" w:rsidRPr="00CF6322" w:rsidRDefault="00041BDA" w:rsidP="001D1CF9">
            <w:pPr>
              <w:pStyle w:val="BodyText"/>
            </w:pPr>
            <w:r>
              <w:rPr>
                <w:rFonts w:ascii="Segoe UI Symbol" w:hAnsi="Segoe UI Symbol" w:cs="Segoe UI Symbol"/>
              </w:rPr>
              <w:t>✓</w:t>
            </w:r>
          </w:p>
        </w:tc>
        <w:tc>
          <w:tcPr>
            <w:tcW w:w="457" w:type="dxa"/>
            <w:shd w:val="clear" w:color="auto" w:fill="auto"/>
          </w:tcPr>
          <w:p w14:paraId="632E79F7" w14:textId="6F30C295" w:rsidR="00E90764" w:rsidRPr="00CF6322" w:rsidRDefault="00041BDA" w:rsidP="001D1CF9">
            <w:pPr>
              <w:pStyle w:val="BodyText"/>
            </w:pPr>
            <w:r>
              <w:rPr>
                <w:rFonts w:ascii="Segoe UI Symbol" w:hAnsi="Segoe UI Symbol" w:cs="Segoe UI Symbol"/>
              </w:rPr>
              <w:t>✓</w:t>
            </w:r>
          </w:p>
        </w:tc>
      </w:tr>
      <w:tr w:rsidR="00E90764" w:rsidRPr="00CF6322" w14:paraId="632E79FE" w14:textId="77777777" w:rsidTr="005C3FDA">
        <w:trPr>
          <w:trHeight w:val="391"/>
        </w:trPr>
        <w:tc>
          <w:tcPr>
            <w:tcW w:w="8541" w:type="dxa"/>
            <w:shd w:val="clear" w:color="auto" w:fill="auto"/>
            <w:vAlign w:val="center"/>
          </w:tcPr>
          <w:p w14:paraId="632E79F9" w14:textId="77777777" w:rsidR="00E90764" w:rsidRPr="00CF6322" w:rsidRDefault="0099166C" w:rsidP="001D1CF9">
            <w:pPr>
              <w:pStyle w:val="BodyText"/>
            </w:pPr>
            <w:r w:rsidRPr="00CF6322">
              <w:t>Administering the pilot voluntary hearing screenings for school age students.</w:t>
            </w:r>
          </w:p>
        </w:tc>
        <w:tc>
          <w:tcPr>
            <w:tcW w:w="441" w:type="dxa"/>
            <w:shd w:val="clear" w:color="auto" w:fill="auto"/>
          </w:tcPr>
          <w:p w14:paraId="632E79FA" w14:textId="3BB934F1"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9FB" w14:textId="2907A369"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9FC" w14:textId="296A9855" w:rsidR="00E90764" w:rsidRPr="00CF6322" w:rsidRDefault="00041BDA" w:rsidP="001D1CF9">
            <w:pPr>
              <w:pStyle w:val="BodyText"/>
            </w:pPr>
            <w:r>
              <w:rPr>
                <w:rFonts w:ascii="Segoe UI Symbol" w:hAnsi="Segoe UI Symbol" w:cs="Segoe UI Symbol"/>
              </w:rPr>
              <w:t>✓</w:t>
            </w:r>
          </w:p>
        </w:tc>
        <w:tc>
          <w:tcPr>
            <w:tcW w:w="457" w:type="dxa"/>
            <w:shd w:val="clear" w:color="auto" w:fill="auto"/>
          </w:tcPr>
          <w:p w14:paraId="632E79FD" w14:textId="5E08E15E" w:rsidR="00E90764" w:rsidRPr="00CF6322" w:rsidRDefault="00041BDA" w:rsidP="001D1CF9">
            <w:pPr>
              <w:pStyle w:val="BodyText"/>
            </w:pPr>
            <w:r>
              <w:rPr>
                <w:rFonts w:ascii="Segoe UI Symbol" w:hAnsi="Segoe UI Symbol" w:cs="Segoe UI Symbol"/>
              </w:rPr>
              <w:t>✓</w:t>
            </w:r>
          </w:p>
        </w:tc>
      </w:tr>
      <w:tr w:rsidR="00E90764" w:rsidRPr="00CF6322" w14:paraId="632E7A04" w14:textId="77777777" w:rsidTr="005C3FDA">
        <w:trPr>
          <w:trHeight w:val="391"/>
        </w:trPr>
        <w:tc>
          <w:tcPr>
            <w:tcW w:w="8541" w:type="dxa"/>
            <w:shd w:val="clear" w:color="auto" w:fill="auto"/>
            <w:vAlign w:val="center"/>
          </w:tcPr>
          <w:p w14:paraId="632E79FF" w14:textId="77777777" w:rsidR="00E90764" w:rsidRPr="00CF6322" w:rsidRDefault="0099166C" w:rsidP="001D1CF9">
            <w:pPr>
              <w:pStyle w:val="BodyText"/>
            </w:pPr>
            <w:r w:rsidRPr="00CF6322">
              <w:t>Implementing the Roadmap for Hearing Health.</w:t>
            </w:r>
          </w:p>
        </w:tc>
        <w:tc>
          <w:tcPr>
            <w:tcW w:w="441" w:type="dxa"/>
            <w:shd w:val="clear" w:color="auto" w:fill="auto"/>
          </w:tcPr>
          <w:p w14:paraId="632E7A00" w14:textId="39794A52"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A01" w14:textId="0CD4EB83"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A02" w14:textId="5F032039" w:rsidR="00E90764" w:rsidRPr="00CF6322" w:rsidRDefault="00041BDA" w:rsidP="001D1CF9">
            <w:pPr>
              <w:pStyle w:val="BodyText"/>
            </w:pPr>
            <w:r>
              <w:rPr>
                <w:rFonts w:ascii="Segoe UI Symbol" w:hAnsi="Segoe UI Symbol" w:cs="Segoe UI Symbol"/>
              </w:rPr>
              <w:t>✓</w:t>
            </w:r>
          </w:p>
        </w:tc>
        <w:tc>
          <w:tcPr>
            <w:tcW w:w="457" w:type="dxa"/>
            <w:shd w:val="clear" w:color="auto" w:fill="auto"/>
          </w:tcPr>
          <w:p w14:paraId="632E7A03" w14:textId="67297CA6" w:rsidR="00E90764" w:rsidRPr="00CF6322" w:rsidRDefault="00041BDA" w:rsidP="001D1CF9">
            <w:pPr>
              <w:pStyle w:val="BodyText"/>
            </w:pPr>
            <w:r>
              <w:rPr>
                <w:rFonts w:ascii="Segoe UI Symbol" w:hAnsi="Segoe UI Symbol" w:cs="Segoe UI Symbol"/>
              </w:rPr>
              <w:t>✓</w:t>
            </w:r>
          </w:p>
        </w:tc>
      </w:tr>
    </w:tbl>
    <w:p w14:paraId="632E7A06" w14:textId="77777777" w:rsidR="00E90764" w:rsidRPr="00CF6322" w:rsidRDefault="00E90764" w:rsidP="001D1CF9">
      <w:pPr>
        <w:pStyle w:val="BodyText"/>
      </w:pPr>
    </w:p>
    <w:p w14:paraId="632E7A07" w14:textId="77777777" w:rsidR="00E90764" w:rsidRPr="00CF6322" w:rsidRDefault="0099166C" w:rsidP="00D86BB0">
      <w:pPr>
        <w:pStyle w:val="Heading4"/>
      </w:pPr>
      <w:r w:rsidRPr="00CF6322">
        <w:t xml:space="preserve">Our </w:t>
      </w:r>
      <w:r w:rsidRPr="00D86BB0">
        <w:t>Performance</w:t>
      </w:r>
    </w:p>
    <w:p w14:paraId="632E7A08" w14:textId="77777777" w:rsidR="00E90764" w:rsidRPr="00CF6322" w:rsidRDefault="0099166C" w:rsidP="00D86BB0">
      <w:pPr>
        <w:pStyle w:val="Heading5"/>
      </w:pPr>
      <w:r w:rsidRPr="00CF6322">
        <w:t>Performance Measures for Hearing Services – Program 2.2</w:t>
      </w:r>
    </w:p>
    <w:tbl>
      <w:tblPr>
        <w:tblW w:w="102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0" w:type="dxa"/>
        </w:tblCellMar>
        <w:tblLook w:val="01E0" w:firstRow="1" w:lastRow="1" w:firstColumn="1" w:lastColumn="1" w:noHBand="0" w:noVBand="0"/>
      </w:tblPr>
      <w:tblGrid>
        <w:gridCol w:w="716"/>
        <w:gridCol w:w="2263"/>
        <w:gridCol w:w="2442"/>
        <w:gridCol w:w="2442"/>
        <w:gridCol w:w="2422"/>
      </w:tblGrid>
      <w:tr w:rsidR="00E90764" w:rsidRPr="00621452" w14:paraId="632E7A0C" w14:textId="77777777" w:rsidTr="00FA6C8A">
        <w:trPr>
          <w:trHeight w:val="772"/>
          <w:tblHeader/>
        </w:trPr>
        <w:tc>
          <w:tcPr>
            <w:tcW w:w="10285" w:type="dxa"/>
            <w:gridSpan w:val="5"/>
            <w:shd w:val="clear" w:color="auto" w:fill="auto"/>
          </w:tcPr>
          <w:p w14:paraId="632E7A0A" w14:textId="77777777" w:rsidR="00E90764" w:rsidRPr="00621452" w:rsidRDefault="0099166C" w:rsidP="001D1CF9">
            <w:pPr>
              <w:pStyle w:val="BodyText"/>
              <w:numPr>
                <w:ilvl w:val="0"/>
                <w:numId w:val="32"/>
              </w:numPr>
              <w:rPr>
                <w:rStyle w:val="Strong"/>
              </w:rPr>
            </w:pPr>
            <w:r w:rsidRPr="00621452">
              <w:rPr>
                <w:rStyle w:val="Strong"/>
              </w:rPr>
              <w:lastRenderedPageBreak/>
              <w:t>Number of active vouchered clients who receive hearing services.</w:t>
            </w:r>
          </w:p>
          <w:p w14:paraId="632E7A0B" w14:textId="540B6522" w:rsidR="00E90764" w:rsidRPr="00621452" w:rsidRDefault="0099166C" w:rsidP="001D1CF9">
            <w:pPr>
              <w:pStyle w:val="BodyText"/>
              <w:numPr>
                <w:ilvl w:val="0"/>
                <w:numId w:val="32"/>
              </w:numPr>
              <w:rPr>
                <w:rStyle w:val="Strong"/>
              </w:rPr>
            </w:pPr>
            <w:r w:rsidRPr="00621452">
              <w:rPr>
                <w:rStyle w:val="Strong"/>
              </w:rPr>
              <w:t>Number of active Community Service Obligations (CSO) clients who receive hearing services.</w:t>
            </w:r>
            <w:r w:rsidR="00621452">
              <w:rPr>
                <w:rStyle w:val="FootnoteReference"/>
                <w:b/>
                <w:bCs/>
              </w:rPr>
              <w:footnoteReference w:id="51"/>
            </w:r>
          </w:p>
        </w:tc>
      </w:tr>
      <w:tr w:rsidR="00E90764" w:rsidRPr="00621452" w14:paraId="632E7A12" w14:textId="77777777" w:rsidTr="005C3FDA">
        <w:trPr>
          <w:trHeight w:val="458"/>
        </w:trPr>
        <w:tc>
          <w:tcPr>
            <w:tcW w:w="716" w:type="dxa"/>
            <w:shd w:val="clear" w:color="auto" w:fill="auto"/>
          </w:tcPr>
          <w:p w14:paraId="632E7A0D" w14:textId="77777777" w:rsidR="00E90764" w:rsidRPr="00621452" w:rsidRDefault="00E90764" w:rsidP="001D1CF9">
            <w:pPr>
              <w:pStyle w:val="BodyText"/>
              <w:rPr>
                <w:rStyle w:val="Strong"/>
              </w:rPr>
            </w:pPr>
          </w:p>
        </w:tc>
        <w:tc>
          <w:tcPr>
            <w:tcW w:w="2263" w:type="dxa"/>
            <w:shd w:val="clear" w:color="auto" w:fill="auto"/>
          </w:tcPr>
          <w:p w14:paraId="632E7A0E" w14:textId="77777777" w:rsidR="00E90764" w:rsidRPr="00621452" w:rsidRDefault="0099166C" w:rsidP="001D1CF9">
            <w:pPr>
              <w:pStyle w:val="BodyText"/>
              <w:rPr>
                <w:rStyle w:val="Strong"/>
              </w:rPr>
            </w:pPr>
            <w:r w:rsidRPr="00621452">
              <w:rPr>
                <w:rStyle w:val="Strong"/>
              </w:rPr>
              <w:t>2021–22 Target</w:t>
            </w:r>
          </w:p>
        </w:tc>
        <w:tc>
          <w:tcPr>
            <w:tcW w:w="2442" w:type="dxa"/>
            <w:shd w:val="clear" w:color="auto" w:fill="auto"/>
          </w:tcPr>
          <w:p w14:paraId="632E7A0F" w14:textId="77777777" w:rsidR="00E90764" w:rsidRPr="00621452" w:rsidRDefault="0099166C" w:rsidP="001D1CF9">
            <w:pPr>
              <w:pStyle w:val="BodyText"/>
              <w:rPr>
                <w:rStyle w:val="Strong"/>
              </w:rPr>
            </w:pPr>
            <w:r w:rsidRPr="00621452">
              <w:rPr>
                <w:rStyle w:val="Strong"/>
              </w:rPr>
              <w:t>2022–23 Target</w:t>
            </w:r>
          </w:p>
        </w:tc>
        <w:tc>
          <w:tcPr>
            <w:tcW w:w="2442" w:type="dxa"/>
            <w:shd w:val="clear" w:color="auto" w:fill="auto"/>
          </w:tcPr>
          <w:p w14:paraId="632E7A10" w14:textId="77777777" w:rsidR="00E90764" w:rsidRPr="00621452" w:rsidRDefault="0099166C" w:rsidP="001D1CF9">
            <w:pPr>
              <w:pStyle w:val="BodyText"/>
              <w:rPr>
                <w:rStyle w:val="Strong"/>
              </w:rPr>
            </w:pPr>
            <w:r w:rsidRPr="00621452">
              <w:rPr>
                <w:rStyle w:val="Strong"/>
              </w:rPr>
              <w:t>2023–24 Target</w:t>
            </w:r>
          </w:p>
        </w:tc>
        <w:tc>
          <w:tcPr>
            <w:tcW w:w="2422" w:type="dxa"/>
            <w:shd w:val="clear" w:color="auto" w:fill="auto"/>
          </w:tcPr>
          <w:p w14:paraId="632E7A11" w14:textId="77777777" w:rsidR="00E90764" w:rsidRPr="00621452" w:rsidRDefault="0099166C" w:rsidP="001D1CF9">
            <w:pPr>
              <w:pStyle w:val="BodyText"/>
              <w:rPr>
                <w:rStyle w:val="Strong"/>
              </w:rPr>
            </w:pPr>
            <w:r w:rsidRPr="00621452">
              <w:rPr>
                <w:rStyle w:val="Strong"/>
              </w:rPr>
              <w:t>2024–25 Target</w:t>
            </w:r>
          </w:p>
        </w:tc>
      </w:tr>
      <w:tr w:rsidR="00E90764" w:rsidRPr="00CF6322" w14:paraId="632E7A18" w14:textId="77777777" w:rsidTr="005C3FDA">
        <w:trPr>
          <w:trHeight w:val="465"/>
        </w:trPr>
        <w:tc>
          <w:tcPr>
            <w:tcW w:w="716" w:type="dxa"/>
            <w:shd w:val="clear" w:color="auto" w:fill="auto"/>
          </w:tcPr>
          <w:p w14:paraId="632E7A13" w14:textId="77777777" w:rsidR="00E90764" w:rsidRPr="00621452" w:rsidRDefault="0099166C" w:rsidP="001D1CF9">
            <w:pPr>
              <w:pStyle w:val="BodyText"/>
              <w:rPr>
                <w:rStyle w:val="Strong"/>
              </w:rPr>
            </w:pPr>
            <w:r w:rsidRPr="00621452">
              <w:rPr>
                <w:rStyle w:val="Strong"/>
              </w:rPr>
              <w:t>a.</w:t>
            </w:r>
          </w:p>
        </w:tc>
        <w:tc>
          <w:tcPr>
            <w:tcW w:w="2263" w:type="dxa"/>
            <w:shd w:val="clear" w:color="auto" w:fill="auto"/>
          </w:tcPr>
          <w:p w14:paraId="632E7A14" w14:textId="77777777" w:rsidR="00E90764" w:rsidRPr="00CF6322" w:rsidRDefault="0099166C" w:rsidP="001D1CF9">
            <w:pPr>
              <w:pStyle w:val="BodyText"/>
            </w:pPr>
            <w:r w:rsidRPr="00CF6322">
              <w:t>821,070</w:t>
            </w:r>
          </w:p>
        </w:tc>
        <w:tc>
          <w:tcPr>
            <w:tcW w:w="2442" w:type="dxa"/>
            <w:shd w:val="clear" w:color="auto" w:fill="auto"/>
          </w:tcPr>
          <w:p w14:paraId="632E7A15" w14:textId="77777777" w:rsidR="00E90764" w:rsidRPr="00CF6322" w:rsidRDefault="0099166C" w:rsidP="001D1CF9">
            <w:pPr>
              <w:pStyle w:val="BodyText"/>
            </w:pPr>
            <w:r w:rsidRPr="00CF6322">
              <w:t>843,133</w:t>
            </w:r>
          </w:p>
        </w:tc>
        <w:tc>
          <w:tcPr>
            <w:tcW w:w="2442" w:type="dxa"/>
            <w:shd w:val="clear" w:color="auto" w:fill="auto"/>
          </w:tcPr>
          <w:p w14:paraId="632E7A16" w14:textId="77777777" w:rsidR="00E90764" w:rsidRPr="00CF6322" w:rsidRDefault="0099166C" w:rsidP="001D1CF9">
            <w:pPr>
              <w:pStyle w:val="BodyText"/>
            </w:pPr>
            <w:r w:rsidRPr="00CF6322">
              <w:t>865,195</w:t>
            </w:r>
          </w:p>
        </w:tc>
        <w:tc>
          <w:tcPr>
            <w:tcW w:w="2422" w:type="dxa"/>
            <w:shd w:val="clear" w:color="auto" w:fill="auto"/>
          </w:tcPr>
          <w:p w14:paraId="632E7A17" w14:textId="77777777" w:rsidR="00E90764" w:rsidRPr="00CF6322" w:rsidRDefault="0099166C" w:rsidP="001D1CF9">
            <w:pPr>
              <w:pStyle w:val="BodyText"/>
            </w:pPr>
            <w:r w:rsidRPr="00CF6322">
              <w:t>899,322</w:t>
            </w:r>
          </w:p>
        </w:tc>
      </w:tr>
      <w:tr w:rsidR="00E90764" w:rsidRPr="00CF6322" w14:paraId="632E7A1E" w14:textId="77777777" w:rsidTr="005C3FDA">
        <w:trPr>
          <w:trHeight w:val="465"/>
        </w:trPr>
        <w:tc>
          <w:tcPr>
            <w:tcW w:w="716" w:type="dxa"/>
            <w:shd w:val="clear" w:color="auto" w:fill="auto"/>
          </w:tcPr>
          <w:p w14:paraId="632E7A19" w14:textId="77777777" w:rsidR="00E90764" w:rsidRPr="00621452" w:rsidRDefault="0099166C" w:rsidP="001D1CF9">
            <w:pPr>
              <w:pStyle w:val="BodyText"/>
              <w:rPr>
                <w:rStyle w:val="Strong"/>
              </w:rPr>
            </w:pPr>
            <w:r w:rsidRPr="00621452">
              <w:rPr>
                <w:rStyle w:val="Strong"/>
              </w:rPr>
              <w:t>b.</w:t>
            </w:r>
          </w:p>
        </w:tc>
        <w:tc>
          <w:tcPr>
            <w:tcW w:w="2263" w:type="dxa"/>
            <w:shd w:val="clear" w:color="auto" w:fill="auto"/>
          </w:tcPr>
          <w:p w14:paraId="632E7A1A" w14:textId="77777777" w:rsidR="00E90764" w:rsidRPr="00CF6322" w:rsidRDefault="0099166C" w:rsidP="001D1CF9">
            <w:pPr>
              <w:pStyle w:val="BodyText"/>
            </w:pPr>
            <w:r w:rsidRPr="00CF6322">
              <w:t>74,819</w:t>
            </w:r>
          </w:p>
        </w:tc>
        <w:tc>
          <w:tcPr>
            <w:tcW w:w="2442" w:type="dxa"/>
            <w:shd w:val="clear" w:color="auto" w:fill="auto"/>
          </w:tcPr>
          <w:p w14:paraId="632E7A1B" w14:textId="77777777" w:rsidR="00E90764" w:rsidRPr="00CF6322" w:rsidRDefault="0099166C" w:rsidP="001D1CF9">
            <w:pPr>
              <w:pStyle w:val="BodyText"/>
            </w:pPr>
            <w:r w:rsidRPr="00CF6322">
              <w:t>77,091</w:t>
            </w:r>
          </w:p>
        </w:tc>
        <w:tc>
          <w:tcPr>
            <w:tcW w:w="2442" w:type="dxa"/>
            <w:shd w:val="clear" w:color="auto" w:fill="auto"/>
          </w:tcPr>
          <w:p w14:paraId="632E7A1C" w14:textId="77777777" w:rsidR="00E90764" w:rsidRPr="00CF6322" w:rsidRDefault="0099166C" w:rsidP="001D1CF9">
            <w:pPr>
              <w:pStyle w:val="BodyText"/>
            </w:pPr>
            <w:r w:rsidRPr="00CF6322">
              <w:t>79,363</w:t>
            </w:r>
          </w:p>
        </w:tc>
        <w:tc>
          <w:tcPr>
            <w:tcW w:w="2422" w:type="dxa"/>
            <w:shd w:val="clear" w:color="auto" w:fill="auto"/>
          </w:tcPr>
          <w:p w14:paraId="632E7A1D" w14:textId="77777777" w:rsidR="00E90764" w:rsidRPr="00CF6322" w:rsidRDefault="0099166C" w:rsidP="001D1CF9">
            <w:pPr>
              <w:pStyle w:val="BodyText"/>
            </w:pPr>
            <w:r w:rsidRPr="00CF6322">
              <w:t>81,788</w:t>
            </w:r>
          </w:p>
        </w:tc>
      </w:tr>
      <w:tr w:rsidR="00E90764" w:rsidRPr="00CF6322" w14:paraId="632E7A27" w14:textId="77777777" w:rsidTr="005C3FDA">
        <w:trPr>
          <w:trHeight w:val="4032"/>
        </w:trPr>
        <w:tc>
          <w:tcPr>
            <w:tcW w:w="10285" w:type="dxa"/>
            <w:gridSpan w:val="5"/>
            <w:shd w:val="clear" w:color="auto" w:fill="auto"/>
          </w:tcPr>
          <w:p w14:paraId="632E7A1F" w14:textId="77777777" w:rsidR="00E90764" w:rsidRPr="00CF6322" w:rsidRDefault="0099166C" w:rsidP="001D1CF9">
            <w:pPr>
              <w:pStyle w:val="Heading6"/>
            </w:pPr>
            <w:r w:rsidRPr="00CF6322">
              <w:t xml:space="preserve">Data source and </w:t>
            </w:r>
            <w:r w:rsidRPr="00CD7853">
              <w:t>methodology</w:t>
            </w:r>
          </w:p>
          <w:p w14:paraId="632E7A20" w14:textId="6060BE21" w:rsidR="00E90764" w:rsidRPr="00CF6322" w:rsidRDefault="0099166C" w:rsidP="001D1CF9">
            <w:pPr>
              <w:pStyle w:val="BodyText"/>
            </w:pPr>
            <w:r w:rsidRPr="00CF6322">
              <w:t>Data is provided through the Department’s claims portal and is held by the Department. It is published on the HSP</w:t>
            </w:r>
            <w:r w:rsidR="00F33F9D" w:rsidRPr="00CF6322">
              <w:t xml:space="preserve"> </w:t>
            </w:r>
            <w:r w:rsidRPr="00CF6322">
              <w:t>website</w:t>
            </w:r>
            <w:r w:rsidR="00621452">
              <w:rPr>
                <w:rStyle w:val="FootnoteReference"/>
              </w:rPr>
              <w:footnoteReference w:id="52"/>
            </w:r>
            <w:r w:rsidRPr="00CF6322">
              <w:t xml:space="preserve"> under About the Program: Program Statistics: Annual Program Statistics.</w:t>
            </w:r>
          </w:p>
          <w:p w14:paraId="632E7A21" w14:textId="1F851EB6" w:rsidR="00E90764" w:rsidRPr="00CF6322" w:rsidRDefault="0099166C" w:rsidP="001D1CF9">
            <w:pPr>
              <w:pStyle w:val="BodyText"/>
            </w:pPr>
            <w:r w:rsidRPr="00CF6322">
              <w:t>Data is provided by Hearing Australia and maintained by the Department. It is reported in Hearing Australia’s</w:t>
            </w:r>
            <w:r w:rsidR="00F33F9D" w:rsidRPr="00CF6322">
              <w:t xml:space="preserve"> </w:t>
            </w:r>
            <w:r w:rsidRPr="00CF6322">
              <w:t>Annual Report</w:t>
            </w:r>
            <w:r w:rsidR="00621452">
              <w:rPr>
                <w:rStyle w:val="FootnoteReference"/>
              </w:rPr>
              <w:footnoteReference w:id="53"/>
            </w:r>
            <w:r w:rsidRPr="00CF6322">
              <w:t>.</w:t>
            </w:r>
          </w:p>
          <w:p w14:paraId="632E7A22" w14:textId="77777777" w:rsidR="00E90764" w:rsidRPr="00CF6322" w:rsidRDefault="0099166C" w:rsidP="001D1CF9">
            <w:pPr>
              <w:pStyle w:val="Heading6"/>
            </w:pPr>
            <w:r w:rsidRPr="00CF6322">
              <w:t>Measure type</w:t>
            </w:r>
          </w:p>
          <w:p w14:paraId="632E7A23" w14:textId="77777777" w:rsidR="00E90764" w:rsidRPr="00CF6322" w:rsidRDefault="0099166C" w:rsidP="001D1CF9">
            <w:pPr>
              <w:pStyle w:val="BodyText"/>
            </w:pPr>
            <w:r w:rsidRPr="00CF6322">
              <w:t>Quantitative/Output</w:t>
            </w:r>
          </w:p>
          <w:p w14:paraId="632E7A25" w14:textId="77777777" w:rsidR="00E90764" w:rsidRPr="00CF6322" w:rsidRDefault="0099166C" w:rsidP="001D1CF9">
            <w:pPr>
              <w:pStyle w:val="Heading6"/>
            </w:pPr>
            <w:r w:rsidRPr="00CF6322">
              <w:t>Discussion</w:t>
            </w:r>
          </w:p>
          <w:p w14:paraId="632E7A26" w14:textId="77777777" w:rsidR="00E90764" w:rsidRPr="00CF6322" w:rsidRDefault="0099166C" w:rsidP="001D1CF9">
            <w:pPr>
              <w:pStyle w:val="BodyText"/>
            </w:pPr>
            <w:r w:rsidRPr="00CF6322">
              <w:t xml:space="preserve">This measure assesses growth in service access and </w:t>
            </w:r>
            <w:proofErr w:type="spellStart"/>
            <w:r w:rsidRPr="00CF6322">
              <w:t>utilisation</w:t>
            </w:r>
            <w:proofErr w:type="spellEnd"/>
            <w:r w:rsidRPr="00CF6322">
              <w:t xml:space="preserve">, reflecting 2 distinct parts of the HSP. Active clients refers to those who have recently accessed the HSP. Vouchered clients are predominantly older Australians with hearing impairment and the CSO program assists young people with managing their hearing needs and </w:t>
            </w:r>
            <w:proofErr w:type="spellStart"/>
            <w:r w:rsidRPr="00CF6322">
              <w:t>maximising</w:t>
            </w:r>
            <w:proofErr w:type="spellEnd"/>
            <w:r w:rsidRPr="00CF6322">
              <w:t xml:space="preserve"> communication ability. A review of potential outcome measures is currently underway in consultation with the sector and may be </w:t>
            </w:r>
            <w:proofErr w:type="spellStart"/>
            <w:r w:rsidRPr="00CF6322">
              <w:t>utilised</w:t>
            </w:r>
            <w:proofErr w:type="spellEnd"/>
            <w:r w:rsidRPr="00CF6322">
              <w:t xml:space="preserve"> for future outcome and efficiency measures.</w:t>
            </w:r>
          </w:p>
        </w:tc>
      </w:tr>
    </w:tbl>
    <w:p w14:paraId="1287D831" w14:textId="77777777" w:rsidR="009C48F9" w:rsidRDefault="009C48F9" w:rsidP="009C48F9"/>
    <w:p w14:paraId="6E0A5F75" w14:textId="77777777" w:rsidR="009C48F9" w:rsidRDefault="009C48F9" w:rsidP="009C48F9">
      <w:r>
        <w:br w:type="page"/>
      </w:r>
    </w:p>
    <w:p w14:paraId="4DA171AC" w14:textId="007D9D5B" w:rsidR="00621452" w:rsidRPr="00621452" w:rsidRDefault="00621452" w:rsidP="00621452">
      <w:pPr>
        <w:pStyle w:val="Heading3"/>
      </w:pPr>
      <w:r w:rsidRPr="00621452">
        <w:lastRenderedPageBreak/>
        <w:t xml:space="preserve">2.3 </w:t>
      </w:r>
      <w:r w:rsidR="005C3FDA">
        <w:t>–</w:t>
      </w:r>
      <w:r w:rsidRPr="00621452">
        <w:t xml:space="preserve"> Pharmaceutical Benefits</w:t>
      </w:r>
    </w:p>
    <w:p w14:paraId="632E7A30" w14:textId="77777777" w:rsidR="00E90764" w:rsidRPr="00CF6322" w:rsidRDefault="0099166C" w:rsidP="00621452">
      <w:pPr>
        <w:pStyle w:val="Heading4"/>
      </w:pPr>
      <w:r w:rsidRPr="00CF6322">
        <w:t>Program Objective</w:t>
      </w:r>
    </w:p>
    <w:p w14:paraId="2CBE6697" w14:textId="77777777" w:rsidR="00621452" w:rsidRDefault="00621452" w:rsidP="001D1CF9">
      <w:pPr>
        <w:pStyle w:val="BodyText"/>
        <w:rPr>
          <w:color w:val="000000"/>
        </w:rPr>
      </w:pPr>
      <w:r>
        <w:t>Provide</w:t>
      </w:r>
      <w:r>
        <w:rPr>
          <w:spacing w:val="2"/>
        </w:rPr>
        <w:t xml:space="preserve"> </w:t>
      </w:r>
      <w:r>
        <w:t>all</w:t>
      </w:r>
      <w:r>
        <w:rPr>
          <w:spacing w:val="2"/>
        </w:rPr>
        <w:t xml:space="preserve"> </w:t>
      </w:r>
      <w:r>
        <w:t>eligible</w:t>
      </w:r>
      <w:r>
        <w:rPr>
          <w:spacing w:val="3"/>
        </w:rPr>
        <w:t xml:space="preserve"> </w:t>
      </w:r>
      <w:r>
        <w:t>Australians</w:t>
      </w:r>
      <w:r>
        <w:rPr>
          <w:spacing w:val="2"/>
        </w:rPr>
        <w:t xml:space="preserve"> </w:t>
      </w:r>
      <w:r>
        <w:t>with</w:t>
      </w:r>
      <w:r>
        <w:rPr>
          <w:spacing w:val="2"/>
        </w:rPr>
        <w:t xml:space="preserve"> </w:t>
      </w:r>
      <w:r>
        <w:t>reliable,</w:t>
      </w:r>
      <w:r>
        <w:rPr>
          <w:spacing w:val="3"/>
        </w:rPr>
        <w:t xml:space="preserve"> </w:t>
      </w:r>
      <w:r>
        <w:t>timely</w:t>
      </w:r>
      <w:r>
        <w:rPr>
          <w:spacing w:val="2"/>
        </w:rPr>
        <w:t xml:space="preserve"> </w:t>
      </w:r>
      <w:r>
        <w:t>and</w:t>
      </w:r>
      <w:r>
        <w:rPr>
          <w:spacing w:val="2"/>
        </w:rPr>
        <w:t xml:space="preserve"> </w:t>
      </w:r>
      <w:r>
        <w:t>affordable</w:t>
      </w:r>
      <w:r>
        <w:rPr>
          <w:spacing w:val="3"/>
        </w:rPr>
        <w:t xml:space="preserve"> </w:t>
      </w:r>
      <w:r>
        <w:t>access</w:t>
      </w:r>
      <w:r>
        <w:rPr>
          <w:spacing w:val="2"/>
        </w:rPr>
        <w:t xml:space="preserve"> </w:t>
      </w:r>
      <w:r>
        <w:t>to</w:t>
      </w:r>
      <w:r>
        <w:rPr>
          <w:spacing w:val="2"/>
        </w:rPr>
        <w:t xml:space="preserve"> </w:t>
      </w:r>
      <w:r>
        <w:t>high</w:t>
      </w:r>
      <w:r>
        <w:rPr>
          <w:spacing w:val="3"/>
        </w:rPr>
        <w:t xml:space="preserve"> </w:t>
      </w:r>
      <w:r>
        <w:t>quality,</w:t>
      </w:r>
      <w:r>
        <w:rPr>
          <w:spacing w:val="2"/>
        </w:rPr>
        <w:t xml:space="preserve"> </w:t>
      </w:r>
      <w:r>
        <w:t>cost-effective,</w:t>
      </w:r>
      <w:r>
        <w:rPr>
          <w:spacing w:val="2"/>
        </w:rPr>
        <w:t xml:space="preserve"> </w:t>
      </w:r>
      <w:r>
        <w:t>innovative,</w:t>
      </w:r>
      <w:r>
        <w:rPr>
          <w:spacing w:val="-49"/>
        </w:rPr>
        <w:t xml:space="preserve"> </w:t>
      </w:r>
      <w:r>
        <w:t>clinically</w:t>
      </w:r>
      <w:r>
        <w:rPr>
          <w:spacing w:val="3"/>
        </w:rPr>
        <w:t xml:space="preserve"> </w:t>
      </w:r>
      <w:r>
        <w:t>effective</w:t>
      </w:r>
      <w:r>
        <w:rPr>
          <w:spacing w:val="3"/>
        </w:rPr>
        <w:t xml:space="preserve"> </w:t>
      </w:r>
      <w:r>
        <w:t>medicines,</w:t>
      </w:r>
      <w:r>
        <w:rPr>
          <w:spacing w:val="4"/>
        </w:rPr>
        <w:t xml:space="preserve"> </w:t>
      </w:r>
      <w:r>
        <w:t>and</w:t>
      </w:r>
      <w:r>
        <w:rPr>
          <w:spacing w:val="3"/>
        </w:rPr>
        <w:t xml:space="preserve"> </w:t>
      </w:r>
      <w:r>
        <w:t>sustainable</w:t>
      </w:r>
      <w:r>
        <w:rPr>
          <w:spacing w:val="4"/>
        </w:rPr>
        <w:t xml:space="preserve"> </w:t>
      </w:r>
      <w:r>
        <w:t>pharmaceutical</w:t>
      </w:r>
      <w:r>
        <w:rPr>
          <w:spacing w:val="3"/>
        </w:rPr>
        <w:t xml:space="preserve"> </w:t>
      </w:r>
      <w:r>
        <w:t>services</w:t>
      </w:r>
      <w:r>
        <w:rPr>
          <w:spacing w:val="4"/>
        </w:rPr>
        <w:t xml:space="preserve"> </w:t>
      </w:r>
      <w:r>
        <w:t>by</w:t>
      </w:r>
      <w:r>
        <w:rPr>
          <w:spacing w:val="3"/>
        </w:rPr>
        <w:t xml:space="preserve"> </w:t>
      </w:r>
      <w:proofErr w:type="spellStart"/>
      <w:r>
        <w:t>subsidising</w:t>
      </w:r>
      <w:proofErr w:type="spellEnd"/>
      <w:r>
        <w:rPr>
          <w:spacing w:val="3"/>
        </w:rPr>
        <w:t xml:space="preserve"> </w:t>
      </w:r>
      <w:r>
        <w:t>the</w:t>
      </w:r>
      <w:r>
        <w:rPr>
          <w:spacing w:val="3"/>
        </w:rPr>
        <w:t xml:space="preserve"> </w:t>
      </w:r>
      <w:r>
        <w:t>cost</w:t>
      </w:r>
      <w:r>
        <w:rPr>
          <w:spacing w:val="3"/>
        </w:rPr>
        <w:t xml:space="preserve"> </w:t>
      </w:r>
      <w:r>
        <w:t>of</w:t>
      </w:r>
      <w:r>
        <w:rPr>
          <w:spacing w:val="4"/>
        </w:rPr>
        <w:t xml:space="preserve"> </w:t>
      </w:r>
      <w:r>
        <w:t>medicines</w:t>
      </w:r>
      <w:r>
        <w:rPr>
          <w:spacing w:val="1"/>
        </w:rPr>
        <w:t xml:space="preserve"> </w:t>
      </w:r>
      <w:r>
        <w:t>through</w:t>
      </w:r>
      <w:r>
        <w:rPr>
          <w:spacing w:val="1"/>
        </w:rPr>
        <w:t xml:space="preserve"> </w:t>
      </w:r>
      <w:r>
        <w:t>the</w:t>
      </w:r>
      <w:r>
        <w:rPr>
          <w:spacing w:val="1"/>
        </w:rPr>
        <w:t xml:space="preserve"> </w:t>
      </w:r>
      <w:r>
        <w:t>Pharmaceutical</w:t>
      </w:r>
      <w:r>
        <w:rPr>
          <w:spacing w:val="1"/>
        </w:rPr>
        <w:t xml:space="preserve"> </w:t>
      </w:r>
      <w:r>
        <w:t>Benefits</w:t>
      </w:r>
      <w:r>
        <w:rPr>
          <w:spacing w:val="1"/>
        </w:rPr>
        <w:t xml:space="preserve"> </w:t>
      </w:r>
      <w:r>
        <w:t>Scheme</w:t>
      </w:r>
      <w:r>
        <w:rPr>
          <w:spacing w:val="1"/>
        </w:rPr>
        <w:t xml:space="preserve"> </w:t>
      </w:r>
      <w:r>
        <w:t>(PBS)</w:t>
      </w:r>
      <w:r>
        <w:rPr>
          <w:spacing w:val="1"/>
        </w:rPr>
        <w:t xml:space="preserve"> </w:t>
      </w:r>
      <w:r>
        <w:t>and</w:t>
      </w:r>
      <w:r>
        <w:rPr>
          <w:spacing w:val="1"/>
        </w:rPr>
        <w:t xml:space="preserve"> </w:t>
      </w:r>
      <w:r>
        <w:t>the</w:t>
      </w:r>
      <w:r>
        <w:rPr>
          <w:spacing w:val="1"/>
        </w:rPr>
        <w:t xml:space="preserve"> </w:t>
      </w:r>
      <w:r>
        <w:t>Life</w:t>
      </w:r>
      <w:r>
        <w:rPr>
          <w:spacing w:val="1"/>
        </w:rPr>
        <w:t xml:space="preserve"> </w:t>
      </w:r>
      <w:r>
        <w:t>Saving</w:t>
      </w:r>
      <w:r>
        <w:rPr>
          <w:spacing w:val="2"/>
        </w:rPr>
        <w:t xml:space="preserve"> </w:t>
      </w:r>
      <w:r>
        <w:t>Drugs</w:t>
      </w:r>
      <w:r>
        <w:rPr>
          <w:spacing w:val="1"/>
        </w:rPr>
        <w:t xml:space="preserve"> </w:t>
      </w:r>
      <w:r>
        <w:t>Program</w:t>
      </w:r>
      <w:r>
        <w:rPr>
          <w:spacing w:val="1"/>
        </w:rPr>
        <w:t xml:space="preserve"> </w:t>
      </w:r>
      <w:r>
        <w:t>(LSDP).</w:t>
      </w:r>
    </w:p>
    <w:p w14:paraId="632E7A34" w14:textId="77777777" w:rsidR="00E90764" w:rsidRPr="00CF6322" w:rsidRDefault="0099166C" w:rsidP="005C3FDA">
      <w:pPr>
        <w:pStyle w:val="Heading4"/>
      </w:pPr>
      <w:r w:rsidRPr="00CF6322">
        <w:t>Our Oper</w:t>
      </w:r>
      <w:r w:rsidRPr="005C3FDA">
        <w:t>a</w:t>
      </w:r>
      <w:r w:rsidRPr="00CF6322">
        <w:t>ting Focus</w:t>
      </w:r>
    </w:p>
    <w:p w14:paraId="632E7A35" w14:textId="615A7DF6" w:rsidR="00E90764" w:rsidRPr="00CF6322" w:rsidRDefault="0099166C" w:rsidP="001D1CF9">
      <w:pPr>
        <w:pStyle w:val="BodyText"/>
      </w:pPr>
      <w:r w:rsidRPr="00CF6322">
        <w:t xml:space="preserve">To ensure eligible Australians can access cost effective and affordable medicines, we continue </w:t>
      </w:r>
      <w:proofErr w:type="spellStart"/>
      <w:r w:rsidRPr="00CF6322">
        <w:t>subsidisation</w:t>
      </w:r>
      <w:proofErr w:type="spellEnd"/>
      <w:r w:rsidRPr="00CF6322">
        <w:t xml:space="preserve"> of the</w:t>
      </w:r>
      <w:r w:rsidR="00F33F9D" w:rsidRPr="00CF6322">
        <w:t xml:space="preserve"> </w:t>
      </w:r>
      <w:r w:rsidRPr="00CF6322">
        <w:t>cost of medicines through the PBS, supported through the Medicines Funding Guarantee.</w:t>
      </w:r>
    </w:p>
    <w:p w14:paraId="632E7A36" w14:textId="77777777" w:rsidR="00E90764" w:rsidRPr="00CF6322" w:rsidRDefault="0099166C" w:rsidP="001D1CF9">
      <w:pPr>
        <w:pStyle w:val="BodyText"/>
      </w:pPr>
      <w:r w:rsidRPr="00CF6322">
        <w:t>The Australian Government’s public subsidy of medicines, treatments and health services under the PBS, Medicare and other access programs is informed by expert Health Technology Assessment (HTA) evaluations.</w:t>
      </w:r>
    </w:p>
    <w:p w14:paraId="6FB377B6" w14:textId="77777777" w:rsidR="00621452" w:rsidRDefault="0099166C" w:rsidP="001D1CF9">
      <w:pPr>
        <w:pStyle w:val="BodyText"/>
      </w:pPr>
      <w:r w:rsidRPr="00CF6322">
        <w:t>We will continue to support ongoing access to the latest innovative medicines for patients, significant savings for Australians and eligible residents, and provide much needed stability for the medicines industry through the Strategic Agreements with Medicines Australia and the Generic and Biosimilar Medicines Association.</w:t>
      </w:r>
    </w:p>
    <w:p w14:paraId="632E7A38" w14:textId="2F3BC551" w:rsidR="00E90764" w:rsidRPr="00CF6322" w:rsidRDefault="0099166C" w:rsidP="001D1CF9">
      <w:pPr>
        <w:pStyle w:val="BodyText"/>
      </w:pPr>
      <w:r w:rsidRPr="00CF6322">
        <w:t>We will continue to build on the foundational capability of the Health Products Portal (HPP). The release of the HPP prototype during 2020 enabled the pharmaceutical sector to digitally register and apply for new PBS listings through the Pharmaceutical Benefits Advisory Committee (PBAC).</w:t>
      </w:r>
    </w:p>
    <w:p w14:paraId="632E7A39" w14:textId="77777777" w:rsidR="00E90764" w:rsidRPr="00CF6322" w:rsidRDefault="0099166C" w:rsidP="001D1CF9">
      <w:pPr>
        <w:pStyle w:val="BodyText"/>
      </w:pPr>
      <w:r w:rsidRPr="00CF6322">
        <w:t xml:space="preserve">Further development of the HPP will include </w:t>
      </w:r>
      <w:proofErr w:type="spellStart"/>
      <w:r w:rsidRPr="00CF6322">
        <w:t>digitising</w:t>
      </w:r>
      <w:proofErr w:type="spellEnd"/>
      <w:r w:rsidRPr="00CF6322">
        <w:t xml:space="preserve"> the subsequent stages of PBS listing, including evaluation, negotiation, and publication. Ultimately, submissions to the Medical Services Advisory Committee and the Prostheses List Advisory Committee will also be through the HPP. This will result in significant regulatory savings to industry and reduction of red tape by providing a single, secure, and easy to use place where industry can interact with government to apply, track, pay for, and manage listings for regulated and </w:t>
      </w:r>
      <w:proofErr w:type="spellStart"/>
      <w:r w:rsidRPr="00CF6322">
        <w:t>subsidised</w:t>
      </w:r>
      <w:proofErr w:type="spellEnd"/>
      <w:r w:rsidRPr="00CF6322">
        <w:t xml:space="preserve"> health related products and services.</w:t>
      </w:r>
    </w:p>
    <w:p w14:paraId="632E7A3C" w14:textId="77777777" w:rsidR="00E90764" w:rsidRPr="00CF6322" w:rsidRDefault="00E90764" w:rsidP="001D1CF9">
      <w:pPr>
        <w:pStyle w:val="BodyText"/>
      </w:pPr>
    </w:p>
    <w:tbl>
      <w:tblPr>
        <w:tblW w:w="103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0" w:type="dxa"/>
        </w:tblCellMar>
        <w:tblLook w:val="01E0" w:firstRow="1" w:lastRow="1" w:firstColumn="1" w:lastColumn="1" w:noHBand="0" w:noVBand="0"/>
      </w:tblPr>
      <w:tblGrid>
        <w:gridCol w:w="8541"/>
        <w:gridCol w:w="441"/>
        <w:gridCol w:w="441"/>
        <w:gridCol w:w="439"/>
        <w:gridCol w:w="441"/>
      </w:tblGrid>
      <w:tr w:rsidR="00E90764" w:rsidRPr="00CF6322" w14:paraId="632E7A43" w14:textId="77777777" w:rsidTr="00FA6C8A">
        <w:trPr>
          <w:trHeight w:val="1167"/>
          <w:tblHeader/>
        </w:trPr>
        <w:tc>
          <w:tcPr>
            <w:tcW w:w="8541" w:type="dxa"/>
            <w:shd w:val="clear" w:color="auto" w:fill="auto"/>
          </w:tcPr>
          <w:p w14:paraId="632E7A3E" w14:textId="77777777" w:rsidR="00E90764" w:rsidRPr="005C3FDA" w:rsidRDefault="0099166C" w:rsidP="001D1CF9">
            <w:pPr>
              <w:pStyle w:val="BodyText"/>
              <w:rPr>
                <w:rStyle w:val="Strong"/>
              </w:rPr>
            </w:pPr>
            <w:r w:rsidRPr="005C3FDA">
              <w:rPr>
                <w:rStyle w:val="Strong"/>
              </w:rPr>
              <w:t>Key Activities</w:t>
            </w:r>
          </w:p>
        </w:tc>
        <w:tc>
          <w:tcPr>
            <w:tcW w:w="441" w:type="dxa"/>
            <w:shd w:val="clear" w:color="auto" w:fill="auto"/>
            <w:textDirection w:val="tbRl"/>
          </w:tcPr>
          <w:p w14:paraId="632E7A3F" w14:textId="77777777" w:rsidR="00E90764" w:rsidRPr="005C3FDA" w:rsidRDefault="0099166C" w:rsidP="001D1CF9">
            <w:pPr>
              <w:pStyle w:val="BodyText"/>
              <w:rPr>
                <w:rStyle w:val="Strong"/>
              </w:rPr>
            </w:pPr>
            <w:r w:rsidRPr="005C3FDA">
              <w:rPr>
                <w:rStyle w:val="Strong"/>
              </w:rPr>
              <w:t>2021–22</w:t>
            </w:r>
          </w:p>
        </w:tc>
        <w:tc>
          <w:tcPr>
            <w:tcW w:w="441" w:type="dxa"/>
            <w:shd w:val="clear" w:color="auto" w:fill="auto"/>
            <w:textDirection w:val="tbRl"/>
          </w:tcPr>
          <w:p w14:paraId="632E7A40" w14:textId="77777777" w:rsidR="00E90764" w:rsidRPr="005C3FDA" w:rsidRDefault="0099166C" w:rsidP="001D1CF9">
            <w:pPr>
              <w:pStyle w:val="BodyText"/>
              <w:rPr>
                <w:rStyle w:val="Strong"/>
              </w:rPr>
            </w:pPr>
            <w:r w:rsidRPr="005C3FDA">
              <w:rPr>
                <w:rStyle w:val="Strong"/>
              </w:rPr>
              <w:t>2022–23</w:t>
            </w:r>
          </w:p>
        </w:tc>
        <w:tc>
          <w:tcPr>
            <w:tcW w:w="439" w:type="dxa"/>
            <w:shd w:val="clear" w:color="auto" w:fill="auto"/>
            <w:textDirection w:val="tbRl"/>
          </w:tcPr>
          <w:p w14:paraId="632E7A41" w14:textId="77777777" w:rsidR="00E90764" w:rsidRPr="005C3FDA" w:rsidRDefault="0099166C" w:rsidP="001D1CF9">
            <w:pPr>
              <w:pStyle w:val="BodyText"/>
              <w:rPr>
                <w:rStyle w:val="Strong"/>
              </w:rPr>
            </w:pPr>
            <w:r w:rsidRPr="005C3FDA">
              <w:rPr>
                <w:rStyle w:val="Strong"/>
              </w:rPr>
              <w:t>2023–24</w:t>
            </w:r>
          </w:p>
        </w:tc>
        <w:tc>
          <w:tcPr>
            <w:tcW w:w="441" w:type="dxa"/>
            <w:shd w:val="clear" w:color="auto" w:fill="auto"/>
            <w:textDirection w:val="tbRl"/>
          </w:tcPr>
          <w:p w14:paraId="632E7A42" w14:textId="77777777" w:rsidR="00E90764" w:rsidRPr="005C3FDA" w:rsidRDefault="0099166C" w:rsidP="001D1CF9">
            <w:pPr>
              <w:pStyle w:val="BodyText"/>
              <w:rPr>
                <w:rStyle w:val="Strong"/>
              </w:rPr>
            </w:pPr>
            <w:r w:rsidRPr="005C3FDA">
              <w:rPr>
                <w:rStyle w:val="Strong"/>
              </w:rPr>
              <w:t>2024–25</w:t>
            </w:r>
          </w:p>
        </w:tc>
      </w:tr>
      <w:tr w:rsidR="00E90764" w:rsidRPr="00CF6322" w14:paraId="632E7A49" w14:textId="77777777" w:rsidTr="008C02B5">
        <w:trPr>
          <w:trHeight w:val="582"/>
        </w:trPr>
        <w:tc>
          <w:tcPr>
            <w:tcW w:w="8541" w:type="dxa"/>
            <w:shd w:val="clear" w:color="auto" w:fill="auto"/>
          </w:tcPr>
          <w:p w14:paraId="632E7A44" w14:textId="09A340D8" w:rsidR="00E90764" w:rsidRPr="00CF6322" w:rsidRDefault="0099166C" w:rsidP="001D1CF9">
            <w:pPr>
              <w:pStyle w:val="BodyText"/>
            </w:pPr>
            <w:r w:rsidRPr="00CF6322">
              <w:t>Facilitating equitable access to essential PBS medicines for all Australians, including people living in</w:t>
            </w:r>
            <w:r w:rsidR="00F33F9D" w:rsidRPr="00CF6322">
              <w:t xml:space="preserve"> </w:t>
            </w:r>
            <w:r w:rsidRPr="00CF6322">
              <w:t>remote and Aboriginal and Torres Strait Islander communities.</w:t>
            </w:r>
          </w:p>
        </w:tc>
        <w:tc>
          <w:tcPr>
            <w:tcW w:w="441" w:type="dxa"/>
            <w:shd w:val="clear" w:color="auto" w:fill="auto"/>
          </w:tcPr>
          <w:p w14:paraId="632E7A45" w14:textId="39E8186B"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A46" w14:textId="7672D1CE"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A47" w14:textId="2E8604A9"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A48" w14:textId="13F80D31" w:rsidR="00E90764" w:rsidRPr="00CF6322" w:rsidRDefault="00041BDA" w:rsidP="001D1CF9">
            <w:pPr>
              <w:pStyle w:val="BodyText"/>
            </w:pPr>
            <w:r>
              <w:rPr>
                <w:rFonts w:ascii="Segoe UI Symbol" w:hAnsi="Segoe UI Symbol" w:cs="Segoe UI Symbol"/>
              </w:rPr>
              <w:t>✓</w:t>
            </w:r>
          </w:p>
        </w:tc>
      </w:tr>
      <w:tr w:rsidR="00E90764" w:rsidRPr="00CF6322" w14:paraId="632E7A4F" w14:textId="77777777" w:rsidTr="008C02B5">
        <w:trPr>
          <w:trHeight w:val="582"/>
        </w:trPr>
        <w:tc>
          <w:tcPr>
            <w:tcW w:w="8541" w:type="dxa"/>
            <w:shd w:val="clear" w:color="auto" w:fill="auto"/>
          </w:tcPr>
          <w:p w14:paraId="632E7A4A" w14:textId="01754EBF" w:rsidR="00E90764" w:rsidRPr="00CF6322" w:rsidRDefault="0099166C" w:rsidP="001D1CF9">
            <w:pPr>
              <w:pStyle w:val="BodyText"/>
            </w:pPr>
            <w:r w:rsidRPr="00CF6322">
              <w:t>Contributing to a sustainable PBS by supporting the PBAC to assess each medicine’s safety, clinical</w:t>
            </w:r>
            <w:r w:rsidR="008C02B5">
              <w:t xml:space="preserve"> </w:t>
            </w:r>
            <w:r w:rsidRPr="00CF6322">
              <w:t>effectiveness and cost effectiveness compared with other comparable treatments.</w:t>
            </w:r>
          </w:p>
        </w:tc>
        <w:tc>
          <w:tcPr>
            <w:tcW w:w="441" w:type="dxa"/>
            <w:shd w:val="clear" w:color="auto" w:fill="auto"/>
          </w:tcPr>
          <w:p w14:paraId="632E7A4B" w14:textId="6E50FE78"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A4C" w14:textId="78FA2A5E"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A4D" w14:textId="7DBED9B6"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A4E" w14:textId="798B1D5C" w:rsidR="00E90764" w:rsidRPr="00CF6322" w:rsidRDefault="00041BDA" w:rsidP="001D1CF9">
            <w:pPr>
              <w:pStyle w:val="BodyText"/>
            </w:pPr>
            <w:r>
              <w:rPr>
                <w:rFonts w:ascii="Segoe UI Symbol" w:hAnsi="Segoe UI Symbol" w:cs="Segoe UI Symbol"/>
              </w:rPr>
              <w:t>✓</w:t>
            </w:r>
          </w:p>
        </w:tc>
      </w:tr>
      <w:tr w:rsidR="00E90764" w:rsidRPr="00CF6322" w14:paraId="632E7A55" w14:textId="77777777" w:rsidTr="008C02B5">
        <w:trPr>
          <w:trHeight w:val="582"/>
        </w:trPr>
        <w:tc>
          <w:tcPr>
            <w:tcW w:w="8541" w:type="dxa"/>
            <w:shd w:val="clear" w:color="auto" w:fill="auto"/>
          </w:tcPr>
          <w:p w14:paraId="632E7A50" w14:textId="77777777" w:rsidR="00E90764" w:rsidRPr="00CF6322" w:rsidRDefault="0099166C" w:rsidP="001D1CF9">
            <w:pPr>
              <w:pStyle w:val="BodyText"/>
            </w:pPr>
            <w:r w:rsidRPr="00CF6322">
              <w:t>Ensuring patients have access to medicines, and professional pharmacy services that support the safe and quality use of medicines through the Seventh Community Pharmacy Agreement.</w:t>
            </w:r>
          </w:p>
        </w:tc>
        <w:tc>
          <w:tcPr>
            <w:tcW w:w="441" w:type="dxa"/>
            <w:shd w:val="clear" w:color="auto" w:fill="auto"/>
          </w:tcPr>
          <w:p w14:paraId="632E7A51" w14:textId="32EE3ABC"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A52" w14:textId="2FDB1501"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A53" w14:textId="599CD633"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A54" w14:textId="4D823DE4" w:rsidR="00E90764" w:rsidRPr="00CF6322" w:rsidRDefault="00041BDA" w:rsidP="001D1CF9">
            <w:pPr>
              <w:pStyle w:val="BodyText"/>
            </w:pPr>
            <w:r>
              <w:rPr>
                <w:rFonts w:ascii="Segoe UI Symbol" w:hAnsi="Segoe UI Symbol" w:cs="Segoe UI Symbol"/>
              </w:rPr>
              <w:t>✓</w:t>
            </w:r>
          </w:p>
        </w:tc>
      </w:tr>
      <w:tr w:rsidR="00E90764" w:rsidRPr="00CF6322" w14:paraId="632E7A5F" w14:textId="77777777" w:rsidTr="008C02B5">
        <w:trPr>
          <w:trHeight w:val="822"/>
        </w:trPr>
        <w:tc>
          <w:tcPr>
            <w:tcW w:w="8541" w:type="dxa"/>
            <w:shd w:val="clear" w:color="auto" w:fill="auto"/>
          </w:tcPr>
          <w:p w14:paraId="632E7A56" w14:textId="77777777" w:rsidR="00E90764" w:rsidRPr="00CF6322" w:rsidRDefault="0099166C" w:rsidP="001D1CF9">
            <w:pPr>
              <w:pStyle w:val="BodyText"/>
            </w:pPr>
            <w:r w:rsidRPr="00CF6322">
              <w:t xml:space="preserve">Supporting and monitoring pharmaceutical wholesalers participating in the Community Service Obligation Funding Pool to ensure all eligible Australians have timely access to PBS medicines, including delivering </w:t>
            </w:r>
            <w:proofErr w:type="spellStart"/>
            <w:r w:rsidRPr="00CF6322">
              <w:t>subsidised</w:t>
            </w:r>
            <w:proofErr w:type="spellEnd"/>
            <w:r w:rsidRPr="00CF6322">
              <w:t xml:space="preserve"> PBS units to community pharmacies within agreed timeframes.</w:t>
            </w:r>
          </w:p>
        </w:tc>
        <w:tc>
          <w:tcPr>
            <w:tcW w:w="441" w:type="dxa"/>
            <w:shd w:val="clear" w:color="auto" w:fill="auto"/>
            <w:vAlign w:val="center"/>
          </w:tcPr>
          <w:p w14:paraId="632E7A58" w14:textId="7B2F0A04"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A5A" w14:textId="5857993B"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A5C" w14:textId="5B7ECBA4"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A5E" w14:textId="701B9657" w:rsidR="00E90764" w:rsidRPr="00CF6322" w:rsidRDefault="00041BDA" w:rsidP="001D1CF9">
            <w:pPr>
              <w:pStyle w:val="BodyText"/>
            </w:pPr>
            <w:r>
              <w:rPr>
                <w:rFonts w:ascii="Segoe UI Symbol" w:hAnsi="Segoe UI Symbol" w:cs="Segoe UI Symbol"/>
              </w:rPr>
              <w:t>✓</w:t>
            </w:r>
          </w:p>
        </w:tc>
      </w:tr>
      <w:tr w:rsidR="00E90764" w:rsidRPr="00CF6322" w14:paraId="632E7A65" w14:textId="77777777" w:rsidTr="008C02B5">
        <w:trPr>
          <w:trHeight w:val="582"/>
        </w:trPr>
        <w:tc>
          <w:tcPr>
            <w:tcW w:w="8541" w:type="dxa"/>
            <w:shd w:val="clear" w:color="auto" w:fill="auto"/>
          </w:tcPr>
          <w:p w14:paraId="632E7A60" w14:textId="77777777" w:rsidR="00E90764" w:rsidRPr="00CF6322" w:rsidRDefault="0099166C" w:rsidP="001D1CF9">
            <w:pPr>
              <w:pStyle w:val="BodyText"/>
            </w:pPr>
            <w:r w:rsidRPr="00CF6322">
              <w:t>Monitoring the number and location of PBS suppliers to ensure suppliers are being approved in appropriate locations.</w:t>
            </w:r>
          </w:p>
        </w:tc>
        <w:tc>
          <w:tcPr>
            <w:tcW w:w="441" w:type="dxa"/>
            <w:shd w:val="clear" w:color="auto" w:fill="auto"/>
            <w:vAlign w:val="center"/>
          </w:tcPr>
          <w:p w14:paraId="632E7A61" w14:textId="19FFB455"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A62" w14:textId="386F6F6B"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A63" w14:textId="25191EFB"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A64" w14:textId="06B22EF4" w:rsidR="00E90764" w:rsidRPr="00CF6322" w:rsidRDefault="00041BDA" w:rsidP="001D1CF9">
            <w:pPr>
              <w:pStyle w:val="BodyText"/>
            </w:pPr>
            <w:r>
              <w:rPr>
                <w:rFonts w:ascii="Segoe UI Symbol" w:hAnsi="Segoe UI Symbol" w:cs="Segoe UI Symbol"/>
              </w:rPr>
              <w:t>✓</w:t>
            </w:r>
          </w:p>
        </w:tc>
      </w:tr>
      <w:tr w:rsidR="00E90764" w:rsidRPr="00CF6322" w14:paraId="632E7A6B" w14:textId="77777777" w:rsidTr="008C02B5">
        <w:trPr>
          <w:trHeight w:val="582"/>
        </w:trPr>
        <w:tc>
          <w:tcPr>
            <w:tcW w:w="8541" w:type="dxa"/>
            <w:shd w:val="clear" w:color="auto" w:fill="auto"/>
          </w:tcPr>
          <w:p w14:paraId="632E7A66" w14:textId="39AB8A16" w:rsidR="00E90764" w:rsidRPr="00CF6322" w:rsidRDefault="0099166C" w:rsidP="001D1CF9">
            <w:pPr>
              <w:pStyle w:val="BodyText"/>
            </w:pPr>
            <w:r w:rsidRPr="00CF6322">
              <w:t>Undertaking post market surveillance and ongoing reviews of PBS listed medicines to ensure they</w:t>
            </w:r>
            <w:r w:rsidR="008C02B5">
              <w:t xml:space="preserve"> </w:t>
            </w:r>
            <w:r w:rsidRPr="00CF6322">
              <w:t>are clinically appropriate and cost effective for patients.</w:t>
            </w:r>
          </w:p>
        </w:tc>
        <w:tc>
          <w:tcPr>
            <w:tcW w:w="441" w:type="dxa"/>
            <w:shd w:val="clear" w:color="auto" w:fill="auto"/>
            <w:vAlign w:val="center"/>
          </w:tcPr>
          <w:p w14:paraId="632E7A67" w14:textId="6A2D969D"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A68" w14:textId="50DCDEA1"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A69" w14:textId="2290183A"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A6A" w14:textId="0D60241A" w:rsidR="00E90764" w:rsidRPr="00CF6322" w:rsidRDefault="00041BDA" w:rsidP="001D1CF9">
            <w:pPr>
              <w:pStyle w:val="BodyText"/>
            </w:pPr>
            <w:r>
              <w:rPr>
                <w:rFonts w:ascii="Segoe UI Symbol" w:hAnsi="Segoe UI Symbol" w:cs="Segoe UI Symbol"/>
              </w:rPr>
              <w:t>✓</w:t>
            </w:r>
          </w:p>
        </w:tc>
      </w:tr>
      <w:tr w:rsidR="00E90764" w:rsidRPr="00CF6322" w14:paraId="632E7A75" w14:textId="77777777" w:rsidTr="008C02B5">
        <w:trPr>
          <w:trHeight w:val="822"/>
        </w:trPr>
        <w:tc>
          <w:tcPr>
            <w:tcW w:w="8541" w:type="dxa"/>
            <w:shd w:val="clear" w:color="auto" w:fill="auto"/>
          </w:tcPr>
          <w:p w14:paraId="632E7A6C" w14:textId="77777777" w:rsidR="00E90764" w:rsidRPr="00CF6322" w:rsidRDefault="0099166C" w:rsidP="001D1CF9">
            <w:pPr>
              <w:pStyle w:val="BodyText"/>
            </w:pPr>
            <w:r w:rsidRPr="00CF6322">
              <w:t>Providing access to new and existing medicines for patients with life threatening conditions, assessing applications against eligibility criteria for LSDP medicines, and administering medicine orders within agreed timeframes.</w:t>
            </w:r>
          </w:p>
        </w:tc>
        <w:tc>
          <w:tcPr>
            <w:tcW w:w="441" w:type="dxa"/>
            <w:shd w:val="clear" w:color="auto" w:fill="auto"/>
            <w:vAlign w:val="center"/>
          </w:tcPr>
          <w:p w14:paraId="632E7A6E" w14:textId="3DEEAA5F"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A70" w14:textId="23D87DD5"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A72" w14:textId="5B4472BD"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A74" w14:textId="57D19826" w:rsidR="00E90764" w:rsidRPr="00CF6322" w:rsidRDefault="00041BDA" w:rsidP="001D1CF9">
            <w:pPr>
              <w:pStyle w:val="BodyText"/>
            </w:pPr>
            <w:r>
              <w:rPr>
                <w:rFonts w:ascii="Segoe UI Symbol" w:hAnsi="Segoe UI Symbol" w:cs="Segoe UI Symbol"/>
              </w:rPr>
              <w:t>✓</w:t>
            </w:r>
          </w:p>
        </w:tc>
      </w:tr>
      <w:tr w:rsidR="00E90764" w:rsidRPr="00CF6322" w14:paraId="632E7A7B" w14:textId="77777777" w:rsidTr="008C02B5">
        <w:trPr>
          <w:trHeight w:val="582"/>
        </w:trPr>
        <w:tc>
          <w:tcPr>
            <w:tcW w:w="8541" w:type="dxa"/>
            <w:shd w:val="clear" w:color="auto" w:fill="auto"/>
          </w:tcPr>
          <w:p w14:paraId="632E7A76" w14:textId="77777777" w:rsidR="00E90764" w:rsidRPr="00CF6322" w:rsidRDefault="0099166C" w:rsidP="001D1CF9">
            <w:pPr>
              <w:pStyle w:val="BodyText"/>
            </w:pPr>
            <w:r w:rsidRPr="00CF6322">
              <w:t>Extending the Take Home Naloxone Program in the 3 jurisdictions (New South Wales, South Australia and Western Australia) where it is currently operating.</w:t>
            </w:r>
          </w:p>
        </w:tc>
        <w:tc>
          <w:tcPr>
            <w:tcW w:w="441" w:type="dxa"/>
            <w:shd w:val="clear" w:color="auto" w:fill="auto"/>
          </w:tcPr>
          <w:p w14:paraId="632E7A77" w14:textId="4CA247B7"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A78" w14:textId="77777777" w:rsidR="00E90764" w:rsidRPr="00CF6322" w:rsidRDefault="00E90764" w:rsidP="001D1CF9">
            <w:pPr>
              <w:pStyle w:val="BodyText"/>
            </w:pPr>
          </w:p>
        </w:tc>
        <w:tc>
          <w:tcPr>
            <w:tcW w:w="439" w:type="dxa"/>
            <w:shd w:val="clear" w:color="auto" w:fill="auto"/>
          </w:tcPr>
          <w:p w14:paraId="632E7A79" w14:textId="77777777" w:rsidR="00E90764" w:rsidRPr="00CF6322" w:rsidRDefault="00E90764" w:rsidP="001D1CF9">
            <w:pPr>
              <w:pStyle w:val="BodyText"/>
            </w:pPr>
          </w:p>
        </w:tc>
        <w:tc>
          <w:tcPr>
            <w:tcW w:w="441" w:type="dxa"/>
            <w:shd w:val="clear" w:color="auto" w:fill="auto"/>
          </w:tcPr>
          <w:p w14:paraId="632E7A7A" w14:textId="77777777" w:rsidR="00E90764" w:rsidRPr="00CF6322" w:rsidRDefault="00E90764" w:rsidP="001D1CF9">
            <w:pPr>
              <w:pStyle w:val="BodyText"/>
            </w:pPr>
          </w:p>
        </w:tc>
      </w:tr>
      <w:tr w:rsidR="00E90764" w:rsidRPr="00CF6322" w14:paraId="632E7A82" w14:textId="77777777" w:rsidTr="008C02B5">
        <w:trPr>
          <w:trHeight w:val="1062"/>
        </w:trPr>
        <w:tc>
          <w:tcPr>
            <w:tcW w:w="8541" w:type="dxa"/>
            <w:shd w:val="clear" w:color="auto" w:fill="auto"/>
          </w:tcPr>
          <w:p w14:paraId="632E7A7C" w14:textId="04DD34FE" w:rsidR="00E90764" w:rsidRPr="00CF6322" w:rsidRDefault="0099166C" w:rsidP="001D1CF9">
            <w:pPr>
              <w:pStyle w:val="BodyText"/>
            </w:pPr>
            <w:r w:rsidRPr="00CF6322">
              <w:lastRenderedPageBreak/>
              <w:t>Supporting patient access to essential medicines during the COVID-19 pandemic through funding for medicine home deliveries, continuing dispensing arrangements and changes to PBS restrictions to ensure patients can access medicines through telehealth services and directly through pharmacies where appropriate.</w:t>
            </w:r>
          </w:p>
        </w:tc>
        <w:tc>
          <w:tcPr>
            <w:tcW w:w="441" w:type="dxa"/>
            <w:shd w:val="clear" w:color="auto" w:fill="auto"/>
          </w:tcPr>
          <w:p w14:paraId="632E7A7E" w14:textId="63E81FFF"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A7F" w14:textId="77777777" w:rsidR="00E90764" w:rsidRPr="00CF6322" w:rsidRDefault="00E90764" w:rsidP="001D1CF9">
            <w:pPr>
              <w:pStyle w:val="BodyText"/>
            </w:pPr>
          </w:p>
        </w:tc>
        <w:tc>
          <w:tcPr>
            <w:tcW w:w="439" w:type="dxa"/>
            <w:shd w:val="clear" w:color="auto" w:fill="auto"/>
          </w:tcPr>
          <w:p w14:paraId="632E7A80" w14:textId="77777777" w:rsidR="00E90764" w:rsidRPr="00CF6322" w:rsidRDefault="00E90764" w:rsidP="001D1CF9">
            <w:pPr>
              <w:pStyle w:val="BodyText"/>
            </w:pPr>
          </w:p>
        </w:tc>
        <w:tc>
          <w:tcPr>
            <w:tcW w:w="441" w:type="dxa"/>
            <w:shd w:val="clear" w:color="auto" w:fill="auto"/>
          </w:tcPr>
          <w:p w14:paraId="632E7A81" w14:textId="77777777" w:rsidR="00E90764" w:rsidRPr="00CF6322" w:rsidRDefault="00E90764" w:rsidP="001D1CF9">
            <w:pPr>
              <w:pStyle w:val="BodyText"/>
            </w:pPr>
          </w:p>
        </w:tc>
      </w:tr>
      <w:tr w:rsidR="00E90764" w:rsidRPr="00CF6322" w14:paraId="632E7A88" w14:textId="77777777" w:rsidTr="008C02B5">
        <w:trPr>
          <w:trHeight w:val="582"/>
        </w:trPr>
        <w:tc>
          <w:tcPr>
            <w:tcW w:w="8541" w:type="dxa"/>
            <w:shd w:val="clear" w:color="auto" w:fill="auto"/>
          </w:tcPr>
          <w:p w14:paraId="632E7A83" w14:textId="77777777" w:rsidR="00E90764" w:rsidRPr="00CF6322" w:rsidRDefault="0099166C" w:rsidP="001D1CF9">
            <w:pPr>
              <w:pStyle w:val="BodyText"/>
            </w:pPr>
            <w:r w:rsidRPr="00CF6322">
              <w:t>Developing the HPP to reduce red tape for the pharmaceutical industry, medical devices industry and medical services companies.</w:t>
            </w:r>
          </w:p>
        </w:tc>
        <w:tc>
          <w:tcPr>
            <w:tcW w:w="441" w:type="dxa"/>
            <w:shd w:val="clear" w:color="auto" w:fill="auto"/>
          </w:tcPr>
          <w:p w14:paraId="632E7A84" w14:textId="05489D4D"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A85" w14:textId="72DAA4F2"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A86" w14:textId="3CC2F734"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A87" w14:textId="6F868514" w:rsidR="00E90764" w:rsidRPr="00CF6322" w:rsidRDefault="00041BDA" w:rsidP="001D1CF9">
            <w:pPr>
              <w:pStyle w:val="BodyText"/>
            </w:pPr>
            <w:r>
              <w:rPr>
                <w:rFonts w:ascii="Segoe UI Symbol" w:hAnsi="Segoe UI Symbol" w:cs="Segoe UI Symbol"/>
              </w:rPr>
              <w:t>✓</w:t>
            </w:r>
          </w:p>
        </w:tc>
      </w:tr>
    </w:tbl>
    <w:p w14:paraId="632E7A8B" w14:textId="77777777" w:rsidR="00E90764" w:rsidRPr="008C02B5" w:rsidRDefault="0099166C" w:rsidP="008C02B5">
      <w:pPr>
        <w:pStyle w:val="Heading4"/>
      </w:pPr>
      <w:r w:rsidRPr="00CF6322">
        <w:t>Our Performance</w:t>
      </w:r>
    </w:p>
    <w:p w14:paraId="632E7A8C" w14:textId="77777777" w:rsidR="00E90764" w:rsidRPr="00CF6322" w:rsidRDefault="0099166C" w:rsidP="008C02B5">
      <w:pPr>
        <w:pStyle w:val="Heading5"/>
      </w:pPr>
      <w:r w:rsidRPr="00CF6322">
        <w:t xml:space="preserve">Performance Measures for </w:t>
      </w:r>
      <w:r w:rsidRPr="008C02B5">
        <w:t>Pharmaceutical</w:t>
      </w:r>
      <w:r w:rsidRPr="00CF6322">
        <w:t xml:space="preserve"> Benefits – Program 2.3</w:t>
      </w:r>
    </w:p>
    <w:tbl>
      <w:tblPr>
        <w:tblW w:w="102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0" w:type="dxa"/>
        </w:tblCellMar>
        <w:tblLook w:val="01E0" w:firstRow="1" w:lastRow="1" w:firstColumn="1" w:lastColumn="1" w:noHBand="0" w:noVBand="0"/>
      </w:tblPr>
      <w:tblGrid>
        <w:gridCol w:w="2571"/>
        <w:gridCol w:w="2571"/>
        <w:gridCol w:w="2571"/>
        <w:gridCol w:w="2571"/>
      </w:tblGrid>
      <w:tr w:rsidR="00E90764" w:rsidRPr="00CF6322" w14:paraId="632E7A8F" w14:textId="77777777" w:rsidTr="00FA6C8A">
        <w:trPr>
          <w:trHeight w:val="1215"/>
          <w:tblHeader/>
        </w:trPr>
        <w:tc>
          <w:tcPr>
            <w:tcW w:w="10284" w:type="dxa"/>
            <w:gridSpan w:val="4"/>
            <w:shd w:val="clear" w:color="auto" w:fill="auto"/>
          </w:tcPr>
          <w:p w14:paraId="632E7A8E" w14:textId="4940BE47" w:rsidR="00E90764" w:rsidRPr="005C3FDA" w:rsidRDefault="0099166C" w:rsidP="001D1CF9">
            <w:pPr>
              <w:pStyle w:val="BodyText"/>
              <w:rPr>
                <w:rStyle w:val="Strong"/>
              </w:rPr>
            </w:pPr>
            <w:r w:rsidRPr="005C3FDA">
              <w:rPr>
                <w:rStyle w:val="Strong"/>
              </w:rPr>
              <w:t>Percentage of new medicines that are recommended by the Pharmaceutical Benefits Advisory Committee (PBAC) are listed on the Pharmaceutical Benefits Scheme (PBS) within 6 months of in-principle agreement to listing arrangements, where a listing proposal is provided by the sponsor at the earliest opportunity following a PBAC recommendation.</w:t>
            </w:r>
            <w:r w:rsidR="008C02B5" w:rsidRPr="005C3FDA">
              <w:rPr>
                <w:rStyle w:val="Strong"/>
                <w:vertAlign w:val="superscript"/>
              </w:rPr>
              <w:footnoteReference w:id="54"/>
            </w:r>
          </w:p>
        </w:tc>
      </w:tr>
      <w:tr w:rsidR="00E90764" w:rsidRPr="00CF6322" w14:paraId="632E7A94" w14:textId="77777777" w:rsidTr="008C02B5">
        <w:trPr>
          <w:trHeight w:val="458"/>
        </w:trPr>
        <w:tc>
          <w:tcPr>
            <w:tcW w:w="2571" w:type="dxa"/>
            <w:shd w:val="clear" w:color="auto" w:fill="auto"/>
          </w:tcPr>
          <w:p w14:paraId="632E7A90" w14:textId="77777777" w:rsidR="00E90764" w:rsidRPr="005C3FDA" w:rsidRDefault="0099166C" w:rsidP="001D1CF9">
            <w:pPr>
              <w:pStyle w:val="BodyText"/>
              <w:rPr>
                <w:rStyle w:val="Strong"/>
              </w:rPr>
            </w:pPr>
            <w:r w:rsidRPr="005C3FDA">
              <w:rPr>
                <w:rStyle w:val="Strong"/>
              </w:rPr>
              <w:t>2021–22 Target</w:t>
            </w:r>
          </w:p>
        </w:tc>
        <w:tc>
          <w:tcPr>
            <w:tcW w:w="2571" w:type="dxa"/>
            <w:shd w:val="clear" w:color="auto" w:fill="auto"/>
          </w:tcPr>
          <w:p w14:paraId="632E7A91" w14:textId="77777777" w:rsidR="00E90764" w:rsidRPr="005C3FDA" w:rsidRDefault="0099166C" w:rsidP="001D1CF9">
            <w:pPr>
              <w:pStyle w:val="BodyText"/>
              <w:rPr>
                <w:rStyle w:val="Strong"/>
              </w:rPr>
            </w:pPr>
            <w:r w:rsidRPr="005C3FDA">
              <w:rPr>
                <w:rStyle w:val="Strong"/>
              </w:rPr>
              <w:t>2022–23 Target</w:t>
            </w:r>
          </w:p>
        </w:tc>
        <w:tc>
          <w:tcPr>
            <w:tcW w:w="2571" w:type="dxa"/>
            <w:shd w:val="clear" w:color="auto" w:fill="auto"/>
          </w:tcPr>
          <w:p w14:paraId="632E7A92" w14:textId="77777777" w:rsidR="00E90764" w:rsidRPr="005C3FDA" w:rsidRDefault="0099166C" w:rsidP="001D1CF9">
            <w:pPr>
              <w:pStyle w:val="BodyText"/>
              <w:rPr>
                <w:rStyle w:val="Strong"/>
              </w:rPr>
            </w:pPr>
            <w:r w:rsidRPr="005C3FDA">
              <w:rPr>
                <w:rStyle w:val="Strong"/>
              </w:rPr>
              <w:t>2023–24 Target</w:t>
            </w:r>
          </w:p>
        </w:tc>
        <w:tc>
          <w:tcPr>
            <w:tcW w:w="2571" w:type="dxa"/>
            <w:shd w:val="clear" w:color="auto" w:fill="auto"/>
          </w:tcPr>
          <w:p w14:paraId="632E7A93" w14:textId="77777777" w:rsidR="00E90764" w:rsidRPr="005C3FDA" w:rsidRDefault="0099166C" w:rsidP="001D1CF9">
            <w:pPr>
              <w:pStyle w:val="BodyText"/>
              <w:rPr>
                <w:rStyle w:val="Strong"/>
              </w:rPr>
            </w:pPr>
            <w:r w:rsidRPr="005C3FDA">
              <w:rPr>
                <w:rStyle w:val="Strong"/>
              </w:rPr>
              <w:t>2024–25 Target</w:t>
            </w:r>
          </w:p>
        </w:tc>
      </w:tr>
      <w:tr w:rsidR="00E90764" w:rsidRPr="00CF6322" w14:paraId="632E7A99" w14:textId="77777777" w:rsidTr="008C02B5">
        <w:trPr>
          <w:trHeight w:val="465"/>
        </w:trPr>
        <w:tc>
          <w:tcPr>
            <w:tcW w:w="2571" w:type="dxa"/>
            <w:shd w:val="clear" w:color="auto" w:fill="auto"/>
          </w:tcPr>
          <w:p w14:paraId="632E7A95" w14:textId="77777777" w:rsidR="00E90764" w:rsidRPr="00CF6322" w:rsidRDefault="0099166C" w:rsidP="001D1CF9">
            <w:pPr>
              <w:pStyle w:val="BodyText"/>
            </w:pPr>
            <w:r w:rsidRPr="00CF6322">
              <w:t>≥80%</w:t>
            </w:r>
          </w:p>
        </w:tc>
        <w:tc>
          <w:tcPr>
            <w:tcW w:w="2571" w:type="dxa"/>
            <w:shd w:val="clear" w:color="auto" w:fill="auto"/>
          </w:tcPr>
          <w:p w14:paraId="632E7A96" w14:textId="77777777" w:rsidR="00E90764" w:rsidRPr="00CF6322" w:rsidRDefault="0099166C" w:rsidP="001D1CF9">
            <w:pPr>
              <w:pStyle w:val="BodyText"/>
            </w:pPr>
            <w:r w:rsidRPr="00CF6322">
              <w:t>≥80%</w:t>
            </w:r>
          </w:p>
        </w:tc>
        <w:tc>
          <w:tcPr>
            <w:tcW w:w="2571" w:type="dxa"/>
            <w:shd w:val="clear" w:color="auto" w:fill="auto"/>
          </w:tcPr>
          <w:p w14:paraId="632E7A97" w14:textId="77777777" w:rsidR="00E90764" w:rsidRPr="00CF6322" w:rsidRDefault="0099166C" w:rsidP="001D1CF9">
            <w:pPr>
              <w:pStyle w:val="BodyText"/>
            </w:pPr>
            <w:r w:rsidRPr="00CF6322">
              <w:t>≥80%</w:t>
            </w:r>
          </w:p>
        </w:tc>
        <w:tc>
          <w:tcPr>
            <w:tcW w:w="2571" w:type="dxa"/>
            <w:shd w:val="clear" w:color="auto" w:fill="auto"/>
          </w:tcPr>
          <w:p w14:paraId="632E7A98" w14:textId="77777777" w:rsidR="00E90764" w:rsidRPr="00CF6322" w:rsidRDefault="0099166C" w:rsidP="001D1CF9">
            <w:pPr>
              <w:pStyle w:val="BodyText"/>
            </w:pPr>
            <w:r w:rsidRPr="00CF6322">
              <w:t>≥80%</w:t>
            </w:r>
          </w:p>
        </w:tc>
      </w:tr>
      <w:tr w:rsidR="00E90764" w:rsidRPr="00CF6322" w14:paraId="632E7AA4" w14:textId="77777777" w:rsidTr="008C02B5">
        <w:trPr>
          <w:trHeight w:val="5429"/>
        </w:trPr>
        <w:tc>
          <w:tcPr>
            <w:tcW w:w="10284" w:type="dxa"/>
            <w:gridSpan w:val="4"/>
            <w:shd w:val="clear" w:color="auto" w:fill="auto"/>
          </w:tcPr>
          <w:p w14:paraId="632E7A9A" w14:textId="77777777" w:rsidR="00E90764" w:rsidRPr="00CF6322" w:rsidRDefault="0099166C" w:rsidP="001D1CF9">
            <w:pPr>
              <w:pStyle w:val="Heading6"/>
            </w:pPr>
            <w:r w:rsidRPr="00CF6322">
              <w:t>Data source and methodology</w:t>
            </w:r>
          </w:p>
          <w:p w14:paraId="632E7A9B" w14:textId="71FB6FD0" w:rsidR="00E90764" w:rsidRPr="00CF6322" w:rsidRDefault="0099166C" w:rsidP="001D1CF9">
            <w:pPr>
              <w:pStyle w:val="BodyText"/>
            </w:pPr>
            <w:r w:rsidRPr="00CF6322">
              <w:t xml:space="preserve">Data is </w:t>
            </w:r>
            <w:proofErr w:type="spellStart"/>
            <w:r w:rsidRPr="00CF6322">
              <w:t>analysed</w:t>
            </w:r>
            <w:proofErr w:type="spellEnd"/>
            <w:r w:rsidRPr="00CF6322">
              <w:t xml:space="preserve"> for each PBS listing and each meeting of the PBAC that occurs within a financial year. Data is maintained internally by the Department. The date when the in-principle pricing outcome letter is sent to the sponsor is publicly available on the Medicine Status Website</w:t>
            </w:r>
            <w:r w:rsidR="008C02B5">
              <w:rPr>
                <w:rStyle w:val="FootnoteReference"/>
              </w:rPr>
              <w:footnoteReference w:id="55"/>
            </w:r>
            <w:r w:rsidR="008C02B5">
              <w:t xml:space="preserve"> </w:t>
            </w:r>
            <w:r w:rsidRPr="00CF6322">
              <w:t>as the date ‘Government processes’ commence. More information on PBAC is available on the Department’s website</w:t>
            </w:r>
            <w:r w:rsidR="008C02B5">
              <w:rPr>
                <w:rStyle w:val="FootnoteReference"/>
              </w:rPr>
              <w:footnoteReference w:id="56"/>
            </w:r>
            <w:r w:rsidRPr="00CF6322">
              <w:t>.</w:t>
            </w:r>
          </w:p>
          <w:p w14:paraId="632E7A9D" w14:textId="77777777" w:rsidR="00E90764" w:rsidRPr="00CF6322" w:rsidRDefault="0099166C" w:rsidP="001D1CF9">
            <w:pPr>
              <w:pStyle w:val="Heading6"/>
            </w:pPr>
            <w:r w:rsidRPr="00CF6322">
              <w:t>Measure type</w:t>
            </w:r>
          </w:p>
          <w:p w14:paraId="632E7A9E" w14:textId="77777777" w:rsidR="00E90764" w:rsidRPr="00CF6322" w:rsidRDefault="0099166C" w:rsidP="001D1CF9">
            <w:pPr>
              <w:pStyle w:val="BodyText"/>
            </w:pPr>
            <w:r w:rsidRPr="00CF6322">
              <w:t>Quantitative/Output</w:t>
            </w:r>
          </w:p>
          <w:p w14:paraId="632E7AA0" w14:textId="77777777" w:rsidR="00E90764" w:rsidRPr="00CF6322" w:rsidRDefault="0099166C" w:rsidP="001D1CF9">
            <w:pPr>
              <w:pStyle w:val="Heading6"/>
            </w:pPr>
            <w:r w:rsidRPr="00CF6322">
              <w:t>Discussion</w:t>
            </w:r>
          </w:p>
          <w:p w14:paraId="632E7AA1" w14:textId="3546988A" w:rsidR="00E90764" w:rsidRPr="00CF6322" w:rsidRDefault="0099166C" w:rsidP="001D1CF9">
            <w:pPr>
              <w:pStyle w:val="BodyText"/>
            </w:pPr>
            <w:r w:rsidRPr="00CF6322">
              <w:t xml:space="preserve">The 6 month timeframe provides sufficient time to discuss complex pricing and budget impact issues, seek approval of listing arrangements by other Government agencies, seek Government approval, </w:t>
            </w:r>
            <w:proofErr w:type="spellStart"/>
            <w:r w:rsidRPr="00CF6322">
              <w:t>finalise</w:t>
            </w:r>
            <w:proofErr w:type="spellEnd"/>
            <w:r w:rsidRPr="00CF6322">
              <w:t xml:space="preserve"> and distribute the amended</w:t>
            </w:r>
            <w:r w:rsidR="00F33F9D" w:rsidRPr="00CF6322">
              <w:t xml:space="preserve"> </w:t>
            </w:r>
            <w:r w:rsidRPr="00CF6322">
              <w:t>PBS schedule.</w:t>
            </w:r>
          </w:p>
          <w:p w14:paraId="632E7AA2" w14:textId="77777777" w:rsidR="00E90764" w:rsidRPr="00CF6322" w:rsidRDefault="0099166C" w:rsidP="001D1CF9">
            <w:pPr>
              <w:pStyle w:val="BodyText"/>
            </w:pPr>
            <w:r w:rsidRPr="00CF6322">
              <w:t>The target of ≥80% is appropriate as this is an achievable target. Setting it to higher percentage may lead to adverse negotiated outcomes, particularly on budget impact and price.</w:t>
            </w:r>
          </w:p>
          <w:p w14:paraId="632E7AA3" w14:textId="77777777" w:rsidR="00E90764" w:rsidRPr="00CF6322" w:rsidRDefault="0099166C" w:rsidP="001D1CF9">
            <w:pPr>
              <w:pStyle w:val="BodyText"/>
            </w:pPr>
            <w:r w:rsidRPr="00CF6322">
              <w:t xml:space="preserve">Please note: The wording in the performance measure published in the </w:t>
            </w:r>
            <w:r w:rsidRPr="006E10D0">
              <w:rPr>
                <w:i/>
              </w:rPr>
              <w:t xml:space="preserve">2021–22 Health Portfolio Budget Statements </w:t>
            </w:r>
            <w:r w:rsidRPr="00CF6322">
              <w:t>has been amended from ‘following publication of PBAC minutes’ to ‘following a PBAC recommendation’. The revised wording is consistent with how the target will be measured, i.e. from the date of the PBAC meeting at which a positive recommendation is made rather than the date the PBAC minutes are provided to the relevant sponsor.</w:t>
            </w:r>
          </w:p>
        </w:tc>
      </w:tr>
    </w:tbl>
    <w:p w14:paraId="4A8236E0" w14:textId="77777777" w:rsidR="00FA6C8A" w:rsidRDefault="00FA6C8A">
      <w:pPr>
        <w:rPr>
          <w:rFonts w:ascii="Helvetica" w:hAnsi="Helvetica"/>
          <w:color w:val="231F20"/>
          <w:sz w:val="19"/>
          <w:szCs w:val="19"/>
        </w:rPr>
      </w:pPr>
      <w:r>
        <w:br w:type="page"/>
      </w:r>
    </w:p>
    <w:tbl>
      <w:tblPr>
        <w:tblW w:w="102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0" w:type="dxa"/>
        </w:tblCellMar>
        <w:tblLook w:val="01E0" w:firstRow="1" w:lastRow="1" w:firstColumn="1" w:lastColumn="1" w:noHBand="0" w:noVBand="0"/>
      </w:tblPr>
      <w:tblGrid>
        <w:gridCol w:w="5142"/>
        <w:gridCol w:w="5142"/>
      </w:tblGrid>
      <w:tr w:rsidR="00E90764" w:rsidRPr="00FA6C8A" w14:paraId="632E7AA7" w14:textId="77777777" w:rsidTr="00FA6C8A">
        <w:trPr>
          <w:trHeight w:val="715"/>
          <w:tblHeader/>
        </w:trPr>
        <w:tc>
          <w:tcPr>
            <w:tcW w:w="10284" w:type="dxa"/>
            <w:gridSpan w:val="2"/>
            <w:shd w:val="clear" w:color="auto" w:fill="auto"/>
          </w:tcPr>
          <w:p w14:paraId="632E7AA6" w14:textId="184F212D" w:rsidR="00E90764" w:rsidRPr="00FA6C8A" w:rsidRDefault="0099166C" w:rsidP="001D1CF9">
            <w:pPr>
              <w:pStyle w:val="BodyText"/>
              <w:rPr>
                <w:rStyle w:val="Strong"/>
              </w:rPr>
            </w:pPr>
            <w:r w:rsidRPr="00FA6C8A">
              <w:rPr>
                <w:rStyle w:val="Strong"/>
              </w:rPr>
              <w:lastRenderedPageBreak/>
              <w:t>Processing time of applications for access to the Life Saving Drugs Program following receipt of a</w:t>
            </w:r>
            <w:r w:rsidR="005C3FDA" w:rsidRPr="00FA6C8A">
              <w:rPr>
                <w:rStyle w:val="Strong"/>
              </w:rPr>
              <w:t xml:space="preserve"> </w:t>
            </w:r>
            <w:r w:rsidRPr="00FA6C8A">
              <w:rPr>
                <w:rStyle w:val="Strong"/>
              </w:rPr>
              <w:t>complete application.</w:t>
            </w:r>
            <w:r w:rsidR="008C02B5" w:rsidRPr="00FA6C8A">
              <w:rPr>
                <w:rStyle w:val="Strong"/>
                <w:vertAlign w:val="superscript"/>
              </w:rPr>
              <w:footnoteReference w:id="57"/>
            </w:r>
          </w:p>
        </w:tc>
      </w:tr>
      <w:tr w:rsidR="00E90764" w:rsidRPr="00FA6C8A" w14:paraId="632E7AAA" w14:textId="77777777" w:rsidTr="008C02B5">
        <w:trPr>
          <w:trHeight w:val="458"/>
        </w:trPr>
        <w:tc>
          <w:tcPr>
            <w:tcW w:w="5142" w:type="dxa"/>
            <w:shd w:val="clear" w:color="auto" w:fill="auto"/>
          </w:tcPr>
          <w:p w14:paraId="632E7AA8" w14:textId="77777777" w:rsidR="00E90764" w:rsidRPr="00FA6C8A" w:rsidRDefault="0099166C" w:rsidP="001D1CF9">
            <w:pPr>
              <w:pStyle w:val="BodyText"/>
              <w:rPr>
                <w:rStyle w:val="Strong"/>
              </w:rPr>
            </w:pPr>
            <w:r w:rsidRPr="00FA6C8A">
              <w:rPr>
                <w:rStyle w:val="Strong"/>
              </w:rPr>
              <w:t>2021–22 Target</w:t>
            </w:r>
          </w:p>
        </w:tc>
        <w:tc>
          <w:tcPr>
            <w:tcW w:w="5142" w:type="dxa"/>
            <w:shd w:val="clear" w:color="auto" w:fill="auto"/>
          </w:tcPr>
          <w:p w14:paraId="632E7AA9" w14:textId="77777777" w:rsidR="00E90764" w:rsidRPr="00FA6C8A" w:rsidRDefault="0099166C" w:rsidP="001D1CF9">
            <w:pPr>
              <w:pStyle w:val="BodyText"/>
              <w:rPr>
                <w:rStyle w:val="Strong"/>
              </w:rPr>
            </w:pPr>
            <w:r w:rsidRPr="00FA6C8A">
              <w:rPr>
                <w:rStyle w:val="Strong"/>
              </w:rPr>
              <w:t>2022–23 Target (and beyond)</w:t>
            </w:r>
          </w:p>
        </w:tc>
      </w:tr>
      <w:tr w:rsidR="00E90764" w:rsidRPr="00CF6322" w14:paraId="632E7AAF" w14:textId="77777777" w:rsidTr="008C02B5">
        <w:trPr>
          <w:trHeight w:val="1305"/>
        </w:trPr>
        <w:tc>
          <w:tcPr>
            <w:tcW w:w="5142" w:type="dxa"/>
            <w:shd w:val="clear" w:color="auto" w:fill="auto"/>
          </w:tcPr>
          <w:p w14:paraId="632E7AAB" w14:textId="77777777" w:rsidR="00E90764" w:rsidRPr="00CF6322" w:rsidRDefault="0099166C" w:rsidP="001D1CF9">
            <w:pPr>
              <w:pStyle w:val="BodyText"/>
            </w:pPr>
            <w:r w:rsidRPr="00CF6322">
              <w:t>90% within 8 calendar days.</w:t>
            </w:r>
          </w:p>
          <w:p w14:paraId="632E7AAC" w14:textId="77777777" w:rsidR="00E90764" w:rsidRPr="00CF6322" w:rsidRDefault="0099166C" w:rsidP="001D1CF9">
            <w:pPr>
              <w:pStyle w:val="BodyText"/>
            </w:pPr>
            <w:r w:rsidRPr="00CF6322">
              <w:t>100% within 30 calendar days.</w:t>
            </w:r>
          </w:p>
          <w:p w14:paraId="632E7AAD" w14:textId="77777777" w:rsidR="00E90764" w:rsidRPr="00CF6322" w:rsidRDefault="0099166C" w:rsidP="001D1CF9">
            <w:pPr>
              <w:pStyle w:val="BodyText"/>
            </w:pPr>
            <w:r w:rsidRPr="00CF6322">
              <w:t>100% of urgent applications within 48 hours.</w:t>
            </w:r>
          </w:p>
        </w:tc>
        <w:tc>
          <w:tcPr>
            <w:tcW w:w="5142" w:type="dxa"/>
            <w:shd w:val="clear" w:color="auto" w:fill="auto"/>
          </w:tcPr>
          <w:p w14:paraId="632E7AAE" w14:textId="77777777" w:rsidR="00E90764" w:rsidRPr="00CF6322" w:rsidRDefault="0099166C" w:rsidP="001D1CF9">
            <w:pPr>
              <w:pStyle w:val="BodyText"/>
            </w:pPr>
            <w:r w:rsidRPr="00CF6322">
              <w:t>As per 2021–22.</w:t>
            </w:r>
          </w:p>
        </w:tc>
      </w:tr>
      <w:tr w:rsidR="00E90764" w:rsidRPr="00CF6322" w14:paraId="632E7AB5" w14:textId="77777777" w:rsidTr="008C02B5">
        <w:trPr>
          <w:trHeight w:val="1805"/>
        </w:trPr>
        <w:tc>
          <w:tcPr>
            <w:tcW w:w="10284" w:type="dxa"/>
            <w:gridSpan w:val="2"/>
            <w:shd w:val="clear" w:color="auto" w:fill="auto"/>
          </w:tcPr>
          <w:p w14:paraId="632E7AB0" w14:textId="77777777" w:rsidR="00E90764" w:rsidRPr="00CF6322" w:rsidRDefault="0099166C" w:rsidP="001D1CF9">
            <w:pPr>
              <w:pStyle w:val="Heading6"/>
            </w:pPr>
            <w:r w:rsidRPr="00CF6322">
              <w:t xml:space="preserve">Data source and </w:t>
            </w:r>
            <w:r w:rsidRPr="008C02B5">
              <w:t>methodology</w:t>
            </w:r>
          </w:p>
          <w:p w14:paraId="632E7AB1" w14:textId="77777777" w:rsidR="00E90764" w:rsidRPr="00CF6322" w:rsidRDefault="0099166C" w:rsidP="001D1CF9">
            <w:pPr>
              <w:pStyle w:val="BodyText"/>
            </w:pPr>
            <w:r w:rsidRPr="00CF6322">
              <w:t>Applications are received from the treating physician. Confirmation of Medicare numbers are received from Services Australia within 72 hours on receipt of a complete application. Data is maintained internally by the Department.</w:t>
            </w:r>
          </w:p>
          <w:p w14:paraId="632E7AB3" w14:textId="77777777" w:rsidR="00E90764" w:rsidRPr="00CF6322" w:rsidRDefault="0099166C" w:rsidP="001D1CF9">
            <w:pPr>
              <w:pStyle w:val="Heading6"/>
            </w:pPr>
            <w:r w:rsidRPr="00CF6322">
              <w:t>Measure type</w:t>
            </w:r>
          </w:p>
          <w:p w14:paraId="632E7AB4" w14:textId="77777777" w:rsidR="00E90764" w:rsidRPr="00CF6322" w:rsidRDefault="0099166C" w:rsidP="001D1CF9">
            <w:pPr>
              <w:pStyle w:val="BodyText"/>
            </w:pPr>
            <w:r w:rsidRPr="00CF6322">
              <w:t>Quantitative/Efficiency</w:t>
            </w:r>
          </w:p>
        </w:tc>
      </w:tr>
    </w:tbl>
    <w:p w14:paraId="5261CEA1" w14:textId="77777777" w:rsidR="009C48F9" w:rsidRDefault="009C48F9" w:rsidP="009C48F9"/>
    <w:p w14:paraId="0B203135" w14:textId="77777777" w:rsidR="009C48F9" w:rsidRDefault="009C48F9" w:rsidP="009C48F9">
      <w:r>
        <w:br w:type="page"/>
      </w:r>
    </w:p>
    <w:p w14:paraId="3D90A34E" w14:textId="0D40D460" w:rsidR="004D3CB6" w:rsidRPr="004D3CB6" w:rsidRDefault="004D3CB6" w:rsidP="004D3CB6">
      <w:pPr>
        <w:pStyle w:val="Heading3"/>
      </w:pPr>
      <w:r w:rsidRPr="004D3CB6">
        <w:lastRenderedPageBreak/>
        <w:t xml:space="preserve">2.4 </w:t>
      </w:r>
      <w:r>
        <w:t>–</w:t>
      </w:r>
      <w:r w:rsidRPr="004D3CB6">
        <w:t xml:space="preserve"> Private Health Insurance</w:t>
      </w:r>
    </w:p>
    <w:p w14:paraId="632E7ABF" w14:textId="77777777" w:rsidR="00E90764" w:rsidRPr="00CF6322" w:rsidRDefault="0099166C" w:rsidP="004D3CB6">
      <w:pPr>
        <w:pStyle w:val="Heading4"/>
      </w:pPr>
      <w:r w:rsidRPr="00CF6322">
        <w:t>Program Objective</w:t>
      </w:r>
    </w:p>
    <w:p w14:paraId="28FD2317" w14:textId="77777777" w:rsidR="004D3CB6" w:rsidRDefault="004D3CB6" w:rsidP="001D1CF9">
      <w:pPr>
        <w:pStyle w:val="BodyText"/>
        <w:rPr>
          <w:color w:val="000000"/>
        </w:rPr>
      </w:pPr>
      <w:r>
        <w:t>Promote</w:t>
      </w:r>
      <w:r>
        <w:rPr>
          <w:spacing w:val="4"/>
        </w:rPr>
        <w:t xml:space="preserve"> </w:t>
      </w:r>
      <w:r>
        <w:t>affordable,</w:t>
      </w:r>
      <w:r>
        <w:rPr>
          <w:spacing w:val="4"/>
        </w:rPr>
        <w:t xml:space="preserve"> </w:t>
      </w:r>
      <w:r>
        <w:t>quality</w:t>
      </w:r>
      <w:r>
        <w:rPr>
          <w:spacing w:val="4"/>
        </w:rPr>
        <w:t xml:space="preserve"> </w:t>
      </w:r>
      <w:r>
        <w:t>private</w:t>
      </w:r>
      <w:r>
        <w:rPr>
          <w:spacing w:val="4"/>
        </w:rPr>
        <w:t xml:space="preserve"> </w:t>
      </w:r>
      <w:r>
        <w:t>health</w:t>
      </w:r>
      <w:r>
        <w:rPr>
          <w:spacing w:val="4"/>
        </w:rPr>
        <w:t xml:space="preserve"> </w:t>
      </w:r>
      <w:r>
        <w:t>insurance</w:t>
      </w:r>
      <w:r>
        <w:rPr>
          <w:spacing w:val="5"/>
        </w:rPr>
        <w:t xml:space="preserve"> </w:t>
      </w:r>
      <w:r>
        <w:t>(PHI)</w:t>
      </w:r>
      <w:r>
        <w:rPr>
          <w:spacing w:val="4"/>
        </w:rPr>
        <w:t xml:space="preserve"> </w:t>
      </w:r>
      <w:r>
        <w:t>and</w:t>
      </w:r>
      <w:r>
        <w:rPr>
          <w:spacing w:val="4"/>
        </w:rPr>
        <w:t xml:space="preserve"> </w:t>
      </w:r>
      <w:r>
        <w:t>greater</w:t>
      </w:r>
      <w:r>
        <w:rPr>
          <w:spacing w:val="4"/>
        </w:rPr>
        <w:t xml:space="preserve"> </w:t>
      </w:r>
      <w:r>
        <w:t>choice</w:t>
      </w:r>
      <w:r>
        <w:rPr>
          <w:spacing w:val="3"/>
        </w:rPr>
        <w:t xml:space="preserve"> </w:t>
      </w:r>
      <w:r>
        <w:t>for</w:t>
      </w:r>
      <w:r>
        <w:rPr>
          <w:spacing w:val="4"/>
        </w:rPr>
        <w:t xml:space="preserve"> </w:t>
      </w:r>
      <w:r>
        <w:t>consumers.</w:t>
      </w:r>
    </w:p>
    <w:p w14:paraId="632E7AC3" w14:textId="77777777" w:rsidR="00E90764" w:rsidRPr="00CF6322" w:rsidRDefault="0099166C" w:rsidP="004D3CB6">
      <w:pPr>
        <w:pStyle w:val="Heading4"/>
      </w:pPr>
      <w:r w:rsidRPr="00CF6322">
        <w:t xml:space="preserve">Our </w:t>
      </w:r>
      <w:r w:rsidRPr="004D3CB6">
        <w:t>Operating</w:t>
      </w:r>
      <w:r w:rsidRPr="00CF6322">
        <w:t xml:space="preserve"> Focus</w:t>
      </w:r>
    </w:p>
    <w:p w14:paraId="632E7AC4" w14:textId="77777777" w:rsidR="00E90764" w:rsidRPr="00CF6322" w:rsidRDefault="0099166C" w:rsidP="001D1CF9">
      <w:pPr>
        <w:pStyle w:val="BodyText"/>
      </w:pPr>
      <w:r w:rsidRPr="00CF6322">
        <w:t>The Australian health system is a hybrid of public and private health care, with PHI and private hospitals playing an important role. We are committed to reforming PHI, making it simpler and more affordable for all Australians.</w:t>
      </w:r>
    </w:p>
    <w:p w14:paraId="632E7AC6" w14:textId="54BBAF19" w:rsidR="00E90764" w:rsidRPr="00CF6322" w:rsidRDefault="0099166C" w:rsidP="001D1CF9">
      <w:pPr>
        <w:pStyle w:val="BodyText"/>
      </w:pPr>
      <w:r w:rsidRPr="00CF6322">
        <w:t xml:space="preserve">We understand the pressure PHI premium changes put on Australians’ medical expenses. We also </w:t>
      </w:r>
      <w:proofErr w:type="spellStart"/>
      <w:r w:rsidRPr="00CF6322">
        <w:t>recognise</w:t>
      </w:r>
      <w:proofErr w:type="spellEnd"/>
      <w:r w:rsidRPr="00CF6322">
        <w:t xml:space="preserve"> that</w:t>
      </w:r>
      <w:r w:rsidR="00D02B17" w:rsidRPr="00CF6322">
        <w:t xml:space="preserve"> </w:t>
      </w:r>
      <w:r w:rsidRPr="00CF6322">
        <w:t>unexpected out of pocket costs can cause financial hardship for many Australian’s and transparency and choice are important so patients can be better informed and prepared.</w:t>
      </w:r>
    </w:p>
    <w:p w14:paraId="632E7AC7" w14:textId="47154038" w:rsidR="00E90764" w:rsidRPr="00CF6322" w:rsidRDefault="0099166C" w:rsidP="001D1CF9">
      <w:pPr>
        <w:pStyle w:val="BodyText"/>
      </w:pPr>
      <w:r w:rsidRPr="00CF6322">
        <w:t>We will continue to collaborate with consumers, health care providers, hospitals and private health insurers to ensure the private health sector remains sustainable both</w:t>
      </w:r>
      <w:r w:rsidR="004D3CB6">
        <w:t xml:space="preserve"> </w:t>
      </w:r>
      <w:r w:rsidRPr="00CF6322">
        <w:t>now and in the future.</w:t>
      </w:r>
    </w:p>
    <w:p w14:paraId="21D56055" w14:textId="77777777" w:rsidR="004D3CB6" w:rsidRDefault="0099166C" w:rsidP="001D1CF9">
      <w:pPr>
        <w:pStyle w:val="BodyText"/>
      </w:pPr>
      <w:r w:rsidRPr="00CF6322">
        <w:t xml:space="preserve">We will continue to ensure privately insured patients have access to clinically appropriate, cost effective prostheses under the </w:t>
      </w:r>
      <w:r w:rsidRPr="005C3FDA">
        <w:rPr>
          <w:i/>
          <w:iCs/>
        </w:rPr>
        <w:t>Private Health Insurance Act 2007</w:t>
      </w:r>
      <w:r w:rsidRPr="00CF6322">
        <w:t>.</w:t>
      </w:r>
    </w:p>
    <w:p w14:paraId="632E7ACA" w14:textId="3C720F4E" w:rsidR="00E90764" w:rsidRPr="00CF6322" w:rsidRDefault="0099166C" w:rsidP="001D1CF9">
      <w:pPr>
        <w:pStyle w:val="BodyText"/>
      </w:pPr>
      <w:r w:rsidRPr="00CF6322">
        <w:t>The prices charged for medical devices in the private health care system, informed by the current Prostheses List, in most cases are higher than costs of the same items</w:t>
      </w:r>
      <w:r w:rsidR="004D3CB6">
        <w:t xml:space="preserve"> </w:t>
      </w:r>
      <w:r w:rsidRPr="00CF6322">
        <w:t>in other competitive markets, including the public hospital system. We will implement reforms to the Prostheses List over 4 years to reduce the cost of medical devices used</w:t>
      </w:r>
      <w:r w:rsidR="00D02B17" w:rsidRPr="00CF6322">
        <w:t xml:space="preserve"> </w:t>
      </w:r>
      <w:r w:rsidRPr="00CF6322">
        <w:t xml:space="preserve">in the private health sector and streamline access to new medical devices, which will improve the affordability and value of PHI for Australians. These reforms will </w:t>
      </w:r>
      <w:proofErr w:type="spellStart"/>
      <w:r w:rsidRPr="00CF6322">
        <w:t>modernise</w:t>
      </w:r>
      <w:proofErr w:type="spellEnd"/>
      <w:r w:rsidRPr="00CF6322">
        <w:t xml:space="preserve"> and improve the Prostheses List.</w:t>
      </w:r>
    </w:p>
    <w:p w14:paraId="632E7ACB" w14:textId="2EB881EE" w:rsidR="00E90764" w:rsidRPr="00CF6322" w:rsidRDefault="0099166C" w:rsidP="001D1CF9">
      <w:pPr>
        <w:pStyle w:val="BodyText"/>
      </w:pPr>
      <w:r w:rsidRPr="00CF6322">
        <w:t>There is broad support among stakeholders including the Australian Medical Association, medical device companies,</w:t>
      </w:r>
      <w:r w:rsidR="00F33F9D" w:rsidRPr="00CF6322">
        <w:t xml:space="preserve"> </w:t>
      </w:r>
      <w:r w:rsidRPr="00CF6322">
        <w:t>private health insurers and private hospitals for reform to the Prostheses List to ensure that it remains sustainable and PHI remains affordable.</w:t>
      </w:r>
    </w:p>
    <w:p w14:paraId="632E7ACE" w14:textId="228DE7E4" w:rsidR="00E90764" w:rsidRPr="00CF6322" w:rsidRDefault="0099166C" w:rsidP="001D1CF9">
      <w:pPr>
        <w:pStyle w:val="BodyText"/>
      </w:pPr>
      <w:r w:rsidRPr="00CF6322">
        <w:t>We will progress enhancements to the Medical Costs Finder</w:t>
      </w:r>
      <w:r w:rsidR="00F33F9D" w:rsidRPr="00CF6322">
        <w:t xml:space="preserve"> </w:t>
      </w:r>
      <w:r w:rsidRPr="00CF6322">
        <w:t>website to provide greater functionality and individual cost information for a range of medical specialists, and support these activities with appropriate education material. The enhancements will increase transparency of out of pocket costs for consumers across Australia.</w:t>
      </w:r>
    </w:p>
    <w:tbl>
      <w:tblPr>
        <w:tblW w:w="103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0" w:type="dxa"/>
        </w:tblCellMar>
        <w:tblLook w:val="01E0" w:firstRow="1" w:lastRow="1" w:firstColumn="1" w:lastColumn="1" w:noHBand="0" w:noVBand="0"/>
      </w:tblPr>
      <w:tblGrid>
        <w:gridCol w:w="8541"/>
        <w:gridCol w:w="441"/>
        <w:gridCol w:w="441"/>
        <w:gridCol w:w="439"/>
        <w:gridCol w:w="441"/>
      </w:tblGrid>
      <w:tr w:rsidR="00E90764" w:rsidRPr="00FA6C8A" w14:paraId="632E7AD6" w14:textId="77777777" w:rsidTr="00FA6C8A">
        <w:trPr>
          <w:trHeight w:val="1182"/>
          <w:tblHeader/>
        </w:trPr>
        <w:tc>
          <w:tcPr>
            <w:tcW w:w="8541" w:type="dxa"/>
            <w:shd w:val="clear" w:color="auto" w:fill="auto"/>
          </w:tcPr>
          <w:p w14:paraId="632E7AD1" w14:textId="77777777" w:rsidR="00E90764" w:rsidRPr="00FA6C8A" w:rsidRDefault="0099166C" w:rsidP="001D1CF9">
            <w:pPr>
              <w:pStyle w:val="BodyText"/>
              <w:rPr>
                <w:rStyle w:val="Strong"/>
              </w:rPr>
            </w:pPr>
            <w:r w:rsidRPr="00FA6C8A">
              <w:rPr>
                <w:rStyle w:val="Strong"/>
              </w:rPr>
              <w:t>Key Activities</w:t>
            </w:r>
          </w:p>
        </w:tc>
        <w:tc>
          <w:tcPr>
            <w:tcW w:w="441" w:type="dxa"/>
            <w:shd w:val="clear" w:color="auto" w:fill="auto"/>
            <w:textDirection w:val="tbRl"/>
            <w:vAlign w:val="center"/>
          </w:tcPr>
          <w:p w14:paraId="632E7AD2" w14:textId="77777777" w:rsidR="00E90764" w:rsidRPr="00FA6C8A" w:rsidRDefault="0099166C" w:rsidP="001D1CF9">
            <w:pPr>
              <w:pStyle w:val="BodyText"/>
              <w:rPr>
                <w:rStyle w:val="Strong"/>
              </w:rPr>
            </w:pPr>
            <w:r w:rsidRPr="00FA6C8A">
              <w:rPr>
                <w:rStyle w:val="Strong"/>
              </w:rPr>
              <w:t>2021–22</w:t>
            </w:r>
          </w:p>
        </w:tc>
        <w:tc>
          <w:tcPr>
            <w:tcW w:w="441" w:type="dxa"/>
            <w:shd w:val="clear" w:color="auto" w:fill="auto"/>
            <w:textDirection w:val="tbRl"/>
            <w:vAlign w:val="center"/>
          </w:tcPr>
          <w:p w14:paraId="632E7AD3" w14:textId="77777777" w:rsidR="00E90764" w:rsidRPr="00FA6C8A" w:rsidRDefault="0099166C" w:rsidP="001D1CF9">
            <w:pPr>
              <w:pStyle w:val="BodyText"/>
              <w:rPr>
                <w:rStyle w:val="Strong"/>
              </w:rPr>
            </w:pPr>
            <w:r w:rsidRPr="00FA6C8A">
              <w:rPr>
                <w:rStyle w:val="Strong"/>
              </w:rPr>
              <w:t>2022–23</w:t>
            </w:r>
          </w:p>
        </w:tc>
        <w:tc>
          <w:tcPr>
            <w:tcW w:w="439" w:type="dxa"/>
            <w:shd w:val="clear" w:color="auto" w:fill="auto"/>
            <w:textDirection w:val="tbRl"/>
            <w:vAlign w:val="center"/>
          </w:tcPr>
          <w:p w14:paraId="632E7AD4" w14:textId="77777777" w:rsidR="00E90764" w:rsidRPr="00FA6C8A" w:rsidRDefault="0099166C" w:rsidP="001D1CF9">
            <w:pPr>
              <w:pStyle w:val="BodyText"/>
              <w:rPr>
                <w:rStyle w:val="Strong"/>
              </w:rPr>
            </w:pPr>
            <w:r w:rsidRPr="00FA6C8A">
              <w:rPr>
                <w:rStyle w:val="Strong"/>
              </w:rPr>
              <w:t>2023–24</w:t>
            </w:r>
          </w:p>
        </w:tc>
        <w:tc>
          <w:tcPr>
            <w:tcW w:w="441" w:type="dxa"/>
            <w:shd w:val="clear" w:color="auto" w:fill="auto"/>
            <w:textDirection w:val="tbRl"/>
            <w:vAlign w:val="center"/>
          </w:tcPr>
          <w:p w14:paraId="632E7AD5" w14:textId="77777777" w:rsidR="00E90764" w:rsidRPr="00FA6C8A" w:rsidRDefault="0099166C" w:rsidP="001D1CF9">
            <w:pPr>
              <w:pStyle w:val="BodyText"/>
              <w:rPr>
                <w:rStyle w:val="Strong"/>
              </w:rPr>
            </w:pPr>
            <w:r w:rsidRPr="00FA6C8A">
              <w:rPr>
                <w:rStyle w:val="Strong"/>
              </w:rPr>
              <w:t>2024–25</w:t>
            </w:r>
          </w:p>
        </w:tc>
      </w:tr>
      <w:tr w:rsidR="00E90764" w:rsidRPr="00CF6322" w14:paraId="632E7ADC" w14:textId="77777777" w:rsidTr="004D3CB6">
        <w:trPr>
          <w:trHeight w:val="391"/>
        </w:trPr>
        <w:tc>
          <w:tcPr>
            <w:tcW w:w="8541" w:type="dxa"/>
            <w:shd w:val="clear" w:color="auto" w:fill="auto"/>
          </w:tcPr>
          <w:p w14:paraId="632E7AD7" w14:textId="77777777" w:rsidR="00E90764" w:rsidRPr="00CF6322" w:rsidRDefault="0099166C" w:rsidP="001D1CF9">
            <w:pPr>
              <w:pStyle w:val="BodyText"/>
            </w:pPr>
            <w:r w:rsidRPr="00CF6322">
              <w:t>Supporting a viable, sustainable and cost effective PHI sector, including through the PHI rebate.</w:t>
            </w:r>
          </w:p>
        </w:tc>
        <w:tc>
          <w:tcPr>
            <w:tcW w:w="441" w:type="dxa"/>
            <w:shd w:val="clear" w:color="auto" w:fill="auto"/>
            <w:vAlign w:val="center"/>
          </w:tcPr>
          <w:p w14:paraId="632E7AD8" w14:textId="69CED1D4"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AD9" w14:textId="4CEABDB4"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ADA" w14:textId="180705FA"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ADB" w14:textId="382B687A" w:rsidR="00E90764" w:rsidRPr="00CF6322" w:rsidRDefault="00041BDA" w:rsidP="001D1CF9">
            <w:pPr>
              <w:pStyle w:val="BodyText"/>
            </w:pPr>
            <w:r>
              <w:rPr>
                <w:rFonts w:ascii="Segoe UI Symbol" w:hAnsi="Segoe UI Symbol" w:cs="Segoe UI Symbol"/>
              </w:rPr>
              <w:t>✓</w:t>
            </w:r>
          </w:p>
        </w:tc>
      </w:tr>
      <w:tr w:rsidR="00E90764" w:rsidRPr="00CF6322" w14:paraId="632E7AE2" w14:textId="77777777" w:rsidTr="004D3CB6">
        <w:trPr>
          <w:trHeight w:val="582"/>
        </w:trPr>
        <w:tc>
          <w:tcPr>
            <w:tcW w:w="8541" w:type="dxa"/>
            <w:shd w:val="clear" w:color="auto" w:fill="auto"/>
          </w:tcPr>
          <w:p w14:paraId="632E7ADD" w14:textId="4ADA7DD8" w:rsidR="00E90764" w:rsidRPr="00CF6322" w:rsidRDefault="0099166C" w:rsidP="001D1CF9">
            <w:pPr>
              <w:pStyle w:val="BodyText"/>
            </w:pPr>
            <w:r w:rsidRPr="00CF6322">
              <w:t>Working with private health insurers to ensure choice to consumers across a range of cost effective</w:t>
            </w:r>
            <w:r w:rsidR="00F33F9D" w:rsidRPr="00CF6322">
              <w:t xml:space="preserve"> </w:t>
            </w:r>
            <w:r w:rsidRPr="00CF6322">
              <w:t>PHI products.</w:t>
            </w:r>
          </w:p>
        </w:tc>
        <w:tc>
          <w:tcPr>
            <w:tcW w:w="441" w:type="dxa"/>
            <w:shd w:val="clear" w:color="auto" w:fill="auto"/>
            <w:vAlign w:val="center"/>
          </w:tcPr>
          <w:p w14:paraId="632E7ADE" w14:textId="51ACDFAE"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ADF" w14:textId="61297B1E"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AE0" w14:textId="3539890D"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AE1" w14:textId="1E35C650" w:rsidR="00E90764" w:rsidRPr="00CF6322" w:rsidRDefault="00041BDA" w:rsidP="001D1CF9">
            <w:pPr>
              <w:pStyle w:val="BodyText"/>
            </w:pPr>
            <w:r>
              <w:rPr>
                <w:rFonts w:ascii="Segoe UI Symbol" w:hAnsi="Segoe UI Symbol" w:cs="Segoe UI Symbol"/>
              </w:rPr>
              <w:t>✓</w:t>
            </w:r>
          </w:p>
        </w:tc>
      </w:tr>
      <w:tr w:rsidR="00E90764" w:rsidRPr="00CF6322" w14:paraId="632E7AE8" w14:textId="77777777" w:rsidTr="004D3CB6">
        <w:trPr>
          <w:trHeight w:val="582"/>
        </w:trPr>
        <w:tc>
          <w:tcPr>
            <w:tcW w:w="8541" w:type="dxa"/>
            <w:shd w:val="clear" w:color="auto" w:fill="auto"/>
          </w:tcPr>
          <w:p w14:paraId="632E7AE3" w14:textId="77777777" w:rsidR="00E90764" w:rsidRPr="00CF6322" w:rsidRDefault="0099166C" w:rsidP="001D1CF9">
            <w:pPr>
              <w:pStyle w:val="BodyText"/>
            </w:pPr>
            <w:r w:rsidRPr="00CF6322">
              <w:t>Encouraging Australians to take up PHI by ensuring access to quality and up to date information in relation to PHI.</w:t>
            </w:r>
          </w:p>
        </w:tc>
        <w:tc>
          <w:tcPr>
            <w:tcW w:w="441" w:type="dxa"/>
            <w:shd w:val="clear" w:color="auto" w:fill="auto"/>
            <w:vAlign w:val="center"/>
          </w:tcPr>
          <w:p w14:paraId="632E7AE4" w14:textId="45464749"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AE5" w14:textId="383D1426"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AE6" w14:textId="5D0EC0AE"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AE7" w14:textId="77C62E93" w:rsidR="00E90764" w:rsidRPr="00CF6322" w:rsidRDefault="00041BDA" w:rsidP="001D1CF9">
            <w:pPr>
              <w:pStyle w:val="BodyText"/>
            </w:pPr>
            <w:r>
              <w:rPr>
                <w:rFonts w:ascii="Segoe UI Symbol" w:hAnsi="Segoe UI Symbol" w:cs="Segoe UI Symbol"/>
              </w:rPr>
              <w:t>✓</w:t>
            </w:r>
          </w:p>
        </w:tc>
      </w:tr>
      <w:tr w:rsidR="00E90764" w:rsidRPr="00CF6322" w14:paraId="632E7AEE" w14:textId="77777777" w:rsidTr="004D3CB6">
        <w:trPr>
          <w:trHeight w:val="582"/>
        </w:trPr>
        <w:tc>
          <w:tcPr>
            <w:tcW w:w="8541" w:type="dxa"/>
            <w:shd w:val="clear" w:color="auto" w:fill="auto"/>
          </w:tcPr>
          <w:p w14:paraId="632E7AE9" w14:textId="77777777" w:rsidR="00E90764" w:rsidRPr="00CF6322" w:rsidRDefault="0099166C" w:rsidP="001D1CF9">
            <w:pPr>
              <w:pStyle w:val="BodyText"/>
            </w:pPr>
            <w:r w:rsidRPr="00CF6322">
              <w:t>Providing a website and education initiative to improve information availability and transparency of medical specialist out of pocket costs.</w:t>
            </w:r>
          </w:p>
        </w:tc>
        <w:tc>
          <w:tcPr>
            <w:tcW w:w="441" w:type="dxa"/>
            <w:shd w:val="clear" w:color="auto" w:fill="auto"/>
            <w:vAlign w:val="center"/>
          </w:tcPr>
          <w:p w14:paraId="632E7AEA" w14:textId="570D2E54"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AEB" w14:textId="23A2BC10"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AEC" w14:textId="15DAC002"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AED" w14:textId="465F7047" w:rsidR="00E90764" w:rsidRPr="00CF6322" w:rsidRDefault="00041BDA" w:rsidP="001D1CF9">
            <w:pPr>
              <w:pStyle w:val="BodyText"/>
            </w:pPr>
            <w:r>
              <w:rPr>
                <w:rFonts w:ascii="Segoe UI Symbol" w:hAnsi="Segoe UI Symbol" w:cs="Segoe UI Symbol"/>
              </w:rPr>
              <w:t>✓</w:t>
            </w:r>
          </w:p>
        </w:tc>
      </w:tr>
      <w:tr w:rsidR="00E90764" w:rsidRPr="00CF6322" w14:paraId="632E7AF4" w14:textId="77777777" w:rsidTr="004D3CB6">
        <w:trPr>
          <w:trHeight w:val="582"/>
        </w:trPr>
        <w:tc>
          <w:tcPr>
            <w:tcW w:w="8541" w:type="dxa"/>
            <w:shd w:val="clear" w:color="auto" w:fill="auto"/>
          </w:tcPr>
          <w:p w14:paraId="632E7AEF" w14:textId="77777777" w:rsidR="00E90764" w:rsidRPr="00CF6322" w:rsidRDefault="0099166C" w:rsidP="001D1CF9">
            <w:pPr>
              <w:pStyle w:val="BodyText"/>
            </w:pPr>
            <w:r w:rsidRPr="00CF6322">
              <w:t>Supporting implementation of PHI reforms to improve the affordability and value of PHI for consumers and contribute to the long term sustainability of the sector.</w:t>
            </w:r>
          </w:p>
        </w:tc>
        <w:tc>
          <w:tcPr>
            <w:tcW w:w="441" w:type="dxa"/>
            <w:shd w:val="clear" w:color="auto" w:fill="auto"/>
            <w:vAlign w:val="center"/>
          </w:tcPr>
          <w:p w14:paraId="632E7AF0" w14:textId="349B5FE1"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AF1" w14:textId="4832E942"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AF2" w14:textId="6E75295D"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AF3" w14:textId="425BEF61" w:rsidR="00E90764" w:rsidRPr="00CF6322" w:rsidRDefault="00041BDA" w:rsidP="001D1CF9">
            <w:pPr>
              <w:pStyle w:val="BodyText"/>
            </w:pPr>
            <w:r>
              <w:rPr>
                <w:rFonts w:ascii="Segoe UI Symbol" w:hAnsi="Segoe UI Symbol" w:cs="Segoe UI Symbol"/>
              </w:rPr>
              <w:t>✓</w:t>
            </w:r>
          </w:p>
        </w:tc>
      </w:tr>
      <w:tr w:rsidR="00E90764" w:rsidRPr="00CF6322" w14:paraId="632E7AFA" w14:textId="77777777" w:rsidTr="004D3CB6">
        <w:trPr>
          <w:trHeight w:val="582"/>
        </w:trPr>
        <w:tc>
          <w:tcPr>
            <w:tcW w:w="8541" w:type="dxa"/>
            <w:shd w:val="clear" w:color="auto" w:fill="auto"/>
          </w:tcPr>
          <w:p w14:paraId="632E7AF5" w14:textId="77777777" w:rsidR="00E90764" w:rsidRPr="00CF6322" w:rsidRDefault="0099166C" w:rsidP="001D1CF9">
            <w:pPr>
              <w:pStyle w:val="BodyText"/>
            </w:pPr>
            <w:proofErr w:type="spellStart"/>
            <w:r w:rsidRPr="00CF6322">
              <w:t>Modernising</w:t>
            </w:r>
            <w:proofErr w:type="spellEnd"/>
            <w:r w:rsidRPr="00CF6322">
              <w:t xml:space="preserve"> and improving the Prostheses List to reduce the cost of medical devices for privately insured consumers and to streamline access to new medical devices.</w:t>
            </w:r>
          </w:p>
        </w:tc>
        <w:tc>
          <w:tcPr>
            <w:tcW w:w="441" w:type="dxa"/>
            <w:shd w:val="clear" w:color="auto" w:fill="auto"/>
            <w:vAlign w:val="center"/>
          </w:tcPr>
          <w:p w14:paraId="632E7AF6" w14:textId="5158F7CA"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AF7" w14:textId="352CFE49"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AF8" w14:textId="75BC7DC5"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AF9" w14:textId="2531B249" w:rsidR="00E90764" w:rsidRPr="00CF6322" w:rsidRDefault="00041BDA" w:rsidP="001D1CF9">
            <w:pPr>
              <w:pStyle w:val="BodyText"/>
            </w:pPr>
            <w:r>
              <w:rPr>
                <w:rFonts w:ascii="Segoe UI Symbol" w:hAnsi="Segoe UI Symbol" w:cs="Segoe UI Symbol"/>
              </w:rPr>
              <w:t>✓</w:t>
            </w:r>
          </w:p>
        </w:tc>
      </w:tr>
    </w:tbl>
    <w:p w14:paraId="632E7AFD" w14:textId="77777777" w:rsidR="00E90764" w:rsidRPr="00CF6322" w:rsidRDefault="0099166C" w:rsidP="004D3CB6">
      <w:pPr>
        <w:pStyle w:val="Heading4"/>
      </w:pPr>
      <w:r w:rsidRPr="00CF6322">
        <w:t xml:space="preserve">Our </w:t>
      </w:r>
      <w:r w:rsidRPr="004D3CB6">
        <w:t>Performance</w:t>
      </w:r>
    </w:p>
    <w:p w14:paraId="632E7AFF" w14:textId="510BF2E3" w:rsidR="00E90764" w:rsidRPr="00CF6322" w:rsidRDefault="0099166C" w:rsidP="004D3CB6">
      <w:pPr>
        <w:pStyle w:val="Heading5"/>
      </w:pPr>
      <w:r w:rsidRPr="00CF6322">
        <w:t xml:space="preserve">Performance </w:t>
      </w:r>
      <w:r w:rsidRPr="004D3CB6">
        <w:t>Measures</w:t>
      </w:r>
      <w:r w:rsidRPr="00CF6322">
        <w:t xml:space="preserve"> for Private Health Insurance – Program 2.4</w:t>
      </w:r>
    </w:p>
    <w:tbl>
      <w:tblPr>
        <w:tblW w:w="102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0" w:type="dxa"/>
        </w:tblCellMar>
        <w:tblLook w:val="01E0" w:firstRow="1" w:lastRow="1" w:firstColumn="1" w:lastColumn="1" w:noHBand="0" w:noVBand="0"/>
      </w:tblPr>
      <w:tblGrid>
        <w:gridCol w:w="2571"/>
        <w:gridCol w:w="2571"/>
        <w:gridCol w:w="2571"/>
        <w:gridCol w:w="2571"/>
      </w:tblGrid>
      <w:tr w:rsidR="00E90764" w:rsidRPr="00FA6C8A" w14:paraId="632E7B01" w14:textId="77777777" w:rsidTr="00FA6C8A">
        <w:trPr>
          <w:trHeight w:val="715"/>
          <w:tblHeader/>
        </w:trPr>
        <w:tc>
          <w:tcPr>
            <w:tcW w:w="10284" w:type="dxa"/>
            <w:gridSpan w:val="4"/>
            <w:shd w:val="clear" w:color="auto" w:fill="auto"/>
          </w:tcPr>
          <w:p w14:paraId="632E7B00" w14:textId="26D03EE0" w:rsidR="00E90764" w:rsidRPr="00FA6C8A" w:rsidRDefault="0099166C" w:rsidP="001D1CF9">
            <w:pPr>
              <w:pStyle w:val="BodyText"/>
              <w:rPr>
                <w:rStyle w:val="Strong"/>
              </w:rPr>
            </w:pPr>
            <w:r w:rsidRPr="00FA6C8A">
              <w:rPr>
                <w:rStyle w:val="Strong"/>
              </w:rPr>
              <w:lastRenderedPageBreak/>
              <w:t>Percentage of applications to the Minister from private health insurers to change premiums charged under</w:t>
            </w:r>
            <w:r w:rsidR="004D3CB6" w:rsidRPr="00FA6C8A">
              <w:rPr>
                <w:rStyle w:val="Strong"/>
              </w:rPr>
              <w:t xml:space="preserve"> </w:t>
            </w:r>
            <w:r w:rsidRPr="00FA6C8A">
              <w:rPr>
                <w:rStyle w:val="Strong"/>
              </w:rPr>
              <w:t>a complying health insurance product that are assessed within approved timeframes.</w:t>
            </w:r>
            <w:r w:rsidR="004D3CB6" w:rsidRPr="00FA6C8A">
              <w:rPr>
                <w:rStyle w:val="Strong"/>
              </w:rPr>
              <w:footnoteReference w:id="58"/>
            </w:r>
          </w:p>
        </w:tc>
      </w:tr>
      <w:tr w:rsidR="00E90764" w:rsidRPr="00FA6C8A" w14:paraId="632E7B06" w14:textId="77777777" w:rsidTr="004D3CB6">
        <w:trPr>
          <w:trHeight w:val="458"/>
        </w:trPr>
        <w:tc>
          <w:tcPr>
            <w:tcW w:w="2571" w:type="dxa"/>
            <w:shd w:val="clear" w:color="auto" w:fill="auto"/>
          </w:tcPr>
          <w:p w14:paraId="632E7B02" w14:textId="77777777" w:rsidR="00E90764" w:rsidRPr="00FA6C8A" w:rsidRDefault="0099166C" w:rsidP="001D1CF9">
            <w:pPr>
              <w:pStyle w:val="BodyText"/>
              <w:rPr>
                <w:rStyle w:val="Strong"/>
              </w:rPr>
            </w:pPr>
            <w:r w:rsidRPr="00FA6C8A">
              <w:rPr>
                <w:rStyle w:val="Strong"/>
              </w:rPr>
              <w:t>2021–22 Target</w:t>
            </w:r>
          </w:p>
        </w:tc>
        <w:tc>
          <w:tcPr>
            <w:tcW w:w="2571" w:type="dxa"/>
            <w:shd w:val="clear" w:color="auto" w:fill="auto"/>
          </w:tcPr>
          <w:p w14:paraId="632E7B03" w14:textId="77777777" w:rsidR="00E90764" w:rsidRPr="00FA6C8A" w:rsidRDefault="0099166C" w:rsidP="001D1CF9">
            <w:pPr>
              <w:pStyle w:val="BodyText"/>
              <w:rPr>
                <w:rStyle w:val="Strong"/>
              </w:rPr>
            </w:pPr>
            <w:r w:rsidRPr="00FA6C8A">
              <w:rPr>
                <w:rStyle w:val="Strong"/>
              </w:rPr>
              <w:t>2022–23 Target</w:t>
            </w:r>
          </w:p>
        </w:tc>
        <w:tc>
          <w:tcPr>
            <w:tcW w:w="2571" w:type="dxa"/>
            <w:shd w:val="clear" w:color="auto" w:fill="auto"/>
          </w:tcPr>
          <w:p w14:paraId="632E7B04" w14:textId="77777777" w:rsidR="00E90764" w:rsidRPr="00FA6C8A" w:rsidRDefault="0099166C" w:rsidP="001D1CF9">
            <w:pPr>
              <w:pStyle w:val="BodyText"/>
              <w:rPr>
                <w:rStyle w:val="Strong"/>
              </w:rPr>
            </w:pPr>
            <w:r w:rsidRPr="00FA6C8A">
              <w:rPr>
                <w:rStyle w:val="Strong"/>
              </w:rPr>
              <w:t>2023–24 Target</w:t>
            </w:r>
          </w:p>
        </w:tc>
        <w:tc>
          <w:tcPr>
            <w:tcW w:w="2571" w:type="dxa"/>
            <w:shd w:val="clear" w:color="auto" w:fill="auto"/>
          </w:tcPr>
          <w:p w14:paraId="632E7B05" w14:textId="77777777" w:rsidR="00E90764" w:rsidRPr="00FA6C8A" w:rsidRDefault="0099166C" w:rsidP="001D1CF9">
            <w:pPr>
              <w:pStyle w:val="BodyText"/>
              <w:rPr>
                <w:rStyle w:val="Strong"/>
              </w:rPr>
            </w:pPr>
            <w:r w:rsidRPr="00FA6C8A">
              <w:rPr>
                <w:rStyle w:val="Strong"/>
              </w:rPr>
              <w:t>2024–25 Target</w:t>
            </w:r>
          </w:p>
        </w:tc>
      </w:tr>
      <w:tr w:rsidR="00E90764" w:rsidRPr="00CF6322" w14:paraId="632E7B0B" w14:textId="77777777" w:rsidTr="004D3CB6">
        <w:trPr>
          <w:trHeight w:val="465"/>
        </w:trPr>
        <w:tc>
          <w:tcPr>
            <w:tcW w:w="2571" w:type="dxa"/>
            <w:shd w:val="clear" w:color="auto" w:fill="auto"/>
          </w:tcPr>
          <w:p w14:paraId="632E7B07" w14:textId="77777777" w:rsidR="00E90764" w:rsidRPr="00CF6322" w:rsidRDefault="0099166C" w:rsidP="001D1CF9">
            <w:pPr>
              <w:pStyle w:val="BodyText"/>
            </w:pPr>
            <w:r w:rsidRPr="00CF6322">
              <w:t>100%</w:t>
            </w:r>
          </w:p>
        </w:tc>
        <w:tc>
          <w:tcPr>
            <w:tcW w:w="2571" w:type="dxa"/>
            <w:shd w:val="clear" w:color="auto" w:fill="auto"/>
          </w:tcPr>
          <w:p w14:paraId="632E7B08" w14:textId="77777777" w:rsidR="00E90764" w:rsidRPr="00CF6322" w:rsidRDefault="0099166C" w:rsidP="001D1CF9">
            <w:pPr>
              <w:pStyle w:val="BodyText"/>
            </w:pPr>
            <w:r w:rsidRPr="00CF6322">
              <w:t>100%</w:t>
            </w:r>
          </w:p>
        </w:tc>
        <w:tc>
          <w:tcPr>
            <w:tcW w:w="2571" w:type="dxa"/>
            <w:shd w:val="clear" w:color="auto" w:fill="auto"/>
          </w:tcPr>
          <w:p w14:paraId="632E7B09" w14:textId="77777777" w:rsidR="00E90764" w:rsidRPr="00CF6322" w:rsidRDefault="0099166C" w:rsidP="001D1CF9">
            <w:pPr>
              <w:pStyle w:val="BodyText"/>
            </w:pPr>
            <w:r w:rsidRPr="00CF6322">
              <w:t>100%</w:t>
            </w:r>
          </w:p>
        </w:tc>
        <w:tc>
          <w:tcPr>
            <w:tcW w:w="2571" w:type="dxa"/>
            <w:shd w:val="clear" w:color="auto" w:fill="auto"/>
          </w:tcPr>
          <w:p w14:paraId="632E7B0A" w14:textId="77777777" w:rsidR="00E90764" w:rsidRPr="00CF6322" w:rsidRDefault="0099166C" w:rsidP="001D1CF9">
            <w:pPr>
              <w:pStyle w:val="BodyText"/>
            </w:pPr>
            <w:r w:rsidRPr="00CF6322">
              <w:t>100%</w:t>
            </w:r>
          </w:p>
        </w:tc>
      </w:tr>
      <w:tr w:rsidR="00E90764" w:rsidRPr="00CF6322" w14:paraId="632E7B14" w14:textId="77777777" w:rsidTr="004D3CB6">
        <w:trPr>
          <w:trHeight w:val="3339"/>
        </w:trPr>
        <w:tc>
          <w:tcPr>
            <w:tcW w:w="10284" w:type="dxa"/>
            <w:gridSpan w:val="4"/>
            <w:shd w:val="clear" w:color="auto" w:fill="auto"/>
          </w:tcPr>
          <w:p w14:paraId="632E7B0C" w14:textId="77777777" w:rsidR="00E90764" w:rsidRPr="00CF6322" w:rsidRDefault="0099166C" w:rsidP="001D1CF9">
            <w:pPr>
              <w:pStyle w:val="Heading6"/>
            </w:pPr>
            <w:r w:rsidRPr="00CF6322">
              <w:t xml:space="preserve">Data source and </w:t>
            </w:r>
            <w:r w:rsidRPr="004D3CB6">
              <w:t>methodology</w:t>
            </w:r>
          </w:p>
          <w:p w14:paraId="632E7B0E" w14:textId="20832A1C" w:rsidR="00E90764" w:rsidRPr="00CF6322" w:rsidRDefault="0099166C" w:rsidP="001D1CF9">
            <w:pPr>
              <w:pStyle w:val="BodyText"/>
            </w:pPr>
            <w:r w:rsidRPr="00CF6322">
              <w:t>Applications from private health insurers are submitted in an approved form, through a secure portal managed by the Australian Prudential Regulation Authority. The application form and timeframes are developed in consultation with private</w:t>
            </w:r>
            <w:r w:rsidR="00487738" w:rsidRPr="00CF6322">
              <w:t xml:space="preserve"> </w:t>
            </w:r>
            <w:r w:rsidRPr="00CF6322">
              <w:t>health insurers and the Government, and are published on the Department of Health’s website</w:t>
            </w:r>
            <w:r w:rsidR="004D3CB6">
              <w:rPr>
                <w:rStyle w:val="FootnoteReference"/>
              </w:rPr>
              <w:footnoteReference w:id="59"/>
            </w:r>
            <w:r w:rsidRPr="00CF6322">
              <w:t>.</w:t>
            </w:r>
          </w:p>
          <w:p w14:paraId="632E7B0F" w14:textId="77777777" w:rsidR="00E90764" w:rsidRPr="004D3CB6" w:rsidRDefault="0099166C" w:rsidP="001D1CF9">
            <w:pPr>
              <w:pStyle w:val="Heading6"/>
            </w:pPr>
            <w:r w:rsidRPr="00CF6322">
              <w:t>Measure type</w:t>
            </w:r>
          </w:p>
          <w:p w14:paraId="632E7B11" w14:textId="6ACF5975" w:rsidR="00E90764" w:rsidRPr="00CF6322" w:rsidRDefault="0099166C" w:rsidP="001D1CF9">
            <w:pPr>
              <w:pStyle w:val="BodyText"/>
            </w:pPr>
            <w:r w:rsidRPr="00CF6322">
              <w:t>Quantitative/Efficiency</w:t>
            </w:r>
          </w:p>
          <w:p w14:paraId="632E7B12" w14:textId="77777777" w:rsidR="00E90764" w:rsidRPr="004D3CB6" w:rsidRDefault="0099166C" w:rsidP="001D1CF9">
            <w:pPr>
              <w:pStyle w:val="Heading6"/>
            </w:pPr>
            <w:r w:rsidRPr="00CF6322">
              <w:t>Discussion</w:t>
            </w:r>
          </w:p>
          <w:p w14:paraId="632E7B13" w14:textId="58CD3ED2" w:rsidR="00E90764" w:rsidRPr="00CF6322" w:rsidRDefault="0099166C" w:rsidP="001D1CF9">
            <w:pPr>
              <w:pStyle w:val="BodyText"/>
            </w:pPr>
            <w:r w:rsidRPr="00CF6322">
              <w:t>This measure assesses the efficiency of a critical regulatory process to assess affordability and value of PHI products. Timely consideration of these applications provides consistent delivery of services to policy holders, supports the sustainability of the private health sector and enables effective administration of the PHI Rebate.</w:t>
            </w:r>
          </w:p>
        </w:tc>
      </w:tr>
    </w:tbl>
    <w:p w14:paraId="0E179A74" w14:textId="4A3BDAEC" w:rsidR="00DA1533" w:rsidRDefault="00DA1533" w:rsidP="001D1CF9">
      <w:pPr>
        <w:pStyle w:val="BodyText"/>
      </w:pPr>
    </w:p>
    <w:p w14:paraId="4749DC74" w14:textId="77777777" w:rsidR="009C48F9" w:rsidRDefault="009C48F9" w:rsidP="009C48F9">
      <w:r>
        <w:br w:type="page"/>
      </w:r>
    </w:p>
    <w:p w14:paraId="632E7B1B" w14:textId="45A0DCF7" w:rsidR="00E90764" w:rsidRPr="00DA1533" w:rsidRDefault="00DA1533" w:rsidP="00DA1533">
      <w:pPr>
        <w:pStyle w:val="Heading3"/>
      </w:pPr>
      <w:r>
        <w:lastRenderedPageBreak/>
        <w:t>2.5 – Dental Services</w:t>
      </w:r>
    </w:p>
    <w:p w14:paraId="632E7B1C" w14:textId="77777777" w:rsidR="00E90764" w:rsidRPr="00DA1533" w:rsidRDefault="0099166C" w:rsidP="00DA1533">
      <w:pPr>
        <w:pStyle w:val="Heading4"/>
      </w:pPr>
      <w:r w:rsidRPr="00CF6322">
        <w:t>Program Objective</w:t>
      </w:r>
    </w:p>
    <w:p w14:paraId="470DAC12" w14:textId="77777777" w:rsidR="00DA1533" w:rsidRDefault="00DA1533" w:rsidP="001D1CF9">
      <w:pPr>
        <w:pStyle w:val="BodyText"/>
        <w:rPr>
          <w:color w:val="000000"/>
        </w:rPr>
      </w:pPr>
      <w:r>
        <w:t>Improve</w:t>
      </w:r>
      <w:r>
        <w:rPr>
          <w:spacing w:val="3"/>
        </w:rPr>
        <w:t xml:space="preserve"> </w:t>
      </w:r>
      <w:r>
        <w:t>access</w:t>
      </w:r>
      <w:r>
        <w:rPr>
          <w:spacing w:val="4"/>
        </w:rPr>
        <w:t xml:space="preserve"> </w:t>
      </w:r>
      <w:r>
        <w:t>to</w:t>
      </w:r>
      <w:r>
        <w:rPr>
          <w:spacing w:val="4"/>
        </w:rPr>
        <w:t xml:space="preserve"> </w:t>
      </w:r>
      <w:r>
        <w:t>adult</w:t>
      </w:r>
      <w:r>
        <w:rPr>
          <w:spacing w:val="3"/>
        </w:rPr>
        <w:t xml:space="preserve"> </w:t>
      </w:r>
      <w:r>
        <w:t>public</w:t>
      </w:r>
      <w:r>
        <w:rPr>
          <w:spacing w:val="4"/>
        </w:rPr>
        <w:t xml:space="preserve"> </w:t>
      </w:r>
      <w:r>
        <w:t>dental</w:t>
      </w:r>
      <w:r>
        <w:rPr>
          <w:spacing w:val="4"/>
        </w:rPr>
        <w:t xml:space="preserve"> </w:t>
      </w:r>
      <w:r>
        <w:t>services</w:t>
      </w:r>
      <w:r>
        <w:rPr>
          <w:spacing w:val="3"/>
        </w:rPr>
        <w:t xml:space="preserve"> </w:t>
      </w:r>
      <w:r>
        <w:t>through</w:t>
      </w:r>
      <w:r>
        <w:rPr>
          <w:spacing w:val="4"/>
        </w:rPr>
        <w:t xml:space="preserve"> </w:t>
      </w:r>
      <w:r>
        <w:t>a</w:t>
      </w:r>
      <w:r>
        <w:rPr>
          <w:spacing w:val="4"/>
        </w:rPr>
        <w:t xml:space="preserve"> </w:t>
      </w:r>
      <w:r>
        <w:t>Federation</w:t>
      </w:r>
      <w:r>
        <w:rPr>
          <w:spacing w:val="3"/>
        </w:rPr>
        <w:t xml:space="preserve"> </w:t>
      </w:r>
      <w:r>
        <w:t>Funding</w:t>
      </w:r>
      <w:r>
        <w:rPr>
          <w:spacing w:val="4"/>
        </w:rPr>
        <w:t xml:space="preserve"> </w:t>
      </w:r>
      <w:r>
        <w:t>Agreement</w:t>
      </w:r>
      <w:r>
        <w:rPr>
          <w:spacing w:val="4"/>
        </w:rPr>
        <w:t xml:space="preserve"> </w:t>
      </w:r>
      <w:r>
        <w:t>with</w:t>
      </w:r>
      <w:r>
        <w:rPr>
          <w:spacing w:val="3"/>
        </w:rPr>
        <w:t xml:space="preserve"> </w:t>
      </w:r>
      <w:r>
        <w:t>state</w:t>
      </w:r>
      <w:r>
        <w:rPr>
          <w:spacing w:val="4"/>
        </w:rPr>
        <w:t xml:space="preserve"> </w:t>
      </w:r>
      <w:r>
        <w:t>and</w:t>
      </w:r>
      <w:r>
        <w:rPr>
          <w:spacing w:val="4"/>
        </w:rPr>
        <w:t xml:space="preserve"> </w:t>
      </w:r>
      <w:r>
        <w:t>territory</w:t>
      </w:r>
      <w:r>
        <w:rPr>
          <w:spacing w:val="-50"/>
        </w:rPr>
        <w:t xml:space="preserve"> </w:t>
      </w:r>
      <w:r>
        <w:t>governments,</w:t>
      </w:r>
      <w:r>
        <w:rPr>
          <w:spacing w:val="4"/>
        </w:rPr>
        <w:t xml:space="preserve"> </w:t>
      </w:r>
      <w:r>
        <w:t>and</w:t>
      </w:r>
      <w:r>
        <w:rPr>
          <w:spacing w:val="5"/>
        </w:rPr>
        <w:t xml:space="preserve"> </w:t>
      </w:r>
      <w:r>
        <w:t>support</w:t>
      </w:r>
      <w:r>
        <w:rPr>
          <w:spacing w:val="4"/>
        </w:rPr>
        <w:t xml:space="preserve"> </w:t>
      </w:r>
      <w:r>
        <w:t>eligible</w:t>
      </w:r>
      <w:r>
        <w:rPr>
          <w:spacing w:val="5"/>
        </w:rPr>
        <w:t xml:space="preserve"> </w:t>
      </w:r>
      <w:r>
        <w:t>children</w:t>
      </w:r>
      <w:r>
        <w:rPr>
          <w:spacing w:val="5"/>
        </w:rPr>
        <w:t xml:space="preserve"> </w:t>
      </w:r>
      <w:r>
        <w:t>to</w:t>
      </w:r>
      <w:r>
        <w:rPr>
          <w:spacing w:val="4"/>
        </w:rPr>
        <w:t xml:space="preserve"> </w:t>
      </w:r>
      <w:r>
        <w:t>access</w:t>
      </w:r>
      <w:r>
        <w:rPr>
          <w:spacing w:val="5"/>
        </w:rPr>
        <w:t xml:space="preserve"> </w:t>
      </w:r>
      <w:r>
        <w:t>essential</w:t>
      </w:r>
      <w:r>
        <w:rPr>
          <w:spacing w:val="5"/>
        </w:rPr>
        <w:t xml:space="preserve"> </w:t>
      </w:r>
      <w:r>
        <w:t>dental</w:t>
      </w:r>
      <w:r>
        <w:rPr>
          <w:spacing w:val="4"/>
        </w:rPr>
        <w:t xml:space="preserve"> </w:t>
      </w:r>
      <w:r>
        <w:t>health</w:t>
      </w:r>
      <w:r>
        <w:rPr>
          <w:spacing w:val="5"/>
        </w:rPr>
        <w:t xml:space="preserve"> </w:t>
      </w:r>
      <w:r>
        <w:t>services</w:t>
      </w:r>
      <w:r>
        <w:rPr>
          <w:spacing w:val="5"/>
        </w:rPr>
        <w:t xml:space="preserve"> </w:t>
      </w:r>
      <w:r>
        <w:t>through</w:t>
      </w:r>
      <w:r>
        <w:rPr>
          <w:spacing w:val="4"/>
        </w:rPr>
        <w:t xml:space="preserve"> </w:t>
      </w:r>
      <w:r>
        <w:t>the</w:t>
      </w:r>
      <w:r>
        <w:rPr>
          <w:spacing w:val="5"/>
        </w:rPr>
        <w:t xml:space="preserve"> </w:t>
      </w:r>
      <w:r>
        <w:t>Child</w:t>
      </w:r>
      <w:r>
        <w:rPr>
          <w:spacing w:val="5"/>
        </w:rPr>
        <w:t xml:space="preserve"> </w:t>
      </w:r>
      <w:r>
        <w:t>Dental</w:t>
      </w:r>
      <w:r>
        <w:rPr>
          <w:spacing w:val="1"/>
        </w:rPr>
        <w:t xml:space="preserve"> </w:t>
      </w:r>
      <w:r>
        <w:t>Benefits Schedule (CDBS).</w:t>
      </w:r>
    </w:p>
    <w:p w14:paraId="632E7B20" w14:textId="77777777" w:rsidR="00E90764" w:rsidRPr="00CF6322" w:rsidRDefault="0099166C" w:rsidP="00DA1533">
      <w:pPr>
        <w:pStyle w:val="Heading4"/>
      </w:pPr>
      <w:r w:rsidRPr="00CF6322">
        <w:t>Our Operating Focus</w:t>
      </w:r>
    </w:p>
    <w:p w14:paraId="632E7B22" w14:textId="3A8D1B9F" w:rsidR="00E90764" w:rsidRPr="00CF6322" w:rsidRDefault="0099166C" w:rsidP="001D1CF9">
      <w:pPr>
        <w:pStyle w:val="BodyText"/>
      </w:pPr>
      <w:r w:rsidRPr="00CF6322">
        <w:t>The Australian Government provides assistance for 2 to 17 year olds through the CDBS. The CDBS provides individual benefits for a range of services including examinations,</w:t>
      </w:r>
      <w:r w:rsidR="00D02B17" w:rsidRPr="00CF6322">
        <w:t xml:space="preserve"> </w:t>
      </w:r>
      <w:r w:rsidRPr="00CF6322">
        <w:t>x-rays, cleaning, fissure sealing, fillings, root canals and extractions. Benefits are not available for orthodontic or cosmetic dental work and cannot be paid for any services</w:t>
      </w:r>
      <w:r w:rsidR="006E1A17" w:rsidRPr="00CF6322">
        <w:t xml:space="preserve"> </w:t>
      </w:r>
      <w:r w:rsidRPr="00CF6322">
        <w:t>provided in a hospital.</w:t>
      </w:r>
    </w:p>
    <w:p w14:paraId="632E7B24" w14:textId="4C9D4E29" w:rsidR="00E90764" w:rsidRPr="00CF6322" w:rsidRDefault="0099166C" w:rsidP="001D1CF9">
      <w:pPr>
        <w:pStyle w:val="BodyText"/>
      </w:pPr>
      <w:r w:rsidRPr="00CF6322">
        <w:t>Working with the states and territories, we will continue managing barriers to the access of services, including</w:t>
      </w:r>
      <w:r w:rsidR="005952CC">
        <w:t xml:space="preserve"> </w:t>
      </w:r>
      <w:r w:rsidRPr="00CF6322">
        <w:t>the CDBS, to ensure improvements support access for patients and encourage both public and private providers to continue providing services. We are also working to provide access to these public dental services despite challenges to access posed by the COVID-19 pandemic.</w:t>
      </w:r>
    </w:p>
    <w:p w14:paraId="632E7B27" w14:textId="33B09950" w:rsidR="00E90764" w:rsidRPr="00CF6322" w:rsidRDefault="0099166C" w:rsidP="001D1CF9">
      <w:pPr>
        <w:pStyle w:val="BodyText"/>
      </w:pPr>
      <w:r w:rsidRPr="00CF6322">
        <w:t xml:space="preserve">We are progressing implementation of the recommendations of the Fourth Review of the </w:t>
      </w:r>
      <w:r w:rsidRPr="005C3FDA">
        <w:rPr>
          <w:i/>
          <w:iCs/>
        </w:rPr>
        <w:t>Dental Benefits Act 2008</w:t>
      </w:r>
      <w:r w:rsidRPr="00CF6322">
        <w:t>, including legislative changes to broaden eligibility by removing</w:t>
      </w:r>
      <w:r w:rsidR="006E1A17" w:rsidRPr="00CF6322">
        <w:t xml:space="preserve"> </w:t>
      </w:r>
      <w:r w:rsidRPr="00CF6322">
        <w:t>the lower age limitation for accessing the program.</w:t>
      </w:r>
    </w:p>
    <w:tbl>
      <w:tblPr>
        <w:tblW w:w="103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0" w:type="dxa"/>
        </w:tblCellMar>
        <w:tblLook w:val="01E0" w:firstRow="1" w:lastRow="1" w:firstColumn="1" w:lastColumn="1" w:noHBand="0" w:noVBand="0"/>
      </w:tblPr>
      <w:tblGrid>
        <w:gridCol w:w="8541"/>
        <w:gridCol w:w="441"/>
        <w:gridCol w:w="441"/>
        <w:gridCol w:w="439"/>
        <w:gridCol w:w="441"/>
      </w:tblGrid>
      <w:tr w:rsidR="00E90764" w:rsidRPr="00FA6C8A" w14:paraId="632E7B2E" w14:textId="77777777" w:rsidTr="00FA6C8A">
        <w:trPr>
          <w:trHeight w:val="1111"/>
          <w:tblHeader/>
        </w:trPr>
        <w:tc>
          <w:tcPr>
            <w:tcW w:w="8541" w:type="dxa"/>
            <w:shd w:val="clear" w:color="auto" w:fill="auto"/>
          </w:tcPr>
          <w:p w14:paraId="632E7B29" w14:textId="77777777" w:rsidR="00E90764" w:rsidRPr="00FA6C8A" w:rsidRDefault="0099166C" w:rsidP="001D1CF9">
            <w:pPr>
              <w:pStyle w:val="BodyText"/>
              <w:rPr>
                <w:rStyle w:val="Strong"/>
              </w:rPr>
            </w:pPr>
            <w:r w:rsidRPr="00FA6C8A">
              <w:rPr>
                <w:rStyle w:val="Strong"/>
              </w:rPr>
              <w:t>Key Activities</w:t>
            </w:r>
          </w:p>
        </w:tc>
        <w:tc>
          <w:tcPr>
            <w:tcW w:w="441" w:type="dxa"/>
            <w:shd w:val="clear" w:color="auto" w:fill="auto"/>
            <w:textDirection w:val="tbRl"/>
            <w:vAlign w:val="center"/>
          </w:tcPr>
          <w:p w14:paraId="632E7B2A" w14:textId="77777777" w:rsidR="00E90764" w:rsidRPr="00FA6C8A" w:rsidRDefault="0099166C" w:rsidP="001D1CF9">
            <w:pPr>
              <w:pStyle w:val="BodyText"/>
              <w:rPr>
                <w:rStyle w:val="Strong"/>
              </w:rPr>
            </w:pPr>
            <w:r w:rsidRPr="00FA6C8A">
              <w:rPr>
                <w:rStyle w:val="Strong"/>
              </w:rPr>
              <w:t>2021–22</w:t>
            </w:r>
          </w:p>
        </w:tc>
        <w:tc>
          <w:tcPr>
            <w:tcW w:w="441" w:type="dxa"/>
            <w:shd w:val="clear" w:color="auto" w:fill="auto"/>
            <w:textDirection w:val="tbRl"/>
            <w:vAlign w:val="center"/>
          </w:tcPr>
          <w:p w14:paraId="632E7B2B" w14:textId="77777777" w:rsidR="00E90764" w:rsidRPr="00FA6C8A" w:rsidRDefault="0099166C" w:rsidP="001D1CF9">
            <w:pPr>
              <w:pStyle w:val="BodyText"/>
              <w:rPr>
                <w:rStyle w:val="Strong"/>
              </w:rPr>
            </w:pPr>
            <w:r w:rsidRPr="00FA6C8A">
              <w:rPr>
                <w:rStyle w:val="Strong"/>
              </w:rPr>
              <w:t>2022–23</w:t>
            </w:r>
          </w:p>
        </w:tc>
        <w:tc>
          <w:tcPr>
            <w:tcW w:w="439" w:type="dxa"/>
            <w:shd w:val="clear" w:color="auto" w:fill="auto"/>
            <w:textDirection w:val="tbRl"/>
            <w:vAlign w:val="center"/>
          </w:tcPr>
          <w:p w14:paraId="632E7B2C" w14:textId="77777777" w:rsidR="00E90764" w:rsidRPr="00FA6C8A" w:rsidRDefault="0099166C" w:rsidP="001D1CF9">
            <w:pPr>
              <w:pStyle w:val="BodyText"/>
              <w:rPr>
                <w:rStyle w:val="Strong"/>
              </w:rPr>
            </w:pPr>
            <w:r w:rsidRPr="00FA6C8A">
              <w:rPr>
                <w:rStyle w:val="Strong"/>
              </w:rPr>
              <w:t>2023–24</w:t>
            </w:r>
          </w:p>
        </w:tc>
        <w:tc>
          <w:tcPr>
            <w:tcW w:w="441" w:type="dxa"/>
            <w:shd w:val="clear" w:color="auto" w:fill="auto"/>
            <w:textDirection w:val="tbRl"/>
            <w:vAlign w:val="center"/>
          </w:tcPr>
          <w:p w14:paraId="632E7B2D" w14:textId="77777777" w:rsidR="00E90764" w:rsidRPr="00FA6C8A" w:rsidRDefault="0099166C" w:rsidP="001D1CF9">
            <w:pPr>
              <w:pStyle w:val="BodyText"/>
              <w:rPr>
                <w:rStyle w:val="Strong"/>
              </w:rPr>
            </w:pPr>
            <w:r w:rsidRPr="00FA6C8A">
              <w:rPr>
                <w:rStyle w:val="Strong"/>
              </w:rPr>
              <w:t>2024–25</w:t>
            </w:r>
          </w:p>
        </w:tc>
      </w:tr>
      <w:tr w:rsidR="00E90764" w:rsidRPr="00CF6322" w14:paraId="632E7B34" w14:textId="77777777" w:rsidTr="00987895">
        <w:trPr>
          <w:trHeight w:val="582"/>
        </w:trPr>
        <w:tc>
          <w:tcPr>
            <w:tcW w:w="8541" w:type="dxa"/>
            <w:shd w:val="clear" w:color="auto" w:fill="auto"/>
          </w:tcPr>
          <w:p w14:paraId="632E7B2F" w14:textId="77777777" w:rsidR="00E90764" w:rsidRPr="00CF6322" w:rsidRDefault="0099166C" w:rsidP="001D1CF9">
            <w:pPr>
              <w:pStyle w:val="BodyText"/>
            </w:pPr>
            <w:r w:rsidRPr="00CF6322">
              <w:t>Supporting states and territories through the Federation Funding Agreement on Public Dental Services for Adults.</w:t>
            </w:r>
          </w:p>
        </w:tc>
        <w:tc>
          <w:tcPr>
            <w:tcW w:w="441" w:type="dxa"/>
            <w:shd w:val="clear" w:color="auto" w:fill="auto"/>
          </w:tcPr>
          <w:p w14:paraId="632E7B30" w14:textId="286F958B"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B31" w14:textId="77777777" w:rsidR="00E90764" w:rsidRPr="00CF6322" w:rsidRDefault="00E90764" w:rsidP="001D1CF9">
            <w:pPr>
              <w:pStyle w:val="BodyText"/>
            </w:pPr>
          </w:p>
        </w:tc>
        <w:tc>
          <w:tcPr>
            <w:tcW w:w="439" w:type="dxa"/>
            <w:shd w:val="clear" w:color="auto" w:fill="auto"/>
          </w:tcPr>
          <w:p w14:paraId="632E7B32" w14:textId="77777777" w:rsidR="00E90764" w:rsidRPr="00CF6322" w:rsidRDefault="00E90764" w:rsidP="001D1CF9">
            <w:pPr>
              <w:pStyle w:val="BodyText"/>
            </w:pPr>
          </w:p>
        </w:tc>
        <w:tc>
          <w:tcPr>
            <w:tcW w:w="441" w:type="dxa"/>
            <w:shd w:val="clear" w:color="auto" w:fill="auto"/>
          </w:tcPr>
          <w:p w14:paraId="632E7B33" w14:textId="77777777" w:rsidR="00E90764" w:rsidRPr="00CF6322" w:rsidRDefault="00E90764" w:rsidP="001D1CF9">
            <w:pPr>
              <w:pStyle w:val="BodyText"/>
            </w:pPr>
          </w:p>
        </w:tc>
      </w:tr>
      <w:tr w:rsidR="00E90764" w:rsidRPr="00CF6322" w14:paraId="632E7B3A" w14:textId="77777777" w:rsidTr="00987895">
        <w:trPr>
          <w:trHeight w:val="582"/>
        </w:trPr>
        <w:tc>
          <w:tcPr>
            <w:tcW w:w="8541" w:type="dxa"/>
            <w:shd w:val="clear" w:color="auto" w:fill="auto"/>
          </w:tcPr>
          <w:p w14:paraId="632E7B35" w14:textId="77777777" w:rsidR="00E90764" w:rsidRPr="00CF6322" w:rsidRDefault="0099166C" w:rsidP="001D1CF9">
            <w:pPr>
              <w:pStyle w:val="BodyText"/>
            </w:pPr>
            <w:r w:rsidRPr="00CF6322">
              <w:t>Working with Services Australia to support access to dental health services for eligible children through the CDBS.</w:t>
            </w:r>
          </w:p>
        </w:tc>
        <w:tc>
          <w:tcPr>
            <w:tcW w:w="441" w:type="dxa"/>
            <w:shd w:val="clear" w:color="auto" w:fill="auto"/>
          </w:tcPr>
          <w:p w14:paraId="632E7B36" w14:textId="3D435BE7"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B37" w14:textId="412086C5"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B38" w14:textId="6065FF3B"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B39" w14:textId="6BC72E5F" w:rsidR="00E90764" w:rsidRPr="00CF6322" w:rsidRDefault="00041BDA" w:rsidP="001D1CF9">
            <w:pPr>
              <w:pStyle w:val="BodyText"/>
            </w:pPr>
            <w:r>
              <w:rPr>
                <w:rFonts w:ascii="Segoe UI Symbol" w:hAnsi="Segoe UI Symbol" w:cs="Segoe UI Symbol"/>
              </w:rPr>
              <w:t>✓</w:t>
            </w:r>
          </w:p>
        </w:tc>
      </w:tr>
      <w:tr w:rsidR="00E90764" w:rsidRPr="00CF6322" w14:paraId="632E7B40" w14:textId="77777777" w:rsidTr="00987895">
        <w:trPr>
          <w:trHeight w:val="391"/>
        </w:trPr>
        <w:tc>
          <w:tcPr>
            <w:tcW w:w="8541" w:type="dxa"/>
            <w:shd w:val="clear" w:color="auto" w:fill="auto"/>
          </w:tcPr>
          <w:p w14:paraId="632E7B3B" w14:textId="77777777" w:rsidR="00E90764" w:rsidRPr="00CF6322" w:rsidRDefault="0099166C" w:rsidP="001D1CF9">
            <w:pPr>
              <w:pStyle w:val="BodyText"/>
            </w:pPr>
            <w:r w:rsidRPr="00CF6322">
              <w:t>Responding to recommendations of the Fourth Review of the Dental Benefits Act 2008.</w:t>
            </w:r>
          </w:p>
        </w:tc>
        <w:tc>
          <w:tcPr>
            <w:tcW w:w="441" w:type="dxa"/>
            <w:shd w:val="clear" w:color="auto" w:fill="auto"/>
          </w:tcPr>
          <w:p w14:paraId="632E7B3C" w14:textId="7A518AA0"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B3D" w14:textId="26130522"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B3E" w14:textId="77777777" w:rsidR="00E90764" w:rsidRPr="00CF6322" w:rsidRDefault="00E90764" w:rsidP="001D1CF9">
            <w:pPr>
              <w:pStyle w:val="BodyText"/>
            </w:pPr>
          </w:p>
        </w:tc>
        <w:tc>
          <w:tcPr>
            <w:tcW w:w="441" w:type="dxa"/>
            <w:shd w:val="clear" w:color="auto" w:fill="auto"/>
          </w:tcPr>
          <w:p w14:paraId="632E7B3F" w14:textId="77777777" w:rsidR="00E90764" w:rsidRPr="00CF6322" w:rsidRDefault="00E90764" w:rsidP="001D1CF9">
            <w:pPr>
              <w:pStyle w:val="BodyText"/>
            </w:pPr>
          </w:p>
        </w:tc>
      </w:tr>
    </w:tbl>
    <w:p w14:paraId="632E7B42" w14:textId="77777777" w:rsidR="00E90764" w:rsidRPr="00987895" w:rsidRDefault="0099166C" w:rsidP="00987895">
      <w:pPr>
        <w:pStyle w:val="Heading4"/>
      </w:pPr>
      <w:r w:rsidRPr="00CF6322">
        <w:t>Our Performance</w:t>
      </w:r>
    </w:p>
    <w:p w14:paraId="632E7B44" w14:textId="7ADE0D49" w:rsidR="00E90764" w:rsidRPr="00CF6322" w:rsidRDefault="0099166C" w:rsidP="00987895">
      <w:pPr>
        <w:pStyle w:val="Heading5"/>
      </w:pPr>
      <w:r w:rsidRPr="00CF6322">
        <w:t>Performance Measures for Dental Services – Prog</w:t>
      </w:r>
      <w:r w:rsidRPr="00987895">
        <w:t>r</w:t>
      </w:r>
      <w:r w:rsidRPr="00CF6322">
        <w:t>am 2.5</w:t>
      </w:r>
    </w:p>
    <w:tbl>
      <w:tblPr>
        <w:tblW w:w="102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0" w:type="dxa"/>
        </w:tblCellMar>
        <w:tblLook w:val="01E0" w:firstRow="1" w:lastRow="1" w:firstColumn="1" w:lastColumn="1" w:noHBand="0" w:noVBand="0"/>
      </w:tblPr>
      <w:tblGrid>
        <w:gridCol w:w="2571"/>
        <w:gridCol w:w="2571"/>
        <w:gridCol w:w="2571"/>
        <w:gridCol w:w="2571"/>
      </w:tblGrid>
      <w:tr w:rsidR="00E90764" w:rsidRPr="00FA6C8A" w14:paraId="632E7B46" w14:textId="77777777" w:rsidTr="00FA6C8A">
        <w:trPr>
          <w:trHeight w:val="715"/>
          <w:tblHeader/>
        </w:trPr>
        <w:tc>
          <w:tcPr>
            <w:tcW w:w="10284" w:type="dxa"/>
            <w:gridSpan w:val="4"/>
            <w:shd w:val="clear" w:color="auto" w:fill="auto"/>
          </w:tcPr>
          <w:p w14:paraId="632E7B45" w14:textId="1056897D" w:rsidR="00E90764" w:rsidRPr="00FA6C8A" w:rsidRDefault="0099166C" w:rsidP="001D1CF9">
            <w:pPr>
              <w:pStyle w:val="BodyText"/>
              <w:rPr>
                <w:rStyle w:val="Strong"/>
              </w:rPr>
            </w:pPr>
            <w:r w:rsidRPr="00FA6C8A">
              <w:rPr>
                <w:rStyle w:val="Strong"/>
              </w:rPr>
              <w:t>The percentage of eligible children accessing essential dental health services through the Child Dental Benefits Schedule (CDBS)</w:t>
            </w:r>
            <w:r w:rsidRPr="00FA6C8A">
              <w:rPr>
                <w:rStyle w:val="Strong"/>
                <w:vertAlign w:val="superscript"/>
              </w:rPr>
              <w:t>.</w:t>
            </w:r>
            <w:r w:rsidR="00987895" w:rsidRPr="00FA6C8A">
              <w:rPr>
                <w:rStyle w:val="Strong"/>
                <w:vertAlign w:val="superscript"/>
              </w:rPr>
              <w:footnoteReference w:id="60"/>
            </w:r>
          </w:p>
        </w:tc>
      </w:tr>
      <w:tr w:rsidR="00E90764" w:rsidRPr="00CF6322" w14:paraId="632E7B4B" w14:textId="77777777" w:rsidTr="00987895">
        <w:trPr>
          <w:trHeight w:val="458"/>
        </w:trPr>
        <w:tc>
          <w:tcPr>
            <w:tcW w:w="2571" w:type="dxa"/>
            <w:shd w:val="clear" w:color="auto" w:fill="auto"/>
          </w:tcPr>
          <w:p w14:paraId="632E7B47" w14:textId="77777777" w:rsidR="00E90764" w:rsidRPr="005C3FDA" w:rsidRDefault="0099166C" w:rsidP="001D1CF9">
            <w:pPr>
              <w:pStyle w:val="BodyText"/>
            </w:pPr>
            <w:r w:rsidRPr="005C3FDA">
              <w:t>2021–22 Target</w:t>
            </w:r>
          </w:p>
        </w:tc>
        <w:tc>
          <w:tcPr>
            <w:tcW w:w="2571" w:type="dxa"/>
            <w:shd w:val="clear" w:color="auto" w:fill="auto"/>
          </w:tcPr>
          <w:p w14:paraId="632E7B48" w14:textId="77777777" w:rsidR="00E90764" w:rsidRPr="005C3FDA" w:rsidRDefault="0099166C" w:rsidP="001D1CF9">
            <w:pPr>
              <w:pStyle w:val="BodyText"/>
            </w:pPr>
            <w:r w:rsidRPr="005C3FDA">
              <w:t>2022–23 Target</w:t>
            </w:r>
          </w:p>
        </w:tc>
        <w:tc>
          <w:tcPr>
            <w:tcW w:w="2571" w:type="dxa"/>
            <w:shd w:val="clear" w:color="auto" w:fill="auto"/>
          </w:tcPr>
          <w:p w14:paraId="632E7B49" w14:textId="77777777" w:rsidR="00E90764" w:rsidRPr="005C3FDA" w:rsidRDefault="0099166C" w:rsidP="001D1CF9">
            <w:pPr>
              <w:pStyle w:val="BodyText"/>
            </w:pPr>
            <w:r w:rsidRPr="005C3FDA">
              <w:t>2023–24 Target</w:t>
            </w:r>
          </w:p>
        </w:tc>
        <w:tc>
          <w:tcPr>
            <w:tcW w:w="2571" w:type="dxa"/>
            <w:shd w:val="clear" w:color="auto" w:fill="auto"/>
          </w:tcPr>
          <w:p w14:paraId="632E7B4A" w14:textId="77777777" w:rsidR="00E90764" w:rsidRPr="005C3FDA" w:rsidRDefault="0099166C" w:rsidP="001D1CF9">
            <w:pPr>
              <w:pStyle w:val="BodyText"/>
            </w:pPr>
            <w:r w:rsidRPr="005C3FDA">
              <w:t>2024–25 Target</w:t>
            </w:r>
          </w:p>
        </w:tc>
      </w:tr>
      <w:tr w:rsidR="00E90764" w:rsidRPr="00CF6322" w14:paraId="632E7B50" w14:textId="77777777" w:rsidTr="00987895">
        <w:trPr>
          <w:trHeight w:val="465"/>
        </w:trPr>
        <w:tc>
          <w:tcPr>
            <w:tcW w:w="2571" w:type="dxa"/>
            <w:shd w:val="clear" w:color="auto" w:fill="auto"/>
          </w:tcPr>
          <w:p w14:paraId="632E7B4C" w14:textId="77777777" w:rsidR="00E90764" w:rsidRPr="00CF6322" w:rsidRDefault="0099166C" w:rsidP="001D1CF9">
            <w:pPr>
              <w:pStyle w:val="BodyText"/>
            </w:pPr>
            <w:r w:rsidRPr="00CF6322">
              <w:t>41.0%</w:t>
            </w:r>
          </w:p>
        </w:tc>
        <w:tc>
          <w:tcPr>
            <w:tcW w:w="2571" w:type="dxa"/>
            <w:shd w:val="clear" w:color="auto" w:fill="auto"/>
          </w:tcPr>
          <w:p w14:paraId="632E7B4D" w14:textId="77777777" w:rsidR="00E90764" w:rsidRPr="00CF6322" w:rsidRDefault="0099166C" w:rsidP="001D1CF9">
            <w:pPr>
              <w:pStyle w:val="BodyText"/>
            </w:pPr>
            <w:r w:rsidRPr="00CF6322">
              <w:t>41.8%</w:t>
            </w:r>
          </w:p>
        </w:tc>
        <w:tc>
          <w:tcPr>
            <w:tcW w:w="2571" w:type="dxa"/>
            <w:shd w:val="clear" w:color="auto" w:fill="auto"/>
          </w:tcPr>
          <w:p w14:paraId="632E7B4E" w14:textId="77777777" w:rsidR="00E90764" w:rsidRPr="00CF6322" w:rsidRDefault="0099166C" w:rsidP="001D1CF9">
            <w:pPr>
              <w:pStyle w:val="BodyText"/>
            </w:pPr>
            <w:r w:rsidRPr="00CF6322">
              <w:t>42.7%</w:t>
            </w:r>
          </w:p>
        </w:tc>
        <w:tc>
          <w:tcPr>
            <w:tcW w:w="2571" w:type="dxa"/>
            <w:shd w:val="clear" w:color="auto" w:fill="auto"/>
          </w:tcPr>
          <w:p w14:paraId="632E7B4F" w14:textId="77777777" w:rsidR="00E90764" w:rsidRPr="00CF6322" w:rsidRDefault="0099166C" w:rsidP="001D1CF9">
            <w:pPr>
              <w:pStyle w:val="BodyText"/>
            </w:pPr>
            <w:r w:rsidRPr="00CF6322">
              <w:t>43.6%</w:t>
            </w:r>
          </w:p>
        </w:tc>
      </w:tr>
      <w:tr w:rsidR="00E90764" w:rsidRPr="00CF6322" w14:paraId="632E7B58" w14:textId="77777777" w:rsidTr="00987895">
        <w:trPr>
          <w:trHeight w:val="2759"/>
        </w:trPr>
        <w:tc>
          <w:tcPr>
            <w:tcW w:w="10284" w:type="dxa"/>
            <w:gridSpan w:val="4"/>
            <w:shd w:val="clear" w:color="auto" w:fill="auto"/>
          </w:tcPr>
          <w:p w14:paraId="632E7B51" w14:textId="77777777" w:rsidR="00E90764" w:rsidRPr="00CF6322" w:rsidRDefault="0099166C" w:rsidP="001D1CF9">
            <w:pPr>
              <w:pStyle w:val="Heading6"/>
            </w:pPr>
            <w:r w:rsidRPr="00CF6322">
              <w:t xml:space="preserve">Data source and </w:t>
            </w:r>
            <w:r w:rsidRPr="00987895">
              <w:t>methodology</w:t>
            </w:r>
          </w:p>
          <w:p w14:paraId="632E7B52" w14:textId="6CE7E097" w:rsidR="00E90764" w:rsidRPr="00CF6322" w:rsidRDefault="0099166C" w:rsidP="001D1CF9">
            <w:pPr>
              <w:pStyle w:val="BodyText"/>
            </w:pPr>
            <w:r w:rsidRPr="00CF6322">
              <w:t>The target data is calculated by the percentage of children accessing the CDBS against the total number of eligible</w:t>
            </w:r>
            <w:r w:rsidR="00D02B17" w:rsidRPr="00CF6322">
              <w:t xml:space="preserve"> </w:t>
            </w:r>
            <w:r w:rsidRPr="00CF6322">
              <w:t>children. The Department receives this data from Services Australia. It is then maintained internally by the Department.</w:t>
            </w:r>
          </w:p>
          <w:p w14:paraId="632E7B53" w14:textId="77777777" w:rsidR="00E90764" w:rsidRPr="00987895" w:rsidRDefault="0099166C" w:rsidP="001D1CF9">
            <w:pPr>
              <w:pStyle w:val="Heading6"/>
            </w:pPr>
            <w:r w:rsidRPr="00CF6322">
              <w:t>Measure type</w:t>
            </w:r>
          </w:p>
          <w:p w14:paraId="632E7B54" w14:textId="77777777" w:rsidR="00E90764" w:rsidRPr="00CF6322" w:rsidRDefault="0099166C" w:rsidP="001D1CF9">
            <w:pPr>
              <w:pStyle w:val="BodyText"/>
            </w:pPr>
            <w:r w:rsidRPr="00CF6322">
              <w:t>Quantitative/Effectiveness</w:t>
            </w:r>
          </w:p>
          <w:p w14:paraId="632E7B56" w14:textId="77777777" w:rsidR="00E90764" w:rsidRPr="00987895" w:rsidRDefault="0099166C" w:rsidP="001D1CF9">
            <w:pPr>
              <w:pStyle w:val="Heading6"/>
            </w:pPr>
            <w:r w:rsidRPr="00CF6322">
              <w:t>Discussion</w:t>
            </w:r>
          </w:p>
          <w:p w14:paraId="632E7B57" w14:textId="77777777" w:rsidR="00E90764" w:rsidRPr="00CF6322" w:rsidRDefault="0099166C" w:rsidP="001D1CF9">
            <w:pPr>
              <w:pStyle w:val="BodyText"/>
            </w:pPr>
            <w:r w:rsidRPr="00CF6322">
              <w:t>CDBS targets are determined by reflecting on the access rate of previous years and considering emerging trends.</w:t>
            </w:r>
          </w:p>
        </w:tc>
      </w:tr>
    </w:tbl>
    <w:p w14:paraId="35427DC0" w14:textId="77777777" w:rsidR="009C48F9" w:rsidRDefault="009C48F9" w:rsidP="009C48F9">
      <w:r>
        <w:br w:type="page"/>
      </w:r>
    </w:p>
    <w:p w14:paraId="2244CBD1" w14:textId="1A8D2EA0" w:rsidR="00AD1B19" w:rsidRDefault="00AD1B19" w:rsidP="00AD1B19">
      <w:pPr>
        <w:pStyle w:val="Heading3"/>
      </w:pPr>
      <w:r>
        <w:lastRenderedPageBreak/>
        <w:t>2.6 – Health</w:t>
      </w:r>
      <w:r>
        <w:rPr>
          <w:spacing w:val="-10"/>
        </w:rPr>
        <w:t xml:space="preserve"> </w:t>
      </w:r>
      <w:r>
        <w:t>Benefit</w:t>
      </w:r>
      <w:r>
        <w:rPr>
          <w:spacing w:val="-9"/>
        </w:rPr>
        <w:t xml:space="preserve"> </w:t>
      </w:r>
      <w:r>
        <w:t>Compliance</w:t>
      </w:r>
    </w:p>
    <w:p w14:paraId="3D4055D7" w14:textId="2DF7F88D" w:rsidR="00AD1B19" w:rsidRDefault="0099166C" w:rsidP="00AD1B19">
      <w:pPr>
        <w:pStyle w:val="Heading4"/>
      </w:pPr>
      <w:r w:rsidRPr="00CF6322">
        <w:t xml:space="preserve">Program </w:t>
      </w:r>
      <w:r w:rsidRPr="00AD1B19">
        <w:t>Objective</w:t>
      </w:r>
    </w:p>
    <w:p w14:paraId="1D06F3D2" w14:textId="77777777" w:rsidR="00AD1B19" w:rsidRDefault="00AD1B19" w:rsidP="001D1CF9">
      <w:pPr>
        <w:pStyle w:val="BodyText"/>
        <w:rPr>
          <w:color w:val="000000"/>
        </w:rPr>
      </w:pPr>
      <w:r>
        <w:t>Support</w:t>
      </w:r>
      <w:r>
        <w:rPr>
          <w:spacing w:val="4"/>
        </w:rPr>
        <w:t xml:space="preserve"> </w:t>
      </w:r>
      <w:r>
        <w:t>the</w:t>
      </w:r>
      <w:r>
        <w:rPr>
          <w:spacing w:val="5"/>
        </w:rPr>
        <w:t xml:space="preserve"> </w:t>
      </w:r>
      <w:r>
        <w:t>integrity</w:t>
      </w:r>
      <w:r>
        <w:rPr>
          <w:spacing w:val="5"/>
        </w:rPr>
        <w:t xml:space="preserve"> </w:t>
      </w:r>
      <w:r>
        <w:t>of</w:t>
      </w:r>
      <w:r>
        <w:rPr>
          <w:spacing w:val="5"/>
        </w:rPr>
        <w:t xml:space="preserve"> </w:t>
      </w:r>
      <w:r>
        <w:t>health</w:t>
      </w:r>
      <w:r>
        <w:rPr>
          <w:spacing w:val="5"/>
        </w:rPr>
        <w:t xml:space="preserve"> </w:t>
      </w:r>
      <w:r>
        <w:t>benefit</w:t>
      </w:r>
      <w:r>
        <w:rPr>
          <w:spacing w:val="5"/>
        </w:rPr>
        <w:t xml:space="preserve"> </w:t>
      </w:r>
      <w:r>
        <w:t>claims</w:t>
      </w:r>
      <w:r>
        <w:rPr>
          <w:spacing w:val="5"/>
        </w:rPr>
        <w:t xml:space="preserve"> </w:t>
      </w:r>
      <w:r>
        <w:t>through</w:t>
      </w:r>
      <w:r>
        <w:rPr>
          <w:spacing w:val="5"/>
        </w:rPr>
        <w:t xml:space="preserve"> </w:t>
      </w:r>
      <w:r>
        <w:t>prevention,</w:t>
      </w:r>
      <w:r>
        <w:rPr>
          <w:spacing w:val="5"/>
        </w:rPr>
        <w:t xml:space="preserve"> </w:t>
      </w:r>
      <w:r>
        <w:t>early</w:t>
      </w:r>
      <w:r>
        <w:rPr>
          <w:spacing w:val="5"/>
        </w:rPr>
        <w:t xml:space="preserve"> </w:t>
      </w:r>
      <w:r>
        <w:t>identification</w:t>
      </w:r>
      <w:r>
        <w:rPr>
          <w:spacing w:val="5"/>
        </w:rPr>
        <w:t xml:space="preserve"> </w:t>
      </w:r>
      <w:r>
        <w:t>and</w:t>
      </w:r>
      <w:r>
        <w:rPr>
          <w:spacing w:val="5"/>
        </w:rPr>
        <w:t xml:space="preserve"> </w:t>
      </w:r>
      <w:r>
        <w:t>treatment</w:t>
      </w:r>
      <w:r>
        <w:rPr>
          <w:spacing w:val="5"/>
        </w:rPr>
        <w:t xml:space="preserve"> </w:t>
      </w:r>
      <w:r>
        <w:t>of</w:t>
      </w:r>
      <w:r>
        <w:rPr>
          <w:spacing w:val="4"/>
        </w:rPr>
        <w:t xml:space="preserve"> </w:t>
      </w:r>
      <w:r>
        <w:t>incorrect</w:t>
      </w:r>
      <w:r>
        <w:rPr>
          <w:spacing w:val="-49"/>
        </w:rPr>
        <w:t xml:space="preserve"> </w:t>
      </w:r>
      <w:r>
        <w:t>claiming, inappropriate practice and fraud.</w:t>
      </w:r>
    </w:p>
    <w:p w14:paraId="632E7B63" w14:textId="6829FBEF" w:rsidR="00E90764" w:rsidRPr="00CF6322" w:rsidRDefault="0099166C" w:rsidP="00AD1B19">
      <w:pPr>
        <w:pStyle w:val="Heading4"/>
      </w:pPr>
      <w:r w:rsidRPr="00CF6322">
        <w:t>Our Operating Focus</w:t>
      </w:r>
    </w:p>
    <w:p w14:paraId="632E7B65" w14:textId="0516765D" w:rsidR="00E90764" w:rsidRPr="00CF6322" w:rsidRDefault="0099166C" w:rsidP="001D1CF9">
      <w:pPr>
        <w:pStyle w:val="BodyText"/>
      </w:pPr>
      <w:r w:rsidRPr="00CF6322">
        <w:t>We will continue to work to deliver a quality health provider compliance program that protects the integrity and long term sustainability of Medicare programs, including</w:t>
      </w:r>
      <w:r w:rsidR="00D02B17" w:rsidRPr="00CF6322">
        <w:t xml:space="preserve"> </w:t>
      </w:r>
      <w:r w:rsidRPr="00CF6322">
        <w:t>the Medicare Benefits Schedule, the Pharmaceutical Benefits Scheme and Child Dental Benefits Schedule, by preventing and deterring non-compliance where possible and ensuring audits and reviews are targeted effectively at providers whose claiming is potentially non-compliant.</w:t>
      </w:r>
    </w:p>
    <w:p w14:paraId="632E7B67" w14:textId="6B83E466" w:rsidR="00E90764" w:rsidRPr="00CF6322" w:rsidRDefault="0099166C" w:rsidP="001D1CF9">
      <w:pPr>
        <w:pStyle w:val="BodyText"/>
      </w:pPr>
      <w:r w:rsidRPr="00CF6322">
        <w:t>In doing so, we will tailor our approach in acknowledgement of the impacts of the COVID-19 pandemic and natural disasters that impact the delivery of services by health providers.</w:t>
      </w:r>
      <w:r w:rsidR="00AD1B19">
        <w:t xml:space="preserve"> </w:t>
      </w:r>
      <w:r w:rsidRPr="00CF6322">
        <w:t>To ensure the compliance of health provider claiming, we work in close consultation with professional bodies and stakeholder groups. This includes informing the design of compliance strategies and the delivery of education and information to health providers on the appropriate use of Medicare programs. This assists providers to meet their compliance obligations when claiming benefits.</w:t>
      </w:r>
    </w:p>
    <w:p w14:paraId="632E7B6A" w14:textId="3DDE00C9" w:rsidR="00E90764" w:rsidRPr="00CF6322" w:rsidRDefault="0099166C" w:rsidP="001D1CF9">
      <w:pPr>
        <w:pStyle w:val="BodyText"/>
      </w:pPr>
      <w:r w:rsidRPr="00CF6322">
        <w:t xml:space="preserve">We will continue to use a range of compliance measures commensurate with the compliance concern, including awareness raising, targeted compliance letters, audits, </w:t>
      </w:r>
      <w:proofErr w:type="spellStart"/>
      <w:r w:rsidRPr="00CF6322">
        <w:t>behaviourally</w:t>
      </w:r>
      <w:proofErr w:type="spellEnd"/>
      <w:r w:rsidRPr="00CF6322">
        <w:t xml:space="preserve"> informed interventions, practitioner reviews and criminal investigations.</w:t>
      </w:r>
    </w:p>
    <w:tbl>
      <w:tblPr>
        <w:tblW w:w="103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0" w:type="dxa"/>
        </w:tblCellMar>
        <w:tblLook w:val="01E0" w:firstRow="1" w:lastRow="1" w:firstColumn="1" w:lastColumn="1" w:noHBand="0" w:noVBand="0"/>
      </w:tblPr>
      <w:tblGrid>
        <w:gridCol w:w="8541"/>
        <w:gridCol w:w="441"/>
        <w:gridCol w:w="441"/>
        <w:gridCol w:w="439"/>
        <w:gridCol w:w="441"/>
      </w:tblGrid>
      <w:tr w:rsidR="00E90764" w:rsidRPr="00FA6C8A" w14:paraId="632E7B71" w14:textId="77777777" w:rsidTr="00FA6C8A">
        <w:trPr>
          <w:trHeight w:val="1198"/>
          <w:tblHeader/>
        </w:trPr>
        <w:tc>
          <w:tcPr>
            <w:tcW w:w="8541" w:type="dxa"/>
            <w:shd w:val="clear" w:color="auto" w:fill="auto"/>
          </w:tcPr>
          <w:p w14:paraId="632E7B6C" w14:textId="77777777" w:rsidR="00E90764" w:rsidRPr="00FA6C8A" w:rsidRDefault="0099166C" w:rsidP="001D1CF9">
            <w:pPr>
              <w:pStyle w:val="BodyText"/>
              <w:rPr>
                <w:rStyle w:val="Strong"/>
              </w:rPr>
            </w:pPr>
            <w:r w:rsidRPr="00FA6C8A">
              <w:rPr>
                <w:rStyle w:val="Strong"/>
              </w:rPr>
              <w:t>Key Activities</w:t>
            </w:r>
          </w:p>
        </w:tc>
        <w:tc>
          <w:tcPr>
            <w:tcW w:w="441" w:type="dxa"/>
            <w:shd w:val="clear" w:color="auto" w:fill="auto"/>
            <w:textDirection w:val="tbRl"/>
            <w:vAlign w:val="center"/>
          </w:tcPr>
          <w:p w14:paraId="632E7B6D" w14:textId="77777777" w:rsidR="00E90764" w:rsidRPr="00FA6C8A" w:rsidRDefault="0099166C" w:rsidP="001D1CF9">
            <w:pPr>
              <w:pStyle w:val="BodyText"/>
              <w:rPr>
                <w:rStyle w:val="Strong"/>
              </w:rPr>
            </w:pPr>
            <w:r w:rsidRPr="00FA6C8A">
              <w:rPr>
                <w:rStyle w:val="Strong"/>
              </w:rPr>
              <w:t>2021–22</w:t>
            </w:r>
          </w:p>
        </w:tc>
        <w:tc>
          <w:tcPr>
            <w:tcW w:w="441" w:type="dxa"/>
            <w:shd w:val="clear" w:color="auto" w:fill="auto"/>
            <w:textDirection w:val="tbRl"/>
            <w:vAlign w:val="center"/>
          </w:tcPr>
          <w:p w14:paraId="632E7B6E" w14:textId="77777777" w:rsidR="00E90764" w:rsidRPr="00FA6C8A" w:rsidRDefault="0099166C" w:rsidP="001D1CF9">
            <w:pPr>
              <w:pStyle w:val="BodyText"/>
              <w:rPr>
                <w:rStyle w:val="Strong"/>
              </w:rPr>
            </w:pPr>
            <w:r w:rsidRPr="00FA6C8A">
              <w:rPr>
                <w:rStyle w:val="Strong"/>
              </w:rPr>
              <w:t>2022–23</w:t>
            </w:r>
          </w:p>
        </w:tc>
        <w:tc>
          <w:tcPr>
            <w:tcW w:w="439" w:type="dxa"/>
            <w:shd w:val="clear" w:color="auto" w:fill="auto"/>
            <w:textDirection w:val="tbRl"/>
            <w:vAlign w:val="center"/>
          </w:tcPr>
          <w:p w14:paraId="632E7B6F" w14:textId="77777777" w:rsidR="00E90764" w:rsidRPr="00FA6C8A" w:rsidRDefault="0099166C" w:rsidP="001D1CF9">
            <w:pPr>
              <w:pStyle w:val="BodyText"/>
              <w:rPr>
                <w:rStyle w:val="Strong"/>
              </w:rPr>
            </w:pPr>
            <w:r w:rsidRPr="00FA6C8A">
              <w:rPr>
                <w:rStyle w:val="Strong"/>
              </w:rPr>
              <w:t>2023–24</w:t>
            </w:r>
          </w:p>
        </w:tc>
        <w:tc>
          <w:tcPr>
            <w:tcW w:w="441" w:type="dxa"/>
            <w:shd w:val="clear" w:color="auto" w:fill="auto"/>
            <w:textDirection w:val="tbRl"/>
            <w:vAlign w:val="center"/>
          </w:tcPr>
          <w:p w14:paraId="632E7B70" w14:textId="77777777" w:rsidR="00E90764" w:rsidRPr="00FA6C8A" w:rsidRDefault="0099166C" w:rsidP="001D1CF9">
            <w:pPr>
              <w:pStyle w:val="BodyText"/>
              <w:rPr>
                <w:rStyle w:val="Strong"/>
              </w:rPr>
            </w:pPr>
            <w:r w:rsidRPr="00FA6C8A">
              <w:rPr>
                <w:rStyle w:val="Strong"/>
              </w:rPr>
              <w:t>2024–25</w:t>
            </w:r>
          </w:p>
        </w:tc>
      </w:tr>
      <w:tr w:rsidR="00E90764" w:rsidRPr="00CF6322" w14:paraId="632E7B7B" w14:textId="77777777" w:rsidTr="004E6095">
        <w:trPr>
          <w:trHeight w:val="822"/>
        </w:trPr>
        <w:tc>
          <w:tcPr>
            <w:tcW w:w="8541" w:type="dxa"/>
            <w:shd w:val="clear" w:color="auto" w:fill="auto"/>
          </w:tcPr>
          <w:p w14:paraId="632E7B72" w14:textId="27D17948" w:rsidR="00E90764" w:rsidRPr="00CF6322" w:rsidRDefault="0099166C" w:rsidP="001D1CF9">
            <w:pPr>
              <w:pStyle w:val="BodyText"/>
            </w:pPr>
            <w:r w:rsidRPr="00CF6322">
              <w:t xml:space="preserve">Strengthening compliance through data analytics, </w:t>
            </w:r>
            <w:proofErr w:type="spellStart"/>
            <w:r w:rsidRPr="00CF6322">
              <w:t>behavioural</w:t>
            </w:r>
            <w:proofErr w:type="spellEnd"/>
            <w:r w:rsidRPr="00CF6322">
              <w:t xml:space="preserve"> economics, education for providers, debt recovery and compliance actions, including targeted campaigns, audit, practitioner reviews and criminal investigations.</w:t>
            </w:r>
          </w:p>
        </w:tc>
        <w:tc>
          <w:tcPr>
            <w:tcW w:w="441" w:type="dxa"/>
            <w:shd w:val="clear" w:color="auto" w:fill="auto"/>
            <w:vAlign w:val="center"/>
          </w:tcPr>
          <w:p w14:paraId="632E7B74" w14:textId="3FBE5EAE"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B76" w14:textId="7747A206"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B78" w14:textId="65EAEF85"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B7A" w14:textId="1CED3B32" w:rsidR="00E90764" w:rsidRPr="00CF6322" w:rsidRDefault="00041BDA" w:rsidP="001D1CF9">
            <w:pPr>
              <w:pStyle w:val="BodyText"/>
            </w:pPr>
            <w:r>
              <w:rPr>
                <w:rFonts w:ascii="Segoe UI Symbol" w:hAnsi="Segoe UI Symbol" w:cs="Segoe UI Symbol"/>
              </w:rPr>
              <w:t>✓</w:t>
            </w:r>
          </w:p>
        </w:tc>
      </w:tr>
      <w:tr w:rsidR="00E90764" w:rsidRPr="00CF6322" w14:paraId="632E7B81" w14:textId="77777777" w:rsidTr="004E6095">
        <w:trPr>
          <w:trHeight w:val="582"/>
        </w:trPr>
        <w:tc>
          <w:tcPr>
            <w:tcW w:w="8541" w:type="dxa"/>
            <w:shd w:val="clear" w:color="auto" w:fill="auto"/>
          </w:tcPr>
          <w:p w14:paraId="632E7B7C" w14:textId="77777777" w:rsidR="00E90764" w:rsidRPr="00CF6322" w:rsidRDefault="0099166C" w:rsidP="001D1CF9">
            <w:pPr>
              <w:pStyle w:val="BodyText"/>
            </w:pPr>
            <w:r w:rsidRPr="00CF6322">
              <w:t>Consulting closely with professional bodies and stakeholder groups on compliance strategies to assist health providers in meeting their compliance obligations.</w:t>
            </w:r>
          </w:p>
        </w:tc>
        <w:tc>
          <w:tcPr>
            <w:tcW w:w="441" w:type="dxa"/>
            <w:shd w:val="clear" w:color="auto" w:fill="auto"/>
            <w:vAlign w:val="center"/>
          </w:tcPr>
          <w:p w14:paraId="632E7B7D" w14:textId="545C452B"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B7E" w14:textId="25A0014A" w:rsidR="00E90764" w:rsidRPr="00CF6322" w:rsidRDefault="00041BDA" w:rsidP="001D1CF9">
            <w:pPr>
              <w:pStyle w:val="BodyText"/>
            </w:pPr>
            <w:r>
              <w:rPr>
                <w:rFonts w:ascii="Segoe UI Symbol" w:hAnsi="Segoe UI Symbol" w:cs="Segoe UI Symbol"/>
              </w:rPr>
              <w:t>✓</w:t>
            </w:r>
          </w:p>
        </w:tc>
        <w:tc>
          <w:tcPr>
            <w:tcW w:w="439" w:type="dxa"/>
            <w:shd w:val="clear" w:color="auto" w:fill="auto"/>
            <w:vAlign w:val="center"/>
          </w:tcPr>
          <w:p w14:paraId="632E7B7F" w14:textId="68CD5B6A" w:rsidR="00E90764" w:rsidRPr="00CF6322" w:rsidRDefault="00041BDA" w:rsidP="001D1CF9">
            <w:pPr>
              <w:pStyle w:val="BodyText"/>
            </w:pPr>
            <w:r>
              <w:rPr>
                <w:rFonts w:ascii="Segoe UI Symbol" w:hAnsi="Segoe UI Symbol" w:cs="Segoe UI Symbol"/>
              </w:rPr>
              <w:t>✓</w:t>
            </w:r>
          </w:p>
        </w:tc>
        <w:tc>
          <w:tcPr>
            <w:tcW w:w="441" w:type="dxa"/>
            <w:shd w:val="clear" w:color="auto" w:fill="auto"/>
            <w:vAlign w:val="center"/>
          </w:tcPr>
          <w:p w14:paraId="632E7B80" w14:textId="05F74350" w:rsidR="00E90764" w:rsidRPr="00CF6322" w:rsidRDefault="00041BDA" w:rsidP="001D1CF9">
            <w:pPr>
              <w:pStyle w:val="BodyText"/>
            </w:pPr>
            <w:r>
              <w:rPr>
                <w:rFonts w:ascii="Segoe UI Symbol" w:hAnsi="Segoe UI Symbol" w:cs="Segoe UI Symbol"/>
              </w:rPr>
              <w:t>✓</w:t>
            </w:r>
          </w:p>
        </w:tc>
      </w:tr>
      <w:tr w:rsidR="00E90764" w:rsidRPr="00CF6322" w14:paraId="632E7B87" w14:textId="77777777" w:rsidTr="004E6095">
        <w:trPr>
          <w:trHeight w:val="582"/>
        </w:trPr>
        <w:tc>
          <w:tcPr>
            <w:tcW w:w="8541" w:type="dxa"/>
            <w:shd w:val="clear" w:color="auto" w:fill="auto"/>
          </w:tcPr>
          <w:p w14:paraId="632E7B82" w14:textId="77777777" w:rsidR="00E90764" w:rsidRPr="00CF6322" w:rsidRDefault="0099166C" w:rsidP="001D1CF9">
            <w:pPr>
              <w:pStyle w:val="BodyText"/>
            </w:pPr>
            <w:r w:rsidRPr="00CF6322">
              <w:t xml:space="preserve">Enforcing the Prohibited Practices provisions of the Health Insurance Act 1973 which relate to pathology approved collection </w:t>
            </w:r>
            <w:proofErr w:type="spellStart"/>
            <w:r w:rsidRPr="00CF6322">
              <w:t>centres</w:t>
            </w:r>
            <w:proofErr w:type="spellEnd"/>
            <w:r w:rsidRPr="00CF6322">
              <w:t>.</w:t>
            </w:r>
          </w:p>
        </w:tc>
        <w:tc>
          <w:tcPr>
            <w:tcW w:w="441" w:type="dxa"/>
            <w:shd w:val="clear" w:color="auto" w:fill="auto"/>
          </w:tcPr>
          <w:p w14:paraId="632E7B83" w14:textId="57C8344D"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B84" w14:textId="1A03B494"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B85" w14:textId="1CBFC17C"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B86" w14:textId="4121EA59" w:rsidR="00E90764" w:rsidRPr="00CF6322" w:rsidRDefault="00041BDA" w:rsidP="001D1CF9">
            <w:pPr>
              <w:pStyle w:val="BodyText"/>
            </w:pPr>
            <w:r>
              <w:rPr>
                <w:rFonts w:ascii="Segoe UI Symbol" w:hAnsi="Segoe UI Symbol" w:cs="Segoe UI Symbol"/>
              </w:rPr>
              <w:t>✓</w:t>
            </w:r>
          </w:p>
        </w:tc>
      </w:tr>
    </w:tbl>
    <w:p w14:paraId="102118BA" w14:textId="77777777" w:rsidR="00FA6C8A" w:rsidRDefault="00FA6C8A" w:rsidP="00FA6C8A">
      <w:pPr>
        <w:pStyle w:val="BodyText"/>
        <w:rPr>
          <w:rFonts w:eastAsia="HelveticaNeueLT Std" w:cs="HelveticaNeueLT Std"/>
          <w:sz w:val="29"/>
          <w:szCs w:val="29"/>
        </w:rPr>
      </w:pPr>
      <w:r>
        <w:br w:type="page"/>
      </w:r>
    </w:p>
    <w:p w14:paraId="632E7B8A" w14:textId="09F827F2" w:rsidR="00E90764" w:rsidRPr="00CF6322" w:rsidRDefault="0099166C" w:rsidP="004E6095">
      <w:pPr>
        <w:pStyle w:val="Heading4"/>
      </w:pPr>
      <w:r w:rsidRPr="00CF6322">
        <w:lastRenderedPageBreak/>
        <w:t xml:space="preserve">Our </w:t>
      </w:r>
      <w:r w:rsidRPr="004E6095">
        <w:t>Performance</w:t>
      </w:r>
    </w:p>
    <w:p w14:paraId="632E7B8B" w14:textId="77777777" w:rsidR="00E90764" w:rsidRPr="00CF6322" w:rsidRDefault="0099166C" w:rsidP="004E6095">
      <w:pPr>
        <w:pStyle w:val="Heading5"/>
      </w:pPr>
      <w:r w:rsidRPr="00CF6322">
        <w:t xml:space="preserve">Performance </w:t>
      </w:r>
      <w:r w:rsidRPr="004E6095">
        <w:t>Measures</w:t>
      </w:r>
      <w:r w:rsidRPr="00CF6322">
        <w:t xml:space="preserve"> for Health Benefit Compliance – Program 2.6</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0" w:type="dxa"/>
        </w:tblCellMar>
        <w:tblLook w:val="01E0" w:firstRow="1" w:lastRow="1" w:firstColumn="1" w:lastColumn="1" w:noHBand="0" w:noVBand="0"/>
      </w:tblPr>
      <w:tblGrid>
        <w:gridCol w:w="2571"/>
        <w:gridCol w:w="2571"/>
        <w:gridCol w:w="2571"/>
        <w:gridCol w:w="2571"/>
      </w:tblGrid>
      <w:tr w:rsidR="00E90764" w:rsidRPr="00FA6C8A" w14:paraId="632E7B8E" w14:textId="77777777" w:rsidTr="00FA6C8A">
        <w:trPr>
          <w:trHeight w:val="465"/>
          <w:tblHeader/>
        </w:trPr>
        <w:tc>
          <w:tcPr>
            <w:tcW w:w="10284" w:type="dxa"/>
            <w:gridSpan w:val="4"/>
            <w:shd w:val="clear" w:color="auto" w:fill="auto"/>
          </w:tcPr>
          <w:p w14:paraId="632E7B8D" w14:textId="5BCCADA8" w:rsidR="00E90764" w:rsidRPr="00FA6C8A" w:rsidRDefault="0099166C" w:rsidP="001D1CF9">
            <w:pPr>
              <w:pStyle w:val="BodyText"/>
              <w:rPr>
                <w:b/>
                <w:bCs/>
              </w:rPr>
            </w:pPr>
            <w:r w:rsidRPr="00FA6C8A">
              <w:rPr>
                <w:b/>
                <w:bCs/>
              </w:rPr>
              <w:t xml:space="preserve">Percentage of completed audits, practitioner reviews and investigations that are found </w:t>
            </w:r>
            <w:proofErr w:type="spellStart"/>
            <w:r w:rsidRPr="00FA6C8A">
              <w:rPr>
                <w:b/>
                <w:bCs/>
              </w:rPr>
              <w:t>non compliant</w:t>
            </w:r>
            <w:proofErr w:type="spellEnd"/>
            <w:r w:rsidRPr="00FA6C8A">
              <w:rPr>
                <w:b/>
                <w:bCs/>
              </w:rPr>
              <w:t>.</w:t>
            </w:r>
            <w:r w:rsidR="008E0754" w:rsidRPr="00FA6C8A">
              <w:rPr>
                <w:rStyle w:val="FootnoteReference"/>
                <w:b/>
                <w:bCs/>
              </w:rPr>
              <w:footnoteReference w:id="61"/>
            </w:r>
          </w:p>
        </w:tc>
      </w:tr>
      <w:tr w:rsidR="00E90764" w:rsidRPr="00FA6C8A" w14:paraId="632E7B93" w14:textId="77777777" w:rsidTr="004E6095">
        <w:trPr>
          <w:trHeight w:val="458"/>
        </w:trPr>
        <w:tc>
          <w:tcPr>
            <w:tcW w:w="2571" w:type="dxa"/>
            <w:shd w:val="clear" w:color="auto" w:fill="auto"/>
          </w:tcPr>
          <w:p w14:paraId="632E7B8F" w14:textId="77777777" w:rsidR="00E90764" w:rsidRPr="00FA6C8A" w:rsidRDefault="0099166C" w:rsidP="001D1CF9">
            <w:pPr>
              <w:pStyle w:val="BodyText"/>
              <w:rPr>
                <w:b/>
                <w:bCs/>
              </w:rPr>
            </w:pPr>
            <w:r w:rsidRPr="00FA6C8A">
              <w:rPr>
                <w:b/>
                <w:bCs/>
              </w:rPr>
              <w:t>2021–22 Target</w:t>
            </w:r>
          </w:p>
        </w:tc>
        <w:tc>
          <w:tcPr>
            <w:tcW w:w="2571" w:type="dxa"/>
            <w:shd w:val="clear" w:color="auto" w:fill="auto"/>
          </w:tcPr>
          <w:p w14:paraId="632E7B90" w14:textId="77777777" w:rsidR="00E90764" w:rsidRPr="00FA6C8A" w:rsidRDefault="0099166C" w:rsidP="001D1CF9">
            <w:pPr>
              <w:pStyle w:val="BodyText"/>
              <w:rPr>
                <w:b/>
                <w:bCs/>
              </w:rPr>
            </w:pPr>
            <w:r w:rsidRPr="00FA6C8A">
              <w:rPr>
                <w:b/>
                <w:bCs/>
              </w:rPr>
              <w:t>2022–23 Target</w:t>
            </w:r>
          </w:p>
        </w:tc>
        <w:tc>
          <w:tcPr>
            <w:tcW w:w="2571" w:type="dxa"/>
            <w:shd w:val="clear" w:color="auto" w:fill="auto"/>
          </w:tcPr>
          <w:p w14:paraId="632E7B91" w14:textId="77777777" w:rsidR="00E90764" w:rsidRPr="00FA6C8A" w:rsidRDefault="0099166C" w:rsidP="001D1CF9">
            <w:pPr>
              <w:pStyle w:val="BodyText"/>
              <w:rPr>
                <w:b/>
                <w:bCs/>
              </w:rPr>
            </w:pPr>
            <w:r w:rsidRPr="00FA6C8A">
              <w:rPr>
                <w:b/>
                <w:bCs/>
              </w:rPr>
              <w:t>2023–24 Target</w:t>
            </w:r>
          </w:p>
        </w:tc>
        <w:tc>
          <w:tcPr>
            <w:tcW w:w="2571" w:type="dxa"/>
            <w:shd w:val="clear" w:color="auto" w:fill="auto"/>
          </w:tcPr>
          <w:p w14:paraId="632E7B92" w14:textId="77777777" w:rsidR="00E90764" w:rsidRPr="00FA6C8A" w:rsidRDefault="0099166C" w:rsidP="001D1CF9">
            <w:pPr>
              <w:pStyle w:val="BodyText"/>
              <w:rPr>
                <w:b/>
                <w:bCs/>
              </w:rPr>
            </w:pPr>
            <w:r w:rsidRPr="00FA6C8A">
              <w:rPr>
                <w:b/>
                <w:bCs/>
              </w:rPr>
              <w:t>2024–25 Target</w:t>
            </w:r>
          </w:p>
        </w:tc>
      </w:tr>
      <w:tr w:rsidR="00E90764" w:rsidRPr="00CF6322" w14:paraId="632E7B98" w14:textId="77777777" w:rsidTr="004E6095">
        <w:trPr>
          <w:trHeight w:val="465"/>
        </w:trPr>
        <w:tc>
          <w:tcPr>
            <w:tcW w:w="2571" w:type="dxa"/>
            <w:shd w:val="clear" w:color="auto" w:fill="auto"/>
          </w:tcPr>
          <w:p w14:paraId="632E7B94" w14:textId="77777777" w:rsidR="00E90764" w:rsidRPr="00CF6322" w:rsidRDefault="0099166C" w:rsidP="001D1CF9">
            <w:pPr>
              <w:pStyle w:val="BodyText"/>
            </w:pPr>
            <w:r w:rsidRPr="00CF6322">
              <w:t>&gt;80%</w:t>
            </w:r>
          </w:p>
        </w:tc>
        <w:tc>
          <w:tcPr>
            <w:tcW w:w="2571" w:type="dxa"/>
            <w:shd w:val="clear" w:color="auto" w:fill="auto"/>
          </w:tcPr>
          <w:p w14:paraId="632E7B95" w14:textId="77777777" w:rsidR="00E90764" w:rsidRPr="00CF6322" w:rsidRDefault="0099166C" w:rsidP="001D1CF9">
            <w:pPr>
              <w:pStyle w:val="BodyText"/>
            </w:pPr>
            <w:r w:rsidRPr="00CF6322">
              <w:t>&gt;80%</w:t>
            </w:r>
          </w:p>
        </w:tc>
        <w:tc>
          <w:tcPr>
            <w:tcW w:w="2571" w:type="dxa"/>
            <w:shd w:val="clear" w:color="auto" w:fill="auto"/>
          </w:tcPr>
          <w:p w14:paraId="632E7B96" w14:textId="77777777" w:rsidR="00E90764" w:rsidRPr="00CF6322" w:rsidRDefault="0099166C" w:rsidP="001D1CF9">
            <w:pPr>
              <w:pStyle w:val="BodyText"/>
            </w:pPr>
            <w:r w:rsidRPr="00CF6322">
              <w:t>&gt;80%</w:t>
            </w:r>
          </w:p>
        </w:tc>
        <w:tc>
          <w:tcPr>
            <w:tcW w:w="2571" w:type="dxa"/>
            <w:shd w:val="clear" w:color="auto" w:fill="auto"/>
          </w:tcPr>
          <w:p w14:paraId="632E7B97" w14:textId="77777777" w:rsidR="00E90764" w:rsidRPr="00CF6322" w:rsidRDefault="0099166C" w:rsidP="001D1CF9">
            <w:pPr>
              <w:pStyle w:val="BodyText"/>
            </w:pPr>
            <w:r w:rsidRPr="00CF6322">
              <w:t>&gt;80%</w:t>
            </w:r>
          </w:p>
        </w:tc>
      </w:tr>
      <w:tr w:rsidR="00E90764" w:rsidRPr="00CF6322" w14:paraId="632E7BA4" w14:textId="77777777" w:rsidTr="004E6095">
        <w:trPr>
          <w:trHeight w:val="5099"/>
        </w:trPr>
        <w:tc>
          <w:tcPr>
            <w:tcW w:w="10284" w:type="dxa"/>
            <w:gridSpan w:val="4"/>
            <w:shd w:val="clear" w:color="auto" w:fill="auto"/>
          </w:tcPr>
          <w:p w14:paraId="632E7B99" w14:textId="77777777" w:rsidR="00E90764" w:rsidRPr="00CF6322" w:rsidRDefault="0099166C" w:rsidP="001D1CF9">
            <w:pPr>
              <w:pStyle w:val="Heading6"/>
            </w:pPr>
            <w:r w:rsidRPr="00CF6322">
              <w:t>Data source and methodology</w:t>
            </w:r>
          </w:p>
          <w:p w14:paraId="632E7B9A" w14:textId="2D4A84CB" w:rsidR="00E90764" w:rsidRPr="00CF6322" w:rsidRDefault="0099166C" w:rsidP="001D1CF9">
            <w:pPr>
              <w:pStyle w:val="BodyText"/>
            </w:pPr>
            <w:r w:rsidRPr="00CF6322">
              <w:t>A case is considered non-compliant where the matter progresses under the Practitioner Review Program beyond the</w:t>
            </w:r>
            <w:r w:rsidR="006E1A17" w:rsidRPr="00CF6322">
              <w:t xml:space="preserve"> </w:t>
            </w:r>
            <w:r w:rsidRPr="00CF6322">
              <w:t>practitioner interview and is referred to the Director Professional Services Review or the Commonwealth Director of Public Prosecutions.</w:t>
            </w:r>
          </w:p>
          <w:p w14:paraId="632E7B9B" w14:textId="77777777" w:rsidR="00E90764" w:rsidRPr="00CF6322" w:rsidRDefault="0099166C" w:rsidP="001D1CF9">
            <w:pPr>
              <w:pStyle w:val="BodyText"/>
            </w:pPr>
            <w:r w:rsidRPr="00CF6322">
              <w:t>The non-compliance measurement is calculated by dividing the number of cases determined as non-compliant by the total number of completed cases (compliant and non-compliant).</w:t>
            </w:r>
          </w:p>
          <w:p w14:paraId="632E7B9C" w14:textId="77777777" w:rsidR="00E90764" w:rsidRPr="00CF6322" w:rsidRDefault="0099166C" w:rsidP="001D1CF9">
            <w:pPr>
              <w:pStyle w:val="BodyText"/>
            </w:pPr>
            <w:r w:rsidRPr="00CF6322">
              <w:t>Data is maintained internally by the Department.</w:t>
            </w:r>
          </w:p>
          <w:p w14:paraId="632E7B9E" w14:textId="77777777" w:rsidR="00E90764" w:rsidRPr="00CF6322" w:rsidRDefault="0099166C" w:rsidP="001D1CF9">
            <w:pPr>
              <w:pStyle w:val="Heading6"/>
            </w:pPr>
            <w:r w:rsidRPr="00CF6322">
              <w:t>Measure type</w:t>
            </w:r>
          </w:p>
          <w:p w14:paraId="632E7B9F" w14:textId="77777777" w:rsidR="00E90764" w:rsidRPr="00CF6322" w:rsidRDefault="0099166C" w:rsidP="001D1CF9">
            <w:pPr>
              <w:pStyle w:val="BodyText"/>
            </w:pPr>
            <w:r w:rsidRPr="00CF6322">
              <w:t>Quantitative/Efficiency</w:t>
            </w:r>
          </w:p>
          <w:p w14:paraId="632E7BA1" w14:textId="77777777" w:rsidR="00E90764" w:rsidRPr="00CF6322" w:rsidRDefault="0099166C" w:rsidP="001D1CF9">
            <w:pPr>
              <w:pStyle w:val="Heading6"/>
            </w:pPr>
            <w:r w:rsidRPr="00CF6322">
              <w:t>Discussion</w:t>
            </w:r>
          </w:p>
          <w:p w14:paraId="632E7BA2" w14:textId="77777777" w:rsidR="00E90764" w:rsidRPr="00CF6322" w:rsidRDefault="0099166C" w:rsidP="001D1CF9">
            <w:pPr>
              <w:pStyle w:val="BodyText"/>
            </w:pPr>
            <w:r w:rsidRPr="00CF6322">
              <w:t>This measure determines the effectiveness of compliance and targeting strategies that have been established to efficiently find health care providers who are non-compliant and thereby support the integrity of health benefit claims.</w:t>
            </w:r>
          </w:p>
          <w:p w14:paraId="632E7BA3" w14:textId="7096F4A2" w:rsidR="00E90764" w:rsidRPr="00CF6322" w:rsidRDefault="0099166C" w:rsidP="001D1CF9">
            <w:pPr>
              <w:pStyle w:val="BodyText"/>
            </w:pPr>
            <w:r w:rsidRPr="00CF6322">
              <w:t>The target of &gt;80% is considered achievable while testing the first year of the new operating model. This benchmark has</w:t>
            </w:r>
            <w:r w:rsidR="006E1A17" w:rsidRPr="00CF6322">
              <w:t xml:space="preserve"> </w:t>
            </w:r>
            <w:r w:rsidRPr="00CF6322">
              <w:t>the potential to increase, pending, outcome of first year performance, and evolve over time. Reporting on this target will take effect in the 2021–22 reporting period.</w:t>
            </w:r>
          </w:p>
        </w:tc>
      </w:tr>
    </w:tbl>
    <w:p w14:paraId="6031B6FB" w14:textId="77777777" w:rsidR="009C48F9" w:rsidRDefault="009C48F9" w:rsidP="009C48F9"/>
    <w:p w14:paraId="7E02BDE4" w14:textId="77777777" w:rsidR="009C48F9" w:rsidRDefault="009C48F9" w:rsidP="009C48F9">
      <w:r>
        <w:br w:type="page"/>
      </w:r>
    </w:p>
    <w:p w14:paraId="0B43D208" w14:textId="6E459219" w:rsidR="008E0754" w:rsidRDefault="008E0754" w:rsidP="008E0754">
      <w:pPr>
        <w:pStyle w:val="Heading3"/>
      </w:pPr>
      <w:r>
        <w:lastRenderedPageBreak/>
        <w:t>2.7 – Assistance</w:t>
      </w:r>
      <w:r>
        <w:rPr>
          <w:spacing w:val="-9"/>
        </w:rPr>
        <w:t xml:space="preserve"> </w:t>
      </w:r>
      <w:r>
        <w:t>through</w:t>
      </w:r>
      <w:r>
        <w:rPr>
          <w:spacing w:val="-8"/>
        </w:rPr>
        <w:t xml:space="preserve"> </w:t>
      </w:r>
      <w:r>
        <w:t>Aids</w:t>
      </w:r>
      <w:r>
        <w:rPr>
          <w:spacing w:val="-9"/>
        </w:rPr>
        <w:t xml:space="preserve"> </w:t>
      </w:r>
      <w:r>
        <w:t>and</w:t>
      </w:r>
      <w:r>
        <w:rPr>
          <w:spacing w:val="-8"/>
        </w:rPr>
        <w:t xml:space="preserve"> </w:t>
      </w:r>
      <w:r w:rsidRPr="008E0754">
        <w:t>Appliances</w:t>
      </w:r>
    </w:p>
    <w:p w14:paraId="632E7BAB" w14:textId="77777777" w:rsidR="00E90764" w:rsidRPr="00CF6322" w:rsidRDefault="0099166C" w:rsidP="008E0754">
      <w:pPr>
        <w:pStyle w:val="Heading4"/>
      </w:pPr>
      <w:r w:rsidRPr="00CF6322">
        <w:t>Pro</w:t>
      </w:r>
      <w:r w:rsidRPr="008E0754">
        <w:t>g</w:t>
      </w:r>
      <w:r w:rsidRPr="00CF6322">
        <w:t>ram Objective</w:t>
      </w:r>
    </w:p>
    <w:p w14:paraId="6F65360D" w14:textId="77777777" w:rsidR="008E0754" w:rsidRDefault="008E0754" w:rsidP="001D1CF9">
      <w:pPr>
        <w:pStyle w:val="BodyText"/>
        <w:rPr>
          <w:color w:val="000000"/>
        </w:rPr>
      </w:pPr>
      <w:r>
        <w:t>Improve</w:t>
      </w:r>
      <w:r>
        <w:rPr>
          <w:spacing w:val="16"/>
        </w:rPr>
        <w:t xml:space="preserve"> </w:t>
      </w:r>
      <w:r>
        <w:t>health</w:t>
      </w:r>
      <w:r>
        <w:rPr>
          <w:spacing w:val="16"/>
        </w:rPr>
        <w:t xml:space="preserve"> </w:t>
      </w:r>
      <w:r>
        <w:t>outcomes</w:t>
      </w:r>
      <w:r>
        <w:rPr>
          <w:spacing w:val="16"/>
        </w:rPr>
        <w:t xml:space="preserve"> </w:t>
      </w:r>
      <w:r>
        <w:t>for</w:t>
      </w:r>
      <w:r>
        <w:rPr>
          <w:spacing w:val="16"/>
        </w:rPr>
        <w:t xml:space="preserve"> </w:t>
      </w:r>
      <w:r>
        <w:t>the</w:t>
      </w:r>
      <w:r>
        <w:rPr>
          <w:spacing w:val="17"/>
        </w:rPr>
        <w:t xml:space="preserve"> </w:t>
      </w:r>
      <w:r>
        <w:t>Australian</w:t>
      </w:r>
      <w:r>
        <w:rPr>
          <w:spacing w:val="16"/>
        </w:rPr>
        <w:t xml:space="preserve"> </w:t>
      </w:r>
      <w:r>
        <w:t>community</w:t>
      </w:r>
      <w:r>
        <w:rPr>
          <w:spacing w:val="16"/>
        </w:rPr>
        <w:t xml:space="preserve"> </w:t>
      </w:r>
      <w:r>
        <w:t>through</w:t>
      </w:r>
      <w:r>
        <w:rPr>
          <w:spacing w:val="16"/>
        </w:rPr>
        <w:t xml:space="preserve"> </w:t>
      </w:r>
      <w:r>
        <w:t>the</w:t>
      </w:r>
      <w:r>
        <w:rPr>
          <w:spacing w:val="17"/>
        </w:rPr>
        <w:t xml:space="preserve"> </w:t>
      </w:r>
      <w:r>
        <w:t>provision</w:t>
      </w:r>
      <w:r>
        <w:rPr>
          <w:spacing w:val="16"/>
        </w:rPr>
        <w:t xml:space="preserve"> </w:t>
      </w:r>
      <w:r>
        <w:t>of</w:t>
      </w:r>
      <w:r>
        <w:rPr>
          <w:spacing w:val="16"/>
        </w:rPr>
        <w:t xml:space="preserve"> </w:t>
      </w:r>
      <w:r>
        <w:t>targeted</w:t>
      </w:r>
      <w:r>
        <w:rPr>
          <w:spacing w:val="16"/>
        </w:rPr>
        <w:t xml:space="preserve"> </w:t>
      </w:r>
      <w:r>
        <w:t>assistance</w:t>
      </w:r>
      <w:r>
        <w:rPr>
          <w:spacing w:val="17"/>
        </w:rPr>
        <w:t xml:space="preserve"> </w:t>
      </w:r>
      <w:r>
        <w:t>for</w:t>
      </w:r>
      <w:r>
        <w:rPr>
          <w:spacing w:val="16"/>
        </w:rPr>
        <w:t xml:space="preserve"> </w:t>
      </w:r>
      <w:r>
        <w:t>aids</w:t>
      </w:r>
      <w:r>
        <w:rPr>
          <w:spacing w:val="1"/>
        </w:rPr>
        <w:t xml:space="preserve"> </w:t>
      </w:r>
      <w:r>
        <w:t>and</w:t>
      </w:r>
      <w:r>
        <w:rPr>
          <w:spacing w:val="3"/>
        </w:rPr>
        <w:t xml:space="preserve"> </w:t>
      </w:r>
      <w:r>
        <w:t>appliances.</w:t>
      </w:r>
    </w:p>
    <w:p w14:paraId="632E7BAF" w14:textId="77777777" w:rsidR="00E90764" w:rsidRPr="00CF6322" w:rsidRDefault="0099166C" w:rsidP="008E0754">
      <w:pPr>
        <w:pStyle w:val="Heading4"/>
      </w:pPr>
      <w:r w:rsidRPr="00CF6322">
        <w:t>Our Operating Focus</w:t>
      </w:r>
    </w:p>
    <w:p w14:paraId="632E7BB0" w14:textId="77777777" w:rsidR="00E90764" w:rsidRPr="00CF6322" w:rsidRDefault="0099166C" w:rsidP="001D1CF9">
      <w:pPr>
        <w:pStyle w:val="BodyText"/>
      </w:pPr>
      <w:r w:rsidRPr="00CF6322">
        <w:t>We acknowledge that supply issues for products, particularly those manufactured overseas, can be impacted by matters beyond our control, such as international supply chain disruptions caused by the COVID-19 pandemic. We have put in place strategies to alleviate this risk, including holding regular meetings with Diabetes Australia, the administrator of the National Diabetes Services Scheme (NDSS), to closely monitor supply and to implement mitigation strategies wherever necessary.</w:t>
      </w:r>
    </w:p>
    <w:p w14:paraId="4D83CF7C" w14:textId="77777777" w:rsidR="008E0754" w:rsidRDefault="0099166C" w:rsidP="001D1CF9">
      <w:pPr>
        <w:pStyle w:val="BodyText"/>
      </w:pPr>
      <w:r w:rsidRPr="00CF6322">
        <w:t xml:space="preserve">We will continue working to provide timely, reliable and affordable access to the NDSS, the Insulin Pump Program and the Continuous Glucose Monitoring Initiative, which help Australians with diabetes effectively self-manage their condition. We are able to do this through close collaboration with key stakeholder </w:t>
      </w:r>
      <w:proofErr w:type="spellStart"/>
      <w:r w:rsidRPr="00CF6322">
        <w:t>organisations</w:t>
      </w:r>
      <w:proofErr w:type="spellEnd"/>
      <w:r w:rsidRPr="00CF6322">
        <w:t>, the health sector and diabetes product sponsors, to ensure that people with diabetes can continue to access the best diabetes products, support and related programs and services in a manner that best meets their needs.</w:t>
      </w:r>
      <w:r w:rsidR="008E0754">
        <w:t xml:space="preserve"> </w:t>
      </w:r>
    </w:p>
    <w:p w14:paraId="632E7BB2" w14:textId="52B57826" w:rsidR="00E90764" w:rsidRPr="00CF6322" w:rsidRDefault="0099166C" w:rsidP="001D1CF9">
      <w:pPr>
        <w:pStyle w:val="BodyText"/>
      </w:pPr>
      <w:r w:rsidRPr="00CF6322">
        <w:t xml:space="preserve">We will continue to fund the NDSS to provide access to </w:t>
      </w:r>
      <w:proofErr w:type="spellStart"/>
      <w:r w:rsidRPr="00CF6322">
        <w:t>subsidised</w:t>
      </w:r>
      <w:proofErr w:type="spellEnd"/>
      <w:r w:rsidRPr="00CF6322">
        <w:t xml:space="preserve"> products, programs and services to Australians</w:t>
      </w:r>
      <w:r w:rsidR="008E0754">
        <w:t xml:space="preserve"> </w:t>
      </w:r>
      <w:r w:rsidRPr="00CF6322">
        <w:t xml:space="preserve">with diabetes to assist them in the </w:t>
      </w:r>
      <w:r w:rsidR="00D02B17" w:rsidRPr="00CF6322">
        <w:br/>
      </w:r>
      <w:r w:rsidRPr="00CF6322">
        <w:t xml:space="preserve">self-management of their condition. Products currently </w:t>
      </w:r>
      <w:proofErr w:type="spellStart"/>
      <w:r w:rsidRPr="00CF6322">
        <w:t>subsidised</w:t>
      </w:r>
      <w:proofErr w:type="spellEnd"/>
      <w:r w:rsidRPr="00CF6322">
        <w:t xml:space="preserve"> by the NDSS include syringes and needles, blood glucose test strips, urine ketone test strips, insulin pump consumables and continuous glucose monitoring products.</w:t>
      </w:r>
    </w:p>
    <w:p w14:paraId="632E7BB3" w14:textId="77777777" w:rsidR="00E90764" w:rsidRPr="00CF6322" w:rsidRDefault="0099166C" w:rsidP="001D1CF9">
      <w:pPr>
        <w:pStyle w:val="BodyText"/>
      </w:pPr>
      <w:r w:rsidRPr="00CF6322">
        <w:t xml:space="preserve">We will continue our work to provide timely, reliable and affordable access to the National Epidermolysis Bullosa Dressing Scheme (NEBDS), which helps Australians with epidermolysis bullosa access dressings, bandages and ancillary products at a reduced cost. NEBDS also provides access to support and education programs for Australians with epidermolysis bullosa, their families and </w:t>
      </w:r>
      <w:proofErr w:type="spellStart"/>
      <w:r w:rsidRPr="00CF6322">
        <w:t>carers</w:t>
      </w:r>
      <w:proofErr w:type="spellEnd"/>
      <w:r w:rsidRPr="00CF6322">
        <w:t>.</w:t>
      </w:r>
    </w:p>
    <w:p w14:paraId="632E7BB4" w14:textId="4D7AEEF2" w:rsidR="00E90764" w:rsidRPr="00CF6322" w:rsidRDefault="0099166C" w:rsidP="001D1CF9">
      <w:pPr>
        <w:pStyle w:val="BodyText"/>
      </w:pPr>
      <w:r w:rsidRPr="00CF6322">
        <w:t xml:space="preserve">We will continue to provide support to people with a stoma by ensuring they have timely access to fully </w:t>
      </w:r>
      <w:proofErr w:type="spellStart"/>
      <w:r w:rsidRPr="00CF6322">
        <w:t>subsidised</w:t>
      </w:r>
      <w:proofErr w:type="spellEnd"/>
      <w:r w:rsidRPr="00CF6322">
        <w:t xml:space="preserve"> stoma related products through 21 Stoma Associations and</w:t>
      </w:r>
      <w:r w:rsidR="006E1A17" w:rsidRPr="00CF6322">
        <w:t xml:space="preserve"> </w:t>
      </w:r>
      <w:r w:rsidRPr="00CF6322">
        <w:t>by continuing to fund the Stoma Appliance Scheme which</w:t>
      </w:r>
      <w:r w:rsidR="008E0754">
        <w:t xml:space="preserve"> </w:t>
      </w:r>
      <w:r w:rsidRPr="00CF6322">
        <w:t xml:space="preserve">provides access to fully </w:t>
      </w:r>
      <w:proofErr w:type="spellStart"/>
      <w:r w:rsidRPr="00CF6322">
        <w:t>subsidised</w:t>
      </w:r>
      <w:proofErr w:type="spellEnd"/>
      <w:r w:rsidRPr="00CF6322">
        <w:t xml:space="preserve"> stoma related products.</w:t>
      </w:r>
    </w:p>
    <w:tbl>
      <w:tblPr>
        <w:tblW w:w="103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0" w:type="dxa"/>
        </w:tblCellMar>
        <w:tblLook w:val="01E0" w:firstRow="1" w:lastRow="1" w:firstColumn="1" w:lastColumn="1" w:noHBand="0" w:noVBand="0"/>
      </w:tblPr>
      <w:tblGrid>
        <w:gridCol w:w="8541"/>
        <w:gridCol w:w="441"/>
        <w:gridCol w:w="441"/>
        <w:gridCol w:w="439"/>
        <w:gridCol w:w="441"/>
      </w:tblGrid>
      <w:tr w:rsidR="00E90764" w:rsidRPr="00FA6C8A" w14:paraId="632E7BBE" w14:textId="77777777" w:rsidTr="00FA6C8A">
        <w:trPr>
          <w:trHeight w:val="1131"/>
          <w:tblHeader/>
        </w:trPr>
        <w:tc>
          <w:tcPr>
            <w:tcW w:w="8541" w:type="dxa"/>
            <w:shd w:val="clear" w:color="auto" w:fill="auto"/>
          </w:tcPr>
          <w:p w14:paraId="632E7BB9" w14:textId="77777777" w:rsidR="00E90764" w:rsidRPr="00FA6C8A" w:rsidRDefault="0099166C" w:rsidP="001D1CF9">
            <w:pPr>
              <w:pStyle w:val="BodyText"/>
              <w:rPr>
                <w:rStyle w:val="Strong"/>
              </w:rPr>
            </w:pPr>
            <w:r w:rsidRPr="00FA6C8A">
              <w:rPr>
                <w:rStyle w:val="Strong"/>
              </w:rPr>
              <w:t>Key Activities</w:t>
            </w:r>
          </w:p>
        </w:tc>
        <w:tc>
          <w:tcPr>
            <w:tcW w:w="441" w:type="dxa"/>
            <w:shd w:val="clear" w:color="auto" w:fill="auto"/>
            <w:textDirection w:val="tbRl"/>
            <w:vAlign w:val="center"/>
          </w:tcPr>
          <w:p w14:paraId="632E7BBA" w14:textId="77777777" w:rsidR="00E90764" w:rsidRPr="00FA6C8A" w:rsidRDefault="0099166C" w:rsidP="001D1CF9">
            <w:pPr>
              <w:pStyle w:val="BodyText"/>
              <w:rPr>
                <w:rStyle w:val="Strong"/>
              </w:rPr>
            </w:pPr>
            <w:r w:rsidRPr="00FA6C8A">
              <w:rPr>
                <w:rStyle w:val="Strong"/>
              </w:rPr>
              <w:t>2021–22</w:t>
            </w:r>
          </w:p>
        </w:tc>
        <w:tc>
          <w:tcPr>
            <w:tcW w:w="441" w:type="dxa"/>
            <w:shd w:val="clear" w:color="auto" w:fill="auto"/>
            <w:textDirection w:val="tbRl"/>
            <w:vAlign w:val="center"/>
          </w:tcPr>
          <w:p w14:paraId="632E7BBB" w14:textId="77777777" w:rsidR="00E90764" w:rsidRPr="00FA6C8A" w:rsidRDefault="0099166C" w:rsidP="001D1CF9">
            <w:pPr>
              <w:pStyle w:val="BodyText"/>
              <w:rPr>
                <w:rStyle w:val="Strong"/>
              </w:rPr>
            </w:pPr>
            <w:r w:rsidRPr="00FA6C8A">
              <w:rPr>
                <w:rStyle w:val="Strong"/>
              </w:rPr>
              <w:t>2022–23</w:t>
            </w:r>
          </w:p>
        </w:tc>
        <w:tc>
          <w:tcPr>
            <w:tcW w:w="439" w:type="dxa"/>
            <w:shd w:val="clear" w:color="auto" w:fill="auto"/>
            <w:textDirection w:val="tbRl"/>
            <w:vAlign w:val="center"/>
          </w:tcPr>
          <w:p w14:paraId="632E7BBC" w14:textId="77777777" w:rsidR="00E90764" w:rsidRPr="00FA6C8A" w:rsidRDefault="0099166C" w:rsidP="001D1CF9">
            <w:pPr>
              <w:pStyle w:val="BodyText"/>
              <w:rPr>
                <w:rStyle w:val="Strong"/>
              </w:rPr>
            </w:pPr>
            <w:r w:rsidRPr="00FA6C8A">
              <w:rPr>
                <w:rStyle w:val="Strong"/>
              </w:rPr>
              <w:t>2023–24</w:t>
            </w:r>
          </w:p>
        </w:tc>
        <w:tc>
          <w:tcPr>
            <w:tcW w:w="441" w:type="dxa"/>
            <w:shd w:val="clear" w:color="auto" w:fill="auto"/>
            <w:textDirection w:val="tbRl"/>
            <w:vAlign w:val="center"/>
          </w:tcPr>
          <w:p w14:paraId="632E7BBD" w14:textId="77777777" w:rsidR="00E90764" w:rsidRPr="00FA6C8A" w:rsidRDefault="0099166C" w:rsidP="001D1CF9">
            <w:pPr>
              <w:pStyle w:val="BodyText"/>
              <w:rPr>
                <w:rStyle w:val="Strong"/>
              </w:rPr>
            </w:pPr>
            <w:r w:rsidRPr="00FA6C8A">
              <w:rPr>
                <w:rStyle w:val="Strong"/>
              </w:rPr>
              <w:t>2024–25</w:t>
            </w:r>
          </w:p>
        </w:tc>
      </w:tr>
      <w:tr w:rsidR="00E90764" w:rsidRPr="00CF6322" w14:paraId="632E7BC4" w14:textId="77777777" w:rsidTr="00727660">
        <w:trPr>
          <w:trHeight w:val="582"/>
        </w:trPr>
        <w:tc>
          <w:tcPr>
            <w:tcW w:w="8541" w:type="dxa"/>
            <w:shd w:val="clear" w:color="auto" w:fill="auto"/>
          </w:tcPr>
          <w:p w14:paraId="632E7BBF" w14:textId="77777777" w:rsidR="00E90764" w:rsidRPr="00CF6322" w:rsidRDefault="0099166C" w:rsidP="001D1CF9">
            <w:pPr>
              <w:pStyle w:val="BodyText"/>
            </w:pPr>
            <w:r w:rsidRPr="00CF6322">
              <w:t>Managing the NDSS to ensure the provision of timely, reliable and affordable access to products and services to help people living with diabetes effectively manage their condition.</w:t>
            </w:r>
          </w:p>
        </w:tc>
        <w:tc>
          <w:tcPr>
            <w:tcW w:w="441" w:type="dxa"/>
            <w:shd w:val="clear" w:color="auto" w:fill="auto"/>
          </w:tcPr>
          <w:p w14:paraId="632E7BC0" w14:textId="17D4EDC8"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BC1" w14:textId="0F354D81"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BC2" w14:textId="75A1ECA3"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BC3" w14:textId="7D596C9F" w:rsidR="00E90764" w:rsidRPr="00CF6322" w:rsidRDefault="00041BDA" w:rsidP="001D1CF9">
            <w:pPr>
              <w:pStyle w:val="BodyText"/>
            </w:pPr>
            <w:r>
              <w:rPr>
                <w:rFonts w:ascii="Segoe UI Symbol" w:hAnsi="Segoe UI Symbol" w:cs="Segoe UI Symbol"/>
              </w:rPr>
              <w:t>✓</w:t>
            </w:r>
          </w:p>
        </w:tc>
      </w:tr>
      <w:tr w:rsidR="00E90764" w:rsidRPr="00CF6322" w14:paraId="632E7BCA" w14:textId="77777777" w:rsidTr="00727660">
        <w:trPr>
          <w:trHeight w:val="582"/>
        </w:trPr>
        <w:tc>
          <w:tcPr>
            <w:tcW w:w="8541" w:type="dxa"/>
            <w:shd w:val="clear" w:color="auto" w:fill="auto"/>
          </w:tcPr>
          <w:p w14:paraId="632E7BC5" w14:textId="2732AEA3" w:rsidR="00E90764" w:rsidRPr="00CF6322" w:rsidRDefault="0099166C" w:rsidP="001D1CF9">
            <w:pPr>
              <w:pStyle w:val="BodyText"/>
            </w:pPr>
            <w:r w:rsidRPr="00CF6322">
              <w:t xml:space="preserve">Managing the Insulin Pump Program to support access to fully </w:t>
            </w:r>
            <w:proofErr w:type="spellStart"/>
            <w:r w:rsidRPr="00CF6322">
              <w:t>subsidised</w:t>
            </w:r>
            <w:proofErr w:type="spellEnd"/>
            <w:r w:rsidRPr="00CF6322">
              <w:t xml:space="preserve"> insulin pumps for eligible</w:t>
            </w:r>
            <w:r w:rsidR="006E1A17" w:rsidRPr="00CF6322">
              <w:t xml:space="preserve"> </w:t>
            </w:r>
            <w:r w:rsidRPr="00CF6322">
              <w:t>low income families who have children (under 18 years of age) with type 1 diabetes.</w:t>
            </w:r>
          </w:p>
        </w:tc>
        <w:tc>
          <w:tcPr>
            <w:tcW w:w="441" w:type="dxa"/>
            <w:shd w:val="clear" w:color="auto" w:fill="auto"/>
          </w:tcPr>
          <w:p w14:paraId="632E7BC6" w14:textId="7044062A"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BC7" w14:textId="25D198ED"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BC8" w14:textId="7AD2A97C"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BC9" w14:textId="31F34558" w:rsidR="00E90764" w:rsidRPr="00CF6322" w:rsidRDefault="00041BDA" w:rsidP="001D1CF9">
            <w:pPr>
              <w:pStyle w:val="BodyText"/>
            </w:pPr>
            <w:r>
              <w:rPr>
                <w:rFonts w:ascii="Segoe UI Symbol" w:hAnsi="Segoe UI Symbol" w:cs="Segoe UI Symbol"/>
              </w:rPr>
              <w:t>✓</w:t>
            </w:r>
          </w:p>
        </w:tc>
      </w:tr>
      <w:tr w:rsidR="00E90764" w:rsidRPr="00CF6322" w14:paraId="632E7BD0" w14:textId="77777777" w:rsidTr="00727660">
        <w:trPr>
          <w:trHeight w:val="582"/>
        </w:trPr>
        <w:tc>
          <w:tcPr>
            <w:tcW w:w="8541" w:type="dxa"/>
            <w:shd w:val="clear" w:color="auto" w:fill="auto"/>
          </w:tcPr>
          <w:p w14:paraId="632E7BCB" w14:textId="77777777" w:rsidR="00E90764" w:rsidRPr="00CF6322" w:rsidRDefault="0099166C" w:rsidP="001D1CF9">
            <w:pPr>
              <w:pStyle w:val="BodyText"/>
            </w:pPr>
            <w:r w:rsidRPr="00CF6322">
              <w:t xml:space="preserve">Continuing to support the Continuous Glucose Monitoring (CGM) Initiative to provide access to fully </w:t>
            </w:r>
            <w:proofErr w:type="spellStart"/>
            <w:r w:rsidRPr="00CF6322">
              <w:t>subsidised</w:t>
            </w:r>
            <w:proofErr w:type="spellEnd"/>
            <w:r w:rsidRPr="00CF6322">
              <w:t xml:space="preserve"> CGM products for eligible Australians.</w:t>
            </w:r>
          </w:p>
        </w:tc>
        <w:tc>
          <w:tcPr>
            <w:tcW w:w="441" w:type="dxa"/>
            <w:shd w:val="clear" w:color="auto" w:fill="auto"/>
          </w:tcPr>
          <w:p w14:paraId="632E7BCC" w14:textId="1C905865"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BCD" w14:textId="3B8EE150"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BCE" w14:textId="3F3F6DDE"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BCF" w14:textId="247CF25B" w:rsidR="00E90764" w:rsidRPr="00CF6322" w:rsidRDefault="00041BDA" w:rsidP="001D1CF9">
            <w:pPr>
              <w:pStyle w:val="BodyText"/>
            </w:pPr>
            <w:r>
              <w:rPr>
                <w:rFonts w:ascii="Segoe UI Symbol" w:hAnsi="Segoe UI Symbol" w:cs="Segoe UI Symbol"/>
              </w:rPr>
              <w:t>✓</w:t>
            </w:r>
          </w:p>
        </w:tc>
      </w:tr>
      <w:tr w:rsidR="00E90764" w:rsidRPr="00CF6322" w14:paraId="632E7BD6" w14:textId="77777777" w:rsidTr="00727660">
        <w:trPr>
          <w:trHeight w:val="582"/>
        </w:trPr>
        <w:tc>
          <w:tcPr>
            <w:tcW w:w="8541" w:type="dxa"/>
            <w:shd w:val="clear" w:color="auto" w:fill="auto"/>
          </w:tcPr>
          <w:p w14:paraId="632E7BD1" w14:textId="77777777" w:rsidR="00E90764" w:rsidRPr="00CF6322" w:rsidRDefault="0099166C" w:rsidP="001D1CF9">
            <w:pPr>
              <w:pStyle w:val="BodyText"/>
            </w:pPr>
            <w:r w:rsidRPr="00CF6322">
              <w:t>Supporting access to clinically appropriate dressings to improve quality of life for people with epidermolysis bullosa.</w:t>
            </w:r>
          </w:p>
        </w:tc>
        <w:tc>
          <w:tcPr>
            <w:tcW w:w="441" w:type="dxa"/>
            <w:shd w:val="clear" w:color="auto" w:fill="auto"/>
          </w:tcPr>
          <w:p w14:paraId="632E7BD2" w14:textId="54A9DAD9"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BD3" w14:textId="3BDE286A"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BD4" w14:textId="1692CE8F"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BD5" w14:textId="53B4AE6D" w:rsidR="00E90764" w:rsidRPr="00CF6322" w:rsidRDefault="00041BDA" w:rsidP="001D1CF9">
            <w:pPr>
              <w:pStyle w:val="BodyText"/>
            </w:pPr>
            <w:r>
              <w:rPr>
                <w:rFonts w:ascii="Segoe UI Symbol" w:hAnsi="Segoe UI Symbol" w:cs="Segoe UI Symbol"/>
              </w:rPr>
              <w:t>✓</w:t>
            </w:r>
          </w:p>
        </w:tc>
      </w:tr>
      <w:tr w:rsidR="00E90764" w:rsidRPr="00CF6322" w14:paraId="632E7BDC" w14:textId="77777777" w:rsidTr="00727660">
        <w:trPr>
          <w:trHeight w:val="582"/>
        </w:trPr>
        <w:tc>
          <w:tcPr>
            <w:tcW w:w="8541" w:type="dxa"/>
            <w:shd w:val="clear" w:color="auto" w:fill="auto"/>
          </w:tcPr>
          <w:p w14:paraId="632E7BD7" w14:textId="77777777" w:rsidR="00E90764" w:rsidRPr="00CF6322" w:rsidRDefault="0099166C" w:rsidP="001D1CF9">
            <w:pPr>
              <w:pStyle w:val="BodyText"/>
            </w:pPr>
            <w:r w:rsidRPr="00CF6322">
              <w:t>Assisting people with stomas by ensuring access to stoma related products, including a greater choice of new products.</w:t>
            </w:r>
          </w:p>
        </w:tc>
        <w:tc>
          <w:tcPr>
            <w:tcW w:w="441" w:type="dxa"/>
            <w:shd w:val="clear" w:color="auto" w:fill="auto"/>
          </w:tcPr>
          <w:p w14:paraId="632E7BD8" w14:textId="3982C5AB"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BD9" w14:textId="5DC07FB5"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BDA" w14:textId="65EF9D93"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BDB" w14:textId="391BC836" w:rsidR="00E90764" w:rsidRPr="00CF6322" w:rsidRDefault="00041BDA" w:rsidP="001D1CF9">
            <w:pPr>
              <w:pStyle w:val="BodyText"/>
            </w:pPr>
            <w:r>
              <w:rPr>
                <w:rFonts w:ascii="Segoe UI Symbol" w:hAnsi="Segoe UI Symbol" w:cs="Segoe UI Symbol"/>
              </w:rPr>
              <w:t>✓</w:t>
            </w:r>
          </w:p>
        </w:tc>
      </w:tr>
      <w:tr w:rsidR="00E90764" w:rsidRPr="00CF6322" w14:paraId="632E7BE2" w14:textId="77777777" w:rsidTr="00727660">
        <w:trPr>
          <w:trHeight w:val="582"/>
        </w:trPr>
        <w:tc>
          <w:tcPr>
            <w:tcW w:w="8541" w:type="dxa"/>
            <w:shd w:val="clear" w:color="auto" w:fill="auto"/>
          </w:tcPr>
          <w:p w14:paraId="632E7BDD" w14:textId="77777777" w:rsidR="00E90764" w:rsidRPr="00CF6322" w:rsidRDefault="0099166C" w:rsidP="001D1CF9">
            <w:pPr>
              <w:pStyle w:val="BodyText"/>
            </w:pPr>
            <w:r w:rsidRPr="00CF6322">
              <w:t xml:space="preserve">Providing access to fully </w:t>
            </w:r>
            <w:proofErr w:type="spellStart"/>
            <w:r w:rsidRPr="00CF6322">
              <w:t>subsidised</w:t>
            </w:r>
            <w:proofErr w:type="spellEnd"/>
            <w:r w:rsidRPr="00CF6322">
              <w:t xml:space="preserve"> bowel management medicines for people with paraplegia and quadriplegia who are members of participating paraplegic and quadriplegic associations.</w:t>
            </w:r>
          </w:p>
        </w:tc>
        <w:tc>
          <w:tcPr>
            <w:tcW w:w="441" w:type="dxa"/>
            <w:shd w:val="clear" w:color="auto" w:fill="auto"/>
          </w:tcPr>
          <w:p w14:paraId="632E7BDE" w14:textId="1D658149"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BDF" w14:textId="3918863D"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BE0" w14:textId="2079FBD4"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BE1" w14:textId="681DD394" w:rsidR="00E90764" w:rsidRPr="00CF6322" w:rsidRDefault="00041BDA" w:rsidP="001D1CF9">
            <w:pPr>
              <w:pStyle w:val="BodyText"/>
            </w:pPr>
            <w:r>
              <w:rPr>
                <w:rFonts w:ascii="Segoe UI Symbol" w:hAnsi="Segoe UI Symbol" w:cs="Segoe UI Symbol"/>
              </w:rPr>
              <w:t>✓</w:t>
            </w:r>
          </w:p>
        </w:tc>
      </w:tr>
    </w:tbl>
    <w:p w14:paraId="2B938F0D" w14:textId="77777777" w:rsidR="009C48F9" w:rsidRDefault="009C48F9" w:rsidP="009C48F9"/>
    <w:p w14:paraId="7689F366" w14:textId="77777777" w:rsidR="009C48F9" w:rsidRDefault="009C48F9" w:rsidP="009C48F9">
      <w:r>
        <w:br w:type="page"/>
      </w:r>
    </w:p>
    <w:p w14:paraId="632E7BE5" w14:textId="56E3A6FC" w:rsidR="00E90764" w:rsidRPr="00CF6322" w:rsidRDefault="0099166C" w:rsidP="00727660">
      <w:pPr>
        <w:pStyle w:val="Heading4"/>
      </w:pPr>
      <w:r w:rsidRPr="00CF6322">
        <w:lastRenderedPageBreak/>
        <w:t>Our Performance</w:t>
      </w:r>
    </w:p>
    <w:p w14:paraId="632E7BE6" w14:textId="77777777" w:rsidR="00E90764" w:rsidRPr="00CF6322" w:rsidRDefault="0099166C" w:rsidP="00727660">
      <w:pPr>
        <w:pStyle w:val="Heading5"/>
      </w:pPr>
      <w:r w:rsidRPr="00CF6322">
        <w:t xml:space="preserve">Performance Measures for Assistance through Aids and Appliances – </w:t>
      </w:r>
      <w:r w:rsidRPr="00727660">
        <w:t>Program</w:t>
      </w:r>
      <w:r w:rsidRPr="00CF6322">
        <w:t xml:space="preserve"> 2.7</w:t>
      </w:r>
    </w:p>
    <w:tbl>
      <w:tblPr>
        <w:tblW w:w="102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0" w:type="dxa"/>
        </w:tblCellMar>
        <w:tblLook w:val="01E0" w:firstRow="1" w:lastRow="1" w:firstColumn="1" w:lastColumn="1" w:noHBand="0" w:noVBand="0"/>
      </w:tblPr>
      <w:tblGrid>
        <w:gridCol w:w="2571"/>
        <w:gridCol w:w="2571"/>
        <w:gridCol w:w="2571"/>
        <w:gridCol w:w="2571"/>
      </w:tblGrid>
      <w:tr w:rsidR="00E90764" w:rsidRPr="00FA6C8A" w14:paraId="632E7BE9" w14:textId="77777777" w:rsidTr="00FA6C8A">
        <w:trPr>
          <w:trHeight w:val="715"/>
          <w:tblHeader/>
        </w:trPr>
        <w:tc>
          <w:tcPr>
            <w:tcW w:w="10284" w:type="dxa"/>
            <w:gridSpan w:val="4"/>
            <w:shd w:val="clear" w:color="auto" w:fill="auto"/>
          </w:tcPr>
          <w:p w14:paraId="632E7BE8" w14:textId="7ACBFEC1" w:rsidR="00E90764" w:rsidRPr="00FA6C8A" w:rsidRDefault="0099166C" w:rsidP="001D1CF9">
            <w:pPr>
              <w:pStyle w:val="BodyText"/>
              <w:rPr>
                <w:b/>
                <w:bCs/>
              </w:rPr>
            </w:pPr>
            <w:r w:rsidRPr="00FA6C8A">
              <w:rPr>
                <w:b/>
                <w:bCs/>
              </w:rPr>
              <w:t>Percentage of respondents to the annual National Diabetes Services Scheme (NDSS) registrant survey who indicate their needs are being met.</w:t>
            </w:r>
            <w:r w:rsidR="00727660" w:rsidRPr="00FA6C8A">
              <w:rPr>
                <w:rStyle w:val="FootnoteReference"/>
                <w:b/>
                <w:bCs/>
              </w:rPr>
              <w:footnoteReference w:id="62"/>
            </w:r>
          </w:p>
        </w:tc>
      </w:tr>
      <w:tr w:rsidR="00E90764" w:rsidRPr="00FA6C8A" w14:paraId="632E7BEE" w14:textId="77777777" w:rsidTr="00727660">
        <w:trPr>
          <w:trHeight w:val="458"/>
        </w:trPr>
        <w:tc>
          <w:tcPr>
            <w:tcW w:w="2571" w:type="dxa"/>
            <w:shd w:val="clear" w:color="auto" w:fill="auto"/>
          </w:tcPr>
          <w:p w14:paraId="632E7BEA" w14:textId="77777777" w:rsidR="00E90764" w:rsidRPr="00FA6C8A" w:rsidRDefault="0099166C" w:rsidP="001D1CF9">
            <w:pPr>
              <w:pStyle w:val="BodyText"/>
              <w:rPr>
                <w:b/>
                <w:bCs/>
              </w:rPr>
            </w:pPr>
            <w:r w:rsidRPr="00FA6C8A">
              <w:rPr>
                <w:b/>
                <w:bCs/>
              </w:rPr>
              <w:t>2021–22 Target</w:t>
            </w:r>
          </w:p>
        </w:tc>
        <w:tc>
          <w:tcPr>
            <w:tcW w:w="2571" w:type="dxa"/>
            <w:shd w:val="clear" w:color="auto" w:fill="auto"/>
          </w:tcPr>
          <w:p w14:paraId="632E7BEB" w14:textId="77777777" w:rsidR="00E90764" w:rsidRPr="00FA6C8A" w:rsidRDefault="0099166C" w:rsidP="001D1CF9">
            <w:pPr>
              <w:pStyle w:val="BodyText"/>
              <w:rPr>
                <w:b/>
                <w:bCs/>
              </w:rPr>
            </w:pPr>
            <w:r w:rsidRPr="00FA6C8A">
              <w:rPr>
                <w:b/>
                <w:bCs/>
              </w:rPr>
              <w:t>2022–23 Target</w:t>
            </w:r>
          </w:p>
        </w:tc>
        <w:tc>
          <w:tcPr>
            <w:tcW w:w="2571" w:type="dxa"/>
            <w:shd w:val="clear" w:color="auto" w:fill="auto"/>
          </w:tcPr>
          <w:p w14:paraId="632E7BEC" w14:textId="77777777" w:rsidR="00E90764" w:rsidRPr="00FA6C8A" w:rsidRDefault="0099166C" w:rsidP="001D1CF9">
            <w:pPr>
              <w:pStyle w:val="BodyText"/>
              <w:rPr>
                <w:b/>
                <w:bCs/>
              </w:rPr>
            </w:pPr>
            <w:r w:rsidRPr="00FA6C8A">
              <w:rPr>
                <w:b/>
                <w:bCs/>
              </w:rPr>
              <w:t>2023–24 Target</w:t>
            </w:r>
          </w:p>
        </w:tc>
        <w:tc>
          <w:tcPr>
            <w:tcW w:w="2571" w:type="dxa"/>
            <w:shd w:val="clear" w:color="auto" w:fill="auto"/>
          </w:tcPr>
          <w:p w14:paraId="632E7BED" w14:textId="77777777" w:rsidR="00E90764" w:rsidRPr="00FA6C8A" w:rsidRDefault="0099166C" w:rsidP="001D1CF9">
            <w:pPr>
              <w:pStyle w:val="BodyText"/>
              <w:rPr>
                <w:b/>
                <w:bCs/>
              </w:rPr>
            </w:pPr>
            <w:r w:rsidRPr="00FA6C8A">
              <w:rPr>
                <w:b/>
                <w:bCs/>
              </w:rPr>
              <w:t>2024–25 Target</w:t>
            </w:r>
          </w:p>
        </w:tc>
      </w:tr>
      <w:tr w:rsidR="00E90764" w:rsidRPr="00CF6322" w14:paraId="632E7BF3" w14:textId="77777777" w:rsidTr="00727660">
        <w:trPr>
          <w:trHeight w:val="465"/>
        </w:trPr>
        <w:tc>
          <w:tcPr>
            <w:tcW w:w="2571" w:type="dxa"/>
            <w:shd w:val="clear" w:color="auto" w:fill="auto"/>
          </w:tcPr>
          <w:p w14:paraId="632E7BEF" w14:textId="77777777" w:rsidR="00E90764" w:rsidRPr="00CF6322" w:rsidRDefault="0099166C" w:rsidP="001D1CF9">
            <w:pPr>
              <w:pStyle w:val="BodyText"/>
            </w:pPr>
            <w:r w:rsidRPr="00CF6322">
              <w:t>≥90%</w:t>
            </w:r>
          </w:p>
        </w:tc>
        <w:tc>
          <w:tcPr>
            <w:tcW w:w="2571" w:type="dxa"/>
            <w:shd w:val="clear" w:color="auto" w:fill="auto"/>
          </w:tcPr>
          <w:p w14:paraId="632E7BF0" w14:textId="77777777" w:rsidR="00E90764" w:rsidRPr="00CF6322" w:rsidRDefault="0099166C" w:rsidP="001D1CF9">
            <w:pPr>
              <w:pStyle w:val="BodyText"/>
            </w:pPr>
            <w:r w:rsidRPr="00CF6322">
              <w:t>≥90%</w:t>
            </w:r>
          </w:p>
        </w:tc>
        <w:tc>
          <w:tcPr>
            <w:tcW w:w="2571" w:type="dxa"/>
            <w:shd w:val="clear" w:color="auto" w:fill="auto"/>
          </w:tcPr>
          <w:p w14:paraId="632E7BF1" w14:textId="77777777" w:rsidR="00E90764" w:rsidRPr="00CF6322" w:rsidRDefault="0099166C" w:rsidP="001D1CF9">
            <w:pPr>
              <w:pStyle w:val="BodyText"/>
            </w:pPr>
            <w:r w:rsidRPr="00CF6322">
              <w:t>≥90%</w:t>
            </w:r>
          </w:p>
        </w:tc>
        <w:tc>
          <w:tcPr>
            <w:tcW w:w="2571" w:type="dxa"/>
            <w:shd w:val="clear" w:color="auto" w:fill="auto"/>
          </w:tcPr>
          <w:p w14:paraId="632E7BF2" w14:textId="77777777" w:rsidR="00E90764" w:rsidRPr="00CF6322" w:rsidRDefault="0099166C" w:rsidP="001D1CF9">
            <w:pPr>
              <w:pStyle w:val="BodyText"/>
            </w:pPr>
            <w:r w:rsidRPr="00CF6322">
              <w:t>≥90%</w:t>
            </w:r>
          </w:p>
        </w:tc>
      </w:tr>
      <w:tr w:rsidR="00E90764" w:rsidRPr="00CF6322" w14:paraId="632E7BFE" w14:textId="77777777" w:rsidTr="00727660">
        <w:trPr>
          <w:trHeight w:val="4179"/>
        </w:trPr>
        <w:tc>
          <w:tcPr>
            <w:tcW w:w="10284" w:type="dxa"/>
            <w:gridSpan w:val="4"/>
            <w:shd w:val="clear" w:color="auto" w:fill="auto"/>
          </w:tcPr>
          <w:p w14:paraId="632E7BF4" w14:textId="77777777" w:rsidR="00E90764" w:rsidRPr="00CF6322" w:rsidRDefault="0099166C" w:rsidP="001D1CF9">
            <w:pPr>
              <w:pStyle w:val="Heading6"/>
            </w:pPr>
            <w:r w:rsidRPr="00CF6322">
              <w:t xml:space="preserve">Data source and </w:t>
            </w:r>
            <w:r w:rsidRPr="00727660">
              <w:t>methodology</w:t>
            </w:r>
          </w:p>
          <w:p w14:paraId="632E7BF5" w14:textId="77777777" w:rsidR="00E90764" w:rsidRPr="00CF6322" w:rsidRDefault="0099166C" w:rsidP="001D1CF9">
            <w:pPr>
              <w:pStyle w:val="BodyText"/>
            </w:pPr>
            <w:r w:rsidRPr="00CF6322">
              <w:t>Data is obtained through an annual computer assisted telephone interview undertaken by ORIMA Research, which is considered to be the leading provider of end to end research and data analytic services. The data is held on secure servers managed by Diabetes Australia, which administers the NDSS on behalf of the Department.</w:t>
            </w:r>
          </w:p>
          <w:p w14:paraId="632E7BF6" w14:textId="77777777" w:rsidR="00E90764" w:rsidRPr="00CF6322" w:rsidRDefault="0099166C" w:rsidP="001D1CF9">
            <w:pPr>
              <w:pStyle w:val="BodyText"/>
            </w:pPr>
            <w:r w:rsidRPr="00CF6322">
              <w:t>A random sample of 2,500 NDSS registrants are surveyed, stratified by state or territory with a mix of new registrants and registrants with a current/recent diagnosis of gestational diabetes.</w:t>
            </w:r>
          </w:p>
          <w:p w14:paraId="632E7BF8" w14:textId="77777777" w:rsidR="00E90764" w:rsidRPr="00CF6322" w:rsidRDefault="0099166C" w:rsidP="001D1CF9">
            <w:pPr>
              <w:pStyle w:val="Heading6"/>
            </w:pPr>
            <w:r w:rsidRPr="00CF6322">
              <w:t xml:space="preserve">Measure </w:t>
            </w:r>
            <w:r w:rsidRPr="00727660">
              <w:t>type</w:t>
            </w:r>
          </w:p>
          <w:p w14:paraId="632E7BF9" w14:textId="77777777" w:rsidR="00E90764" w:rsidRPr="00CF6322" w:rsidRDefault="0099166C" w:rsidP="001D1CF9">
            <w:pPr>
              <w:pStyle w:val="BodyText"/>
            </w:pPr>
            <w:r w:rsidRPr="00CF6322">
              <w:t>Quantitative/Effectiveness</w:t>
            </w:r>
          </w:p>
          <w:p w14:paraId="632E7BFB" w14:textId="77777777" w:rsidR="00E90764" w:rsidRPr="00727660" w:rsidRDefault="0099166C" w:rsidP="001D1CF9">
            <w:pPr>
              <w:pStyle w:val="Heading6"/>
            </w:pPr>
            <w:r w:rsidRPr="00CF6322">
              <w:t>Discussion</w:t>
            </w:r>
          </w:p>
          <w:p w14:paraId="632E7BFC" w14:textId="77777777" w:rsidR="00E90764" w:rsidRPr="00CF6322" w:rsidRDefault="0099166C" w:rsidP="001D1CF9">
            <w:pPr>
              <w:pStyle w:val="BodyText"/>
            </w:pPr>
            <w:r w:rsidRPr="00CF6322">
              <w:t>This measure provides an assessment of how the NDSS is perceived by NDSS registrants.</w:t>
            </w:r>
          </w:p>
          <w:p w14:paraId="632E7BFD" w14:textId="62F897F5" w:rsidR="00E90764" w:rsidRPr="00CF6322" w:rsidRDefault="0099166C" w:rsidP="001D1CF9">
            <w:pPr>
              <w:pStyle w:val="BodyText"/>
            </w:pPr>
            <w:r w:rsidRPr="00CF6322">
              <w:t>The ≥90% target indicates an expectation that the scheme will meet the needs of registrants while acknowledging that some</w:t>
            </w:r>
            <w:r w:rsidR="00727660">
              <w:t xml:space="preserve"> </w:t>
            </w:r>
            <w:r w:rsidRPr="00CF6322">
              <w:t>participants may have objections to the scope or nature of the scheme that don’t reflect the Department’s performance.</w:t>
            </w:r>
          </w:p>
        </w:tc>
      </w:tr>
    </w:tbl>
    <w:p w14:paraId="48FADCF2" w14:textId="77777777" w:rsidR="00727660" w:rsidRPr="00727660" w:rsidRDefault="00727660" w:rsidP="00727660">
      <w:pPr>
        <w:pStyle w:val="Heading3"/>
      </w:pPr>
      <w:r w:rsidRPr="00727660">
        <w:t>Our Partners in Delivering Outcome 2</w:t>
      </w:r>
    </w:p>
    <w:p w14:paraId="5AFB1EF5" w14:textId="333C8498" w:rsidR="00727660" w:rsidRDefault="00727660" w:rsidP="001D1CF9">
      <w:pPr>
        <w:pStyle w:val="BodyText"/>
      </w:pPr>
      <w:r w:rsidRPr="00727660">
        <w:t xml:space="preserve">In working towards achieving our purpose, we cooperate with all entities within the Health portfolio and other Commonwealth entities. We also partner with a wide range of external stakeholders including states and territories, peak bodies and international </w:t>
      </w:r>
      <w:proofErr w:type="spellStart"/>
      <w:r w:rsidRPr="00727660">
        <w:t>organisations</w:t>
      </w:r>
      <w:proofErr w:type="spellEnd"/>
      <w:r w:rsidRPr="00727660">
        <w:t xml:space="preserve">. More detail on our partners can be found in the </w:t>
      </w:r>
      <w:r w:rsidRPr="006E10D0">
        <w:rPr>
          <w:i/>
        </w:rPr>
        <w:t xml:space="preserve">2021–22 Health Portfolio Budget Statements </w:t>
      </w:r>
      <w:r w:rsidRPr="00727660">
        <w:t>linked programs sectio</w:t>
      </w:r>
      <w:r w:rsidR="00804351">
        <w:t>n.</w:t>
      </w:r>
    </w:p>
    <w:p w14:paraId="492BDFC4" w14:textId="77777777" w:rsidR="0015531E" w:rsidRDefault="0015531E" w:rsidP="00727660">
      <w:pPr>
        <w:pStyle w:val="Heading2"/>
        <w:sectPr w:rsidR="0015531E" w:rsidSect="00FA6C8A">
          <w:headerReference w:type="default" r:id="rId15"/>
          <w:footerReference w:type="default" r:id="rId16"/>
          <w:pgSz w:w="11910" w:h="16840"/>
          <w:pgMar w:top="720" w:right="720" w:bottom="720" w:left="720" w:header="0" w:footer="330" w:gutter="0"/>
          <w:cols w:space="720"/>
          <w:docGrid w:linePitch="299"/>
        </w:sectPr>
      </w:pPr>
    </w:p>
    <w:p w14:paraId="632E7C09" w14:textId="10F86BB3" w:rsidR="00E90764" w:rsidRPr="00CF6322" w:rsidRDefault="0099166C" w:rsidP="00727660">
      <w:pPr>
        <w:pStyle w:val="Heading2"/>
      </w:pPr>
      <w:bookmarkStart w:id="30" w:name="_Toc83043020"/>
      <w:r w:rsidRPr="00CF6322">
        <w:lastRenderedPageBreak/>
        <w:t>Respect, Care and Dignity for Senior Australians</w:t>
      </w:r>
      <w:r w:rsidR="00727660">
        <w:t xml:space="preserve"> – </w:t>
      </w:r>
      <w:r w:rsidRPr="00CF6322">
        <w:t>The Australian Government’s Aged Care Reform Plan</w:t>
      </w:r>
      <w:bookmarkEnd w:id="30"/>
    </w:p>
    <w:p w14:paraId="632E7C0C" w14:textId="14779510" w:rsidR="00E90764" w:rsidRPr="00CF6322" w:rsidRDefault="0099166C" w:rsidP="001D1CF9">
      <w:pPr>
        <w:pStyle w:val="BodyText"/>
      </w:pPr>
      <w:r w:rsidRPr="00CF6322">
        <w:t>In response to the Final Report of the Royal Commission into Aged Care Quality and Safety, the Australian Government is delivering a $17.7 billion aged care</w:t>
      </w:r>
      <w:r w:rsidR="00727660">
        <w:t xml:space="preserve"> </w:t>
      </w:r>
      <w:r w:rsidRPr="00CF6322">
        <w:t>reform package. These measures will deliver a once in a generation reform of aged care, providing respect, care and dignity to senior Australians.</w:t>
      </w:r>
    </w:p>
    <w:p w14:paraId="632E7C0D" w14:textId="77777777" w:rsidR="00E90764" w:rsidRPr="00CF6322" w:rsidRDefault="0099166C" w:rsidP="001D1CF9">
      <w:pPr>
        <w:pStyle w:val="BodyText"/>
      </w:pPr>
      <w:r w:rsidRPr="00CF6322">
        <w:t>We will implement these initiatives through the Government’s 5 year plan. The plan is based on 5 pillars:</w:t>
      </w:r>
    </w:p>
    <w:p w14:paraId="632E7C0E" w14:textId="042A3737" w:rsidR="00E90764" w:rsidRPr="00727660" w:rsidRDefault="0099166C" w:rsidP="00727660">
      <w:pPr>
        <w:pStyle w:val="Bullets"/>
      </w:pPr>
      <w:r w:rsidRPr="00CF6322">
        <w:t xml:space="preserve">Home </w:t>
      </w:r>
      <w:r w:rsidRPr="00727660">
        <w:t>care – supporting senior Australians who choose</w:t>
      </w:r>
      <w:r w:rsidR="007F12DC" w:rsidRPr="00727660">
        <w:t xml:space="preserve">      </w:t>
      </w:r>
      <w:r w:rsidRPr="00727660">
        <w:t xml:space="preserve"> to remain in their own home.</w:t>
      </w:r>
    </w:p>
    <w:p w14:paraId="632E7C0F" w14:textId="77777777" w:rsidR="00E90764" w:rsidRPr="00727660" w:rsidRDefault="0099166C" w:rsidP="00727660">
      <w:pPr>
        <w:pStyle w:val="Bullets"/>
      </w:pPr>
      <w:r w:rsidRPr="00727660">
        <w:t>Residential aged care services and sustainability – improving and simplifying residential aged care services and access.</w:t>
      </w:r>
    </w:p>
    <w:p w14:paraId="632E7C10" w14:textId="3E10C071" w:rsidR="00E90764" w:rsidRPr="00727660" w:rsidRDefault="0099166C" w:rsidP="00727660">
      <w:pPr>
        <w:pStyle w:val="Bullets"/>
      </w:pPr>
      <w:r w:rsidRPr="00727660">
        <w:t>Residential aged care quality and safety – improving residential aged care quality and safety.</w:t>
      </w:r>
    </w:p>
    <w:p w14:paraId="632E7C11" w14:textId="24169DBB" w:rsidR="00E90764" w:rsidRPr="00727660" w:rsidRDefault="0099166C" w:rsidP="00727660">
      <w:pPr>
        <w:pStyle w:val="Bullets"/>
      </w:pPr>
      <w:r w:rsidRPr="00727660">
        <w:t>Workforce – supporting a growing and better skilled</w:t>
      </w:r>
      <w:r w:rsidR="007F12DC" w:rsidRPr="00727660">
        <w:t xml:space="preserve">      </w:t>
      </w:r>
      <w:r w:rsidRPr="00727660">
        <w:t xml:space="preserve"> aged care workforce.</w:t>
      </w:r>
    </w:p>
    <w:p w14:paraId="632E7C12" w14:textId="6FB82C9F" w:rsidR="00E90764" w:rsidRPr="00CF6322" w:rsidRDefault="0099166C" w:rsidP="00727660">
      <w:pPr>
        <w:pStyle w:val="Bullets"/>
      </w:pPr>
      <w:r w:rsidRPr="00727660">
        <w:t>Gover</w:t>
      </w:r>
      <w:r w:rsidRPr="00CF6322">
        <w:t>nance – new legislation and stronger governance.</w:t>
      </w:r>
    </w:p>
    <w:p w14:paraId="632E7C13" w14:textId="4E55692D" w:rsidR="00E90764" w:rsidRPr="00CF6322" w:rsidRDefault="0099166C" w:rsidP="001D1CF9">
      <w:pPr>
        <w:pStyle w:val="BodyText"/>
      </w:pPr>
      <w:r w:rsidRPr="00CF6322">
        <w:t xml:space="preserve">We will work with senior Australians and their families and </w:t>
      </w:r>
      <w:proofErr w:type="spellStart"/>
      <w:r w:rsidRPr="00CF6322">
        <w:t>carers</w:t>
      </w:r>
      <w:proofErr w:type="spellEnd"/>
      <w:r w:rsidRPr="00CF6322">
        <w:t>, the aged care industry, state and territory</w:t>
      </w:r>
      <w:r w:rsidR="00727660">
        <w:t xml:space="preserve"> </w:t>
      </w:r>
      <w:r w:rsidRPr="00CF6322">
        <w:t>governments and healthcare providers.</w:t>
      </w:r>
    </w:p>
    <w:p w14:paraId="67C7B525" w14:textId="77777777" w:rsidR="00C652BF" w:rsidRDefault="00C652BF" w:rsidP="00C652BF">
      <w:pPr>
        <w:pStyle w:val="Heading3"/>
      </w:pPr>
      <w:r>
        <w:t xml:space="preserve">5 </w:t>
      </w:r>
      <w:r w:rsidRPr="00C652BF">
        <w:t>pillars</w:t>
      </w:r>
      <w:r>
        <w:t xml:space="preserve"> over 5 years </w:t>
      </w:r>
    </w:p>
    <w:p w14:paraId="632E7C29" w14:textId="537F5B44" w:rsidR="00E90764" w:rsidRDefault="00C652BF" w:rsidP="00C652BF">
      <w:pPr>
        <w:pStyle w:val="Heading4"/>
      </w:pPr>
      <w:r w:rsidRPr="00C652BF">
        <w:t>Pillar 1: Home care</w:t>
      </w:r>
    </w:p>
    <w:p w14:paraId="4C6371A1" w14:textId="77777777" w:rsidR="00C652BF" w:rsidRPr="00C652BF" w:rsidRDefault="00C652BF" w:rsidP="00C652BF">
      <w:pPr>
        <w:pStyle w:val="Heading5"/>
      </w:pPr>
      <w:r w:rsidRPr="00C652BF">
        <w:t>2021</w:t>
      </w:r>
    </w:p>
    <w:p w14:paraId="1E0B00BC" w14:textId="77777777" w:rsidR="00C652BF" w:rsidRPr="00C652BF" w:rsidRDefault="00C652BF" w:rsidP="00C652BF">
      <w:pPr>
        <w:pStyle w:val="Bullets"/>
      </w:pPr>
      <w:r w:rsidRPr="00C652BF">
        <w:t>40,000 more home care packages.</w:t>
      </w:r>
    </w:p>
    <w:p w14:paraId="2727FE92" w14:textId="77777777" w:rsidR="00C652BF" w:rsidRPr="00C652BF" w:rsidRDefault="00C652BF" w:rsidP="00C652BF">
      <w:pPr>
        <w:pStyle w:val="Bullets"/>
      </w:pPr>
      <w:r w:rsidRPr="00C652BF">
        <w:t xml:space="preserve">Senior Australians able to access assistance and information about aged care through 325 Services Australia Service </w:t>
      </w:r>
      <w:proofErr w:type="spellStart"/>
      <w:r w:rsidRPr="00C652BF">
        <w:t>Centres</w:t>
      </w:r>
      <w:proofErr w:type="spellEnd"/>
      <w:r w:rsidRPr="00C652BF">
        <w:t xml:space="preserve">, and aged care specialists in 70 Service Australia </w:t>
      </w:r>
      <w:proofErr w:type="spellStart"/>
      <w:r w:rsidRPr="00C652BF">
        <w:t>centres</w:t>
      </w:r>
      <w:proofErr w:type="spellEnd"/>
      <w:r w:rsidRPr="00C652BF">
        <w:t xml:space="preserve">. </w:t>
      </w:r>
    </w:p>
    <w:p w14:paraId="445DEB73" w14:textId="77777777" w:rsidR="00C652BF" w:rsidRPr="00C652BF" w:rsidRDefault="00C652BF" w:rsidP="00C652BF">
      <w:pPr>
        <w:pStyle w:val="Bullets"/>
      </w:pPr>
      <w:r w:rsidRPr="00C652BF">
        <w:t xml:space="preserve">Extra support for informal </w:t>
      </w:r>
      <w:proofErr w:type="spellStart"/>
      <w:r w:rsidRPr="00C652BF">
        <w:t>carers</w:t>
      </w:r>
      <w:proofErr w:type="spellEnd"/>
      <w:r w:rsidRPr="00C652BF">
        <w:t xml:space="preserve">. </w:t>
      </w:r>
    </w:p>
    <w:p w14:paraId="621E6E65" w14:textId="77777777" w:rsidR="00C652BF" w:rsidRPr="00C652BF" w:rsidRDefault="00C652BF" w:rsidP="00C652BF">
      <w:pPr>
        <w:pStyle w:val="Heading5"/>
      </w:pPr>
      <w:r w:rsidRPr="00C652BF">
        <w:t>2022</w:t>
      </w:r>
    </w:p>
    <w:p w14:paraId="447E0DCE" w14:textId="77777777" w:rsidR="00C652BF" w:rsidRPr="00C652BF" w:rsidRDefault="00C652BF" w:rsidP="00C652BF">
      <w:pPr>
        <w:pStyle w:val="Bullets"/>
      </w:pPr>
      <w:r w:rsidRPr="00C652BF">
        <w:t>40,000 more home care packages.</w:t>
      </w:r>
    </w:p>
    <w:p w14:paraId="32E46E01" w14:textId="77777777" w:rsidR="00C652BF" w:rsidRPr="00C652BF" w:rsidRDefault="00C652BF" w:rsidP="00C652BF">
      <w:pPr>
        <w:pStyle w:val="Bullets"/>
      </w:pPr>
      <w:r w:rsidRPr="00C652BF">
        <w:t xml:space="preserve">Respite services for 8,400 additional clients every year. </w:t>
      </w:r>
    </w:p>
    <w:p w14:paraId="005CF1DC" w14:textId="77777777" w:rsidR="00C652BF" w:rsidRPr="00C652BF" w:rsidRDefault="00C652BF" w:rsidP="00C652BF">
      <w:pPr>
        <w:pStyle w:val="Heading5"/>
      </w:pPr>
      <w:r w:rsidRPr="00C652BF">
        <w:t>2023</w:t>
      </w:r>
    </w:p>
    <w:p w14:paraId="08B74211" w14:textId="77777777" w:rsidR="00C652BF" w:rsidRPr="00C652BF" w:rsidRDefault="00C652BF" w:rsidP="00C652BF">
      <w:pPr>
        <w:pStyle w:val="Bullets"/>
      </w:pPr>
      <w:r w:rsidRPr="00C652BF">
        <w:t>500 local Community Care Finders provide targeted, specialist face</w:t>
      </w:r>
      <w:r w:rsidRPr="00C652BF">
        <w:rPr>
          <w:rFonts w:ascii="Cambria Math" w:hAnsi="Cambria Math" w:cs="Cambria Math"/>
        </w:rPr>
        <w:t>‑</w:t>
      </w:r>
      <w:r w:rsidRPr="00C652BF">
        <w:t>to</w:t>
      </w:r>
      <w:r w:rsidRPr="00C652BF">
        <w:rPr>
          <w:rFonts w:ascii="Cambria Math" w:hAnsi="Cambria Math" w:cs="Cambria Math"/>
        </w:rPr>
        <w:t>‑</w:t>
      </w:r>
      <w:r w:rsidRPr="00C652BF">
        <w:t>face support to vulnerable senior Australians to help them access aged care and connect with other health and social supports.</w:t>
      </w:r>
    </w:p>
    <w:p w14:paraId="796E420B" w14:textId="77777777" w:rsidR="00C652BF" w:rsidRPr="00C652BF" w:rsidRDefault="00C652BF" w:rsidP="00C652BF">
      <w:pPr>
        <w:pStyle w:val="Bullets"/>
      </w:pPr>
      <w:r w:rsidRPr="00C652BF">
        <w:t>Senior Australians can access a new support at home program.</w:t>
      </w:r>
    </w:p>
    <w:p w14:paraId="15E88D3C" w14:textId="77777777" w:rsidR="00C652BF" w:rsidRPr="00C652BF" w:rsidRDefault="00C652BF" w:rsidP="00C652BF">
      <w:pPr>
        <w:pStyle w:val="Bullets"/>
      </w:pPr>
      <w:r w:rsidRPr="00C652BF">
        <w:t>Single assessment workforce will expand to the new support at home program.</w:t>
      </w:r>
    </w:p>
    <w:p w14:paraId="157EFB0F" w14:textId="77777777" w:rsidR="00C652BF" w:rsidRPr="00C652BF" w:rsidRDefault="00C652BF" w:rsidP="00C652BF">
      <w:pPr>
        <w:pStyle w:val="Heading5"/>
      </w:pPr>
      <w:r w:rsidRPr="00C652BF">
        <w:t>2024</w:t>
      </w:r>
    </w:p>
    <w:p w14:paraId="43723422" w14:textId="77777777" w:rsidR="00C652BF" w:rsidRPr="00C652BF" w:rsidRDefault="00C652BF" w:rsidP="00C652BF">
      <w:pPr>
        <w:pStyle w:val="Bullets"/>
      </w:pPr>
      <w:r w:rsidRPr="00C652BF">
        <w:t xml:space="preserve">New support at home program supports senior Australians to stay in their homes and keep connected to their communities. </w:t>
      </w:r>
    </w:p>
    <w:p w14:paraId="0F46D359" w14:textId="0D5D5392" w:rsidR="009C48F9" w:rsidRDefault="00C652BF" w:rsidP="00C652BF">
      <w:pPr>
        <w:pStyle w:val="Bullets"/>
      </w:pPr>
      <w:r w:rsidRPr="00C652BF">
        <w:t>Single assessment workforce will continue assessments for the new support at home program.</w:t>
      </w:r>
    </w:p>
    <w:p w14:paraId="505BC9FA" w14:textId="77777777" w:rsidR="009C48F9" w:rsidRDefault="009C48F9">
      <w:pPr>
        <w:rPr>
          <w:rFonts w:ascii="Helvetica" w:eastAsiaTheme="minorHAnsi" w:hAnsi="Helvetica" w:cs="HelveticaNeueLT Std Lt"/>
          <w:color w:val="000000"/>
          <w:sz w:val="19"/>
          <w:szCs w:val="19"/>
        </w:rPr>
      </w:pPr>
      <w:r>
        <w:br w:type="page"/>
      </w:r>
    </w:p>
    <w:p w14:paraId="16E91CAE" w14:textId="37A95BE6" w:rsidR="00C652BF" w:rsidRDefault="00C652BF" w:rsidP="00C652BF">
      <w:pPr>
        <w:pStyle w:val="Heading4"/>
      </w:pPr>
      <w:r>
        <w:lastRenderedPageBreak/>
        <w:t xml:space="preserve">Pillar 2: </w:t>
      </w:r>
      <w:r w:rsidRPr="00C652BF">
        <w:t>Residential aged care services and sustainability</w:t>
      </w:r>
    </w:p>
    <w:p w14:paraId="7EC9ED24" w14:textId="77777777" w:rsidR="00065895" w:rsidRPr="00065895" w:rsidRDefault="00065895" w:rsidP="00065895">
      <w:pPr>
        <w:pStyle w:val="Heading5"/>
      </w:pPr>
      <w:r w:rsidRPr="00065895">
        <w:t>2021</w:t>
      </w:r>
    </w:p>
    <w:p w14:paraId="239B8121" w14:textId="77777777" w:rsidR="00065895" w:rsidRPr="00065895" w:rsidRDefault="00065895" w:rsidP="00065895">
      <w:pPr>
        <w:pStyle w:val="Bullets"/>
      </w:pPr>
      <w:r w:rsidRPr="00065895">
        <w:t xml:space="preserve">Supplement of $10 per resident per day. </w:t>
      </w:r>
    </w:p>
    <w:p w14:paraId="1FB59CFE" w14:textId="77777777" w:rsidR="00065895" w:rsidRPr="00065895" w:rsidRDefault="00065895" w:rsidP="00065895">
      <w:pPr>
        <w:pStyle w:val="Bullets"/>
      </w:pPr>
      <w:r w:rsidRPr="00065895">
        <w:t>Continuation of the increases to the homeless and viability supplements.</w:t>
      </w:r>
    </w:p>
    <w:p w14:paraId="15547320" w14:textId="77777777" w:rsidR="00065895" w:rsidRPr="00065895" w:rsidRDefault="00065895" w:rsidP="00065895">
      <w:pPr>
        <w:pStyle w:val="Bullets"/>
      </w:pPr>
      <w:r w:rsidRPr="00065895">
        <w:t>New prudential monitoring, compliance and intervention to help providers build financial sustainability, capability and resilience.</w:t>
      </w:r>
    </w:p>
    <w:p w14:paraId="63D1449A" w14:textId="77777777" w:rsidR="00065895" w:rsidRPr="00065895" w:rsidRDefault="00065895" w:rsidP="00065895">
      <w:pPr>
        <w:pStyle w:val="Bullets"/>
      </w:pPr>
      <w:r w:rsidRPr="00065895">
        <w:t>Independent Hospital and Aged Care Pricing Authority established, extending role of existing hospitals pricing authority to include aged care advisory function.</w:t>
      </w:r>
    </w:p>
    <w:p w14:paraId="6E41A7B3" w14:textId="77777777" w:rsidR="00065895" w:rsidRPr="00065895" w:rsidRDefault="00065895" w:rsidP="00065895">
      <w:pPr>
        <w:pStyle w:val="Heading5"/>
      </w:pPr>
      <w:r w:rsidRPr="00065895">
        <w:t>2022</w:t>
      </w:r>
    </w:p>
    <w:p w14:paraId="67CB8379" w14:textId="77777777" w:rsidR="00065895" w:rsidRPr="00065895" w:rsidRDefault="00065895" w:rsidP="00065895">
      <w:pPr>
        <w:pStyle w:val="Bullets"/>
      </w:pPr>
      <w:r w:rsidRPr="00065895">
        <w:t>New funding model to improve quality of care for 240,000 people using residential care and 67,000 people using residential respite care each year.</w:t>
      </w:r>
    </w:p>
    <w:p w14:paraId="057FA622" w14:textId="77777777" w:rsidR="00065895" w:rsidRPr="00065895" w:rsidRDefault="00065895" w:rsidP="00065895">
      <w:pPr>
        <w:pStyle w:val="Bullets"/>
      </w:pPr>
      <w:r w:rsidRPr="00065895">
        <w:t>Average care minutes for each resident increased to 200 minutes per day, including 40 minutes of registered nurse time.</w:t>
      </w:r>
    </w:p>
    <w:p w14:paraId="0D150C6B" w14:textId="77777777" w:rsidR="00065895" w:rsidRPr="00065895" w:rsidRDefault="00065895" w:rsidP="00065895">
      <w:pPr>
        <w:pStyle w:val="Bullets"/>
      </w:pPr>
      <w:r w:rsidRPr="00065895">
        <w:t>Registered nurse on site for a minimum of 16 hours per day.</w:t>
      </w:r>
    </w:p>
    <w:p w14:paraId="7B8A22D5" w14:textId="77777777" w:rsidR="00065895" w:rsidRPr="00065895" w:rsidRDefault="00065895" w:rsidP="00065895">
      <w:pPr>
        <w:pStyle w:val="Bullets"/>
      </w:pPr>
      <w:r w:rsidRPr="00065895">
        <w:t>Structural Adjustment Program delivers increased provider viability and a strengthened aged care market.</w:t>
      </w:r>
    </w:p>
    <w:p w14:paraId="7D674DE5" w14:textId="77777777" w:rsidR="00065895" w:rsidRPr="00065895" w:rsidRDefault="00065895" w:rsidP="00065895">
      <w:pPr>
        <w:pStyle w:val="Bullets"/>
      </w:pPr>
      <w:r w:rsidRPr="00065895">
        <w:t>Single assessment workforce introduced to improve the experience of senior Australians in residential care.</w:t>
      </w:r>
    </w:p>
    <w:p w14:paraId="7F244898" w14:textId="77777777" w:rsidR="00065895" w:rsidRPr="00065895" w:rsidRDefault="00065895" w:rsidP="00065895">
      <w:pPr>
        <w:pStyle w:val="Bullets"/>
      </w:pPr>
      <w:r w:rsidRPr="00065895">
        <w:t>Better reporting, including through Star Ratings, to help senior Australians make easier comparisons and improve choice of care.</w:t>
      </w:r>
    </w:p>
    <w:p w14:paraId="2E01D98B" w14:textId="77777777" w:rsidR="00065895" w:rsidRPr="00065895" w:rsidRDefault="00065895" w:rsidP="00065895">
      <w:pPr>
        <w:pStyle w:val="Heading5"/>
      </w:pPr>
      <w:r w:rsidRPr="00065895">
        <w:t>2023</w:t>
      </w:r>
    </w:p>
    <w:p w14:paraId="180379BF" w14:textId="77777777" w:rsidR="00065895" w:rsidRPr="00065895" w:rsidRDefault="00065895" w:rsidP="00065895">
      <w:pPr>
        <w:pStyle w:val="Bullets"/>
      </w:pPr>
      <w:r w:rsidRPr="00065895">
        <w:t>Minimum care time becomes mandatory.</w:t>
      </w:r>
    </w:p>
    <w:p w14:paraId="58625C77" w14:textId="77777777" w:rsidR="00065895" w:rsidRPr="00065895" w:rsidRDefault="00065895" w:rsidP="00065895">
      <w:pPr>
        <w:pStyle w:val="Bullets"/>
      </w:pPr>
      <w:r w:rsidRPr="00065895">
        <w:t>Annual funding increases and price setting take into account advice from the new Independent Hospital and Aged Care Pricing Authority.</w:t>
      </w:r>
    </w:p>
    <w:p w14:paraId="50823764" w14:textId="77777777" w:rsidR="00065895" w:rsidRPr="00065895" w:rsidRDefault="00065895" w:rsidP="00065895">
      <w:pPr>
        <w:pStyle w:val="Heading5"/>
      </w:pPr>
      <w:r w:rsidRPr="00065895">
        <w:t>2024</w:t>
      </w:r>
    </w:p>
    <w:p w14:paraId="2E93E254" w14:textId="77777777" w:rsidR="00065895" w:rsidRPr="00065895" w:rsidRDefault="00065895" w:rsidP="00065895">
      <w:pPr>
        <w:pStyle w:val="Bullets"/>
      </w:pPr>
      <w:r w:rsidRPr="00065895">
        <w:t>Increased choice for senior Australians receiving residential care with care packages assigned to consumers, not providers.</w:t>
      </w:r>
    </w:p>
    <w:p w14:paraId="7A5E72AD" w14:textId="77777777" w:rsidR="00065895" w:rsidRPr="00065895" w:rsidRDefault="00065895" w:rsidP="00065895">
      <w:pPr>
        <w:pStyle w:val="Bullets"/>
      </w:pPr>
      <w:r w:rsidRPr="00065895">
        <w:t>New residential aged care accommodation framework gives senior Australians more choice and improves accessibility and dementia-friendly accommodation.</w:t>
      </w:r>
    </w:p>
    <w:p w14:paraId="14623F9A" w14:textId="77777777" w:rsidR="00065895" w:rsidRPr="00065895" w:rsidRDefault="00065895" w:rsidP="00065895">
      <w:pPr>
        <w:pStyle w:val="Bullets"/>
      </w:pPr>
      <w:r w:rsidRPr="00065895">
        <w:t>Aged Care Approval Round discontinued.</w:t>
      </w:r>
    </w:p>
    <w:p w14:paraId="182EA807" w14:textId="77777777" w:rsidR="00065895" w:rsidRPr="00065895" w:rsidRDefault="00065895" w:rsidP="00065895">
      <w:pPr>
        <w:pStyle w:val="Heading5"/>
      </w:pPr>
      <w:r w:rsidRPr="00065895">
        <w:t>2025</w:t>
      </w:r>
    </w:p>
    <w:p w14:paraId="50F0C70B" w14:textId="4CCB7C76" w:rsidR="009C48F9" w:rsidRDefault="00065895" w:rsidP="00065895">
      <w:pPr>
        <w:pStyle w:val="Bullets"/>
      </w:pPr>
      <w:r w:rsidRPr="00065895">
        <w:t>Improved service suitability that ensures the care needs and preferences of senior Australians in residential aged care are met.</w:t>
      </w:r>
    </w:p>
    <w:p w14:paraId="35729F6C" w14:textId="77777777" w:rsidR="009C48F9" w:rsidRDefault="009C48F9">
      <w:pPr>
        <w:rPr>
          <w:rFonts w:ascii="Helvetica" w:eastAsiaTheme="minorHAnsi" w:hAnsi="Helvetica" w:cs="HelveticaNeueLT Std Lt"/>
          <w:color w:val="000000"/>
          <w:sz w:val="19"/>
          <w:szCs w:val="19"/>
        </w:rPr>
      </w:pPr>
      <w:r>
        <w:br w:type="page"/>
      </w:r>
    </w:p>
    <w:p w14:paraId="404211B8" w14:textId="7CF21AB3" w:rsidR="00065895" w:rsidRPr="00065895" w:rsidRDefault="00065895" w:rsidP="00065895">
      <w:pPr>
        <w:pStyle w:val="Heading4"/>
      </w:pPr>
      <w:r>
        <w:lastRenderedPageBreak/>
        <w:t xml:space="preserve">Pillar 3: </w:t>
      </w:r>
      <w:r w:rsidRPr="00065895">
        <w:t>Residential aged care quality and safety</w:t>
      </w:r>
    </w:p>
    <w:p w14:paraId="7F1F880F" w14:textId="77777777" w:rsidR="00065895" w:rsidRPr="00065895" w:rsidRDefault="00065895" w:rsidP="00065895">
      <w:pPr>
        <w:pStyle w:val="Heading5"/>
      </w:pPr>
      <w:r w:rsidRPr="00065895">
        <w:t>2021</w:t>
      </w:r>
    </w:p>
    <w:p w14:paraId="77B3ACBE" w14:textId="77777777" w:rsidR="00065895" w:rsidRPr="00065895" w:rsidRDefault="00065895" w:rsidP="00065895">
      <w:pPr>
        <w:pStyle w:val="Bullets"/>
      </w:pPr>
      <w:r w:rsidRPr="00065895">
        <w:t>Immediate improvements to the quality of care in dementia, diversity, food and nutrition services.</w:t>
      </w:r>
    </w:p>
    <w:p w14:paraId="42F6FA9F" w14:textId="77777777" w:rsidR="00065895" w:rsidRPr="00065895" w:rsidRDefault="00065895" w:rsidP="00065895">
      <w:pPr>
        <w:pStyle w:val="Bullets"/>
      </w:pPr>
      <w:r w:rsidRPr="00065895">
        <w:t>Stronger clinical care standards developed by the Australian Commission on Safety and Quality in Health Care.</w:t>
      </w:r>
    </w:p>
    <w:p w14:paraId="17F97A82" w14:textId="77777777" w:rsidR="00065895" w:rsidRPr="00065895" w:rsidRDefault="00065895" w:rsidP="00065895">
      <w:pPr>
        <w:pStyle w:val="Bullets"/>
      </w:pPr>
      <w:r w:rsidRPr="00065895">
        <w:t xml:space="preserve">Up to 120,000 additional GP services through boosted Aged Care Access Incentive. </w:t>
      </w:r>
    </w:p>
    <w:p w14:paraId="58DD9169" w14:textId="77777777" w:rsidR="00065895" w:rsidRPr="00065895" w:rsidRDefault="00065895" w:rsidP="00065895">
      <w:pPr>
        <w:pStyle w:val="Bullets"/>
      </w:pPr>
      <w:r w:rsidRPr="00065895">
        <w:t>Increasing dementia care capability delivers better outcomes for people living with dementia.</w:t>
      </w:r>
    </w:p>
    <w:p w14:paraId="47204E39" w14:textId="77777777" w:rsidR="00065895" w:rsidRPr="00065895" w:rsidRDefault="00065895" w:rsidP="00065895">
      <w:pPr>
        <w:pStyle w:val="Bullets"/>
      </w:pPr>
      <w:r w:rsidRPr="00065895">
        <w:t>Palliative care services expanded to support end-of-life care at home.</w:t>
      </w:r>
    </w:p>
    <w:p w14:paraId="3D65BBD2" w14:textId="77777777" w:rsidR="00065895" w:rsidRPr="00065895" w:rsidRDefault="00065895" w:rsidP="00065895">
      <w:pPr>
        <w:pStyle w:val="Heading5"/>
      </w:pPr>
      <w:r w:rsidRPr="00065895">
        <w:t>2022</w:t>
      </w:r>
    </w:p>
    <w:p w14:paraId="02E33C56" w14:textId="77777777" w:rsidR="00065895" w:rsidRPr="00065895" w:rsidRDefault="00065895" w:rsidP="00065895">
      <w:pPr>
        <w:pStyle w:val="Bullets"/>
      </w:pPr>
      <w:proofErr w:type="gramStart"/>
      <w:r w:rsidRPr="00065895">
        <w:t>Residents</w:t>
      </w:r>
      <w:proofErr w:type="gramEnd"/>
      <w:r w:rsidRPr="00065895">
        <w:t xml:space="preserve"> access improved care through Primary Health Networks facilitating telehealth and </w:t>
      </w:r>
      <w:r w:rsidRPr="00065895">
        <w:br/>
        <w:t>out-of-hours triage services.</w:t>
      </w:r>
    </w:p>
    <w:p w14:paraId="628E68EF" w14:textId="77777777" w:rsidR="00065895" w:rsidRPr="00065895" w:rsidRDefault="00065895" w:rsidP="00065895">
      <w:pPr>
        <w:pStyle w:val="Bullets"/>
      </w:pPr>
      <w:r w:rsidRPr="00065895">
        <w:t>Expansion of the Serious Incident Response Scheme gives 1 million senior Australians receiving home and community care greater protection.</w:t>
      </w:r>
    </w:p>
    <w:p w14:paraId="0C5C93CA" w14:textId="77777777" w:rsidR="00065895" w:rsidRPr="00065895" w:rsidRDefault="00065895" w:rsidP="00065895">
      <w:pPr>
        <w:pStyle w:val="Bullets"/>
      </w:pPr>
      <w:r w:rsidRPr="00065895">
        <w:t>Stronger presence of Aged Care Quality and Safety Commission in facilities with an extra 1,500 site audits.</w:t>
      </w:r>
    </w:p>
    <w:p w14:paraId="569E5345" w14:textId="77777777" w:rsidR="00065895" w:rsidRPr="00065895" w:rsidRDefault="00065895" w:rsidP="00065895">
      <w:pPr>
        <w:pStyle w:val="Bullets"/>
      </w:pPr>
      <w:r w:rsidRPr="00065895">
        <w:t>Providers to report regularly to residents and families on care and commencement of Star Rating system.</w:t>
      </w:r>
    </w:p>
    <w:p w14:paraId="12ED6253" w14:textId="77777777" w:rsidR="00065895" w:rsidRPr="00065895" w:rsidRDefault="00065895" w:rsidP="00065895">
      <w:pPr>
        <w:pStyle w:val="Heading5"/>
      </w:pPr>
      <w:r w:rsidRPr="00065895">
        <w:t>2023</w:t>
      </w:r>
    </w:p>
    <w:p w14:paraId="37E1BEFA" w14:textId="77777777" w:rsidR="00065895" w:rsidRPr="00065895" w:rsidRDefault="00065895" w:rsidP="00065895">
      <w:pPr>
        <w:pStyle w:val="Bullets"/>
      </w:pPr>
      <w:r w:rsidRPr="00065895">
        <w:t xml:space="preserve">Improved support and training in dementia care and </w:t>
      </w:r>
      <w:proofErr w:type="spellStart"/>
      <w:r w:rsidRPr="00065895">
        <w:t>minimising</w:t>
      </w:r>
      <w:proofErr w:type="spellEnd"/>
      <w:r w:rsidRPr="00065895">
        <w:t xml:space="preserve"> restraint (restrictive practices). </w:t>
      </w:r>
    </w:p>
    <w:p w14:paraId="6A6858D4" w14:textId="77777777" w:rsidR="00065895" w:rsidRPr="00065895" w:rsidRDefault="00065895" w:rsidP="00065895">
      <w:pPr>
        <w:pStyle w:val="Heading5"/>
      </w:pPr>
      <w:r w:rsidRPr="00065895">
        <w:t>2024</w:t>
      </w:r>
    </w:p>
    <w:p w14:paraId="4024BF51" w14:textId="77777777" w:rsidR="00065895" w:rsidRPr="00065895" w:rsidRDefault="00065895" w:rsidP="00065895">
      <w:pPr>
        <w:pStyle w:val="Bullets"/>
      </w:pPr>
      <w:r w:rsidRPr="00065895">
        <w:t>National Aged Care Data Strategy improves the information that is available to senior Australians about the quality in aged care.</w:t>
      </w:r>
    </w:p>
    <w:p w14:paraId="5CCC5B65" w14:textId="77777777" w:rsidR="00065895" w:rsidRPr="00065895" w:rsidRDefault="00065895" w:rsidP="00065895">
      <w:pPr>
        <w:pStyle w:val="Bullets"/>
      </w:pPr>
      <w:r w:rsidRPr="00065895">
        <w:t>New independent regulatory authority established following review of the Aged Care Quality and Safety Commission.</w:t>
      </w:r>
    </w:p>
    <w:p w14:paraId="26DB0AC8" w14:textId="77777777" w:rsidR="00065895" w:rsidRPr="00065895" w:rsidRDefault="00065895" w:rsidP="00065895">
      <w:pPr>
        <w:pStyle w:val="Heading5"/>
      </w:pPr>
      <w:r w:rsidRPr="00065895">
        <w:t>2025</w:t>
      </w:r>
    </w:p>
    <w:p w14:paraId="3C39735F" w14:textId="77777777" w:rsidR="00065895" w:rsidRPr="00065895" w:rsidRDefault="00065895" w:rsidP="00065895">
      <w:pPr>
        <w:pStyle w:val="Bullets"/>
      </w:pPr>
      <w:r w:rsidRPr="00065895">
        <w:t>Senior Australians receive high quality, compassionate care.</w:t>
      </w:r>
    </w:p>
    <w:p w14:paraId="030BDFC1" w14:textId="4A675821" w:rsidR="009C48F9" w:rsidRDefault="00065895" w:rsidP="00065895">
      <w:pPr>
        <w:pStyle w:val="Bullets"/>
      </w:pPr>
      <w:r w:rsidRPr="00065895">
        <w:t>Confidence in aged care is rebuilt.</w:t>
      </w:r>
    </w:p>
    <w:p w14:paraId="79ACD74E" w14:textId="77777777" w:rsidR="009C48F9" w:rsidRDefault="009C48F9">
      <w:pPr>
        <w:rPr>
          <w:rFonts w:ascii="Helvetica" w:eastAsiaTheme="minorHAnsi" w:hAnsi="Helvetica" w:cs="HelveticaNeueLT Std Lt"/>
          <w:color w:val="000000"/>
          <w:sz w:val="19"/>
          <w:szCs w:val="19"/>
        </w:rPr>
      </w:pPr>
      <w:r>
        <w:br w:type="page"/>
      </w:r>
    </w:p>
    <w:p w14:paraId="2C070A80" w14:textId="46879673" w:rsidR="006E09E9" w:rsidRPr="006E09E9" w:rsidRDefault="006E09E9" w:rsidP="006E09E9">
      <w:pPr>
        <w:pStyle w:val="Heading4"/>
      </w:pPr>
      <w:r>
        <w:lastRenderedPageBreak/>
        <w:t>Pillar 4: Workforce</w:t>
      </w:r>
    </w:p>
    <w:p w14:paraId="64DEE989" w14:textId="77777777" w:rsidR="006E09E9" w:rsidRPr="006E09E9" w:rsidRDefault="006E09E9" w:rsidP="006E09E9">
      <w:pPr>
        <w:pStyle w:val="Heading5"/>
      </w:pPr>
      <w:r w:rsidRPr="006E09E9">
        <w:t>2021</w:t>
      </w:r>
    </w:p>
    <w:p w14:paraId="56B22BD9" w14:textId="77777777" w:rsidR="006E09E9" w:rsidRPr="006E09E9" w:rsidRDefault="006E09E9" w:rsidP="006E09E9">
      <w:pPr>
        <w:pStyle w:val="Bullets"/>
      </w:pPr>
      <w:r w:rsidRPr="006E09E9">
        <w:t>Up to 6,000 new personal care workers in workplaces.</w:t>
      </w:r>
    </w:p>
    <w:p w14:paraId="0C490012" w14:textId="77777777" w:rsidR="006E09E9" w:rsidRPr="006E09E9" w:rsidRDefault="006E09E9" w:rsidP="006E09E9">
      <w:pPr>
        <w:pStyle w:val="Bullets"/>
      </w:pPr>
      <w:r w:rsidRPr="006E09E9">
        <w:t>Surge locum workforce capacity in regional and rural locations.</w:t>
      </w:r>
    </w:p>
    <w:p w14:paraId="67947D04" w14:textId="77777777" w:rsidR="006E09E9" w:rsidRPr="006E09E9" w:rsidRDefault="006E09E9" w:rsidP="006E09E9">
      <w:pPr>
        <w:pStyle w:val="Bullets"/>
      </w:pPr>
      <w:r w:rsidRPr="006E09E9">
        <w:t xml:space="preserve">Improved training in dementia care and </w:t>
      </w:r>
      <w:proofErr w:type="spellStart"/>
      <w:r w:rsidRPr="006E09E9">
        <w:t>minimising</w:t>
      </w:r>
      <w:proofErr w:type="spellEnd"/>
      <w:r w:rsidRPr="006E09E9">
        <w:t xml:space="preserve"> restraint (restrictive practices). </w:t>
      </w:r>
    </w:p>
    <w:p w14:paraId="468CF16C" w14:textId="77777777" w:rsidR="006E09E9" w:rsidRPr="006E09E9" w:rsidRDefault="006E09E9" w:rsidP="006E09E9">
      <w:pPr>
        <w:pStyle w:val="Heading5"/>
      </w:pPr>
      <w:r w:rsidRPr="006E09E9">
        <w:t>2022</w:t>
      </w:r>
    </w:p>
    <w:p w14:paraId="28169673" w14:textId="77777777" w:rsidR="006E09E9" w:rsidRPr="006E09E9" w:rsidRDefault="006E09E9" w:rsidP="006E09E9">
      <w:pPr>
        <w:pStyle w:val="Bullets"/>
      </w:pPr>
      <w:r w:rsidRPr="006E09E9">
        <w:t>Up to 7,000 new personal care workers in workplaces.</w:t>
      </w:r>
    </w:p>
    <w:p w14:paraId="059687EE" w14:textId="77777777" w:rsidR="006E09E9" w:rsidRPr="006E09E9" w:rsidRDefault="006E09E9" w:rsidP="006E09E9">
      <w:pPr>
        <w:pStyle w:val="Bullets"/>
      </w:pPr>
      <w:r w:rsidRPr="006E09E9">
        <w:t>33,800 additional training places rolled out over two years for personal care workers to attain a Certificate III in Individual Support (Ageing).</w:t>
      </w:r>
    </w:p>
    <w:p w14:paraId="7AE97A3E" w14:textId="77777777" w:rsidR="006E09E9" w:rsidRPr="006E09E9" w:rsidRDefault="006E09E9" w:rsidP="006E09E9">
      <w:pPr>
        <w:pStyle w:val="Bullets"/>
      </w:pPr>
      <w:r w:rsidRPr="006E09E9">
        <w:t>More registered nurses in workplaces due to nurse incentive and financial support schemes.</w:t>
      </w:r>
    </w:p>
    <w:p w14:paraId="6A0392FC" w14:textId="77777777" w:rsidR="006E09E9" w:rsidRPr="006E09E9" w:rsidRDefault="006E09E9" w:rsidP="006E09E9">
      <w:pPr>
        <w:pStyle w:val="Bullets"/>
      </w:pPr>
      <w:r w:rsidRPr="006E09E9">
        <w:t>Single assessment workforce in place to conduct assessments across residential and home care.</w:t>
      </w:r>
    </w:p>
    <w:p w14:paraId="262AAE22" w14:textId="77777777" w:rsidR="006E09E9" w:rsidRPr="006E09E9" w:rsidRDefault="006E09E9" w:rsidP="006E09E9">
      <w:pPr>
        <w:pStyle w:val="Heading5"/>
      </w:pPr>
      <w:r w:rsidRPr="006E09E9">
        <w:t>2023</w:t>
      </w:r>
    </w:p>
    <w:p w14:paraId="4E6706FF" w14:textId="77777777" w:rsidR="006E09E9" w:rsidRPr="006E09E9" w:rsidRDefault="006E09E9" w:rsidP="006E09E9">
      <w:pPr>
        <w:pStyle w:val="Bullets"/>
      </w:pPr>
      <w:r w:rsidRPr="006E09E9">
        <w:t>Additional training places for personal care workers to attain a Certificate III in Individual Support (Ageing).</w:t>
      </w:r>
    </w:p>
    <w:p w14:paraId="61844AC3" w14:textId="77777777" w:rsidR="006E09E9" w:rsidRPr="006E09E9" w:rsidRDefault="006E09E9" w:rsidP="006E09E9">
      <w:pPr>
        <w:pStyle w:val="Heading5"/>
      </w:pPr>
      <w:r w:rsidRPr="006E09E9">
        <w:t>2024</w:t>
      </w:r>
    </w:p>
    <w:p w14:paraId="2B350AC9" w14:textId="77777777" w:rsidR="006E09E9" w:rsidRPr="006E09E9" w:rsidRDefault="006E09E9" w:rsidP="006E09E9">
      <w:pPr>
        <w:pStyle w:val="Bullets"/>
      </w:pPr>
      <w:r w:rsidRPr="006E09E9">
        <w:t>Continued growth of the aged care workforce and a demonstrable increase in registered nurses choosing aged care as their career.</w:t>
      </w:r>
    </w:p>
    <w:p w14:paraId="2CEB82BC" w14:textId="77777777" w:rsidR="006E09E9" w:rsidRPr="006E09E9" w:rsidRDefault="006E09E9" w:rsidP="006E09E9">
      <w:pPr>
        <w:pStyle w:val="Heading5"/>
      </w:pPr>
      <w:r w:rsidRPr="006E09E9">
        <w:t>2025</w:t>
      </w:r>
    </w:p>
    <w:p w14:paraId="6203253C" w14:textId="77777777" w:rsidR="006E09E9" w:rsidRPr="006E09E9" w:rsidRDefault="006E09E9" w:rsidP="006E09E9">
      <w:pPr>
        <w:pStyle w:val="Bullets"/>
      </w:pPr>
      <w:r w:rsidRPr="006E09E9">
        <w:t>Tangible improvements seen in staffing levels, skill mix and training of the care workforce.</w:t>
      </w:r>
    </w:p>
    <w:p w14:paraId="2DB85ED1" w14:textId="60CDE346" w:rsidR="009C48F9" w:rsidRDefault="006E09E9" w:rsidP="006E09E9">
      <w:pPr>
        <w:pStyle w:val="Bullets"/>
      </w:pPr>
      <w:r w:rsidRPr="006E09E9">
        <w:t>Workforce continues to meet the demand for aged care services, particularly in home care.</w:t>
      </w:r>
    </w:p>
    <w:p w14:paraId="5594EA5E" w14:textId="77777777" w:rsidR="009C48F9" w:rsidRDefault="009C48F9">
      <w:pPr>
        <w:rPr>
          <w:rFonts w:ascii="Helvetica" w:eastAsiaTheme="minorHAnsi" w:hAnsi="Helvetica" w:cs="HelveticaNeueLT Std Lt"/>
          <w:color w:val="000000"/>
          <w:sz w:val="19"/>
          <w:szCs w:val="19"/>
        </w:rPr>
      </w:pPr>
      <w:r>
        <w:br w:type="page"/>
      </w:r>
    </w:p>
    <w:p w14:paraId="773748B7" w14:textId="0074500A" w:rsidR="00C652BF" w:rsidRDefault="006E09E9" w:rsidP="00E96388">
      <w:pPr>
        <w:pStyle w:val="Heading4"/>
      </w:pPr>
      <w:r>
        <w:lastRenderedPageBreak/>
        <w:t xml:space="preserve">Pillar 5: </w:t>
      </w:r>
      <w:r w:rsidRPr="00E96388">
        <w:t>Governance</w:t>
      </w:r>
    </w:p>
    <w:p w14:paraId="6D45B770" w14:textId="77777777" w:rsidR="00E96388" w:rsidRPr="00E96388" w:rsidRDefault="00E96388" w:rsidP="00E96388">
      <w:pPr>
        <w:pStyle w:val="Heading5"/>
      </w:pPr>
      <w:r w:rsidRPr="00E96388">
        <w:t>2021</w:t>
      </w:r>
    </w:p>
    <w:p w14:paraId="269B2B8A" w14:textId="77777777" w:rsidR="00E96388" w:rsidRPr="00E96388" w:rsidRDefault="00E96388" w:rsidP="00E96388">
      <w:pPr>
        <w:pStyle w:val="Bullets"/>
      </w:pPr>
      <w:r w:rsidRPr="00E96388">
        <w:t xml:space="preserve">Initial rollout of expanded regional network to improve local planning and understanding of needs. </w:t>
      </w:r>
    </w:p>
    <w:p w14:paraId="29E21DAF" w14:textId="77777777" w:rsidR="00E96388" w:rsidRPr="00E96388" w:rsidRDefault="00E96388" w:rsidP="00E96388">
      <w:pPr>
        <w:pStyle w:val="Bullets"/>
      </w:pPr>
      <w:r w:rsidRPr="00E96388">
        <w:t>Council of Elders established to provide a direct voice to Government.</w:t>
      </w:r>
    </w:p>
    <w:p w14:paraId="6299802A" w14:textId="77777777" w:rsidR="00E96388" w:rsidRPr="00E96388" w:rsidRDefault="00E96388" w:rsidP="00E96388">
      <w:pPr>
        <w:pStyle w:val="Bullets"/>
      </w:pPr>
      <w:r w:rsidRPr="00E96388">
        <w:t xml:space="preserve">National Aged Care Advisory Council established to provide expert advice to Government. </w:t>
      </w:r>
    </w:p>
    <w:p w14:paraId="35D6B0F0" w14:textId="77777777" w:rsidR="00E96388" w:rsidRPr="00E96388" w:rsidRDefault="00E96388" w:rsidP="00E96388">
      <w:pPr>
        <w:pStyle w:val="Bullets"/>
      </w:pPr>
      <w:r w:rsidRPr="00E96388">
        <w:t xml:space="preserve">Expanded capital infrastructure grants available to improve access to better quality aged care services for First Nations people and those in rural and remote locations, or who are homeless or at risk of homelessness. </w:t>
      </w:r>
    </w:p>
    <w:p w14:paraId="084EAD53" w14:textId="77777777" w:rsidR="00E96388" w:rsidRPr="00E96388" w:rsidRDefault="00E96388" w:rsidP="00E96388">
      <w:pPr>
        <w:pStyle w:val="Bullets"/>
      </w:pPr>
      <w:r w:rsidRPr="00E96388">
        <w:t>Improved services and health outcomes for people in remote and Indigenous communities as a result of additional aged care funding.</w:t>
      </w:r>
    </w:p>
    <w:p w14:paraId="4D5BFD3A" w14:textId="77777777" w:rsidR="00E96388" w:rsidRPr="00E96388" w:rsidRDefault="00E96388" w:rsidP="00E96388">
      <w:pPr>
        <w:pStyle w:val="Heading5"/>
      </w:pPr>
      <w:r w:rsidRPr="00E96388">
        <w:t>2022</w:t>
      </w:r>
    </w:p>
    <w:p w14:paraId="5D0E7D20" w14:textId="77777777" w:rsidR="00E96388" w:rsidRPr="00E96388" w:rsidRDefault="00E96388" w:rsidP="00E96388">
      <w:pPr>
        <w:pStyle w:val="Bullets"/>
      </w:pPr>
      <w:r w:rsidRPr="00E96388">
        <w:t>New workforce of trusted First Nations people to assist Older First Nations people navigate and access aged and disability care.</w:t>
      </w:r>
    </w:p>
    <w:p w14:paraId="0FE3136A" w14:textId="77777777" w:rsidR="00E96388" w:rsidRPr="00E96388" w:rsidRDefault="00E96388" w:rsidP="00E96388">
      <w:pPr>
        <w:pStyle w:val="Heading5"/>
      </w:pPr>
      <w:r w:rsidRPr="00E96388">
        <w:t>2023</w:t>
      </w:r>
    </w:p>
    <w:p w14:paraId="156C745F" w14:textId="77777777" w:rsidR="00E96388" w:rsidRPr="00E96388" w:rsidRDefault="00E96388" w:rsidP="00E96388">
      <w:pPr>
        <w:pStyle w:val="Bullets"/>
      </w:pPr>
      <w:r w:rsidRPr="00E96388">
        <w:t>Introduction of a new, values based Aged Care Act.</w:t>
      </w:r>
    </w:p>
    <w:p w14:paraId="7CB91016" w14:textId="77777777" w:rsidR="00E96388" w:rsidRPr="00E96388" w:rsidRDefault="00E96388" w:rsidP="00E96388">
      <w:pPr>
        <w:pStyle w:val="Heading5"/>
      </w:pPr>
      <w:r w:rsidRPr="00E96388">
        <w:t>2025</w:t>
      </w:r>
    </w:p>
    <w:p w14:paraId="62AB294E" w14:textId="77777777" w:rsidR="00E96388" w:rsidRPr="00E96388" w:rsidRDefault="00E96388" w:rsidP="00E96388">
      <w:pPr>
        <w:pStyle w:val="Bullets"/>
      </w:pPr>
      <w:r w:rsidRPr="00E96388">
        <w:t xml:space="preserve">Strong and effective governance of aged care is in place with senior Australians at the </w:t>
      </w:r>
      <w:proofErr w:type="spellStart"/>
      <w:r w:rsidRPr="00E96388">
        <w:t>centre</w:t>
      </w:r>
      <w:proofErr w:type="spellEnd"/>
      <w:r w:rsidRPr="00E96388">
        <w:t xml:space="preserve"> and improved care outcomes consistently delivered.</w:t>
      </w:r>
    </w:p>
    <w:p w14:paraId="138F5FAB" w14:textId="77777777" w:rsidR="0015531E" w:rsidRDefault="0015531E" w:rsidP="00A4033E">
      <w:pPr>
        <w:pStyle w:val="Heading2"/>
        <w:sectPr w:rsidR="0015531E" w:rsidSect="0015531E">
          <w:pgSz w:w="11910" w:h="16840"/>
          <w:pgMar w:top="720" w:right="720" w:bottom="720" w:left="720" w:header="0" w:footer="330" w:gutter="0"/>
          <w:cols w:space="720"/>
          <w:docGrid w:linePitch="299"/>
        </w:sectPr>
      </w:pPr>
    </w:p>
    <w:p w14:paraId="632E7C6F" w14:textId="40ABA2BF" w:rsidR="00E90764" w:rsidRPr="00CF6322" w:rsidRDefault="0099166C" w:rsidP="00A4033E">
      <w:pPr>
        <w:pStyle w:val="Heading2"/>
      </w:pPr>
      <w:bookmarkStart w:id="31" w:name="_Toc83043021"/>
      <w:r w:rsidRPr="00CF6322">
        <w:lastRenderedPageBreak/>
        <w:t>OUTCOME 3</w:t>
      </w:r>
      <w:r w:rsidR="00A4033E">
        <w:t xml:space="preserve"> – </w:t>
      </w:r>
      <w:r w:rsidRPr="00CF6322">
        <w:t>Ageing and Aged Care</w:t>
      </w:r>
      <w:bookmarkEnd w:id="31"/>
    </w:p>
    <w:p w14:paraId="2243BA19" w14:textId="2D5CCA8C" w:rsidR="00E072ED" w:rsidRPr="00CF6322" w:rsidRDefault="0099166C" w:rsidP="001D1CF9">
      <w:pPr>
        <w:pStyle w:val="BodyText"/>
      </w:pPr>
      <w:r w:rsidRPr="00CF6322">
        <w:t>Improved wellbeing for senior Australians through</w:t>
      </w:r>
      <w:r w:rsidR="0091268D" w:rsidRPr="00CF6322">
        <w:t xml:space="preserve"> </w:t>
      </w:r>
      <w:r w:rsidRPr="00CF6322">
        <w:t>targeted support, access to appropriate, high quality care, and related information services.</w:t>
      </w:r>
    </w:p>
    <w:p w14:paraId="632E7C7D" w14:textId="5D4FCB7A" w:rsidR="00E90764" w:rsidRPr="00CF6322" w:rsidRDefault="0099166C" w:rsidP="001D1CF9">
      <w:pPr>
        <w:pStyle w:val="BodyText"/>
      </w:pPr>
      <w:r w:rsidRPr="00CF6322">
        <w:t>Outcome 3 is delivered through</w:t>
      </w:r>
      <w:r w:rsidR="0091268D" w:rsidRPr="00CF6322">
        <w:t xml:space="preserve"> </w:t>
      </w:r>
      <w:r w:rsidRPr="00CF6322">
        <w:t>the following programs:</w:t>
      </w:r>
    </w:p>
    <w:p w14:paraId="72B049BB" w14:textId="3399753C" w:rsidR="00607578" w:rsidRPr="00CF6322" w:rsidRDefault="0099166C" w:rsidP="001D1CF9">
      <w:pPr>
        <w:pStyle w:val="BodyText"/>
      </w:pPr>
      <w:r w:rsidRPr="00CF6322">
        <w:t>3.1</w:t>
      </w:r>
      <w:r w:rsidR="00A4033E">
        <w:t xml:space="preserve"> </w:t>
      </w:r>
      <w:r w:rsidRPr="00CF6322">
        <w:t>Access and Information</w:t>
      </w:r>
    </w:p>
    <w:p w14:paraId="7DBE0B4D" w14:textId="550B077C" w:rsidR="00AB3CC6" w:rsidRPr="00CF6322" w:rsidRDefault="0099166C" w:rsidP="001D1CF9">
      <w:pPr>
        <w:pStyle w:val="BodyText"/>
      </w:pPr>
      <w:r w:rsidRPr="00CF6322">
        <w:t>3.2</w:t>
      </w:r>
      <w:r w:rsidR="00A4033E">
        <w:t xml:space="preserve"> </w:t>
      </w:r>
      <w:r w:rsidR="00AB3CC6" w:rsidRPr="00CF6322">
        <w:t>Aged Care Services</w:t>
      </w:r>
    </w:p>
    <w:p w14:paraId="1F8FDCF2" w14:textId="51D321BF" w:rsidR="00AB3CC6" w:rsidRPr="00CF6322" w:rsidRDefault="00AB3CC6" w:rsidP="001D1CF9">
      <w:pPr>
        <w:pStyle w:val="BodyText"/>
      </w:pPr>
      <w:r w:rsidRPr="00CF6322">
        <w:t>3.3 Aged Care Quality</w:t>
      </w:r>
    </w:p>
    <w:p w14:paraId="632E7C83" w14:textId="2BC27002" w:rsidR="00E90764" w:rsidRPr="00CF6322" w:rsidRDefault="0099166C" w:rsidP="00A4033E">
      <w:pPr>
        <w:pStyle w:val="Heading3"/>
      </w:pPr>
      <w:r w:rsidRPr="00CF6322">
        <w:t xml:space="preserve">Outcome </w:t>
      </w:r>
      <w:r w:rsidRPr="00A4033E">
        <w:t>Snapshot</w:t>
      </w:r>
    </w:p>
    <w:p w14:paraId="632E7C84" w14:textId="26050499" w:rsidR="00E90764" w:rsidRPr="00CF6322" w:rsidRDefault="0099166C" w:rsidP="001D1CF9">
      <w:pPr>
        <w:pStyle w:val="BodyText"/>
      </w:pPr>
      <w:r w:rsidRPr="00CF6322">
        <w:t>Through Outcome 3 we are providing senior Australians access to appropriate, high quality care, while also focusing on the Australian Government’s response to the Aged Care Royal Commission. This includes:</w:t>
      </w:r>
    </w:p>
    <w:p w14:paraId="503713A8" w14:textId="77777777" w:rsidR="00607578" w:rsidRPr="000D5B4C" w:rsidRDefault="00607578" w:rsidP="000D5B4C">
      <w:pPr>
        <w:pStyle w:val="Bullets"/>
      </w:pPr>
      <w:r w:rsidRPr="000D5B4C">
        <w:t>Releasing an additional 80,000 Home Care</w:t>
      </w:r>
    </w:p>
    <w:p w14:paraId="6BF9F1D7" w14:textId="77777777" w:rsidR="00607578" w:rsidRPr="000D5B4C" w:rsidRDefault="00607578" w:rsidP="000D5B4C">
      <w:pPr>
        <w:pStyle w:val="Bullets"/>
      </w:pPr>
      <w:r w:rsidRPr="000D5B4C">
        <w:t>Packages to support senior Australians who choose to remain in their own homes.</w:t>
      </w:r>
    </w:p>
    <w:p w14:paraId="6EBFAED4" w14:textId="77777777" w:rsidR="00607578" w:rsidRPr="000D5B4C" w:rsidRDefault="00607578" w:rsidP="000D5B4C">
      <w:pPr>
        <w:pStyle w:val="Bullets"/>
      </w:pPr>
      <w:r w:rsidRPr="000D5B4C">
        <w:t>Developing a star rating system for residential aged care.</w:t>
      </w:r>
    </w:p>
    <w:p w14:paraId="4AA2E03E" w14:textId="77777777" w:rsidR="00607578" w:rsidRPr="000D5B4C" w:rsidRDefault="00607578" w:rsidP="000D5B4C">
      <w:pPr>
        <w:pStyle w:val="Bullets"/>
      </w:pPr>
      <w:r w:rsidRPr="000D5B4C">
        <w:t>Assisting senior Australians in understanding and exercising their aged care rights.</w:t>
      </w:r>
    </w:p>
    <w:p w14:paraId="658193A5" w14:textId="77777777" w:rsidR="00607578" w:rsidRPr="000D5B4C" w:rsidRDefault="00607578" w:rsidP="000D5B4C">
      <w:pPr>
        <w:pStyle w:val="Bullets"/>
      </w:pPr>
      <w:r w:rsidRPr="000D5B4C">
        <w:t>Implementing a new residential aged care funding model from 1 October 2022.</w:t>
      </w:r>
    </w:p>
    <w:p w14:paraId="370A1B13" w14:textId="77777777" w:rsidR="00607578" w:rsidRPr="000D5B4C" w:rsidRDefault="00607578" w:rsidP="000D5B4C">
      <w:pPr>
        <w:pStyle w:val="Bullets"/>
      </w:pPr>
      <w:r w:rsidRPr="000D5B4C">
        <w:t xml:space="preserve">Implementing a $229 million package to improve the quality of life and care for people living with dementia and their </w:t>
      </w:r>
      <w:proofErr w:type="spellStart"/>
      <w:r w:rsidRPr="000D5B4C">
        <w:t>carers</w:t>
      </w:r>
      <w:proofErr w:type="spellEnd"/>
      <w:r w:rsidRPr="000D5B4C">
        <w:t>.</w:t>
      </w:r>
    </w:p>
    <w:p w14:paraId="19BD8497" w14:textId="77777777" w:rsidR="00607578" w:rsidRPr="000D5B4C" w:rsidRDefault="00607578" w:rsidP="000D5B4C">
      <w:pPr>
        <w:pStyle w:val="Bullets"/>
      </w:pPr>
      <w:r w:rsidRPr="000D5B4C">
        <w:t>Expanding the Serious Incident Response Scheme to include in home services.</w:t>
      </w:r>
    </w:p>
    <w:p w14:paraId="298E3940" w14:textId="4AB26A72" w:rsidR="00607578" w:rsidRDefault="00607578" w:rsidP="000D5B4C">
      <w:pPr>
        <w:pStyle w:val="Bullets"/>
      </w:pPr>
      <w:r w:rsidRPr="000D5B4C">
        <w:t>Supporting aged care providers to deliver appropriate, respectful care to senior Australians with diverse needs.</w:t>
      </w:r>
    </w:p>
    <w:p w14:paraId="56542D90" w14:textId="77777777" w:rsidR="00A750C2" w:rsidRDefault="00A750C2" w:rsidP="00A750C2">
      <w:r>
        <w:br w:type="page"/>
      </w:r>
    </w:p>
    <w:p w14:paraId="163B99AF" w14:textId="172DE26D" w:rsidR="00804351" w:rsidRDefault="00804351" w:rsidP="00804351">
      <w:pPr>
        <w:pStyle w:val="Heading3"/>
      </w:pPr>
      <w:r>
        <w:lastRenderedPageBreak/>
        <w:t>3.1 – Access</w:t>
      </w:r>
      <w:r>
        <w:rPr>
          <w:spacing w:val="-14"/>
        </w:rPr>
        <w:t xml:space="preserve"> </w:t>
      </w:r>
      <w:r>
        <w:t>and</w:t>
      </w:r>
      <w:r>
        <w:rPr>
          <w:spacing w:val="-14"/>
        </w:rPr>
        <w:t xml:space="preserve"> </w:t>
      </w:r>
      <w:r w:rsidRPr="00804351">
        <w:t>Information</w:t>
      </w:r>
    </w:p>
    <w:p w14:paraId="632E7CB6" w14:textId="77777777" w:rsidR="00E90764" w:rsidRPr="00CF6322" w:rsidRDefault="0099166C" w:rsidP="00804351">
      <w:pPr>
        <w:pStyle w:val="Heading4"/>
      </w:pPr>
      <w:r w:rsidRPr="00CF6322">
        <w:t xml:space="preserve">Program </w:t>
      </w:r>
      <w:r w:rsidRPr="00804351">
        <w:t>Objective</w:t>
      </w:r>
    </w:p>
    <w:p w14:paraId="1E1D59CF" w14:textId="77777777" w:rsidR="00804351" w:rsidRDefault="00804351" w:rsidP="001D1CF9">
      <w:pPr>
        <w:pStyle w:val="BodyText"/>
        <w:rPr>
          <w:color w:val="000000"/>
        </w:rPr>
      </w:pPr>
      <w:r>
        <w:t>Support</w:t>
      </w:r>
      <w:r>
        <w:rPr>
          <w:spacing w:val="5"/>
        </w:rPr>
        <w:t xml:space="preserve"> </w:t>
      </w:r>
      <w:r>
        <w:t>senior</w:t>
      </w:r>
      <w:r>
        <w:rPr>
          <w:spacing w:val="5"/>
        </w:rPr>
        <w:t xml:space="preserve"> </w:t>
      </w:r>
      <w:r>
        <w:t>Australians,</w:t>
      </w:r>
      <w:r>
        <w:rPr>
          <w:spacing w:val="5"/>
        </w:rPr>
        <w:t xml:space="preserve"> </w:t>
      </w:r>
      <w:r>
        <w:t>their</w:t>
      </w:r>
      <w:r>
        <w:rPr>
          <w:spacing w:val="6"/>
        </w:rPr>
        <w:t xml:space="preserve"> </w:t>
      </w:r>
      <w:r>
        <w:t>families,</w:t>
      </w:r>
      <w:r>
        <w:rPr>
          <w:spacing w:val="5"/>
        </w:rPr>
        <w:t xml:space="preserve"> </w:t>
      </w:r>
      <w:r>
        <w:t>representatives</w:t>
      </w:r>
      <w:r>
        <w:rPr>
          <w:spacing w:val="5"/>
        </w:rPr>
        <w:t xml:space="preserve"> </w:t>
      </w:r>
      <w:r>
        <w:t>and</w:t>
      </w:r>
      <w:r>
        <w:rPr>
          <w:spacing w:val="6"/>
        </w:rPr>
        <w:t xml:space="preserve"> </w:t>
      </w:r>
      <w:proofErr w:type="spellStart"/>
      <w:r>
        <w:t>carers</w:t>
      </w:r>
      <w:proofErr w:type="spellEnd"/>
      <w:r>
        <w:rPr>
          <w:spacing w:val="5"/>
        </w:rPr>
        <w:t xml:space="preserve"> </w:t>
      </w:r>
      <w:r>
        <w:t>to</w:t>
      </w:r>
      <w:r>
        <w:rPr>
          <w:spacing w:val="5"/>
        </w:rPr>
        <w:t xml:space="preserve"> </w:t>
      </w:r>
      <w:r>
        <w:t>access</w:t>
      </w:r>
      <w:r>
        <w:rPr>
          <w:spacing w:val="6"/>
        </w:rPr>
        <w:t xml:space="preserve"> </w:t>
      </w:r>
      <w:r>
        <w:t>reliable</w:t>
      </w:r>
      <w:r>
        <w:rPr>
          <w:spacing w:val="5"/>
        </w:rPr>
        <w:t xml:space="preserve"> </w:t>
      </w:r>
      <w:r>
        <w:t>and</w:t>
      </w:r>
      <w:r>
        <w:rPr>
          <w:spacing w:val="5"/>
        </w:rPr>
        <w:t xml:space="preserve"> </w:t>
      </w:r>
      <w:r>
        <w:t>trusted</w:t>
      </w:r>
      <w:r>
        <w:rPr>
          <w:spacing w:val="6"/>
        </w:rPr>
        <w:t xml:space="preserve"> </w:t>
      </w:r>
      <w:r>
        <w:t>information</w:t>
      </w:r>
      <w:r>
        <w:rPr>
          <w:spacing w:val="1"/>
        </w:rPr>
        <w:t xml:space="preserve"> </w:t>
      </w:r>
      <w:r>
        <w:t>about</w:t>
      </w:r>
      <w:r>
        <w:rPr>
          <w:spacing w:val="2"/>
        </w:rPr>
        <w:t xml:space="preserve"> </w:t>
      </w:r>
      <w:r>
        <w:t>aged</w:t>
      </w:r>
      <w:r>
        <w:rPr>
          <w:spacing w:val="3"/>
        </w:rPr>
        <w:t xml:space="preserve"> </w:t>
      </w:r>
      <w:r>
        <w:t>care</w:t>
      </w:r>
      <w:r>
        <w:rPr>
          <w:spacing w:val="3"/>
        </w:rPr>
        <w:t xml:space="preserve"> </w:t>
      </w:r>
      <w:r>
        <w:t>and</w:t>
      </w:r>
      <w:r>
        <w:rPr>
          <w:spacing w:val="3"/>
        </w:rPr>
        <w:t xml:space="preserve"> </w:t>
      </w:r>
      <w:r>
        <w:t>support</w:t>
      </w:r>
      <w:r>
        <w:rPr>
          <w:spacing w:val="3"/>
        </w:rPr>
        <w:t xml:space="preserve"> </w:t>
      </w:r>
      <w:r>
        <w:t>services</w:t>
      </w:r>
      <w:r>
        <w:rPr>
          <w:spacing w:val="3"/>
        </w:rPr>
        <w:t xml:space="preserve"> </w:t>
      </w:r>
      <w:r>
        <w:t>through</w:t>
      </w:r>
      <w:r>
        <w:rPr>
          <w:spacing w:val="3"/>
        </w:rPr>
        <w:t xml:space="preserve"> </w:t>
      </w:r>
      <w:r>
        <w:t>My</w:t>
      </w:r>
      <w:r>
        <w:rPr>
          <w:spacing w:val="3"/>
        </w:rPr>
        <w:t xml:space="preserve"> </w:t>
      </w:r>
      <w:r>
        <w:t>Aged</w:t>
      </w:r>
      <w:r>
        <w:rPr>
          <w:spacing w:val="3"/>
        </w:rPr>
        <w:t xml:space="preserve"> </w:t>
      </w:r>
      <w:r>
        <w:t>Care.</w:t>
      </w:r>
      <w:r>
        <w:rPr>
          <w:spacing w:val="2"/>
        </w:rPr>
        <w:t xml:space="preserve"> </w:t>
      </w:r>
      <w:r>
        <w:t>Provide</w:t>
      </w:r>
      <w:r>
        <w:rPr>
          <w:spacing w:val="3"/>
        </w:rPr>
        <w:t xml:space="preserve"> </w:t>
      </w:r>
      <w:r>
        <w:t>improved</w:t>
      </w:r>
      <w:r>
        <w:rPr>
          <w:spacing w:val="3"/>
        </w:rPr>
        <w:t xml:space="preserve"> </w:t>
      </w:r>
      <w:r>
        <w:t>and</w:t>
      </w:r>
      <w:r>
        <w:rPr>
          <w:spacing w:val="3"/>
        </w:rPr>
        <w:t xml:space="preserve"> </w:t>
      </w:r>
      <w:r>
        <w:t>more</w:t>
      </w:r>
      <w:r>
        <w:rPr>
          <w:spacing w:val="3"/>
        </w:rPr>
        <w:t xml:space="preserve"> </w:t>
      </w:r>
      <w:r>
        <w:t>consistent</w:t>
      </w:r>
      <w:r>
        <w:rPr>
          <w:spacing w:val="3"/>
        </w:rPr>
        <w:t xml:space="preserve"> </w:t>
      </w:r>
      <w:r>
        <w:t>client</w:t>
      </w:r>
      <w:r>
        <w:rPr>
          <w:spacing w:val="1"/>
        </w:rPr>
        <w:t xml:space="preserve"> </w:t>
      </w:r>
      <w:r>
        <w:t>outcomes,</w:t>
      </w:r>
      <w:r>
        <w:rPr>
          <w:spacing w:val="4"/>
        </w:rPr>
        <w:t xml:space="preserve"> </w:t>
      </w:r>
      <w:r>
        <w:t>responsive</w:t>
      </w:r>
      <w:r>
        <w:rPr>
          <w:spacing w:val="4"/>
        </w:rPr>
        <w:t xml:space="preserve"> </w:t>
      </w:r>
      <w:r>
        <w:t>assessments</w:t>
      </w:r>
      <w:r>
        <w:rPr>
          <w:spacing w:val="4"/>
        </w:rPr>
        <w:t xml:space="preserve"> </w:t>
      </w:r>
      <w:r>
        <w:t>of</w:t>
      </w:r>
      <w:r>
        <w:rPr>
          <w:spacing w:val="4"/>
        </w:rPr>
        <w:t xml:space="preserve"> </w:t>
      </w:r>
      <w:r>
        <w:t>clients’</w:t>
      </w:r>
      <w:r>
        <w:rPr>
          <w:spacing w:val="4"/>
        </w:rPr>
        <w:t xml:space="preserve"> </w:t>
      </w:r>
      <w:r>
        <w:t>needs</w:t>
      </w:r>
      <w:r>
        <w:rPr>
          <w:spacing w:val="5"/>
        </w:rPr>
        <w:t xml:space="preserve"> </w:t>
      </w:r>
      <w:r>
        <w:t>and</w:t>
      </w:r>
      <w:r>
        <w:rPr>
          <w:spacing w:val="4"/>
        </w:rPr>
        <w:t xml:space="preserve"> </w:t>
      </w:r>
      <w:r>
        <w:t>goals,</w:t>
      </w:r>
      <w:r>
        <w:rPr>
          <w:spacing w:val="4"/>
        </w:rPr>
        <w:t xml:space="preserve"> </w:t>
      </w:r>
      <w:r>
        <w:t>appropriate</w:t>
      </w:r>
      <w:r>
        <w:rPr>
          <w:spacing w:val="4"/>
        </w:rPr>
        <w:t xml:space="preserve"> </w:t>
      </w:r>
      <w:r>
        <w:t>referrals</w:t>
      </w:r>
      <w:r>
        <w:rPr>
          <w:spacing w:val="4"/>
        </w:rPr>
        <w:t xml:space="preserve"> </w:t>
      </w:r>
      <w:r>
        <w:t>and</w:t>
      </w:r>
      <w:r>
        <w:rPr>
          <w:spacing w:val="4"/>
        </w:rPr>
        <w:t xml:space="preserve"> </w:t>
      </w:r>
      <w:r>
        <w:t>equitable</w:t>
      </w:r>
      <w:r>
        <w:rPr>
          <w:spacing w:val="4"/>
        </w:rPr>
        <w:t xml:space="preserve"> </w:t>
      </w:r>
      <w:r>
        <w:t>access</w:t>
      </w:r>
      <w:r>
        <w:rPr>
          <w:spacing w:val="5"/>
        </w:rPr>
        <w:t xml:space="preserve"> </w:t>
      </w:r>
      <w:r>
        <w:t>to</w:t>
      </w:r>
      <w:r>
        <w:rPr>
          <w:spacing w:val="1"/>
        </w:rPr>
        <w:t xml:space="preserve"> </w:t>
      </w:r>
      <w:r>
        <w:t>aged care services.</w:t>
      </w:r>
    </w:p>
    <w:p w14:paraId="632E7CBA" w14:textId="77777777" w:rsidR="00E90764" w:rsidRPr="00CF6322" w:rsidRDefault="0099166C" w:rsidP="00804351">
      <w:pPr>
        <w:pStyle w:val="Heading4"/>
      </w:pPr>
      <w:r w:rsidRPr="00CF6322">
        <w:t xml:space="preserve">Our Operating </w:t>
      </w:r>
      <w:r w:rsidRPr="00804351">
        <w:t>Focus</w:t>
      </w:r>
    </w:p>
    <w:p w14:paraId="632E7CBB" w14:textId="7E1B771D" w:rsidR="00E90764" w:rsidRPr="00CF6322" w:rsidRDefault="0099166C" w:rsidP="001D1CF9">
      <w:pPr>
        <w:pStyle w:val="BodyText"/>
      </w:pPr>
      <w:r w:rsidRPr="00CF6322">
        <w:t xml:space="preserve">We aim to provide clear service and information resources with easily identifiable entry points, such as the My Aged Care website and contact </w:t>
      </w:r>
      <w:proofErr w:type="spellStart"/>
      <w:r w:rsidRPr="00CF6322">
        <w:t>centre</w:t>
      </w:r>
      <w:proofErr w:type="spellEnd"/>
      <w:r w:rsidRPr="00CF6322">
        <w:t xml:space="preserve">. From </w:t>
      </w:r>
      <w:r w:rsidR="0091268D" w:rsidRPr="00CF6322">
        <w:br/>
      </w:r>
      <w:r w:rsidRPr="00CF6322">
        <w:t xml:space="preserve">2021–22, clients will have the option to access general My Aged Care information in person at all Services Australia service </w:t>
      </w:r>
      <w:proofErr w:type="spellStart"/>
      <w:r w:rsidRPr="00CF6322">
        <w:t>centres</w:t>
      </w:r>
      <w:proofErr w:type="spellEnd"/>
      <w:r w:rsidRPr="00CF6322">
        <w:t>. In addition, 70 sites will be offering the full My Aged Care service offer as a face-to-face channel to complement the existing My Aged Care telephone and digital channels. The Aged Care System Navigator Trials will also continue to assist clients who would have difficulty accessing support without their help, ahead of the introduction of the care finder program in 2023. In addition,</w:t>
      </w:r>
      <w:r w:rsidR="0091268D" w:rsidRPr="00CF6322">
        <w:t xml:space="preserve"> </w:t>
      </w:r>
      <w:r w:rsidRPr="00CF6322">
        <w:t>significant work will be progressed in developing a star rating system for residential aged care, which is expected to be available from December 2022. This will support consumers to make informed choices about residential aged care service options.</w:t>
      </w:r>
    </w:p>
    <w:p w14:paraId="632E7CBC" w14:textId="77777777" w:rsidR="00E90764" w:rsidRPr="00CF6322" w:rsidRDefault="0099166C" w:rsidP="001D1CF9">
      <w:pPr>
        <w:pStyle w:val="BodyText"/>
      </w:pPr>
      <w:r w:rsidRPr="00CF6322">
        <w:t xml:space="preserve">We will continue to work closely with Aged Care Assessment Teams (ACATs) and Regional Assessment Service (RAS) </w:t>
      </w:r>
      <w:proofErr w:type="spellStart"/>
      <w:r w:rsidRPr="00CF6322">
        <w:t>organisations</w:t>
      </w:r>
      <w:proofErr w:type="spellEnd"/>
      <w:r w:rsidRPr="00CF6322">
        <w:t xml:space="preserve"> nationwide to ensure the delivery of appropriate and timely assessments of aged care services for senior Australians. From July 2023, we intend to implement a unified, single pathway to deliver assessments of senior Australians aged care needs. This will improve the quality and consistency of assessments.</w:t>
      </w:r>
    </w:p>
    <w:p w14:paraId="23B9172F" w14:textId="77777777" w:rsidR="003862F9" w:rsidRDefault="0099166C" w:rsidP="001D1CF9">
      <w:pPr>
        <w:pStyle w:val="BodyText"/>
      </w:pPr>
      <w:r w:rsidRPr="00CF6322">
        <w:t xml:space="preserve">Despite considerable COVID-19 pandemic related disruption in 2020–21, we have supported state and territory governments and assessment </w:t>
      </w:r>
      <w:proofErr w:type="spellStart"/>
      <w:r w:rsidRPr="00CF6322">
        <w:t>organisations</w:t>
      </w:r>
      <w:proofErr w:type="spellEnd"/>
      <w:r w:rsidRPr="00CF6322">
        <w:t xml:space="preserve"> to implement flexible assessment approaches, including by telehealth.</w:t>
      </w:r>
    </w:p>
    <w:p w14:paraId="632E7CBE" w14:textId="06B403CD" w:rsidR="00E90764" w:rsidRPr="00CF6322" w:rsidRDefault="0099166C" w:rsidP="001D1CF9">
      <w:pPr>
        <w:pStyle w:val="BodyText"/>
      </w:pPr>
      <w:r w:rsidRPr="00CF6322">
        <w:t>The use of these approaches for conducting assessments,</w:t>
      </w:r>
      <w:r w:rsidR="0091268D" w:rsidRPr="00CF6322">
        <w:t xml:space="preserve"> </w:t>
      </w:r>
      <w:r w:rsidRPr="00CF6322">
        <w:t xml:space="preserve">as well as flexible funding arrangements for the majority of ACAT and RAS </w:t>
      </w:r>
      <w:proofErr w:type="spellStart"/>
      <w:r w:rsidRPr="00CF6322">
        <w:t>organisations</w:t>
      </w:r>
      <w:proofErr w:type="spellEnd"/>
      <w:r w:rsidRPr="00CF6322">
        <w:t xml:space="preserve"> at the height of the pandemic,</w:t>
      </w:r>
      <w:r w:rsidR="003862F9">
        <w:t xml:space="preserve"> </w:t>
      </w:r>
      <w:r w:rsidRPr="00CF6322">
        <w:t>contributed to the timely delivery of assessments, enabling clients to access the appropriate support.</w:t>
      </w:r>
    </w:p>
    <w:p w14:paraId="632E7CC1" w14:textId="430280DA" w:rsidR="00E90764" w:rsidRPr="00CF6322" w:rsidRDefault="0099166C" w:rsidP="001D1CF9">
      <w:pPr>
        <w:pStyle w:val="BodyText"/>
      </w:pPr>
      <w:r w:rsidRPr="00CF6322">
        <w:t>Our policies and programs are aimed at delivering a fairer aged care system, where all senior Australians have</w:t>
      </w:r>
      <w:r w:rsidR="00C8140A" w:rsidRPr="00CF6322">
        <w:t xml:space="preserve"> </w:t>
      </w:r>
      <w:r w:rsidRPr="00CF6322">
        <w:t>equitable access to the quality care they need, regardless of where they live or their personal circumstances. This will be complemented through the establishment of</w:t>
      </w:r>
      <w:r w:rsidR="00C8140A" w:rsidRPr="00CF6322">
        <w:t xml:space="preserve"> </w:t>
      </w:r>
      <w:r w:rsidRPr="00CF6322">
        <w:t>an Indigenous workforce of trusted people, to assist Aboriginal and Torres Strait Islander people who need</w:t>
      </w:r>
      <w:r w:rsidR="0091268D" w:rsidRPr="00CF6322">
        <w:t xml:space="preserve"> </w:t>
      </w:r>
      <w:r w:rsidRPr="00CF6322">
        <w:t>support to access aged care services.</w:t>
      </w:r>
    </w:p>
    <w:p w14:paraId="632E7CC2" w14:textId="77777777" w:rsidR="00E90764" w:rsidRPr="00CF6322" w:rsidRDefault="0099166C" w:rsidP="001D1CF9">
      <w:pPr>
        <w:pStyle w:val="BodyText"/>
      </w:pPr>
      <w:r w:rsidRPr="00CF6322">
        <w:t>We are committed to improving culturally appropriate access to aged care for diverse groups, including Aboriginal and Torres Strait Islander people, culturally and linguistically diverse and senior Australians who are homeless or experiencing homelessness, through targeted initiatives.</w:t>
      </w:r>
    </w:p>
    <w:p w14:paraId="632E7CC5" w14:textId="2845BA1C" w:rsidR="00A750C2" w:rsidRDefault="0099166C" w:rsidP="001D1CF9">
      <w:pPr>
        <w:pStyle w:val="BodyText"/>
      </w:pPr>
      <w:r w:rsidRPr="00CF6322">
        <w:t>There is an increased need to monitor provider performance and, where appropriate, support providers through the necessary market transition that will occur over the coming years as reforms arising from the Australian Government’s response to the Royal Commission are implemented. We will work to ensure the correct tools and levers are in place to avoid, or where necessary, manage closures of aged care facilities and deliver quality and continuity of care for residents.</w:t>
      </w:r>
    </w:p>
    <w:p w14:paraId="16017CF8" w14:textId="77777777" w:rsidR="00A750C2" w:rsidRDefault="00A750C2">
      <w:pPr>
        <w:rPr>
          <w:rFonts w:ascii="Helvetica" w:hAnsi="Helvetica"/>
          <w:color w:val="231F20"/>
          <w:sz w:val="19"/>
          <w:szCs w:val="19"/>
        </w:rPr>
      </w:pPr>
      <w:r>
        <w:br w:type="page"/>
      </w:r>
    </w:p>
    <w:tbl>
      <w:tblPr>
        <w:tblW w:w="10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0" w:type="dxa"/>
        </w:tblCellMar>
        <w:tblLook w:val="01E0" w:firstRow="1" w:lastRow="1" w:firstColumn="1" w:lastColumn="1" w:noHBand="0" w:noVBand="0"/>
      </w:tblPr>
      <w:tblGrid>
        <w:gridCol w:w="8556"/>
        <w:gridCol w:w="442"/>
        <w:gridCol w:w="442"/>
        <w:gridCol w:w="440"/>
        <w:gridCol w:w="442"/>
      </w:tblGrid>
      <w:tr w:rsidR="00E90764" w:rsidRPr="00FA6C8A" w14:paraId="632E7CCD" w14:textId="77777777" w:rsidTr="00FA6C8A">
        <w:trPr>
          <w:trHeight w:val="1164"/>
          <w:tblHeader/>
        </w:trPr>
        <w:tc>
          <w:tcPr>
            <w:tcW w:w="8556" w:type="dxa"/>
            <w:shd w:val="clear" w:color="auto" w:fill="auto"/>
          </w:tcPr>
          <w:p w14:paraId="632E7CC8" w14:textId="77777777" w:rsidR="00E90764" w:rsidRPr="00FA6C8A" w:rsidRDefault="0099166C" w:rsidP="001D1CF9">
            <w:pPr>
              <w:pStyle w:val="BodyText"/>
              <w:rPr>
                <w:b/>
                <w:bCs/>
              </w:rPr>
            </w:pPr>
            <w:r w:rsidRPr="00FA6C8A">
              <w:rPr>
                <w:b/>
                <w:bCs/>
              </w:rPr>
              <w:lastRenderedPageBreak/>
              <w:t>Key Activities</w:t>
            </w:r>
          </w:p>
        </w:tc>
        <w:tc>
          <w:tcPr>
            <w:tcW w:w="442" w:type="dxa"/>
            <w:shd w:val="clear" w:color="auto" w:fill="auto"/>
            <w:textDirection w:val="tbRl"/>
            <w:vAlign w:val="center"/>
          </w:tcPr>
          <w:p w14:paraId="632E7CC9" w14:textId="77777777" w:rsidR="00E90764" w:rsidRPr="00FA6C8A" w:rsidRDefault="0099166C" w:rsidP="001D1CF9">
            <w:pPr>
              <w:pStyle w:val="BodyText"/>
              <w:rPr>
                <w:b/>
                <w:bCs/>
              </w:rPr>
            </w:pPr>
            <w:r w:rsidRPr="00FA6C8A">
              <w:rPr>
                <w:b/>
                <w:bCs/>
              </w:rPr>
              <w:t>2021–22</w:t>
            </w:r>
          </w:p>
        </w:tc>
        <w:tc>
          <w:tcPr>
            <w:tcW w:w="442" w:type="dxa"/>
            <w:shd w:val="clear" w:color="auto" w:fill="auto"/>
            <w:textDirection w:val="tbRl"/>
            <w:vAlign w:val="center"/>
          </w:tcPr>
          <w:p w14:paraId="632E7CCA" w14:textId="77777777" w:rsidR="00E90764" w:rsidRPr="00FA6C8A" w:rsidRDefault="0099166C" w:rsidP="001D1CF9">
            <w:pPr>
              <w:pStyle w:val="BodyText"/>
              <w:rPr>
                <w:b/>
                <w:bCs/>
              </w:rPr>
            </w:pPr>
            <w:r w:rsidRPr="00FA6C8A">
              <w:rPr>
                <w:b/>
                <w:bCs/>
              </w:rPr>
              <w:t>2022–23</w:t>
            </w:r>
          </w:p>
        </w:tc>
        <w:tc>
          <w:tcPr>
            <w:tcW w:w="440" w:type="dxa"/>
            <w:shd w:val="clear" w:color="auto" w:fill="auto"/>
            <w:textDirection w:val="tbRl"/>
            <w:vAlign w:val="center"/>
          </w:tcPr>
          <w:p w14:paraId="632E7CCB" w14:textId="77777777" w:rsidR="00E90764" w:rsidRPr="00FA6C8A" w:rsidRDefault="0099166C" w:rsidP="001D1CF9">
            <w:pPr>
              <w:pStyle w:val="BodyText"/>
              <w:rPr>
                <w:b/>
                <w:bCs/>
              </w:rPr>
            </w:pPr>
            <w:r w:rsidRPr="00FA6C8A">
              <w:rPr>
                <w:b/>
                <w:bCs/>
              </w:rPr>
              <w:t>2023–24</w:t>
            </w:r>
          </w:p>
        </w:tc>
        <w:tc>
          <w:tcPr>
            <w:tcW w:w="442" w:type="dxa"/>
            <w:shd w:val="clear" w:color="auto" w:fill="auto"/>
            <w:textDirection w:val="tbRl"/>
            <w:vAlign w:val="center"/>
          </w:tcPr>
          <w:p w14:paraId="632E7CCC" w14:textId="77777777" w:rsidR="00E90764" w:rsidRPr="00FA6C8A" w:rsidRDefault="0099166C" w:rsidP="001D1CF9">
            <w:pPr>
              <w:pStyle w:val="BodyText"/>
              <w:rPr>
                <w:b/>
                <w:bCs/>
              </w:rPr>
            </w:pPr>
            <w:r w:rsidRPr="00FA6C8A">
              <w:rPr>
                <w:b/>
                <w:bCs/>
              </w:rPr>
              <w:t>2024–25</w:t>
            </w:r>
          </w:p>
        </w:tc>
      </w:tr>
      <w:tr w:rsidR="00E90764" w:rsidRPr="00CF6322" w14:paraId="632E7CD3" w14:textId="77777777" w:rsidTr="008E1AEF">
        <w:trPr>
          <w:trHeight w:val="582"/>
        </w:trPr>
        <w:tc>
          <w:tcPr>
            <w:tcW w:w="8556" w:type="dxa"/>
            <w:shd w:val="clear" w:color="auto" w:fill="auto"/>
            <w:vAlign w:val="center"/>
          </w:tcPr>
          <w:p w14:paraId="632E7CCE" w14:textId="0CFCFDBF" w:rsidR="00E90764" w:rsidRPr="00CF6322" w:rsidRDefault="0099166C" w:rsidP="001D1CF9">
            <w:pPr>
              <w:pStyle w:val="BodyText"/>
            </w:pPr>
            <w:r w:rsidRPr="00CF6322">
              <w:t>Providing clear service and information resources with easily identifiable entry points, such as the My</w:t>
            </w:r>
            <w:r w:rsidR="00EE180E">
              <w:t xml:space="preserve"> </w:t>
            </w:r>
            <w:r w:rsidRPr="00CF6322">
              <w:t xml:space="preserve">Aged Care website and contact </w:t>
            </w:r>
            <w:proofErr w:type="spellStart"/>
            <w:r w:rsidRPr="00CF6322">
              <w:t>centre</w:t>
            </w:r>
            <w:proofErr w:type="spellEnd"/>
            <w:r w:rsidRPr="00CF6322">
              <w:t>.</w:t>
            </w:r>
          </w:p>
        </w:tc>
        <w:tc>
          <w:tcPr>
            <w:tcW w:w="442" w:type="dxa"/>
            <w:shd w:val="clear" w:color="auto" w:fill="auto"/>
          </w:tcPr>
          <w:p w14:paraId="632E7CCF" w14:textId="60A55918"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CD0" w14:textId="40807D3A" w:rsidR="00E90764" w:rsidRPr="00CF6322" w:rsidRDefault="00041BDA" w:rsidP="001D1CF9">
            <w:pPr>
              <w:pStyle w:val="BodyText"/>
            </w:pPr>
            <w:r>
              <w:rPr>
                <w:rFonts w:ascii="Segoe UI Symbol" w:hAnsi="Segoe UI Symbol" w:cs="Segoe UI Symbol"/>
              </w:rPr>
              <w:t>✓</w:t>
            </w:r>
          </w:p>
        </w:tc>
        <w:tc>
          <w:tcPr>
            <w:tcW w:w="440" w:type="dxa"/>
            <w:shd w:val="clear" w:color="auto" w:fill="auto"/>
          </w:tcPr>
          <w:p w14:paraId="632E7CD1" w14:textId="6A4AD090"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CD2" w14:textId="7594748D" w:rsidR="00E90764" w:rsidRPr="00CF6322" w:rsidRDefault="00041BDA" w:rsidP="001D1CF9">
            <w:pPr>
              <w:pStyle w:val="BodyText"/>
            </w:pPr>
            <w:r>
              <w:rPr>
                <w:rFonts w:ascii="Segoe UI Symbol" w:hAnsi="Segoe UI Symbol" w:cs="Segoe UI Symbol"/>
              </w:rPr>
              <w:t>✓</w:t>
            </w:r>
          </w:p>
        </w:tc>
      </w:tr>
      <w:tr w:rsidR="00E90764" w:rsidRPr="00CF6322" w14:paraId="632E7CDA" w14:textId="77777777" w:rsidTr="008E1AEF">
        <w:trPr>
          <w:trHeight w:val="822"/>
        </w:trPr>
        <w:tc>
          <w:tcPr>
            <w:tcW w:w="8556" w:type="dxa"/>
            <w:shd w:val="clear" w:color="auto" w:fill="auto"/>
            <w:vAlign w:val="center"/>
          </w:tcPr>
          <w:p w14:paraId="632E7CD4" w14:textId="5A074517" w:rsidR="00E90764" w:rsidRPr="00CF6322" w:rsidRDefault="0099166C" w:rsidP="001D1CF9">
            <w:pPr>
              <w:pStyle w:val="BodyText"/>
            </w:pPr>
            <w:r w:rsidRPr="00CF6322">
              <w:t xml:space="preserve">Introducing an additional face to face channel for My Aged Care in Services Australia service </w:t>
            </w:r>
            <w:proofErr w:type="spellStart"/>
            <w:r w:rsidRPr="00CF6322">
              <w:t>centres</w:t>
            </w:r>
            <w:proofErr w:type="spellEnd"/>
            <w:r w:rsidR="0091268D" w:rsidRPr="00CF6322">
              <w:t xml:space="preserve"> </w:t>
            </w:r>
            <w:r w:rsidRPr="00CF6322">
              <w:t>and delivering extended aged care system navigator trials until the care finder program commences in 2023.</w:t>
            </w:r>
          </w:p>
        </w:tc>
        <w:tc>
          <w:tcPr>
            <w:tcW w:w="442" w:type="dxa"/>
            <w:shd w:val="clear" w:color="auto" w:fill="auto"/>
          </w:tcPr>
          <w:p w14:paraId="632E7CD5" w14:textId="77777777" w:rsidR="00E90764" w:rsidRPr="00CF6322" w:rsidRDefault="00E90764" w:rsidP="001D1CF9">
            <w:pPr>
              <w:pStyle w:val="BodyText"/>
            </w:pPr>
          </w:p>
        </w:tc>
        <w:tc>
          <w:tcPr>
            <w:tcW w:w="442" w:type="dxa"/>
            <w:shd w:val="clear" w:color="auto" w:fill="auto"/>
          </w:tcPr>
          <w:p w14:paraId="632E7CD7" w14:textId="7AB6C524" w:rsidR="00E90764" w:rsidRPr="00CF6322" w:rsidRDefault="00041BDA" w:rsidP="001D1CF9">
            <w:pPr>
              <w:pStyle w:val="BodyText"/>
            </w:pPr>
            <w:r>
              <w:rPr>
                <w:rFonts w:ascii="Segoe UI Symbol" w:hAnsi="Segoe UI Symbol" w:cs="Segoe UI Symbol"/>
              </w:rPr>
              <w:t>✓</w:t>
            </w:r>
          </w:p>
        </w:tc>
        <w:tc>
          <w:tcPr>
            <w:tcW w:w="440" w:type="dxa"/>
            <w:shd w:val="clear" w:color="auto" w:fill="auto"/>
          </w:tcPr>
          <w:p w14:paraId="632E7CD8" w14:textId="77777777" w:rsidR="00E90764" w:rsidRPr="00CF6322" w:rsidRDefault="00E90764" w:rsidP="001D1CF9">
            <w:pPr>
              <w:pStyle w:val="BodyText"/>
            </w:pPr>
          </w:p>
        </w:tc>
        <w:tc>
          <w:tcPr>
            <w:tcW w:w="442" w:type="dxa"/>
            <w:shd w:val="clear" w:color="auto" w:fill="auto"/>
          </w:tcPr>
          <w:p w14:paraId="632E7CD9" w14:textId="77777777" w:rsidR="00E90764" w:rsidRPr="00CF6322" w:rsidRDefault="00E90764" w:rsidP="001D1CF9">
            <w:pPr>
              <w:pStyle w:val="BodyText"/>
            </w:pPr>
          </w:p>
        </w:tc>
      </w:tr>
      <w:tr w:rsidR="00E90764" w:rsidRPr="00CF6322" w14:paraId="632E7CEB" w14:textId="77777777" w:rsidTr="008E1AEF">
        <w:trPr>
          <w:trHeight w:val="1762"/>
        </w:trPr>
        <w:tc>
          <w:tcPr>
            <w:tcW w:w="8556" w:type="dxa"/>
            <w:shd w:val="clear" w:color="auto" w:fill="auto"/>
            <w:vAlign w:val="center"/>
          </w:tcPr>
          <w:p w14:paraId="632E7CDB" w14:textId="77777777" w:rsidR="00E90764" w:rsidRPr="00CF6322" w:rsidRDefault="0099166C" w:rsidP="001D1CF9">
            <w:pPr>
              <w:pStyle w:val="BodyText"/>
            </w:pPr>
            <w:r w:rsidRPr="00CF6322">
              <w:t xml:space="preserve">The My Aged Care contact </w:t>
            </w:r>
            <w:proofErr w:type="spellStart"/>
            <w:r w:rsidRPr="00CF6322">
              <w:t>centre</w:t>
            </w:r>
            <w:proofErr w:type="spellEnd"/>
            <w:r w:rsidRPr="00CF6322">
              <w:t xml:space="preserve"> will continue:</w:t>
            </w:r>
          </w:p>
          <w:p w14:paraId="632E7CDC" w14:textId="77777777" w:rsidR="00E90764" w:rsidRPr="00EE180E" w:rsidRDefault="0099166C" w:rsidP="00EE180E">
            <w:pPr>
              <w:pStyle w:val="Bullets"/>
            </w:pPr>
            <w:r w:rsidRPr="00CF6322">
              <w:t xml:space="preserve">Supporting consumers to access critical services in </w:t>
            </w:r>
            <w:r w:rsidRPr="00EE180E">
              <w:t>their home, including the provision of meals.</w:t>
            </w:r>
          </w:p>
          <w:p w14:paraId="632E7CDD" w14:textId="77777777" w:rsidR="00E90764" w:rsidRPr="00EE180E" w:rsidRDefault="0099166C" w:rsidP="00EE180E">
            <w:pPr>
              <w:pStyle w:val="Bullets"/>
            </w:pPr>
            <w:r w:rsidRPr="00EE180E">
              <w:t xml:space="preserve">Connecting consumers to the Older Persons Advocacy Network for tailored advice and support; and </w:t>
            </w:r>
            <w:proofErr w:type="spellStart"/>
            <w:r w:rsidRPr="00EE180E">
              <w:t>trialling</w:t>
            </w:r>
            <w:proofErr w:type="spellEnd"/>
            <w:r w:rsidRPr="00EE180E">
              <w:t xml:space="preserve"> a case coordination/linking approach to support vulnerable senior Australians through their aged care journey.</w:t>
            </w:r>
          </w:p>
          <w:p w14:paraId="632E7CDE" w14:textId="77777777" w:rsidR="00E90764" w:rsidRPr="00CF6322" w:rsidRDefault="0099166C" w:rsidP="00EE180E">
            <w:pPr>
              <w:pStyle w:val="Bullets"/>
            </w:pPr>
            <w:r w:rsidRPr="00EE180E">
              <w:t>Supporting consumers through the COVID-19 pandemic</w:t>
            </w:r>
            <w:r w:rsidRPr="00CF6322">
              <w:t>.</w:t>
            </w:r>
          </w:p>
        </w:tc>
        <w:tc>
          <w:tcPr>
            <w:tcW w:w="442" w:type="dxa"/>
            <w:shd w:val="clear" w:color="auto" w:fill="auto"/>
          </w:tcPr>
          <w:p w14:paraId="632E7CE1" w14:textId="713A0884"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CE4" w14:textId="09466A51" w:rsidR="00E90764" w:rsidRPr="00CF6322" w:rsidRDefault="00041BDA" w:rsidP="001D1CF9">
            <w:pPr>
              <w:pStyle w:val="BodyText"/>
            </w:pPr>
            <w:r>
              <w:rPr>
                <w:rFonts w:ascii="Segoe UI Symbol" w:hAnsi="Segoe UI Symbol" w:cs="Segoe UI Symbol"/>
              </w:rPr>
              <w:t>✓</w:t>
            </w:r>
          </w:p>
        </w:tc>
        <w:tc>
          <w:tcPr>
            <w:tcW w:w="440" w:type="dxa"/>
            <w:shd w:val="clear" w:color="auto" w:fill="auto"/>
          </w:tcPr>
          <w:p w14:paraId="632E7CE7" w14:textId="7B59A08C"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CEA" w14:textId="648FD8EC" w:rsidR="00E90764" w:rsidRPr="00CF6322" w:rsidRDefault="00041BDA" w:rsidP="001D1CF9">
            <w:pPr>
              <w:pStyle w:val="BodyText"/>
            </w:pPr>
            <w:r>
              <w:rPr>
                <w:rFonts w:ascii="Segoe UI Symbol" w:hAnsi="Segoe UI Symbol" w:cs="Segoe UI Symbol"/>
              </w:rPr>
              <w:t>✓</w:t>
            </w:r>
          </w:p>
        </w:tc>
      </w:tr>
      <w:tr w:rsidR="00E90764" w:rsidRPr="00CF6322" w14:paraId="632E7CF1" w14:textId="77777777" w:rsidTr="008E1AEF">
        <w:trPr>
          <w:trHeight w:val="592"/>
        </w:trPr>
        <w:tc>
          <w:tcPr>
            <w:tcW w:w="8556" w:type="dxa"/>
            <w:shd w:val="clear" w:color="auto" w:fill="auto"/>
            <w:vAlign w:val="center"/>
          </w:tcPr>
          <w:p w14:paraId="632E7CEC" w14:textId="77777777" w:rsidR="00E90764" w:rsidRPr="00CF6322" w:rsidRDefault="0099166C" w:rsidP="001D1CF9">
            <w:pPr>
              <w:pStyle w:val="BodyText"/>
            </w:pPr>
            <w:r w:rsidRPr="00CF6322">
              <w:t>Providing consumers with transparent information about important aspects of quality care in aged care to assist decision making, including the provision of monthly reports from providers to consumers.</w:t>
            </w:r>
          </w:p>
        </w:tc>
        <w:tc>
          <w:tcPr>
            <w:tcW w:w="442" w:type="dxa"/>
            <w:shd w:val="clear" w:color="auto" w:fill="auto"/>
          </w:tcPr>
          <w:p w14:paraId="632E7CED" w14:textId="75A93002"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CEE" w14:textId="00BC5D6C" w:rsidR="00E90764" w:rsidRPr="00CF6322" w:rsidRDefault="00041BDA" w:rsidP="001D1CF9">
            <w:pPr>
              <w:pStyle w:val="BodyText"/>
            </w:pPr>
            <w:r>
              <w:rPr>
                <w:rFonts w:ascii="Segoe UI Symbol" w:hAnsi="Segoe UI Symbol" w:cs="Segoe UI Symbol"/>
              </w:rPr>
              <w:t>✓</w:t>
            </w:r>
          </w:p>
        </w:tc>
        <w:tc>
          <w:tcPr>
            <w:tcW w:w="440" w:type="dxa"/>
            <w:shd w:val="clear" w:color="auto" w:fill="auto"/>
          </w:tcPr>
          <w:p w14:paraId="632E7CEF" w14:textId="4489C4C2"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CF0" w14:textId="7396BC77" w:rsidR="00E90764" w:rsidRPr="00CF6322" w:rsidRDefault="00041BDA" w:rsidP="001D1CF9">
            <w:pPr>
              <w:pStyle w:val="BodyText"/>
            </w:pPr>
            <w:r>
              <w:rPr>
                <w:rFonts w:ascii="Segoe UI Symbol" w:hAnsi="Segoe UI Symbol" w:cs="Segoe UI Symbol"/>
              </w:rPr>
              <w:t>✓</w:t>
            </w:r>
          </w:p>
        </w:tc>
      </w:tr>
      <w:tr w:rsidR="00E90764" w:rsidRPr="00CF6322" w14:paraId="632E7CF7" w14:textId="77777777" w:rsidTr="008E1AEF">
        <w:trPr>
          <w:trHeight w:val="592"/>
        </w:trPr>
        <w:tc>
          <w:tcPr>
            <w:tcW w:w="8556" w:type="dxa"/>
            <w:shd w:val="clear" w:color="auto" w:fill="auto"/>
            <w:vAlign w:val="center"/>
          </w:tcPr>
          <w:p w14:paraId="632E7CF2" w14:textId="77777777" w:rsidR="00E90764" w:rsidRPr="00CF6322" w:rsidRDefault="0099166C" w:rsidP="001D1CF9">
            <w:pPr>
              <w:pStyle w:val="BodyText"/>
            </w:pPr>
            <w:r w:rsidRPr="00CF6322">
              <w:t>Delivering and expanding upon individual advocacy support through the National Aged Care Advocacy Program.</w:t>
            </w:r>
          </w:p>
        </w:tc>
        <w:tc>
          <w:tcPr>
            <w:tcW w:w="442" w:type="dxa"/>
            <w:shd w:val="clear" w:color="auto" w:fill="auto"/>
          </w:tcPr>
          <w:p w14:paraId="632E7CF3" w14:textId="57BB2992"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CF4" w14:textId="444A104A" w:rsidR="00E90764" w:rsidRPr="00CF6322" w:rsidRDefault="00041BDA" w:rsidP="001D1CF9">
            <w:pPr>
              <w:pStyle w:val="BodyText"/>
            </w:pPr>
            <w:r>
              <w:rPr>
                <w:rFonts w:ascii="Segoe UI Symbol" w:hAnsi="Segoe UI Symbol" w:cs="Segoe UI Symbol"/>
              </w:rPr>
              <w:t>✓</w:t>
            </w:r>
          </w:p>
        </w:tc>
        <w:tc>
          <w:tcPr>
            <w:tcW w:w="440" w:type="dxa"/>
            <w:shd w:val="clear" w:color="auto" w:fill="auto"/>
          </w:tcPr>
          <w:p w14:paraId="632E7CF5" w14:textId="3DA7BCEA"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CF6" w14:textId="17495D1D" w:rsidR="00E90764" w:rsidRPr="00CF6322" w:rsidRDefault="00041BDA" w:rsidP="001D1CF9">
            <w:pPr>
              <w:pStyle w:val="BodyText"/>
            </w:pPr>
            <w:r>
              <w:rPr>
                <w:rFonts w:ascii="Segoe UI Symbol" w:hAnsi="Segoe UI Symbol" w:cs="Segoe UI Symbol"/>
              </w:rPr>
              <w:t>✓</w:t>
            </w:r>
          </w:p>
        </w:tc>
      </w:tr>
      <w:tr w:rsidR="00E90764" w:rsidRPr="00CF6322" w14:paraId="632E7D01" w14:textId="77777777" w:rsidTr="008E1AEF">
        <w:trPr>
          <w:trHeight w:val="842"/>
        </w:trPr>
        <w:tc>
          <w:tcPr>
            <w:tcW w:w="8556" w:type="dxa"/>
            <w:shd w:val="clear" w:color="auto" w:fill="auto"/>
            <w:vAlign w:val="center"/>
          </w:tcPr>
          <w:p w14:paraId="632E7CF8" w14:textId="77777777" w:rsidR="00E90764" w:rsidRPr="00CF6322" w:rsidRDefault="0099166C" w:rsidP="001D1CF9">
            <w:pPr>
              <w:pStyle w:val="BodyText"/>
            </w:pPr>
            <w:r w:rsidRPr="00CF6322">
              <w:t>Supporting consumers to make informed choices about residential aged care service options, including through providing detailed information on performance against the Aged Care Quality Standards and other information facilitating region-based comparisons using a star ratings system.</w:t>
            </w:r>
          </w:p>
        </w:tc>
        <w:tc>
          <w:tcPr>
            <w:tcW w:w="442" w:type="dxa"/>
            <w:shd w:val="clear" w:color="auto" w:fill="auto"/>
          </w:tcPr>
          <w:p w14:paraId="632E7CFA" w14:textId="516B762B"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CFC" w14:textId="1E66C705" w:rsidR="00E90764" w:rsidRPr="00CF6322" w:rsidRDefault="00041BDA" w:rsidP="001D1CF9">
            <w:pPr>
              <w:pStyle w:val="BodyText"/>
            </w:pPr>
            <w:r>
              <w:rPr>
                <w:rFonts w:ascii="Segoe UI Symbol" w:hAnsi="Segoe UI Symbol" w:cs="Segoe UI Symbol"/>
              </w:rPr>
              <w:t>✓</w:t>
            </w:r>
          </w:p>
        </w:tc>
        <w:tc>
          <w:tcPr>
            <w:tcW w:w="440" w:type="dxa"/>
            <w:shd w:val="clear" w:color="auto" w:fill="auto"/>
          </w:tcPr>
          <w:p w14:paraId="632E7CFE" w14:textId="2A532AC2"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D00" w14:textId="297BAD2B" w:rsidR="00E90764" w:rsidRPr="00CF6322" w:rsidRDefault="00041BDA" w:rsidP="001D1CF9">
            <w:pPr>
              <w:pStyle w:val="BodyText"/>
            </w:pPr>
            <w:r>
              <w:rPr>
                <w:rFonts w:ascii="Segoe UI Symbol" w:hAnsi="Segoe UI Symbol" w:cs="Segoe UI Symbol"/>
              </w:rPr>
              <w:t>✓</w:t>
            </w:r>
          </w:p>
        </w:tc>
      </w:tr>
      <w:tr w:rsidR="00E90764" w:rsidRPr="00CF6322" w14:paraId="632E7D07" w14:textId="77777777" w:rsidTr="008E1AEF">
        <w:trPr>
          <w:trHeight w:val="391"/>
        </w:trPr>
        <w:tc>
          <w:tcPr>
            <w:tcW w:w="8556" w:type="dxa"/>
            <w:shd w:val="clear" w:color="auto" w:fill="auto"/>
            <w:vAlign w:val="center"/>
          </w:tcPr>
          <w:p w14:paraId="632E7D02" w14:textId="77777777" w:rsidR="00E90764" w:rsidRPr="00CF6322" w:rsidRDefault="0099166C" w:rsidP="001D1CF9">
            <w:pPr>
              <w:pStyle w:val="BodyText"/>
            </w:pPr>
            <w:r w:rsidRPr="00CF6322">
              <w:t>Supporting delivery of aged care assessments through the ACAT program and RASs.</w:t>
            </w:r>
          </w:p>
        </w:tc>
        <w:tc>
          <w:tcPr>
            <w:tcW w:w="442" w:type="dxa"/>
            <w:shd w:val="clear" w:color="auto" w:fill="auto"/>
          </w:tcPr>
          <w:p w14:paraId="632E7D03" w14:textId="406767F0"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D04" w14:textId="7CA0237D" w:rsidR="00E90764" w:rsidRPr="00CF6322" w:rsidRDefault="00041BDA" w:rsidP="001D1CF9">
            <w:pPr>
              <w:pStyle w:val="BodyText"/>
            </w:pPr>
            <w:r>
              <w:rPr>
                <w:rFonts w:ascii="Segoe UI Symbol" w:hAnsi="Segoe UI Symbol" w:cs="Segoe UI Symbol"/>
              </w:rPr>
              <w:t>✓</w:t>
            </w:r>
          </w:p>
        </w:tc>
        <w:tc>
          <w:tcPr>
            <w:tcW w:w="440" w:type="dxa"/>
            <w:shd w:val="clear" w:color="auto" w:fill="auto"/>
          </w:tcPr>
          <w:p w14:paraId="632E7D05" w14:textId="77777777" w:rsidR="00E90764" w:rsidRPr="00CF6322" w:rsidRDefault="00E90764" w:rsidP="001D1CF9">
            <w:pPr>
              <w:pStyle w:val="BodyText"/>
            </w:pPr>
          </w:p>
        </w:tc>
        <w:tc>
          <w:tcPr>
            <w:tcW w:w="442" w:type="dxa"/>
            <w:shd w:val="clear" w:color="auto" w:fill="auto"/>
          </w:tcPr>
          <w:p w14:paraId="632E7D06" w14:textId="77777777" w:rsidR="00E90764" w:rsidRPr="00CF6322" w:rsidRDefault="00E90764" w:rsidP="001D1CF9">
            <w:pPr>
              <w:pStyle w:val="BodyText"/>
            </w:pPr>
          </w:p>
        </w:tc>
      </w:tr>
      <w:tr w:rsidR="00E90764" w:rsidRPr="00CF6322" w14:paraId="632E7D0D" w14:textId="77777777" w:rsidTr="008E1AEF">
        <w:trPr>
          <w:trHeight w:val="391"/>
        </w:trPr>
        <w:tc>
          <w:tcPr>
            <w:tcW w:w="8556" w:type="dxa"/>
            <w:shd w:val="clear" w:color="auto" w:fill="auto"/>
            <w:vAlign w:val="center"/>
          </w:tcPr>
          <w:p w14:paraId="632E7D08" w14:textId="77777777" w:rsidR="00E90764" w:rsidRPr="00CF6322" w:rsidRDefault="0099166C" w:rsidP="001D1CF9">
            <w:pPr>
              <w:pStyle w:val="BodyText"/>
            </w:pPr>
            <w:r w:rsidRPr="00CF6322">
              <w:t>Establishing a single aged care assessment workforce to commence from July 2023.</w:t>
            </w:r>
          </w:p>
        </w:tc>
        <w:tc>
          <w:tcPr>
            <w:tcW w:w="442" w:type="dxa"/>
            <w:shd w:val="clear" w:color="auto" w:fill="auto"/>
          </w:tcPr>
          <w:p w14:paraId="632E7D09" w14:textId="77777777" w:rsidR="00E90764" w:rsidRPr="00CF6322" w:rsidRDefault="00E90764" w:rsidP="001D1CF9">
            <w:pPr>
              <w:pStyle w:val="BodyText"/>
            </w:pPr>
          </w:p>
        </w:tc>
        <w:tc>
          <w:tcPr>
            <w:tcW w:w="442" w:type="dxa"/>
            <w:shd w:val="clear" w:color="auto" w:fill="auto"/>
          </w:tcPr>
          <w:p w14:paraId="632E7D0A" w14:textId="77777777" w:rsidR="00E90764" w:rsidRPr="00CF6322" w:rsidRDefault="00E90764" w:rsidP="001D1CF9">
            <w:pPr>
              <w:pStyle w:val="BodyText"/>
            </w:pPr>
          </w:p>
        </w:tc>
        <w:tc>
          <w:tcPr>
            <w:tcW w:w="440" w:type="dxa"/>
            <w:shd w:val="clear" w:color="auto" w:fill="auto"/>
          </w:tcPr>
          <w:p w14:paraId="632E7D0B" w14:textId="58902A5B"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D0C" w14:textId="30A5AC83" w:rsidR="00E90764" w:rsidRPr="00CF6322" w:rsidRDefault="00041BDA" w:rsidP="001D1CF9">
            <w:pPr>
              <w:pStyle w:val="BodyText"/>
            </w:pPr>
            <w:r>
              <w:rPr>
                <w:rFonts w:ascii="Segoe UI Symbol" w:hAnsi="Segoe UI Symbol" w:cs="Segoe UI Symbol"/>
              </w:rPr>
              <w:t>✓</w:t>
            </w:r>
          </w:p>
        </w:tc>
      </w:tr>
      <w:tr w:rsidR="00E90764" w:rsidRPr="00CF6322" w14:paraId="632E7D13" w14:textId="77777777" w:rsidTr="008E1AEF">
        <w:trPr>
          <w:trHeight w:val="391"/>
        </w:trPr>
        <w:tc>
          <w:tcPr>
            <w:tcW w:w="8556" w:type="dxa"/>
            <w:shd w:val="clear" w:color="auto" w:fill="auto"/>
            <w:vAlign w:val="center"/>
          </w:tcPr>
          <w:p w14:paraId="632E7D0E" w14:textId="77777777" w:rsidR="00E90764" w:rsidRPr="00CF6322" w:rsidRDefault="0099166C" w:rsidP="001D1CF9">
            <w:pPr>
              <w:pStyle w:val="BodyText"/>
            </w:pPr>
            <w:r w:rsidRPr="00CF6322">
              <w:t>Delivering the Community Visitors Scheme.</w:t>
            </w:r>
          </w:p>
        </w:tc>
        <w:tc>
          <w:tcPr>
            <w:tcW w:w="442" w:type="dxa"/>
            <w:shd w:val="clear" w:color="auto" w:fill="auto"/>
          </w:tcPr>
          <w:p w14:paraId="632E7D0F" w14:textId="1CB23A5A"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D10" w14:textId="3D8614F8" w:rsidR="00E90764" w:rsidRPr="00CF6322" w:rsidRDefault="00041BDA" w:rsidP="001D1CF9">
            <w:pPr>
              <w:pStyle w:val="BodyText"/>
            </w:pPr>
            <w:r>
              <w:rPr>
                <w:rFonts w:ascii="Segoe UI Symbol" w:hAnsi="Segoe UI Symbol" w:cs="Segoe UI Symbol"/>
              </w:rPr>
              <w:t>✓</w:t>
            </w:r>
          </w:p>
        </w:tc>
        <w:tc>
          <w:tcPr>
            <w:tcW w:w="440" w:type="dxa"/>
            <w:shd w:val="clear" w:color="auto" w:fill="auto"/>
          </w:tcPr>
          <w:p w14:paraId="632E7D11" w14:textId="210DDF88"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D12" w14:textId="73EB312A" w:rsidR="00E90764" w:rsidRPr="00CF6322" w:rsidRDefault="00041BDA" w:rsidP="001D1CF9">
            <w:pPr>
              <w:pStyle w:val="BodyText"/>
            </w:pPr>
            <w:r>
              <w:rPr>
                <w:rFonts w:ascii="Segoe UI Symbol" w:hAnsi="Segoe UI Symbol" w:cs="Segoe UI Symbol"/>
              </w:rPr>
              <w:t>✓</w:t>
            </w:r>
          </w:p>
        </w:tc>
      </w:tr>
      <w:tr w:rsidR="00E90764" w:rsidRPr="00CF6322" w14:paraId="632E7D19" w14:textId="77777777" w:rsidTr="008E1AEF">
        <w:trPr>
          <w:trHeight w:val="592"/>
        </w:trPr>
        <w:tc>
          <w:tcPr>
            <w:tcW w:w="8556" w:type="dxa"/>
            <w:shd w:val="clear" w:color="auto" w:fill="auto"/>
            <w:vAlign w:val="center"/>
          </w:tcPr>
          <w:p w14:paraId="632E7D14" w14:textId="77777777" w:rsidR="00E90764" w:rsidRPr="00CF6322" w:rsidRDefault="0099166C" w:rsidP="001D1CF9">
            <w:pPr>
              <w:pStyle w:val="BodyText"/>
            </w:pPr>
            <w:r w:rsidRPr="00CF6322">
              <w:t>Collaborating with the Department of Social Services and the National Disability Insurance Agency, through the Younger People in Residential Aged Care Joint Agency Taskforce.</w:t>
            </w:r>
          </w:p>
        </w:tc>
        <w:tc>
          <w:tcPr>
            <w:tcW w:w="442" w:type="dxa"/>
            <w:shd w:val="clear" w:color="auto" w:fill="auto"/>
          </w:tcPr>
          <w:p w14:paraId="632E7D15" w14:textId="027B4B3E"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D16" w14:textId="21D7329A" w:rsidR="00E90764" w:rsidRPr="00CF6322" w:rsidRDefault="00041BDA" w:rsidP="001D1CF9">
            <w:pPr>
              <w:pStyle w:val="BodyText"/>
            </w:pPr>
            <w:r>
              <w:rPr>
                <w:rFonts w:ascii="Segoe UI Symbol" w:hAnsi="Segoe UI Symbol" w:cs="Segoe UI Symbol"/>
              </w:rPr>
              <w:t>✓</w:t>
            </w:r>
          </w:p>
        </w:tc>
        <w:tc>
          <w:tcPr>
            <w:tcW w:w="440" w:type="dxa"/>
            <w:shd w:val="clear" w:color="auto" w:fill="auto"/>
          </w:tcPr>
          <w:p w14:paraId="632E7D17" w14:textId="77777777" w:rsidR="00E90764" w:rsidRPr="00CF6322" w:rsidRDefault="00E90764" w:rsidP="001D1CF9">
            <w:pPr>
              <w:pStyle w:val="BodyText"/>
            </w:pPr>
          </w:p>
        </w:tc>
        <w:tc>
          <w:tcPr>
            <w:tcW w:w="442" w:type="dxa"/>
            <w:shd w:val="clear" w:color="auto" w:fill="auto"/>
          </w:tcPr>
          <w:p w14:paraId="632E7D18" w14:textId="77777777" w:rsidR="00E90764" w:rsidRPr="00CF6322" w:rsidRDefault="00E90764" w:rsidP="001D1CF9">
            <w:pPr>
              <w:pStyle w:val="BodyText"/>
            </w:pPr>
          </w:p>
        </w:tc>
      </w:tr>
      <w:tr w:rsidR="00E90764" w:rsidRPr="00CF6322" w14:paraId="632E7D1F" w14:textId="77777777" w:rsidTr="008E1AEF">
        <w:trPr>
          <w:trHeight w:val="592"/>
        </w:trPr>
        <w:tc>
          <w:tcPr>
            <w:tcW w:w="8556" w:type="dxa"/>
            <w:shd w:val="clear" w:color="auto" w:fill="auto"/>
            <w:vAlign w:val="center"/>
          </w:tcPr>
          <w:p w14:paraId="632E7D1A" w14:textId="77777777" w:rsidR="00E90764" w:rsidRPr="00CF6322" w:rsidRDefault="0099166C" w:rsidP="001D1CF9">
            <w:pPr>
              <w:pStyle w:val="BodyText"/>
            </w:pPr>
            <w:r w:rsidRPr="00CF6322">
              <w:t>Continuing to establish the System Coordinator Program, which will support younger people in residential aged care and their families in accessing age appropriate accommodation and support.</w:t>
            </w:r>
          </w:p>
        </w:tc>
        <w:tc>
          <w:tcPr>
            <w:tcW w:w="442" w:type="dxa"/>
            <w:shd w:val="clear" w:color="auto" w:fill="auto"/>
          </w:tcPr>
          <w:p w14:paraId="632E7D1B" w14:textId="092CEF64"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D1C" w14:textId="3FD84290" w:rsidR="00E90764" w:rsidRPr="00CF6322" w:rsidRDefault="00041BDA" w:rsidP="001D1CF9">
            <w:pPr>
              <w:pStyle w:val="BodyText"/>
            </w:pPr>
            <w:r>
              <w:rPr>
                <w:rFonts w:ascii="Segoe UI Symbol" w:hAnsi="Segoe UI Symbol" w:cs="Segoe UI Symbol"/>
              </w:rPr>
              <w:t>✓</w:t>
            </w:r>
          </w:p>
        </w:tc>
        <w:tc>
          <w:tcPr>
            <w:tcW w:w="440" w:type="dxa"/>
            <w:shd w:val="clear" w:color="auto" w:fill="auto"/>
          </w:tcPr>
          <w:p w14:paraId="632E7D1D" w14:textId="77777777" w:rsidR="00E90764" w:rsidRPr="00CF6322" w:rsidRDefault="00E90764" w:rsidP="001D1CF9">
            <w:pPr>
              <w:pStyle w:val="BodyText"/>
            </w:pPr>
          </w:p>
        </w:tc>
        <w:tc>
          <w:tcPr>
            <w:tcW w:w="442" w:type="dxa"/>
            <w:shd w:val="clear" w:color="auto" w:fill="auto"/>
          </w:tcPr>
          <w:p w14:paraId="632E7D1E" w14:textId="77777777" w:rsidR="00E90764" w:rsidRPr="00CF6322" w:rsidRDefault="00E90764" w:rsidP="001D1CF9">
            <w:pPr>
              <w:pStyle w:val="BodyText"/>
            </w:pPr>
          </w:p>
        </w:tc>
      </w:tr>
      <w:tr w:rsidR="00E90764" w:rsidRPr="00CF6322" w14:paraId="632E7D27" w14:textId="77777777" w:rsidTr="008E1AEF">
        <w:trPr>
          <w:trHeight w:val="842"/>
        </w:trPr>
        <w:tc>
          <w:tcPr>
            <w:tcW w:w="8556" w:type="dxa"/>
            <w:shd w:val="clear" w:color="auto" w:fill="auto"/>
            <w:vAlign w:val="center"/>
          </w:tcPr>
          <w:p w14:paraId="632E7D20" w14:textId="77777777" w:rsidR="00E90764" w:rsidRPr="00CF6322" w:rsidRDefault="0099166C" w:rsidP="001D1CF9">
            <w:pPr>
              <w:pStyle w:val="BodyText"/>
            </w:pPr>
            <w:r w:rsidRPr="00CF6322">
              <w:t>Supporting older Australians with disability that were ineligible for the National Disability Insurance Scheme at the time of its rollout through the new Commonwealth Disability Support for Older Australians Program.</w:t>
            </w:r>
          </w:p>
        </w:tc>
        <w:tc>
          <w:tcPr>
            <w:tcW w:w="442" w:type="dxa"/>
            <w:shd w:val="clear" w:color="auto" w:fill="auto"/>
          </w:tcPr>
          <w:p w14:paraId="632E7D22" w14:textId="1A4073E9"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D24" w14:textId="0F63B91F" w:rsidR="00E90764" w:rsidRPr="00CF6322" w:rsidRDefault="00041BDA" w:rsidP="001D1CF9">
            <w:pPr>
              <w:pStyle w:val="BodyText"/>
            </w:pPr>
            <w:r>
              <w:rPr>
                <w:rFonts w:ascii="Segoe UI Symbol" w:hAnsi="Segoe UI Symbol" w:cs="Segoe UI Symbol"/>
              </w:rPr>
              <w:t>✓</w:t>
            </w:r>
          </w:p>
        </w:tc>
        <w:tc>
          <w:tcPr>
            <w:tcW w:w="440" w:type="dxa"/>
            <w:shd w:val="clear" w:color="auto" w:fill="auto"/>
          </w:tcPr>
          <w:p w14:paraId="632E7D25" w14:textId="77777777" w:rsidR="00E90764" w:rsidRPr="00CF6322" w:rsidRDefault="00E90764" w:rsidP="001D1CF9">
            <w:pPr>
              <w:pStyle w:val="BodyText"/>
            </w:pPr>
          </w:p>
        </w:tc>
        <w:tc>
          <w:tcPr>
            <w:tcW w:w="442" w:type="dxa"/>
            <w:shd w:val="clear" w:color="auto" w:fill="auto"/>
          </w:tcPr>
          <w:p w14:paraId="632E7D26" w14:textId="77777777" w:rsidR="00E90764" w:rsidRPr="00CF6322" w:rsidRDefault="00E90764" w:rsidP="001D1CF9">
            <w:pPr>
              <w:pStyle w:val="BodyText"/>
            </w:pPr>
          </w:p>
        </w:tc>
      </w:tr>
      <w:tr w:rsidR="00E90764" w:rsidRPr="00CF6322" w14:paraId="632E7D2D" w14:textId="77777777" w:rsidTr="008E1AEF">
        <w:trPr>
          <w:trHeight w:val="592"/>
        </w:trPr>
        <w:tc>
          <w:tcPr>
            <w:tcW w:w="8556" w:type="dxa"/>
            <w:shd w:val="clear" w:color="auto" w:fill="auto"/>
            <w:vAlign w:val="center"/>
          </w:tcPr>
          <w:p w14:paraId="632E7D28" w14:textId="77777777" w:rsidR="00E90764" w:rsidRPr="00CF6322" w:rsidRDefault="0099166C" w:rsidP="001D1CF9">
            <w:pPr>
              <w:pStyle w:val="BodyText"/>
            </w:pPr>
            <w:r w:rsidRPr="00CF6322">
              <w:t>Providing rural and regional aged care providers with access to a highly skilled surge workforce through expansion of the Rural Locum Assistance Program.</w:t>
            </w:r>
          </w:p>
        </w:tc>
        <w:tc>
          <w:tcPr>
            <w:tcW w:w="442" w:type="dxa"/>
            <w:shd w:val="clear" w:color="auto" w:fill="auto"/>
          </w:tcPr>
          <w:p w14:paraId="632E7D29" w14:textId="3FFCD69B"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D2A" w14:textId="65FDB293" w:rsidR="00E90764" w:rsidRPr="00CF6322" w:rsidRDefault="00041BDA" w:rsidP="001D1CF9">
            <w:pPr>
              <w:pStyle w:val="BodyText"/>
            </w:pPr>
            <w:r>
              <w:rPr>
                <w:rFonts w:ascii="Segoe UI Symbol" w:hAnsi="Segoe UI Symbol" w:cs="Segoe UI Symbol"/>
              </w:rPr>
              <w:t>✓</w:t>
            </w:r>
          </w:p>
        </w:tc>
        <w:tc>
          <w:tcPr>
            <w:tcW w:w="440" w:type="dxa"/>
            <w:shd w:val="clear" w:color="auto" w:fill="auto"/>
          </w:tcPr>
          <w:p w14:paraId="632E7D2B" w14:textId="56773084"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D2C" w14:textId="77777777" w:rsidR="00E90764" w:rsidRPr="00CF6322" w:rsidRDefault="00E90764" w:rsidP="001D1CF9">
            <w:pPr>
              <w:pStyle w:val="BodyText"/>
            </w:pPr>
          </w:p>
        </w:tc>
      </w:tr>
      <w:tr w:rsidR="00E90764" w:rsidRPr="00CF6322" w14:paraId="632E7D37" w14:textId="77777777" w:rsidTr="008E1AEF">
        <w:trPr>
          <w:trHeight w:val="842"/>
        </w:trPr>
        <w:tc>
          <w:tcPr>
            <w:tcW w:w="8556" w:type="dxa"/>
            <w:shd w:val="clear" w:color="auto" w:fill="auto"/>
            <w:vAlign w:val="center"/>
          </w:tcPr>
          <w:p w14:paraId="632E7D2E" w14:textId="77777777" w:rsidR="00E90764" w:rsidRPr="00CF6322" w:rsidRDefault="0099166C" w:rsidP="001D1CF9">
            <w:pPr>
              <w:pStyle w:val="BodyText"/>
            </w:pPr>
            <w:r w:rsidRPr="00CF6322">
              <w:t>Supporting residential aged care services and providing a mechanism for them to measure and monitor their performance, and engage in continuous quality improvement through the National Aged Care Mandatory Quality Indicator Program.</w:t>
            </w:r>
          </w:p>
        </w:tc>
        <w:tc>
          <w:tcPr>
            <w:tcW w:w="442" w:type="dxa"/>
            <w:shd w:val="clear" w:color="auto" w:fill="auto"/>
          </w:tcPr>
          <w:p w14:paraId="632E7D30" w14:textId="0309C6BA"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D32" w14:textId="546CA488" w:rsidR="00E90764" w:rsidRPr="00CF6322" w:rsidRDefault="00041BDA" w:rsidP="001D1CF9">
            <w:pPr>
              <w:pStyle w:val="BodyText"/>
            </w:pPr>
            <w:r>
              <w:rPr>
                <w:rFonts w:ascii="Segoe UI Symbol" w:hAnsi="Segoe UI Symbol" w:cs="Segoe UI Symbol"/>
              </w:rPr>
              <w:t>✓</w:t>
            </w:r>
          </w:p>
        </w:tc>
        <w:tc>
          <w:tcPr>
            <w:tcW w:w="440" w:type="dxa"/>
            <w:shd w:val="clear" w:color="auto" w:fill="auto"/>
          </w:tcPr>
          <w:p w14:paraId="632E7D34" w14:textId="3EB31C6A"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D36" w14:textId="10EAE516" w:rsidR="00E90764" w:rsidRPr="00CF6322" w:rsidRDefault="00041BDA" w:rsidP="001D1CF9">
            <w:pPr>
              <w:pStyle w:val="BodyText"/>
            </w:pPr>
            <w:r>
              <w:rPr>
                <w:rFonts w:ascii="Segoe UI Symbol" w:hAnsi="Segoe UI Symbol" w:cs="Segoe UI Symbol"/>
              </w:rPr>
              <w:t>✓</w:t>
            </w:r>
          </w:p>
        </w:tc>
      </w:tr>
      <w:tr w:rsidR="00E90764" w:rsidRPr="00CF6322" w14:paraId="632E7D3D" w14:textId="77777777" w:rsidTr="008E1AEF">
        <w:trPr>
          <w:trHeight w:val="592"/>
        </w:trPr>
        <w:tc>
          <w:tcPr>
            <w:tcW w:w="8556" w:type="dxa"/>
            <w:shd w:val="clear" w:color="auto" w:fill="auto"/>
            <w:vAlign w:val="center"/>
          </w:tcPr>
          <w:p w14:paraId="632E7D38" w14:textId="77777777" w:rsidR="00E90764" w:rsidRPr="00CF6322" w:rsidRDefault="0099166C" w:rsidP="001D1CF9">
            <w:pPr>
              <w:pStyle w:val="BodyText"/>
            </w:pPr>
            <w:r w:rsidRPr="00CF6322">
              <w:t xml:space="preserve">Assuring value for money for senior Australians through in-house assurance and fraud </w:t>
            </w:r>
            <w:proofErr w:type="spellStart"/>
            <w:r w:rsidRPr="00CF6322">
              <w:t>minimisation</w:t>
            </w:r>
            <w:proofErr w:type="spellEnd"/>
            <w:r w:rsidRPr="00CF6322">
              <w:t xml:space="preserve"> activities for relevant aged care programs.</w:t>
            </w:r>
          </w:p>
        </w:tc>
        <w:tc>
          <w:tcPr>
            <w:tcW w:w="442" w:type="dxa"/>
            <w:shd w:val="clear" w:color="auto" w:fill="auto"/>
          </w:tcPr>
          <w:p w14:paraId="632E7D39" w14:textId="61271C28"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D3A" w14:textId="4B3321DA" w:rsidR="00E90764" w:rsidRPr="00CF6322" w:rsidRDefault="00041BDA" w:rsidP="001D1CF9">
            <w:pPr>
              <w:pStyle w:val="BodyText"/>
            </w:pPr>
            <w:r>
              <w:rPr>
                <w:rFonts w:ascii="Segoe UI Symbol" w:hAnsi="Segoe UI Symbol" w:cs="Segoe UI Symbol"/>
              </w:rPr>
              <w:t>✓</w:t>
            </w:r>
          </w:p>
        </w:tc>
        <w:tc>
          <w:tcPr>
            <w:tcW w:w="440" w:type="dxa"/>
            <w:shd w:val="clear" w:color="auto" w:fill="auto"/>
          </w:tcPr>
          <w:p w14:paraId="632E7D3B" w14:textId="269ADC26"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D3C" w14:textId="77B51B90" w:rsidR="00E90764" w:rsidRPr="00CF6322" w:rsidRDefault="00041BDA" w:rsidP="001D1CF9">
            <w:pPr>
              <w:pStyle w:val="BodyText"/>
            </w:pPr>
            <w:r>
              <w:rPr>
                <w:rFonts w:ascii="Segoe UI Symbol" w:hAnsi="Segoe UI Symbol" w:cs="Segoe UI Symbol"/>
              </w:rPr>
              <w:t>✓</w:t>
            </w:r>
          </w:p>
        </w:tc>
      </w:tr>
      <w:tr w:rsidR="00E90764" w:rsidRPr="00CF6322" w14:paraId="632E7D43" w14:textId="77777777" w:rsidTr="008E1AEF">
        <w:trPr>
          <w:trHeight w:val="592"/>
        </w:trPr>
        <w:tc>
          <w:tcPr>
            <w:tcW w:w="8556" w:type="dxa"/>
            <w:shd w:val="clear" w:color="auto" w:fill="auto"/>
            <w:vAlign w:val="center"/>
          </w:tcPr>
          <w:p w14:paraId="632E7D3E" w14:textId="1B965CBD" w:rsidR="00E90764" w:rsidRPr="00CF6322" w:rsidRDefault="0099166C" w:rsidP="001D1CF9">
            <w:pPr>
              <w:pStyle w:val="BodyText"/>
            </w:pPr>
            <w:r w:rsidRPr="00CF6322">
              <w:t xml:space="preserve">Conducting market intelligence research to identify aged care delivery gaps and opportunities </w:t>
            </w:r>
            <w:r w:rsidR="0091268D" w:rsidRPr="00CF6322">
              <w:t xml:space="preserve">      </w:t>
            </w:r>
            <w:r w:rsidRPr="00CF6322">
              <w:t>for intervention.</w:t>
            </w:r>
          </w:p>
        </w:tc>
        <w:tc>
          <w:tcPr>
            <w:tcW w:w="442" w:type="dxa"/>
            <w:shd w:val="clear" w:color="auto" w:fill="auto"/>
          </w:tcPr>
          <w:p w14:paraId="632E7D3F" w14:textId="6C48B90C"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D40" w14:textId="77777777" w:rsidR="00E90764" w:rsidRPr="00CF6322" w:rsidRDefault="00E90764" w:rsidP="001D1CF9">
            <w:pPr>
              <w:pStyle w:val="BodyText"/>
            </w:pPr>
          </w:p>
        </w:tc>
        <w:tc>
          <w:tcPr>
            <w:tcW w:w="440" w:type="dxa"/>
            <w:shd w:val="clear" w:color="auto" w:fill="auto"/>
          </w:tcPr>
          <w:p w14:paraId="632E7D41" w14:textId="77777777" w:rsidR="00E90764" w:rsidRPr="00CF6322" w:rsidRDefault="00E90764" w:rsidP="001D1CF9">
            <w:pPr>
              <w:pStyle w:val="BodyText"/>
            </w:pPr>
          </w:p>
        </w:tc>
        <w:tc>
          <w:tcPr>
            <w:tcW w:w="442" w:type="dxa"/>
            <w:shd w:val="clear" w:color="auto" w:fill="auto"/>
          </w:tcPr>
          <w:p w14:paraId="632E7D42" w14:textId="77777777" w:rsidR="00E90764" w:rsidRPr="00CF6322" w:rsidRDefault="00E90764" w:rsidP="001D1CF9">
            <w:pPr>
              <w:pStyle w:val="BodyText"/>
            </w:pPr>
          </w:p>
        </w:tc>
      </w:tr>
    </w:tbl>
    <w:p w14:paraId="632E7D46" w14:textId="12EB1F81" w:rsidR="00E90764" w:rsidRPr="00CF6322" w:rsidRDefault="0099166C" w:rsidP="008E1AEF">
      <w:pPr>
        <w:pStyle w:val="Heading4"/>
      </w:pPr>
      <w:r w:rsidRPr="00CF6322">
        <w:lastRenderedPageBreak/>
        <w:t>Our Performance</w:t>
      </w:r>
    </w:p>
    <w:p w14:paraId="632E7D47" w14:textId="77777777" w:rsidR="00E90764" w:rsidRPr="00CF6322" w:rsidRDefault="0099166C" w:rsidP="008E1AEF">
      <w:pPr>
        <w:pStyle w:val="Heading5"/>
      </w:pPr>
      <w:r w:rsidRPr="00CF6322">
        <w:t>Performance Measures for Access and Information – Program 3.1</w:t>
      </w:r>
    </w:p>
    <w:tbl>
      <w:tblPr>
        <w:tblW w:w="10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0" w:type="dxa"/>
        </w:tblCellMar>
        <w:tblLook w:val="01E0" w:firstRow="1" w:lastRow="1" w:firstColumn="1" w:lastColumn="1" w:noHBand="0" w:noVBand="0"/>
      </w:tblPr>
      <w:tblGrid>
        <w:gridCol w:w="709"/>
        <w:gridCol w:w="2265"/>
        <w:gridCol w:w="2437"/>
        <w:gridCol w:w="2437"/>
        <w:gridCol w:w="2437"/>
      </w:tblGrid>
      <w:tr w:rsidR="00E90764" w:rsidRPr="00FA6C8A" w14:paraId="632E7D4D" w14:textId="77777777" w:rsidTr="00FA6C8A">
        <w:trPr>
          <w:trHeight w:val="1885"/>
          <w:tblHeader/>
        </w:trPr>
        <w:tc>
          <w:tcPr>
            <w:tcW w:w="10285" w:type="dxa"/>
            <w:gridSpan w:val="5"/>
            <w:shd w:val="clear" w:color="auto" w:fill="auto"/>
          </w:tcPr>
          <w:p w14:paraId="632E7D49" w14:textId="2BE20B53" w:rsidR="00E90764" w:rsidRPr="00FA6C8A" w:rsidRDefault="0099166C" w:rsidP="001D1CF9">
            <w:pPr>
              <w:pStyle w:val="BodyText"/>
              <w:rPr>
                <w:b/>
                <w:bCs/>
              </w:rPr>
            </w:pPr>
            <w:r w:rsidRPr="00FA6C8A">
              <w:rPr>
                <w:b/>
                <w:bCs/>
              </w:rPr>
              <w:t>Maintain efficiency of My Aged Care assessments as demonstrated by the percentage of:</w:t>
            </w:r>
            <w:r w:rsidR="0036290B" w:rsidRPr="00FA6C8A">
              <w:rPr>
                <w:rStyle w:val="FootnoteReference"/>
                <w:b/>
                <w:bCs/>
              </w:rPr>
              <w:footnoteReference w:id="63"/>
            </w:r>
          </w:p>
          <w:p w14:paraId="632E7D4A" w14:textId="77777777" w:rsidR="00E90764" w:rsidRPr="00FA6C8A" w:rsidRDefault="0099166C" w:rsidP="001D1CF9">
            <w:pPr>
              <w:pStyle w:val="BodyText"/>
              <w:numPr>
                <w:ilvl w:val="0"/>
                <w:numId w:val="30"/>
              </w:numPr>
              <w:rPr>
                <w:b/>
                <w:bCs/>
              </w:rPr>
            </w:pPr>
            <w:r w:rsidRPr="00FA6C8A">
              <w:rPr>
                <w:b/>
                <w:bCs/>
              </w:rPr>
              <w:t>High priority comprehensive assessments completed within 10 calendar days of referral acceptance for community setting.</w:t>
            </w:r>
          </w:p>
          <w:p w14:paraId="632E7D4B" w14:textId="77777777" w:rsidR="00E90764" w:rsidRPr="00FA6C8A" w:rsidRDefault="0099166C" w:rsidP="001D1CF9">
            <w:pPr>
              <w:pStyle w:val="BodyText"/>
              <w:numPr>
                <w:ilvl w:val="0"/>
                <w:numId w:val="30"/>
              </w:numPr>
              <w:rPr>
                <w:b/>
                <w:bCs/>
              </w:rPr>
            </w:pPr>
            <w:r w:rsidRPr="00FA6C8A">
              <w:rPr>
                <w:b/>
                <w:bCs/>
              </w:rPr>
              <w:t>High priority comprehensive assessments completed within 5 calendar days of referral acceptance for hospital setting.</w:t>
            </w:r>
          </w:p>
          <w:p w14:paraId="632E7D4C" w14:textId="77777777" w:rsidR="00E90764" w:rsidRPr="00FA6C8A" w:rsidRDefault="0099166C" w:rsidP="001D1CF9">
            <w:pPr>
              <w:pStyle w:val="BodyText"/>
              <w:numPr>
                <w:ilvl w:val="0"/>
                <w:numId w:val="30"/>
              </w:numPr>
              <w:rPr>
                <w:b/>
                <w:bCs/>
              </w:rPr>
            </w:pPr>
            <w:r w:rsidRPr="00FA6C8A">
              <w:rPr>
                <w:b/>
                <w:bCs/>
              </w:rPr>
              <w:t>High priority home support assessments completed within 10 calendar days of referral acceptance.</w:t>
            </w:r>
          </w:p>
        </w:tc>
      </w:tr>
      <w:tr w:rsidR="00E90764" w:rsidRPr="00FA6C8A" w14:paraId="632E7D53" w14:textId="77777777" w:rsidTr="005C3FDA">
        <w:trPr>
          <w:trHeight w:val="458"/>
        </w:trPr>
        <w:tc>
          <w:tcPr>
            <w:tcW w:w="709" w:type="dxa"/>
            <w:shd w:val="clear" w:color="auto" w:fill="auto"/>
          </w:tcPr>
          <w:p w14:paraId="632E7D4E" w14:textId="77777777" w:rsidR="00E90764" w:rsidRPr="00FA6C8A" w:rsidRDefault="00E90764" w:rsidP="001D1CF9">
            <w:pPr>
              <w:pStyle w:val="BodyText"/>
              <w:rPr>
                <w:b/>
                <w:bCs/>
              </w:rPr>
            </w:pPr>
          </w:p>
        </w:tc>
        <w:tc>
          <w:tcPr>
            <w:tcW w:w="2265" w:type="dxa"/>
            <w:shd w:val="clear" w:color="auto" w:fill="auto"/>
          </w:tcPr>
          <w:p w14:paraId="632E7D4F" w14:textId="77777777" w:rsidR="00E90764" w:rsidRPr="00FA6C8A" w:rsidRDefault="0099166C" w:rsidP="001D1CF9">
            <w:pPr>
              <w:pStyle w:val="BodyText"/>
              <w:rPr>
                <w:b/>
                <w:bCs/>
              </w:rPr>
            </w:pPr>
            <w:r w:rsidRPr="00FA6C8A">
              <w:rPr>
                <w:b/>
                <w:bCs/>
              </w:rPr>
              <w:t>2021–22 Target</w:t>
            </w:r>
          </w:p>
        </w:tc>
        <w:tc>
          <w:tcPr>
            <w:tcW w:w="2437" w:type="dxa"/>
            <w:shd w:val="clear" w:color="auto" w:fill="auto"/>
          </w:tcPr>
          <w:p w14:paraId="632E7D50" w14:textId="77777777" w:rsidR="00E90764" w:rsidRPr="00FA6C8A" w:rsidRDefault="0099166C" w:rsidP="001D1CF9">
            <w:pPr>
              <w:pStyle w:val="BodyText"/>
              <w:rPr>
                <w:b/>
                <w:bCs/>
              </w:rPr>
            </w:pPr>
            <w:r w:rsidRPr="00FA6C8A">
              <w:rPr>
                <w:b/>
                <w:bCs/>
              </w:rPr>
              <w:t>2022–23 Target</w:t>
            </w:r>
          </w:p>
        </w:tc>
        <w:tc>
          <w:tcPr>
            <w:tcW w:w="2437" w:type="dxa"/>
            <w:shd w:val="clear" w:color="auto" w:fill="auto"/>
          </w:tcPr>
          <w:p w14:paraId="632E7D51" w14:textId="77777777" w:rsidR="00E90764" w:rsidRPr="00FA6C8A" w:rsidRDefault="0099166C" w:rsidP="001D1CF9">
            <w:pPr>
              <w:pStyle w:val="BodyText"/>
              <w:rPr>
                <w:b/>
                <w:bCs/>
              </w:rPr>
            </w:pPr>
            <w:r w:rsidRPr="00FA6C8A">
              <w:rPr>
                <w:b/>
                <w:bCs/>
              </w:rPr>
              <w:t>2023–24 Target</w:t>
            </w:r>
          </w:p>
        </w:tc>
        <w:tc>
          <w:tcPr>
            <w:tcW w:w="2437" w:type="dxa"/>
            <w:shd w:val="clear" w:color="auto" w:fill="auto"/>
          </w:tcPr>
          <w:p w14:paraId="632E7D52" w14:textId="77777777" w:rsidR="00E90764" w:rsidRPr="00FA6C8A" w:rsidRDefault="0099166C" w:rsidP="001D1CF9">
            <w:pPr>
              <w:pStyle w:val="BodyText"/>
              <w:rPr>
                <w:b/>
                <w:bCs/>
              </w:rPr>
            </w:pPr>
            <w:r w:rsidRPr="00FA6C8A">
              <w:rPr>
                <w:b/>
                <w:bCs/>
              </w:rPr>
              <w:t>2024–25 Target</w:t>
            </w:r>
          </w:p>
        </w:tc>
      </w:tr>
      <w:tr w:rsidR="00E90764" w:rsidRPr="00CF6322" w14:paraId="632E7D59" w14:textId="77777777" w:rsidTr="005C3FDA">
        <w:trPr>
          <w:trHeight w:val="465"/>
        </w:trPr>
        <w:tc>
          <w:tcPr>
            <w:tcW w:w="709" w:type="dxa"/>
            <w:shd w:val="clear" w:color="auto" w:fill="auto"/>
          </w:tcPr>
          <w:p w14:paraId="632E7D54" w14:textId="77777777" w:rsidR="00E90764" w:rsidRPr="00FA6C8A" w:rsidRDefault="0099166C" w:rsidP="001D1CF9">
            <w:pPr>
              <w:pStyle w:val="BodyText"/>
              <w:rPr>
                <w:b/>
                <w:bCs/>
              </w:rPr>
            </w:pPr>
            <w:r w:rsidRPr="00FA6C8A">
              <w:rPr>
                <w:b/>
                <w:bCs/>
              </w:rPr>
              <w:t>a.</w:t>
            </w:r>
          </w:p>
        </w:tc>
        <w:tc>
          <w:tcPr>
            <w:tcW w:w="2265" w:type="dxa"/>
            <w:shd w:val="clear" w:color="auto" w:fill="auto"/>
          </w:tcPr>
          <w:p w14:paraId="632E7D55" w14:textId="77777777" w:rsidR="00E90764" w:rsidRPr="00CF6322" w:rsidRDefault="0099166C" w:rsidP="001D1CF9">
            <w:pPr>
              <w:pStyle w:val="BodyText"/>
            </w:pPr>
            <w:r w:rsidRPr="00CF6322">
              <w:t>&gt;90.0%</w:t>
            </w:r>
          </w:p>
        </w:tc>
        <w:tc>
          <w:tcPr>
            <w:tcW w:w="2437" w:type="dxa"/>
            <w:shd w:val="clear" w:color="auto" w:fill="auto"/>
          </w:tcPr>
          <w:p w14:paraId="632E7D56" w14:textId="77777777" w:rsidR="00E90764" w:rsidRPr="00CF6322" w:rsidRDefault="0099166C" w:rsidP="001D1CF9">
            <w:pPr>
              <w:pStyle w:val="BodyText"/>
            </w:pPr>
            <w:r w:rsidRPr="00CF6322">
              <w:t>&gt;90.0%</w:t>
            </w:r>
          </w:p>
        </w:tc>
        <w:tc>
          <w:tcPr>
            <w:tcW w:w="2437" w:type="dxa"/>
            <w:shd w:val="clear" w:color="auto" w:fill="auto"/>
          </w:tcPr>
          <w:p w14:paraId="632E7D57" w14:textId="77777777" w:rsidR="00E90764" w:rsidRPr="00CF6322" w:rsidRDefault="0099166C" w:rsidP="001D1CF9">
            <w:pPr>
              <w:pStyle w:val="BodyText"/>
            </w:pPr>
            <w:r w:rsidRPr="00CF6322">
              <w:t>N/A</w:t>
            </w:r>
          </w:p>
        </w:tc>
        <w:tc>
          <w:tcPr>
            <w:tcW w:w="2437" w:type="dxa"/>
            <w:shd w:val="clear" w:color="auto" w:fill="auto"/>
          </w:tcPr>
          <w:p w14:paraId="632E7D58" w14:textId="77777777" w:rsidR="00E90764" w:rsidRPr="00CF6322" w:rsidRDefault="0099166C" w:rsidP="001D1CF9">
            <w:pPr>
              <w:pStyle w:val="BodyText"/>
            </w:pPr>
            <w:r w:rsidRPr="00CF6322">
              <w:t>N/A</w:t>
            </w:r>
          </w:p>
        </w:tc>
      </w:tr>
      <w:tr w:rsidR="00E90764" w:rsidRPr="00CF6322" w14:paraId="632E7D5F" w14:textId="77777777" w:rsidTr="005C3FDA">
        <w:trPr>
          <w:trHeight w:val="465"/>
        </w:trPr>
        <w:tc>
          <w:tcPr>
            <w:tcW w:w="709" w:type="dxa"/>
            <w:shd w:val="clear" w:color="auto" w:fill="auto"/>
          </w:tcPr>
          <w:p w14:paraId="632E7D5A" w14:textId="77777777" w:rsidR="00E90764" w:rsidRPr="00FA6C8A" w:rsidRDefault="0099166C" w:rsidP="001D1CF9">
            <w:pPr>
              <w:pStyle w:val="BodyText"/>
              <w:rPr>
                <w:b/>
                <w:bCs/>
              </w:rPr>
            </w:pPr>
            <w:r w:rsidRPr="00FA6C8A">
              <w:rPr>
                <w:b/>
                <w:bCs/>
              </w:rPr>
              <w:t>b.</w:t>
            </w:r>
          </w:p>
        </w:tc>
        <w:tc>
          <w:tcPr>
            <w:tcW w:w="2265" w:type="dxa"/>
            <w:shd w:val="clear" w:color="auto" w:fill="auto"/>
          </w:tcPr>
          <w:p w14:paraId="632E7D5B" w14:textId="77777777" w:rsidR="00E90764" w:rsidRPr="00CF6322" w:rsidRDefault="0099166C" w:rsidP="001D1CF9">
            <w:pPr>
              <w:pStyle w:val="BodyText"/>
            </w:pPr>
            <w:r w:rsidRPr="00CF6322">
              <w:t>&gt;90.0%</w:t>
            </w:r>
          </w:p>
        </w:tc>
        <w:tc>
          <w:tcPr>
            <w:tcW w:w="2437" w:type="dxa"/>
            <w:shd w:val="clear" w:color="auto" w:fill="auto"/>
          </w:tcPr>
          <w:p w14:paraId="632E7D5C" w14:textId="77777777" w:rsidR="00E90764" w:rsidRPr="00CF6322" w:rsidRDefault="0099166C" w:rsidP="001D1CF9">
            <w:pPr>
              <w:pStyle w:val="BodyText"/>
            </w:pPr>
            <w:r w:rsidRPr="00CF6322">
              <w:t>&gt;90.0%</w:t>
            </w:r>
          </w:p>
        </w:tc>
        <w:tc>
          <w:tcPr>
            <w:tcW w:w="2437" w:type="dxa"/>
            <w:shd w:val="clear" w:color="auto" w:fill="auto"/>
          </w:tcPr>
          <w:p w14:paraId="632E7D5D" w14:textId="77777777" w:rsidR="00E90764" w:rsidRPr="00CF6322" w:rsidRDefault="0099166C" w:rsidP="001D1CF9">
            <w:pPr>
              <w:pStyle w:val="BodyText"/>
            </w:pPr>
            <w:r w:rsidRPr="00CF6322">
              <w:t>N/A</w:t>
            </w:r>
          </w:p>
        </w:tc>
        <w:tc>
          <w:tcPr>
            <w:tcW w:w="2437" w:type="dxa"/>
            <w:shd w:val="clear" w:color="auto" w:fill="auto"/>
          </w:tcPr>
          <w:p w14:paraId="632E7D5E" w14:textId="77777777" w:rsidR="00E90764" w:rsidRPr="00CF6322" w:rsidRDefault="0099166C" w:rsidP="001D1CF9">
            <w:pPr>
              <w:pStyle w:val="BodyText"/>
            </w:pPr>
            <w:r w:rsidRPr="00CF6322">
              <w:t>N/A</w:t>
            </w:r>
          </w:p>
        </w:tc>
      </w:tr>
      <w:tr w:rsidR="00E90764" w:rsidRPr="00CF6322" w14:paraId="632E7D65" w14:textId="77777777" w:rsidTr="005C3FDA">
        <w:trPr>
          <w:trHeight w:val="465"/>
        </w:trPr>
        <w:tc>
          <w:tcPr>
            <w:tcW w:w="709" w:type="dxa"/>
            <w:shd w:val="clear" w:color="auto" w:fill="auto"/>
          </w:tcPr>
          <w:p w14:paraId="632E7D60" w14:textId="77777777" w:rsidR="00E90764" w:rsidRPr="00FA6C8A" w:rsidRDefault="0099166C" w:rsidP="001D1CF9">
            <w:pPr>
              <w:pStyle w:val="BodyText"/>
              <w:rPr>
                <w:b/>
                <w:bCs/>
              </w:rPr>
            </w:pPr>
            <w:r w:rsidRPr="00FA6C8A">
              <w:rPr>
                <w:b/>
                <w:bCs/>
              </w:rPr>
              <w:t>c.</w:t>
            </w:r>
          </w:p>
        </w:tc>
        <w:tc>
          <w:tcPr>
            <w:tcW w:w="2265" w:type="dxa"/>
            <w:shd w:val="clear" w:color="auto" w:fill="auto"/>
          </w:tcPr>
          <w:p w14:paraId="632E7D61" w14:textId="77777777" w:rsidR="00E90764" w:rsidRPr="00CF6322" w:rsidRDefault="0099166C" w:rsidP="001D1CF9">
            <w:pPr>
              <w:pStyle w:val="BodyText"/>
            </w:pPr>
            <w:r w:rsidRPr="00CF6322">
              <w:t>&gt;90.0%</w:t>
            </w:r>
          </w:p>
        </w:tc>
        <w:tc>
          <w:tcPr>
            <w:tcW w:w="2437" w:type="dxa"/>
            <w:shd w:val="clear" w:color="auto" w:fill="auto"/>
          </w:tcPr>
          <w:p w14:paraId="632E7D62" w14:textId="77777777" w:rsidR="00E90764" w:rsidRPr="00CF6322" w:rsidRDefault="0099166C" w:rsidP="001D1CF9">
            <w:pPr>
              <w:pStyle w:val="BodyText"/>
            </w:pPr>
            <w:r w:rsidRPr="00CF6322">
              <w:t>&gt;90.0%</w:t>
            </w:r>
          </w:p>
        </w:tc>
        <w:tc>
          <w:tcPr>
            <w:tcW w:w="2437" w:type="dxa"/>
            <w:shd w:val="clear" w:color="auto" w:fill="auto"/>
          </w:tcPr>
          <w:p w14:paraId="632E7D63" w14:textId="77777777" w:rsidR="00E90764" w:rsidRPr="00CF6322" w:rsidRDefault="0099166C" w:rsidP="001D1CF9">
            <w:pPr>
              <w:pStyle w:val="BodyText"/>
            </w:pPr>
            <w:r w:rsidRPr="00CF6322">
              <w:t>N/A</w:t>
            </w:r>
          </w:p>
        </w:tc>
        <w:tc>
          <w:tcPr>
            <w:tcW w:w="2437" w:type="dxa"/>
            <w:shd w:val="clear" w:color="auto" w:fill="auto"/>
          </w:tcPr>
          <w:p w14:paraId="632E7D64" w14:textId="77777777" w:rsidR="00E90764" w:rsidRPr="00CF6322" w:rsidRDefault="0099166C" w:rsidP="001D1CF9">
            <w:pPr>
              <w:pStyle w:val="BodyText"/>
            </w:pPr>
            <w:r w:rsidRPr="00CF6322">
              <w:t>N/A</w:t>
            </w:r>
          </w:p>
        </w:tc>
      </w:tr>
      <w:tr w:rsidR="00E90764" w:rsidRPr="00CF6322" w14:paraId="632E7D6F" w14:textId="77777777" w:rsidTr="008E1AEF">
        <w:trPr>
          <w:trHeight w:val="3259"/>
        </w:trPr>
        <w:tc>
          <w:tcPr>
            <w:tcW w:w="10285" w:type="dxa"/>
            <w:gridSpan w:val="5"/>
            <w:shd w:val="clear" w:color="auto" w:fill="auto"/>
          </w:tcPr>
          <w:p w14:paraId="632E7D66" w14:textId="77777777" w:rsidR="00E90764" w:rsidRPr="0036290B" w:rsidRDefault="0099166C" w:rsidP="001D1CF9">
            <w:pPr>
              <w:pStyle w:val="Heading6"/>
            </w:pPr>
            <w:r w:rsidRPr="00CF6322">
              <w:t>Data source and methodology</w:t>
            </w:r>
          </w:p>
          <w:p w14:paraId="632E7D68" w14:textId="46CB6E8C" w:rsidR="00E90764" w:rsidRPr="00CF6322" w:rsidRDefault="0099166C" w:rsidP="001D1CF9">
            <w:pPr>
              <w:pStyle w:val="BodyText"/>
            </w:pPr>
            <w:r w:rsidRPr="00CF6322">
              <w:t xml:space="preserve">Data is logged by assessors into the My Aged Care system. Data is </w:t>
            </w:r>
            <w:proofErr w:type="spellStart"/>
            <w:r w:rsidRPr="00CF6322">
              <w:t>analysed</w:t>
            </w:r>
            <w:proofErr w:type="spellEnd"/>
            <w:r w:rsidRPr="00CF6322">
              <w:t xml:space="preserve"> and maintained internally by the Department.</w:t>
            </w:r>
          </w:p>
          <w:p w14:paraId="632E7D69" w14:textId="77777777" w:rsidR="00E90764" w:rsidRPr="0036290B" w:rsidRDefault="0099166C" w:rsidP="001D1CF9">
            <w:pPr>
              <w:pStyle w:val="Heading6"/>
            </w:pPr>
            <w:r w:rsidRPr="00CF6322">
              <w:t>Measure type</w:t>
            </w:r>
          </w:p>
          <w:p w14:paraId="632E7D6B" w14:textId="055CD318" w:rsidR="00E90764" w:rsidRPr="00CF6322" w:rsidRDefault="0099166C" w:rsidP="001D1CF9">
            <w:pPr>
              <w:pStyle w:val="BodyText"/>
            </w:pPr>
            <w:r w:rsidRPr="00CF6322">
              <w:t>Quantitative/Efficiency</w:t>
            </w:r>
          </w:p>
          <w:p w14:paraId="632E7D6C" w14:textId="77777777" w:rsidR="00E90764" w:rsidRPr="0036290B" w:rsidRDefault="0099166C" w:rsidP="001D1CF9">
            <w:pPr>
              <w:pStyle w:val="Heading6"/>
            </w:pPr>
            <w:r w:rsidRPr="00CF6322">
              <w:t>Discussion</w:t>
            </w:r>
          </w:p>
          <w:p w14:paraId="632E7D6D" w14:textId="77777777" w:rsidR="00E90764" w:rsidRPr="00CF6322" w:rsidRDefault="0099166C" w:rsidP="001D1CF9">
            <w:pPr>
              <w:pStyle w:val="BodyText"/>
            </w:pPr>
            <w:r w:rsidRPr="00CF6322">
              <w:t>The 90% targets are set in funding agreements to June 2022.</w:t>
            </w:r>
          </w:p>
          <w:p w14:paraId="632E7D6E" w14:textId="551AF837" w:rsidR="00E90764" w:rsidRPr="00CF6322" w:rsidRDefault="0099166C" w:rsidP="001D1CF9">
            <w:pPr>
              <w:pStyle w:val="BodyText"/>
            </w:pPr>
            <w:r w:rsidRPr="00CF6322">
              <w:t xml:space="preserve">Please note: Targets for 2023–24 and 2024–25 published in the </w:t>
            </w:r>
            <w:r w:rsidRPr="006E10D0">
              <w:rPr>
                <w:i/>
              </w:rPr>
              <w:t xml:space="preserve">2021–22 Health Portfolio Budget Statements </w:t>
            </w:r>
            <w:r w:rsidRPr="00CF6322">
              <w:t>have been removed. Updated targets will be considered in the development of the single assessment workforce that will commence in July 2023.</w:t>
            </w:r>
          </w:p>
        </w:tc>
      </w:tr>
    </w:tbl>
    <w:p w14:paraId="0CC70A69" w14:textId="77777777" w:rsidR="006D2D9F" w:rsidRDefault="006D2D9F">
      <w:pPr>
        <w:rPr>
          <w:rFonts w:ascii="Helvetica" w:hAnsi="Helvetica"/>
          <w:color w:val="231F20"/>
          <w:sz w:val="19"/>
          <w:szCs w:val="19"/>
        </w:rPr>
      </w:pPr>
      <w:r>
        <w:br w:type="page"/>
      </w:r>
    </w:p>
    <w:tbl>
      <w:tblPr>
        <w:tblW w:w="10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0" w:type="dxa"/>
        </w:tblCellMar>
        <w:tblLook w:val="01E0" w:firstRow="1" w:lastRow="1" w:firstColumn="1" w:lastColumn="1" w:noHBand="0" w:noVBand="0"/>
      </w:tblPr>
      <w:tblGrid>
        <w:gridCol w:w="709"/>
        <w:gridCol w:w="2265"/>
        <w:gridCol w:w="2437"/>
        <w:gridCol w:w="2437"/>
        <w:gridCol w:w="2437"/>
      </w:tblGrid>
      <w:tr w:rsidR="00E90764" w:rsidRPr="00FA6C8A" w14:paraId="632E7D78" w14:textId="77777777" w:rsidTr="00FA6C8A">
        <w:trPr>
          <w:trHeight w:val="1079"/>
          <w:tblHeader/>
        </w:trPr>
        <w:tc>
          <w:tcPr>
            <w:tcW w:w="10285" w:type="dxa"/>
            <w:gridSpan w:val="5"/>
            <w:shd w:val="clear" w:color="auto" w:fill="auto"/>
          </w:tcPr>
          <w:p w14:paraId="632E7D75" w14:textId="71C265F3" w:rsidR="00E90764" w:rsidRPr="00FA6C8A" w:rsidRDefault="0099166C" w:rsidP="001D1CF9">
            <w:pPr>
              <w:pStyle w:val="BodyText"/>
              <w:rPr>
                <w:b/>
                <w:bCs/>
              </w:rPr>
            </w:pPr>
            <w:r w:rsidRPr="00FA6C8A">
              <w:rPr>
                <w:b/>
                <w:bCs/>
              </w:rPr>
              <w:lastRenderedPageBreak/>
              <w:t>The percentage of surveyed users who are satisfied with the service provided by the</w:t>
            </w:r>
            <w:r w:rsidR="0091268D" w:rsidRPr="00FA6C8A">
              <w:rPr>
                <w:b/>
                <w:bCs/>
              </w:rPr>
              <w:t>.</w:t>
            </w:r>
            <w:r w:rsidR="00C83512" w:rsidRPr="00FA6C8A">
              <w:rPr>
                <w:rStyle w:val="FootnoteReference"/>
                <w:b/>
                <w:bCs/>
              </w:rPr>
              <w:footnoteReference w:id="64"/>
            </w:r>
          </w:p>
          <w:p w14:paraId="632E7D76" w14:textId="77777777" w:rsidR="00E90764" w:rsidRPr="00FA6C8A" w:rsidRDefault="0099166C" w:rsidP="001D1CF9">
            <w:pPr>
              <w:pStyle w:val="BodyText"/>
              <w:numPr>
                <w:ilvl w:val="0"/>
                <w:numId w:val="31"/>
              </w:numPr>
              <w:rPr>
                <w:b/>
                <w:bCs/>
              </w:rPr>
            </w:pPr>
            <w:r w:rsidRPr="00FA6C8A">
              <w:rPr>
                <w:b/>
                <w:bCs/>
              </w:rPr>
              <w:t xml:space="preserve">My Aged Care contact </w:t>
            </w:r>
            <w:proofErr w:type="spellStart"/>
            <w:r w:rsidRPr="00FA6C8A">
              <w:rPr>
                <w:b/>
                <w:bCs/>
              </w:rPr>
              <w:t>centre</w:t>
            </w:r>
            <w:proofErr w:type="spellEnd"/>
            <w:r w:rsidRPr="00FA6C8A">
              <w:rPr>
                <w:b/>
                <w:bCs/>
              </w:rPr>
              <w:t>.</w:t>
            </w:r>
          </w:p>
          <w:p w14:paraId="632E7D77" w14:textId="77777777" w:rsidR="00E90764" w:rsidRPr="00FA6C8A" w:rsidRDefault="0099166C" w:rsidP="001D1CF9">
            <w:pPr>
              <w:pStyle w:val="BodyText"/>
              <w:numPr>
                <w:ilvl w:val="0"/>
                <w:numId w:val="31"/>
              </w:numPr>
              <w:rPr>
                <w:b/>
                <w:bCs/>
              </w:rPr>
            </w:pPr>
            <w:r w:rsidRPr="00FA6C8A">
              <w:rPr>
                <w:b/>
                <w:bCs/>
              </w:rPr>
              <w:t>My Aged Care website.</w:t>
            </w:r>
          </w:p>
        </w:tc>
      </w:tr>
      <w:tr w:rsidR="00E90764" w:rsidRPr="00FA6C8A" w14:paraId="632E7D7E" w14:textId="77777777" w:rsidTr="005C3FDA">
        <w:trPr>
          <w:trHeight w:val="458"/>
        </w:trPr>
        <w:tc>
          <w:tcPr>
            <w:tcW w:w="709" w:type="dxa"/>
            <w:shd w:val="clear" w:color="auto" w:fill="auto"/>
          </w:tcPr>
          <w:p w14:paraId="632E7D79" w14:textId="77777777" w:rsidR="00E90764" w:rsidRPr="00FA6C8A" w:rsidRDefault="00E90764" w:rsidP="001D1CF9">
            <w:pPr>
              <w:pStyle w:val="BodyText"/>
              <w:rPr>
                <w:b/>
                <w:bCs/>
              </w:rPr>
            </w:pPr>
          </w:p>
        </w:tc>
        <w:tc>
          <w:tcPr>
            <w:tcW w:w="2265" w:type="dxa"/>
            <w:shd w:val="clear" w:color="auto" w:fill="auto"/>
          </w:tcPr>
          <w:p w14:paraId="632E7D7A" w14:textId="77777777" w:rsidR="00E90764" w:rsidRPr="00FA6C8A" w:rsidRDefault="0099166C" w:rsidP="001D1CF9">
            <w:pPr>
              <w:pStyle w:val="BodyText"/>
              <w:rPr>
                <w:b/>
                <w:bCs/>
              </w:rPr>
            </w:pPr>
            <w:r w:rsidRPr="00FA6C8A">
              <w:rPr>
                <w:b/>
                <w:bCs/>
              </w:rPr>
              <w:t>2021–22 Target</w:t>
            </w:r>
          </w:p>
        </w:tc>
        <w:tc>
          <w:tcPr>
            <w:tcW w:w="2437" w:type="dxa"/>
            <w:shd w:val="clear" w:color="auto" w:fill="auto"/>
          </w:tcPr>
          <w:p w14:paraId="632E7D7B" w14:textId="77777777" w:rsidR="00E90764" w:rsidRPr="00FA6C8A" w:rsidRDefault="0099166C" w:rsidP="001D1CF9">
            <w:pPr>
              <w:pStyle w:val="BodyText"/>
              <w:rPr>
                <w:b/>
                <w:bCs/>
              </w:rPr>
            </w:pPr>
            <w:r w:rsidRPr="00FA6C8A">
              <w:rPr>
                <w:b/>
                <w:bCs/>
              </w:rPr>
              <w:t>2022–23 Target</w:t>
            </w:r>
          </w:p>
        </w:tc>
        <w:tc>
          <w:tcPr>
            <w:tcW w:w="2437" w:type="dxa"/>
            <w:shd w:val="clear" w:color="auto" w:fill="auto"/>
          </w:tcPr>
          <w:p w14:paraId="632E7D7C" w14:textId="77777777" w:rsidR="00E90764" w:rsidRPr="00FA6C8A" w:rsidRDefault="0099166C" w:rsidP="001D1CF9">
            <w:pPr>
              <w:pStyle w:val="BodyText"/>
              <w:rPr>
                <w:b/>
                <w:bCs/>
              </w:rPr>
            </w:pPr>
            <w:r w:rsidRPr="00FA6C8A">
              <w:rPr>
                <w:b/>
                <w:bCs/>
              </w:rPr>
              <w:t>2023–24 Target</w:t>
            </w:r>
          </w:p>
        </w:tc>
        <w:tc>
          <w:tcPr>
            <w:tcW w:w="2437" w:type="dxa"/>
            <w:shd w:val="clear" w:color="auto" w:fill="auto"/>
          </w:tcPr>
          <w:p w14:paraId="632E7D7D" w14:textId="77777777" w:rsidR="00E90764" w:rsidRPr="00FA6C8A" w:rsidRDefault="0099166C" w:rsidP="001D1CF9">
            <w:pPr>
              <w:pStyle w:val="BodyText"/>
              <w:rPr>
                <w:b/>
                <w:bCs/>
              </w:rPr>
            </w:pPr>
            <w:r w:rsidRPr="00FA6C8A">
              <w:rPr>
                <w:b/>
                <w:bCs/>
              </w:rPr>
              <w:t>2024–25 Target</w:t>
            </w:r>
          </w:p>
        </w:tc>
      </w:tr>
      <w:tr w:rsidR="00E90764" w:rsidRPr="00CF6322" w14:paraId="632E7D84" w14:textId="77777777" w:rsidTr="005C3FDA">
        <w:trPr>
          <w:trHeight w:val="465"/>
        </w:trPr>
        <w:tc>
          <w:tcPr>
            <w:tcW w:w="709" w:type="dxa"/>
            <w:shd w:val="clear" w:color="auto" w:fill="auto"/>
          </w:tcPr>
          <w:p w14:paraId="632E7D7F" w14:textId="77777777" w:rsidR="00E90764" w:rsidRPr="00FA6C8A" w:rsidRDefault="0099166C" w:rsidP="001D1CF9">
            <w:pPr>
              <w:pStyle w:val="BodyText"/>
              <w:rPr>
                <w:b/>
                <w:bCs/>
              </w:rPr>
            </w:pPr>
            <w:r w:rsidRPr="00FA6C8A">
              <w:rPr>
                <w:b/>
                <w:bCs/>
              </w:rPr>
              <w:t>a.</w:t>
            </w:r>
          </w:p>
        </w:tc>
        <w:tc>
          <w:tcPr>
            <w:tcW w:w="2265" w:type="dxa"/>
            <w:shd w:val="clear" w:color="auto" w:fill="auto"/>
          </w:tcPr>
          <w:p w14:paraId="632E7D80" w14:textId="77777777" w:rsidR="00E90764" w:rsidRPr="00CF6322" w:rsidRDefault="0099166C" w:rsidP="001D1CF9">
            <w:pPr>
              <w:pStyle w:val="BodyText"/>
            </w:pPr>
            <w:r w:rsidRPr="00CF6322">
              <w:t>≥95%</w:t>
            </w:r>
          </w:p>
        </w:tc>
        <w:tc>
          <w:tcPr>
            <w:tcW w:w="2437" w:type="dxa"/>
            <w:shd w:val="clear" w:color="auto" w:fill="auto"/>
          </w:tcPr>
          <w:p w14:paraId="632E7D81" w14:textId="77777777" w:rsidR="00E90764" w:rsidRPr="00CF6322" w:rsidRDefault="0099166C" w:rsidP="001D1CF9">
            <w:pPr>
              <w:pStyle w:val="BodyText"/>
            </w:pPr>
            <w:r w:rsidRPr="00CF6322">
              <w:t>N/A</w:t>
            </w:r>
          </w:p>
        </w:tc>
        <w:tc>
          <w:tcPr>
            <w:tcW w:w="2437" w:type="dxa"/>
            <w:shd w:val="clear" w:color="auto" w:fill="auto"/>
          </w:tcPr>
          <w:p w14:paraId="632E7D82" w14:textId="77777777" w:rsidR="00E90764" w:rsidRPr="00CF6322" w:rsidRDefault="0099166C" w:rsidP="001D1CF9">
            <w:pPr>
              <w:pStyle w:val="BodyText"/>
            </w:pPr>
            <w:r w:rsidRPr="00CF6322">
              <w:t>N/A</w:t>
            </w:r>
          </w:p>
        </w:tc>
        <w:tc>
          <w:tcPr>
            <w:tcW w:w="2437" w:type="dxa"/>
            <w:shd w:val="clear" w:color="auto" w:fill="auto"/>
          </w:tcPr>
          <w:p w14:paraId="632E7D83" w14:textId="77777777" w:rsidR="00E90764" w:rsidRPr="00CF6322" w:rsidRDefault="0099166C" w:rsidP="001D1CF9">
            <w:pPr>
              <w:pStyle w:val="BodyText"/>
            </w:pPr>
            <w:r w:rsidRPr="00CF6322">
              <w:t>N/A</w:t>
            </w:r>
          </w:p>
        </w:tc>
      </w:tr>
      <w:tr w:rsidR="00E90764" w:rsidRPr="00CF6322" w14:paraId="632E7D8A" w14:textId="77777777" w:rsidTr="005C3FDA">
        <w:trPr>
          <w:trHeight w:val="465"/>
        </w:trPr>
        <w:tc>
          <w:tcPr>
            <w:tcW w:w="709" w:type="dxa"/>
            <w:shd w:val="clear" w:color="auto" w:fill="auto"/>
          </w:tcPr>
          <w:p w14:paraId="632E7D85" w14:textId="77777777" w:rsidR="00E90764" w:rsidRPr="00FA6C8A" w:rsidRDefault="0099166C" w:rsidP="001D1CF9">
            <w:pPr>
              <w:pStyle w:val="BodyText"/>
              <w:rPr>
                <w:b/>
                <w:bCs/>
              </w:rPr>
            </w:pPr>
            <w:r w:rsidRPr="00FA6C8A">
              <w:rPr>
                <w:b/>
                <w:bCs/>
              </w:rPr>
              <w:t>b.</w:t>
            </w:r>
          </w:p>
        </w:tc>
        <w:tc>
          <w:tcPr>
            <w:tcW w:w="2265" w:type="dxa"/>
            <w:shd w:val="clear" w:color="auto" w:fill="auto"/>
          </w:tcPr>
          <w:p w14:paraId="632E7D86" w14:textId="77777777" w:rsidR="00E90764" w:rsidRPr="00CF6322" w:rsidRDefault="0099166C" w:rsidP="001D1CF9">
            <w:pPr>
              <w:pStyle w:val="BodyText"/>
            </w:pPr>
            <w:r w:rsidRPr="00CF6322">
              <w:t>≥65%</w:t>
            </w:r>
          </w:p>
        </w:tc>
        <w:tc>
          <w:tcPr>
            <w:tcW w:w="2437" w:type="dxa"/>
            <w:shd w:val="clear" w:color="auto" w:fill="auto"/>
          </w:tcPr>
          <w:p w14:paraId="632E7D87" w14:textId="77777777" w:rsidR="00E90764" w:rsidRPr="00CF6322" w:rsidRDefault="0099166C" w:rsidP="001D1CF9">
            <w:pPr>
              <w:pStyle w:val="BodyText"/>
            </w:pPr>
            <w:r w:rsidRPr="00CF6322">
              <w:t>≥65%</w:t>
            </w:r>
          </w:p>
        </w:tc>
        <w:tc>
          <w:tcPr>
            <w:tcW w:w="2437" w:type="dxa"/>
            <w:shd w:val="clear" w:color="auto" w:fill="auto"/>
          </w:tcPr>
          <w:p w14:paraId="632E7D88" w14:textId="77777777" w:rsidR="00E90764" w:rsidRPr="00CF6322" w:rsidRDefault="0099166C" w:rsidP="001D1CF9">
            <w:pPr>
              <w:pStyle w:val="BodyText"/>
            </w:pPr>
            <w:r w:rsidRPr="00CF6322">
              <w:t>N/A</w:t>
            </w:r>
          </w:p>
        </w:tc>
        <w:tc>
          <w:tcPr>
            <w:tcW w:w="2437" w:type="dxa"/>
            <w:shd w:val="clear" w:color="auto" w:fill="auto"/>
          </w:tcPr>
          <w:p w14:paraId="632E7D89" w14:textId="77777777" w:rsidR="00E90764" w:rsidRPr="00CF6322" w:rsidRDefault="0099166C" w:rsidP="001D1CF9">
            <w:pPr>
              <w:pStyle w:val="BodyText"/>
            </w:pPr>
            <w:r w:rsidRPr="00CF6322">
              <w:t>N/A</w:t>
            </w:r>
          </w:p>
        </w:tc>
      </w:tr>
      <w:tr w:rsidR="00E90764" w:rsidRPr="00CF6322" w14:paraId="632E7D96" w14:textId="77777777" w:rsidTr="00C83512">
        <w:trPr>
          <w:trHeight w:val="4349"/>
        </w:trPr>
        <w:tc>
          <w:tcPr>
            <w:tcW w:w="10285" w:type="dxa"/>
            <w:gridSpan w:val="5"/>
            <w:shd w:val="clear" w:color="auto" w:fill="auto"/>
          </w:tcPr>
          <w:p w14:paraId="632E7D8B" w14:textId="77777777" w:rsidR="00E90764" w:rsidRPr="00604888" w:rsidRDefault="0099166C" w:rsidP="001D1CF9">
            <w:pPr>
              <w:pStyle w:val="Heading6"/>
            </w:pPr>
            <w:r w:rsidRPr="00CF6322">
              <w:t>Data source and methodology</w:t>
            </w:r>
          </w:p>
          <w:p w14:paraId="632E7D8C" w14:textId="77777777" w:rsidR="00E90764" w:rsidRPr="00CF6322" w:rsidRDefault="0099166C" w:rsidP="001D1CF9">
            <w:pPr>
              <w:pStyle w:val="BodyText"/>
            </w:pPr>
            <w:r w:rsidRPr="00CF6322">
              <w:t xml:space="preserve">Customer satisfaction survey and callers to the contact </w:t>
            </w:r>
            <w:proofErr w:type="spellStart"/>
            <w:r w:rsidRPr="00CF6322">
              <w:t>centre</w:t>
            </w:r>
            <w:proofErr w:type="spellEnd"/>
            <w:r w:rsidRPr="00CF6322">
              <w:t>.</w:t>
            </w:r>
          </w:p>
          <w:p w14:paraId="632E7D8D" w14:textId="77777777" w:rsidR="00E90764" w:rsidRPr="00CF6322" w:rsidRDefault="0099166C" w:rsidP="001D1CF9">
            <w:pPr>
              <w:pStyle w:val="BodyText"/>
            </w:pPr>
            <w:r w:rsidRPr="00CF6322">
              <w:t xml:space="preserve">‘Users’ refers to callers to the My Aged Care contact </w:t>
            </w:r>
            <w:proofErr w:type="spellStart"/>
            <w:r w:rsidRPr="00CF6322">
              <w:t>centre</w:t>
            </w:r>
            <w:proofErr w:type="spellEnd"/>
            <w:r w:rsidRPr="00CF6322">
              <w:t xml:space="preserve"> and visitors to the My Aged Care website.</w:t>
            </w:r>
          </w:p>
          <w:p w14:paraId="632E7D8F" w14:textId="107E394C" w:rsidR="00E90764" w:rsidRPr="00CF6322" w:rsidRDefault="0099166C" w:rsidP="001D1CF9">
            <w:pPr>
              <w:pStyle w:val="BodyText"/>
            </w:pPr>
            <w:r w:rsidRPr="00CF6322">
              <w:t xml:space="preserve">‘Satisfied’ callers to the My Aged Care contact </w:t>
            </w:r>
            <w:proofErr w:type="spellStart"/>
            <w:r w:rsidRPr="00CF6322">
              <w:t>centre</w:t>
            </w:r>
            <w:proofErr w:type="spellEnd"/>
            <w:r w:rsidRPr="00CF6322">
              <w:t xml:space="preserve"> are those who give the contact </w:t>
            </w:r>
            <w:proofErr w:type="spellStart"/>
            <w:r w:rsidRPr="00CF6322">
              <w:t>centre</w:t>
            </w:r>
            <w:proofErr w:type="spellEnd"/>
            <w:r w:rsidRPr="00CF6322">
              <w:t xml:space="preserve"> a score of 6 to 10 on a scale of zero to 10 in response to the customer satisfaction survey. ‘Satisfied’ visitors to the website consist of an</w:t>
            </w:r>
            <w:r w:rsidR="0091268D" w:rsidRPr="00CF6322">
              <w:t xml:space="preserve"> </w:t>
            </w:r>
            <w:r w:rsidRPr="00CF6322">
              <w:t>aggregate score from multiple questions which measure key indicators of website satisfaction.</w:t>
            </w:r>
          </w:p>
          <w:p w14:paraId="632E7D90" w14:textId="77777777" w:rsidR="00E90764" w:rsidRPr="00604888" w:rsidRDefault="0099166C" w:rsidP="001D1CF9">
            <w:pPr>
              <w:pStyle w:val="Heading6"/>
            </w:pPr>
            <w:r w:rsidRPr="00CF6322">
              <w:t>Measure type</w:t>
            </w:r>
          </w:p>
          <w:p w14:paraId="632E7D92" w14:textId="3DC9D001" w:rsidR="00E90764" w:rsidRPr="00CF6322" w:rsidRDefault="0099166C" w:rsidP="001D1CF9">
            <w:pPr>
              <w:pStyle w:val="BodyText"/>
            </w:pPr>
            <w:r w:rsidRPr="00CF6322">
              <w:t>Quantitative/Effectiveness</w:t>
            </w:r>
          </w:p>
          <w:p w14:paraId="632E7D93" w14:textId="77777777" w:rsidR="00E90764" w:rsidRPr="00604888" w:rsidRDefault="0099166C" w:rsidP="001D1CF9">
            <w:pPr>
              <w:pStyle w:val="Heading6"/>
            </w:pPr>
            <w:r w:rsidRPr="00CF6322">
              <w:t>Discussion</w:t>
            </w:r>
          </w:p>
          <w:p w14:paraId="632E7D94" w14:textId="77777777" w:rsidR="00E90764" w:rsidRPr="00CF6322" w:rsidRDefault="0099166C" w:rsidP="001D1CF9">
            <w:pPr>
              <w:pStyle w:val="BodyText"/>
            </w:pPr>
            <w:r w:rsidRPr="00CF6322">
              <w:t xml:space="preserve">Targets for a. My Aged Care contact </w:t>
            </w:r>
            <w:proofErr w:type="spellStart"/>
            <w:r w:rsidRPr="00CF6322">
              <w:t>centre</w:t>
            </w:r>
            <w:proofErr w:type="spellEnd"/>
            <w:r w:rsidRPr="00CF6322">
              <w:t xml:space="preserve"> beyond 2021–22 are subject to new contractual arrangements.</w:t>
            </w:r>
          </w:p>
          <w:p w14:paraId="632E7D95" w14:textId="652FF6C1" w:rsidR="00E90764" w:rsidRPr="00CF6322" w:rsidRDefault="0099166C" w:rsidP="001D1CF9">
            <w:pPr>
              <w:pStyle w:val="BodyText"/>
            </w:pPr>
            <w:r w:rsidRPr="00CF6322">
              <w:t>Please note: Targets for b. My Aged Care website for the years 2023–24 and 2024–25 published in the</w:t>
            </w:r>
            <w:r w:rsidR="00604888">
              <w:t xml:space="preserve"> </w:t>
            </w:r>
            <w:r w:rsidRPr="006E10D0">
              <w:rPr>
                <w:i/>
              </w:rPr>
              <w:t>2021–22 Health</w:t>
            </w:r>
            <w:r w:rsidR="00604888" w:rsidRPr="006E10D0">
              <w:rPr>
                <w:i/>
              </w:rPr>
              <w:t xml:space="preserve"> </w:t>
            </w:r>
            <w:r w:rsidRPr="006E10D0">
              <w:rPr>
                <w:i/>
              </w:rPr>
              <w:t xml:space="preserve">Portfolio Budget Statements </w:t>
            </w:r>
            <w:r w:rsidRPr="00CF6322">
              <w:t>have been removed. Targets will be revised subject to new contractual arrangements.</w:t>
            </w:r>
          </w:p>
        </w:tc>
      </w:tr>
    </w:tbl>
    <w:p w14:paraId="5231C50D" w14:textId="79E6C95A" w:rsidR="00A750C2" w:rsidRDefault="00A750C2" w:rsidP="001D1CF9">
      <w:pPr>
        <w:pStyle w:val="BodyText"/>
      </w:pPr>
    </w:p>
    <w:p w14:paraId="25C78486" w14:textId="77777777" w:rsidR="00A750C2" w:rsidRDefault="00A750C2">
      <w:pPr>
        <w:rPr>
          <w:rFonts w:ascii="Helvetica" w:hAnsi="Helvetica"/>
          <w:color w:val="231F20"/>
          <w:sz w:val="19"/>
          <w:szCs w:val="19"/>
        </w:rPr>
      </w:pPr>
      <w:r>
        <w:br w:type="page"/>
      </w:r>
    </w:p>
    <w:p w14:paraId="7879B359" w14:textId="77777777" w:rsidR="00604888" w:rsidRPr="00604888" w:rsidRDefault="00604888" w:rsidP="00604888">
      <w:pPr>
        <w:pStyle w:val="Heading3"/>
      </w:pPr>
      <w:r>
        <w:lastRenderedPageBreak/>
        <w:t>3.2 – Aged</w:t>
      </w:r>
      <w:r>
        <w:rPr>
          <w:spacing w:val="-3"/>
        </w:rPr>
        <w:t xml:space="preserve"> </w:t>
      </w:r>
      <w:r>
        <w:t>Care</w:t>
      </w:r>
      <w:r>
        <w:rPr>
          <w:spacing w:val="-3"/>
        </w:rPr>
        <w:t xml:space="preserve"> </w:t>
      </w:r>
      <w:r>
        <w:t>Services</w:t>
      </w:r>
    </w:p>
    <w:p w14:paraId="632E7D9E" w14:textId="77777777" w:rsidR="00E90764" w:rsidRPr="00CF6322" w:rsidRDefault="0099166C" w:rsidP="00604888">
      <w:pPr>
        <w:pStyle w:val="Heading4"/>
      </w:pPr>
      <w:r w:rsidRPr="00CF6322">
        <w:t xml:space="preserve">Program </w:t>
      </w:r>
      <w:r w:rsidRPr="00604888">
        <w:t>Objective</w:t>
      </w:r>
    </w:p>
    <w:p w14:paraId="1567FBD8" w14:textId="77777777" w:rsidR="00604888" w:rsidRDefault="00604888" w:rsidP="001D1CF9">
      <w:pPr>
        <w:pStyle w:val="BodyText"/>
        <w:rPr>
          <w:color w:val="000000"/>
        </w:rPr>
      </w:pPr>
      <w:r>
        <w:t>Provide</w:t>
      </w:r>
      <w:r>
        <w:rPr>
          <w:spacing w:val="2"/>
        </w:rPr>
        <w:t xml:space="preserve"> </w:t>
      </w:r>
      <w:r>
        <w:t>choice</w:t>
      </w:r>
      <w:r>
        <w:rPr>
          <w:spacing w:val="3"/>
        </w:rPr>
        <w:t xml:space="preserve"> </w:t>
      </w:r>
      <w:r>
        <w:t>through</w:t>
      </w:r>
      <w:r>
        <w:rPr>
          <w:spacing w:val="3"/>
        </w:rPr>
        <w:t xml:space="preserve"> </w:t>
      </w:r>
      <w:r>
        <w:t>a</w:t>
      </w:r>
      <w:r>
        <w:rPr>
          <w:spacing w:val="3"/>
        </w:rPr>
        <w:t xml:space="preserve"> </w:t>
      </w:r>
      <w:r>
        <w:t>range</w:t>
      </w:r>
      <w:r>
        <w:rPr>
          <w:spacing w:val="3"/>
        </w:rPr>
        <w:t xml:space="preserve"> </w:t>
      </w:r>
      <w:r>
        <w:t>of</w:t>
      </w:r>
      <w:r>
        <w:rPr>
          <w:spacing w:val="2"/>
        </w:rPr>
        <w:t xml:space="preserve"> </w:t>
      </w:r>
      <w:r>
        <w:t>flexible</w:t>
      </w:r>
      <w:r>
        <w:rPr>
          <w:spacing w:val="3"/>
        </w:rPr>
        <w:t xml:space="preserve"> </w:t>
      </w:r>
      <w:r>
        <w:t>options</w:t>
      </w:r>
      <w:r>
        <w:rPr>
          <w:spacing w:val="3"/>
        </w:rPr>
        <w:t xml:space="preserve"> </w:t>
      </w:r>
      <w:r>
        <w:t>to</w:t>
      </w:r>
      <w:r>
        <w:rPr>
          <w:spacing w:val="3"/>
        </w:rPr>
        <w:t xml:space="preserve"> </w:t>
      </w:r>
      <w:r>
        <w:t>support</w:t>
      </w:r>
      <w:r>
        <w:rPr>
          <w:spacing w:val="3"/>
        </w:rPr>
        <w:t xml:space="preserve"> </w:t>
      </w:r>
      <w:r>
        <w:t>senior</w:t>
      </w:r>
      <w:r>
        <w:rPr>
          <w:spacing w:val="2"/>
        </w:rPr>
        <w:t xml:space="preserve"> </w:t>
      </w:r>
      <w:r>
        <w:t>Australians</w:t>
      </w:r>
      <w:r>
        <w:rPr>
          <w:spacing w:val="3"/>
        </w:rPr>
        <w:t xml:space="preserve"> </w:t>
      </w:r>
      <w:r>
        <w:t>who</w:t>
      </w:r>
      <w:r>
        <w:rPr>
          <w:spacing w:val="3"/>
        </w:rPr>
        <w:t xml:space="preserve"> </w:t>
      </w:r>
      <w:r>
        <w:t>need</w:t>
      </w:r>
      <w:r>
        <w:rPr>
          <w:spacing w:val="3"/>
        </w:rPr>
        <w:t xml:space="preserve"> </w:t>
      </w:r>
      <w:r>
        <w:t>assistance.</w:t>
      </w:r>
      <w:r>
        <w:rPr>
          <w:spacing w:val="3"/>
        </w:rPr>
        <w:t xml:space="preserve"> </w:t>
      </w:r>
      <w:r>
        <w:t>This</w:t>
      </w:r>
      <w:r>
        <w:rPr>
          <w:spacing w:val="1"/>
        </w:rPr>
        <w:t xml:space="preserve"> </w:t>
      </w:r>
      <w:r>
        <w:t>includes</w:t>
      </w:r>
      <w:r>
        <w:rPr>
          <w:spacing w:val="2"/>
        </w:rPr>
        <w:t xml:space="preserve"> </w:t>
      </w:r>
      <w:r>
        <w:t>supporting</w:t>
      </w:r>
      <w:r>
        <w:rPr>
          <w:spacing w:val="3"/>
        </w:rPr>
        <w:t xml:space="preserve"> </w:t>
      </w:r>
      <w:r>
        <w:t>people</w:t>
      </w:r>
      <w:r>
        <w:rPr>
          <w:spacing w:val="3"/>
        </w:rPr>
        <w:t xml:space="preserve"> </w:t>
      </w:r>
      <w:r>
        <w:t>to</w:t>
      </w:r>
      <w:r>
        <w:rPr>
          <w:spacing w:val="3"/>
        </w:rPr>
        <w:t xml:space="preserve"> </w:t>
      </w:r>
      <w:r>
        <w:t>remain</w:t>
      </w:r>
      <w:r>
        <w:rPr>
          <w:spacing w:val="3"/>
        </w:rPr>
        <w:t xml:space="preserve"> </w:t>
      </w:r>
      <w:r>
        <w:t>living</w:t>
      </w:r>
      <w:r>
        <w:rPr>
          <w:spacing w:val="2"/>
        </w:rPr>
        <w:t xml:space="preserve"> </w:t>
      </w:r>
      <w:r>
        <w:t>at</w:t>
      </w:r>
      <w:r>
        <w:rPr>
          <w:spacing w:val="3"/>
        </w:rPr>
        <w:t xml:space="preserve"> </w:t>
      </w:r>
      <w:r>
        <w:t>home</w:t>
      </w:r>
      <w:r>
        <w:rPr>
          <w:spacing w:val="3"/>
        </w:rPr>
        <w:t xml:space="preserve"> </w:t>
      </w:r>
      <w:r>
        <w:t>and</w:t>
      </w:r>
      <w:r>
        <w:rPr>
          <w:spacing w:val="3"/>
        </w:rPr>
        <w:t xml:space="preserve"> </w:t>
      </w:r>
      <w:r>
        <w:t>connected</w:t>
      </w:r>
      <w:r>
        <w:rPr>
          <w:spacing w:val="3"/>
        </w:rPr>
        <w:t xml:space="preserve"> </w:t>
      </w:r>
      <w:r>
        <w:t>to</w:t>
      </w:r>
      <w:r>
        <w:rPr>
          <w:spacing w:val="2"/>
        </w:rPr>
        <w:t xml:space="preserve"> </w:t>
      </w:r>
      <w:r>
        <w:t>their</w:t>
      </w:r>
      <w:r>
        <w:rPr>
          <w:spacing w:val="3"/>
        </w:rPr>
        <w:t xml:space="preserve"> </w:t>
      </w:r>
      <w:r>
        <w:t>communities</w:t>
      </w:r>
      <w:r>
        <w:rPr>
          <w:spacing w:val="3"/>
        </w:rPr>
        <w:t xml:space="preserve"> </w:t>
      </w:r>
      <w:r>
        <w:t>for</w:t>
      </w:r>
      <w:r>
        <w:rPr>
          <w:spacing w:val="3"/>
        </w:rPr>
        <w:t xml:space="preserve"> </w:t>
      </w:r>
      <w:r>
        <w:t>longer,</w:t>
      </w:r>
      <w:r>
        <w:rPr>
          <w:spacing w:val="3"/>
        </w:rPr>
        <w:t xml:space="preserve"> </w:t>
      </w:r>
      <w:r>
        <w:t>through</w:t>
      </w:r>
      <w:r>
        <w:rPr>
          <w:spacing w:val="3"/>
        </w:rPr>
        <w:t xml:space="preserve"> </w:t>
      </w:r>
      <w:r>
        <w:t>to</w:t>
      </w:r>
      <w:r>
        <w:rPr>
          <w:spacing w:val="-50"/>
        </w:rPr>
        <w:t xml:space="preserve"> </w:t>
      </w:r>
      <w:r>
        <w:t>residential care</w:t>
      </w:r>
      <w:r>
        <w:rPr>
          <w:spacing w:val="1"/>
        </w:rPr>
        <w:t xml:space="preserve"> </w:t>
      </w:r>
      <w:r>
        <w:t>for those</w:t>
      </w:r>
      <w:r>
        <w:rPr>
          <w:spacing w:val="1"/>
        </w:rPr>
        <w:t xml:space="preserve"> </w:t>
      </w:r>
      <w:r>
        <w:t>who</w:t>
      </w:r>
      <w:r>
        <w:rPr>
          <w:spacing w:val="1"/>
        </w:rPr>
        <w:t xml:space="preserve"> </w:t>
      </w:r>
      <w:r>
        <w:t>are no</w:t>
      </w:r>
      <w:r>
        <w:rPr>
          <w:spacing w:val="1"/>
        </w:rPr>
        <w:t xml:space="preserve"> </w:t>
      </w:r>
      <w:r>
        <w:t>longer</w:t>
      </w:r>
      <w:r>
        <w:rPr>
          <w:spacing w:val="1"/>
        </w:rPr>
        <w:t xml:space="preserve"> </w:t>
      </w:r>
      <w:r>
        <w:t>able to</w:t>
      </w:r>
      <w:r>
        <w:rPr>
          <w:spacing w:val="1"/>
        </w:rPr>
        <w:t xml:space="preserve"> </w:t>
      </w:r>
      <w:r>
        <w:t>continue</w:t>
      </w:r>
      <w:r>
        <w:rPr>
          <w:spacing w:val="1"/>
        </w:rPr>
        <w:t xml:space="preserve"> </w:t>
      </w:r>
      <w:r>
        <w:t>living in</w:t>
      </w:r>
      <w:r>
        <w:rPr>
          <w:spacing w:val="1"/>
        </w:rPr>
        <w:t xml:space="preserve"> </w:t>
      </w:r>
      <w:r>
        <w:t>their own</w:t>
      </w:r>
      <w:r>
        <w:rPr>
          <w:spacing w:val="1"/>
        </w:rPr>
        <w:t xml:space="preserve"> </w:t>
      </w:r>
      <w:r>
        <w:t>home.</w:t>
      </w:r>
    </w:p>
    <w:p w14:paraId="632E7DA2" w14:textId="77777777" w:rsidR="00E90764" w:rsidRPr="00CF6322" w:rsidRDefault="0099166C" w:rsidP="00604888">
      <w:pPr>
        <w:pStyle w:val="Heading4"/>
      </w:pPr>
      <w:r w:rsidRPr="00CF6322">
        <w:t>Our Operating Focus</w:t>
      </w:r>
    </w:p>
    <w:p w14:paraId="632E7DA4" w14:textId="32F6A046" w:rsidR="00E90764" w:rsidRPr="00CF6322" w:rsidRDefault="0099166C" w:rsidP="001D1CF9">
      <w:pPr>
        <w:pStyle w:val="BodyText"/>
      </w:pPr>
      <w:r w:rsidRPr="00CF6322">
        <w:t>Through the Australian Government’s investment of</w:t>
      </w:r>
      <w:r w:rsidR="00604888">
        <w:t xml:space="preserve"> </w:t>
      </w:r>
      <w:r w:rsidRPr="00CF6322">
        <w:t>$7.8 billion over 5 years, we will be working to improve and simplify residential aged care services and access. This includes increasing and improving front line care delivered to around 240,000 senior Australians accessing residential aged care and 67,000 accessing residential respite each year.</w:t>
      </w:r>
    </w:p>
    <w:p w14:paraId="632E7DA6" w14:textId="5DBE8C16" w:rsidR="00E90764" w:rsidRPr="00CF6322" w:rsidRDefault="0099166C" w:rsidP="001D1CF9">
      <w:pPr>
        <w:pStyle w:val="BodyText"/>
      </w:pPr>
      <w:r w:rsidRPr="00CF6322">
        <w:t>The Government has announced the intention to introduce significant reforms to in home aged care. As a department, we will implement these reforms by establishing a new</w:t>
      </w:r>
      <w:r w:rsidR="00604888">
        <w:t xml:space="preserve"> </w:t>
      </w:r>
      <w:r w:rsidRPr="00CF6322">
        <w:t xml:space="preserve">and improved single care at home program to commence in July 2023. This new program will replace the existing Commonwealth Home Support </w:t>
      </w:r>
      <w:proofErr w:type="spellStart"/>
      <w:r w:rsidRPr="00CF6322">
        <w:t>Programme</w:t>
      </w:r>
      <w:proofErr w:type="spellEnd"/>
      <w:r w:rsidRPr="00CF6322">
        <w:t xml:space="preserve"> (CHSP), Home Care Packages (HCP) Program, Short Term Restorative Care </w:t>
      </w:r>
      <w:proofErr w:type="spellStart"/>
      <w:r w:rsidRPr="00CF6322">
        <w:t>Programme</w:t>
      </w:r>
      <w:proofErr w:type="spellEnd"/>
      <w:r w:rsidRPr="00CF6322">
        <w:t xml:space="preserve"> (STRCP) and Residential Respite Program (RRP).</w:t>
      </w:r>
    </w:p>
    <w:p w14:paraId="632E7DA7" w14:textId="77777777" w:rsidR="00E90764" w:rsidRPr="00CF6322" w:rsidRDefault="0099166C" w:rsidP="001D1CF9">
      <w:pPr>
        <w:pStyle w:val="BodyText"/>
      </w:pPr>
      <w:r w:rsidRPr="00CF6322">
        <w:t>The CHSP has been extended for one year to 30 June 2023 while the new program is being designed. We are undertaking consultation with senior Australians and community stakeholders to inform design of the new support at home program.</w:t>
      </w:r>
    </w:p>
    <w:p w14:paraId="632E7DA8" w14:textId="77777777" w:rsidR="00E90764" w:rsidRPr="00CF6322" w:rsidRDefault="0099166C" w:rsidP="001D1CF9">
      <w:pPr>
        <w:pStyle w:val="BodyText"/>
      </w:pPr>
      <w:r w:rsidRPr="00CF6322">
        <w:t>This will mean better targeted services for over one million older people who currently receive care at home or residential respite services. It will deliver improved outcomes for older people, as support will be based on their assessed needs, and support senior Australians to remain independently in their own homes and in the community for as long as possible.</w:t>
      </w:r>
    </w:p>
    <w:p w14:paraId="20D9CD80" w14:textId="77777777" w:rsidR="00604888" w:rsidRDefault="0099166C" w:rsidP="001D1CF9">
      <w:pPr>
        <w:pStyle w:val="BodyText"/>
      </w:pPr>
      <w:r w:rsidRPr="00CF6322">
        <w:t>We will continue to support providers through significant change management for CHSP providers as the process commences for implementing the Government’s reform agenda, including transitioning to payment in arrears and to the new single care at home program.</w:t>
      </w:r>
    </w:p>
    <w:p w14:paraId="632E7DAA" w14:textId="6A24CD03" w:rsidR="00E90764" w:rsidRPr="00CF6322" w:rsidRDefault="0099166C" w:rsidP="001D1CF9">
      <w:pPr>
        <w:pStyle w:val="BodyText"/>
      </w:pPr>
      <w:r w:rsidRPr="00CF6322">
        <w:t>We will be reducing wait times for HCPs by releasing an additional 80,000 HCPs over 2021–2023. This lays the foundation for an ambitious reform agenda in home care as it will ensure all those currently waiting for a HCP will have access by June 2023. This will be complemented by our ongoing in-house review of up to 500 HCP providers per year to assure value for money of this significant investment.</w:t>
      </w:r>
    </w:p>
    <w:p w14:paraId="632E7DAB" w14:textId="1465B8B0" w:rsidR="00E90764" w:rsidRPr="00CF6322" w:rsidRDefault="0099166C" w:rsidP="001D1CF9">
      <w:pPr>
        <w:pStyle w:val="BodyText"/>
      </w:pPr>
      <w:r w:rsidRPr="00CF6322">
        <w:t>To drive improvements in the care outcomes for aged care residents, we will be implementing the Australian National Aged Care Classification funding model from 1 October 2022. The new funding model will improve transparency over the way funding is allocated among residential aged care providers, providing a fairer, more equitable system for distributing funding.</w:t>
      </w:r>
    </w:p>
    <w:p w14:paraId="632E7DAD" w14:textId="3E1999E0" w:rsidR="00E90764" w:rsidRPr="00CF6322" w:rsidRDefault="0099166C" w:rsidP="001D1CF9">
      <w:pPr>
        <w:pStyle w:val="BodyText"/>
      </w:pPr>
      <w:r w:rsidRPr="00CF6322">
        <w:t>We will design and implement a more consumer oriented and competitive residential aged care system, which replaces the Aged Care Approvals Round and assigns residential aged care places to senior Australians from</w:t>
      </w:r>
      <w:r w:rsidR="00C8140A" w:rsidRPr="00CF6322">
        <w:t xml:space="preserve"> </w:t>
      </w:r>
      <w:r w:rsidRPr="00CF6322">
        <w:t>1 July 2024. While the new system is being developed, we will continue to assist providers with the administration of their current allocation of places.</w:t>
      </w:r>
    </w:p>
    <w:p w14:paraId="632E7DAE" w14:textId="01F42976" w:rsidR="006D2D9F" w:rsidRDefault="0099166C" w:rsidP="001D1CF9">
      <w:pPr>
        <w:pStyle w:val="BodyText"/>
      </w:pPr>
      <w:r w:rsidRPr="00CF6322">
        <w:t>We will deliver a new financial and prudential monitoring, compliance and intervention framework for aged care providers to improve continuity of care and better manage</w:t>
      </w:r>
      <w:r w:rsidR="00313977" w:rsidRPr="00CF6322">
        <w:t xml:space="preserve"> </w:t>
      </w:r>
      <w:r w:rsidRPr="00CF6322">
        <w:t>the risk of financial failure through enhanced financial reporting, transparency and accountability. We are also working to enhance our capability to identify providers at financial risk and implement support programs that build the capability and sustainability of aged care providers.</w:t>
      </w:r>
    </w:p>
    <w:p w14:paraId="0EE7477F" w14:textId="77777777" w:rsidR="006D2D9F" w:rsidRDefault="006D2D9F">
      <w:pPr>
        <w:rPr>
          <w:rFonts w:ascii="Helvetica" w:hAnsi="Helvetica"/>
          <w:color w:val="231F20"/>
          <w:sz w:val="19"/>
          <w:szCs w:val="19"/>
        </w:rPr>
      </w:pPr>
      <w:r>
        <w:br w:type="page"/>
      </w:r>
    </w:p>
    <w:tbl>
      <w:tblPr>
        <w:tblW w:w="103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0" w:type="dxa"/>
        </w:tblCellMar>
        <w:tblLook w:val="01E0" w:firstRow="1" w:lastRow="1" w:firstColumn="1" w:lastColumn="1" w:noHBand="0" w:noVBand="0"/>
      </w:tblPr>
      <w:tblGrid>
        <w:gridCol w:w="8541"/>
        <w:gridCol w:w="441"/>
        <w:gridCol w:w="441"/>
        <w:gridCol w:w="439"/>
        <w:gridCol w:w="441"/>
      </w:tblGrid>
      <w:tr w:rsidR="00E90764" w:rsidRPr="006D2D9F" w14:paraId="632E7DB8" w14:textId="77777777" w:rsidTr="006D2D9F">
        <w:trPr>
          <w:trHeight w:val="1159"/>
          <w:tblHeader/>
        </w:trPr>
        <w:tc>
          <w:tcPr>
            <w:tcW w:w="8541" w:type="dxa"/>
            <w:shd w:val="clear" w:color="auto" w:fill="auto"/>
          </w:tcPr>
          <w:p w14:paraId="632E7DB3" w14:textId="77777777" w:rsidR="00E90764" w:rsidRPr="006D2D9F" w:rsidRDefault="0099166C" w:rsidP="001D1CF9">
            <w:pPr>
              <w:pStyle w:val="BodyText"/>
              <w:rPr>
                <w:b/>
                <w:bCs/>
              </w:rPr>
            </w:pPr>
            <w:r w:rsidRPr="006D2D9F">
              <w:rPr>
                <w:b/>
                <w:bCs/>
              </w:rPr>
              <w:lastRenderedPageBreak/>
              <w:t>Key Activities</w:t>
            </w:r>
          </w:p>
        </w:tc>
        <w:tc>
          <w:tcPr>
            <w:tcW w:w="441" w:type="dxa"/>
            <w:shd w:val="clear" w:color="auto" w:fill="auto"/>
            <w:textDirection w:val="tbRl"/>
            <w:vAlign w:val="center"/>
          </w:tcPr>
          <w:p w14:paraId="632E7DB4" w14:textId="77777777" w:rsidR="00E90764" w:rsidRPr="006D2D9F" w:rsidRDefault="0099166C" w:rsidP="001D1CF9">
            <w:pPr>
              <w:pStyle w:val="BodyText"/>
              <w:rPr>
                <w:b/>
                <w:bCs/>
              </w:rPr>
            </w:pPr>
            <w:r w:rsidRPr="006D2D9F">
              <w:rPr>
                <w:b/>
                <w:bCs/>
              </w:rPr>
              <w:t>2021–22</w:t>
            </w:r>
          </w:p>
        </w:tc>
        <w:tc>
          <w:tcPr>
            <w:tcW w:w="441" w:type="dxa"/>
            <w:shd w:val="clear" w:color="auto" w:fill="auto"/>
            <w:textDirection w:val="tbRl"/>
            <w:vAlign w:val="center"/>
          </w:tcPr>
          <w:p w14:paraId="632E7DB5" w14:textId="77777777" w:rsidR="00E90764" w:rsidRPr="006D2D9F" w:rsidRDefault="0099166C" w:rsidP="001D1CF9">
            <w:pPr>
              <w:pStyle w:val="BodyText"/>
              <w:rPr>
                <w:b/>
                <w:bCs/>
              </w:rPr>
            </w:pPr>
            <w:r w:rsidRPr="006D2D9F">
              <w:rPr>
                <w:b/>
                <w:bCs/>
              </w:rPr>
              <w:t>2022–23</w:t>
            </w:r>
          </w:p>
        </w:tc>
        <w:tc>
          <w:tcPr>
            <w:tcW w:w="439" w:type="dxa"/>
            <w:shd w:val="clear" w:color="auto" w:fill="auto"/>
            <w:textDirection w:val="tbRl"/>
            <w:vAlign w:val="center"/>
          </w:tcPr>
          <w:p w14:paraId="632E7DB6" w14:textId="77777777" w:rsidR="00E90764" w:rsidRPr="006D2D9F" w:rsidRDefault="0099166C" w:rsidP="001D1CF9">
            <w:pPr>
              <w:pStyle w:val="BodyText"/>
              <w:rPr>
                <w:b/>
                <w:bCs/>
              </w:rPr>
            </w:pPr>
            <w:r w:rsidRPr="006D2D9F">
              <w:rPr>
                <w:b/>
                <w:bCs/>
              </w:rPr>
              <w:t>2023–24</w:t>
            </w:r>
          </w:p>
        </w:tc>
        <w:tc>
          <w:tcPr>
            <w:tcW w:w="441" w:type="dxa"/>
            <w:shd w:val="clear" w:color="auto" w:fill="auto"/>
            <w:textDirection w:val="tbRl"/>
            <w:vAlign w:val="center"/>
          </w:tcPr>
          <w:p w14:paraId="632E7DB7" w14:textId="77777777" w:rsidR="00E90764" w:rsidRPr="006D2D9F" w:rsidRDefault="0099166C" w:rsidP="001D1CF9">
            <w:pPr>
              <w:pStyle w:val="BodyText"/>
              <w:rPr>
                <w:b/>
                <w:bCs/>
              </w:rPr>
            </w:pPr>
            <w:r w:rsidRPr="006D2D9F">
              <w:rPr>
                <w:b/>
                <w:bCs/>
              </w:rPr>
              <w:t>2024–25</w:t>
            </w:r>
          </w:p>
        </w:tc>
      </w:tr>
      <w:tr w:rsidR="00E90764" w:rsidRPr="00CF6322" w14:paraId="632E7DBE" w14:textId="77777777" w:rsidTr="00C404FB">
        <w:trPr>
          <w:trHeight w:val="391"/>
        </w:trPr>
        <w:tc>
          <w:tcPr>
            <w:tcW w:w="8541" w:type="dxa"/>
            <w:shd w:val="clear" w:color="auto" w:fill="auto"/>
            <w:vAlign w:val="center"/>
          </w:tcPr>
          <w:p w14:paraId="632E7DB9" w14:textId="77777777" w:rsidR="00E90764" w:rsidRPr="00CF6322" w:rsidRDefault="0099166C" w:rsidP="001D1CF9">
            <w:pPr>
              <w:pStyle w:val="BodyText"/>
            </w:pPr>
            <w:r w:rsidRPr="00CF6322">
              <w:t>Extension to the CHSP and transition to payment in arrears.</w:t>
            </w:r>
          </w:p>
        </w:tc>
        <w:tc>
          <w:tcPr>
            <w:tcW w:w="441" w:type="dxa"/>
            <w:shd w:val="clear" w:color="auto" w:fill="auto"/>
          </w:tcPr>
          <w:p w14:paraId="632E7DBA" w14:textId="5CACD7C0"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DBB" w14:textId="705A0CDC"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DBC" w14:textId="77777777" w:rsidR="00E90764" w:rsidRPr="00CF6322" w:rsidRDefault="00E90764" w:rsidP="001D1CF9">
            <w:pPr>
              <w:pStyle w:val="BodyText"/>
            </w:pPr>
          </w:p>
        </w:tc>
        <w:tc>
          <w:tcPr>
            <w:tcW w:w="441" w:type="dxa"/>
            <w:shd w:val="clear" w:color="auto" w:fill="auto"/>
          </w:tcPr>
          <w:p w14:paraId="632E7DBD" w14:textId="77777777" w:rsidR="00E90764" w:rsidRPr="00CF6322" w:rsidRDefault="00E90764" w:rsidP="001D1CF9">
            <w:pPr>
              <w:pStyle w:val="BodyText"/>
            </w:pPr>
          </w:p>
        </w:tc>
      </w:tr>
      <w:tr w:rsidR="00E90764" w:rsidRPr="00CF6322" w14:paraId="632E7DC4" w14:textId="77777777" w:rsidTr="00C404FB">
        <w:trPr>
          <w:trHeight w:val="582"/>
        </w:trPr>
        <w:tc>
          <w:tcPr>
            <w:tcW w:w="8541" w:type="dxa"/>
            <w:shd w:val="clear" w:color="auto" w:fill="auto"/>
            <w:vAlign w:val="center"/>
          </w:tcPr>
          <w:p w14:paraId="632E7DBF" w14:textId="77777777" w:rsidR="00E90764" w:rsidRPr="00CF6322" w:rsidRDefault="0099166C" w:rsidP="001D1CF9">
            <w:pPr>
              <w:pStyle w:val="BodyText"/>
            </w:pPr>
            <w:r w:rsidRPr="00CF6322">
              <w:t xml:space="preserve">Delivering the HCP Program and conducting assurance reviews of up to 500 providers and fraud </w:t>
            </w:r>
            <w:proofErr w:type="spellStart"/>
            <w:r w:rsidRPr="00CF6322">
              <w:t>minimisation</w:t>
            </w:r>
            <w:proofErr w:type="spellEnd"/>
            <w:r w:rsidRPr="00CF6322">
              <w:t xml:space="preserve"> activities to support the HCP Program and any future program.</w:t>
            </w:r>
          </w:p>
        </w:tc>
        <w:tc>
          <w:tcPr>
            <w:tcW w:w="441" w:type="dxa"/>
            <w:shd w:val="clear" w:color="auto" w:fill="auto"/>
          </w:tcPr>
          <w:p w14:paraId="632E7DC0" w14:textId="6F4D0D99"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DC1" w14:textId="44F724C5"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DC2" w14:textId="3B73ABDE"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DC3" w14:textId="7A7900AF" w:rsidR="00E90764" w:rsidRPr="00CF6322" w:rsidRDefault="00041BDA" w:rsidP="001D1CF9">
            <w:pPr>
              <w:pStyle w:val="BodyText"/>
            </w:pPr>
            <w:r>
              <w:rPr>
                <w:rFonts w:ascii="Segoe UI Symbol" w:hAnsi="Segoe UI Symbol" w:cs="Segoe UI Symbol"/>
              </w:rPr>
              <w:t>✓</w:t>
            </w:r>
          </w:p>
        </w:tc>
      </w:tr>
      <w:tr w:rsidR="00E90764" w:rsidRPr="00CF6322" w14:paraId="632E7DCA" w14:textId="77777777" w:rsidTr="00C404FB">
        <w:trPr>
          <w:trHeight w:val="582"/>
        </w:trPr>
        <w:tc>
          <w:tcPr>
            <w:tcW w:w="8541" w:type="dxa"/>
            <w:shd w:val="clear" w:color="auto" w:fill="auto"/>
            <w:vAlign w:val="center"/>
          </w:tcPr>
          <w:p w14:paraId="632E7DC5" w14:textId="77777777" w:rsidR="00E90764" w:rsidRPr="00CF6322" w:rsidRDefault="0099166C" w:rsidP="001D1CF9">
            <w:pPr>
              <w:pStyle w:val="BodyText"/>
            </w:pPr>
            <w:r w:rsidRPr="00CF6322">
              <w:t>Providing access to a range of short-term services focused on supporting client independence and wellness to enable senior Australians to keep living in their own homes.</w:t>
            </w:r>
          </w:p>
        </w:tc>
        <w:tc>
          <w:tcPr>
            <w:tcW w:w="441" w:type="dxa"/>
            <w:shd w:val="clear" w:color="auto" w:fill="auto"/>
          </w:tcPr>
          <w:p w14:paraId="632E7DC6" w14:textId="47B6667D"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DC7" w14:textId="3928A94A"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DC8" w14:textId="7E433F55"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DC9" w14:textId="0C4BD409" w:rsidR="00E90764" w:rsidRPr="00CF6322" w:rsidRDefault="00041BDA" w:rsidP="001D1CF9">
            <w:pPr>
              <w:pStyle w:val="BodyText"/>
            </w:pPr>
            <w:r>
              <w:rPr>
                <w:rFonts w:ascii="Segoe UI Symbol" w:hAnsi="Segoe UI Symbol" w:cs="Segoe UI Symbol"/>
              </w:rPr>
              <w:t>✓</w:t>
            </w:r>
          </w:p>
        </w:tc>
      </w:tr>
      <w:tr w:rsidR="00E90764" w:rsidRPr="00CF6322" w14:paraId="632E7DD2" w14:textId="77777777" w:rsidTr="00C404FB">
        <w:trPr>
          <w:trHeight w:val="1062"/>
        </w:trPr>
        <w:tc>
          <w:tcPr>
            <w:tcW w:w="8541" w:type="dxa"/>
            <w:shd w:val="clear" w:color="auto" w:fill="auto"/>
            <w:vAlign w:val="center"/>
          </w:tcPr>
          <w:p w14:paraId="632E7DCB" w14:textId="77777777" w:rsidR="00E90764" w:rsidRPr="00CF6322" w:rsidRDefault="0099166C" w:rsidP="001D1CF9">
            <w:pPr>
              <w:pStyle w:val="BodyText"/>
            </w:pPr>
            <w:r w:rsidRPr="00CF6322">
              <w:t xml:space="preserve">Providing senior Australians with aged care services in the home through a new support at home program that: aligns services to independently assessed needs, provides more timely support for informal </w:t>
            </w:r>
            <w:proofErr w:type="spellStart"/>
            <w:r w:rsidRPr="00CF6322">
              <w:t>carers</w:t>
            </w:r>
            <w:proofErr w:type="spellEnd"/>
            <w:r w:rsidRPr="00CF6322">
              <w:t>, has a focus on early intervention, and is underpinned by a modern classification and funding system.</w:t>
            </w:r>
          </w:p>
        </w:tc>
        <w:tc>
          <w:tcPr>
            <w:tcW w:w="441" w:type="dxa"/>
            <w:shd w:val="clear" w:color="auto" w:fill="auto"/>
          </w:tcPr>
          <w:p w14:paraId="632E7DCC" w14:textId="77777777" w:rsidR="00E90764" w:rsidRPr="00CF6322" w:rsidRDefault="00E90764" w:rsidP="001D1CF9">
            <w:pPr>
              <w:pStyle w:val="BodyText"/>
            </w:pPr>
          </w:p>
        </w:tc>
        <w:tc>
          <w:tcPr>
            <w:tcW w:w="441" w:type="dxa"/>
            <w:shd w:val="clear" w:color="auto" w:fill="auto"/>
          </w:tcPr>
          <w:p w14:paraId="632E7DCD" w14:textId="77777777" w:rsidR="00E90764" w:rsidRPr="00CF6322" w:rsidRDefault="00E90764" w:rsidP="001D1CF9">
            <w:pPr>
              <w:pStyle w:val="BodyText"/>
            </w:pPr>
          </w:p>
        </w:tc>
        <w:tc>
          <w:tcPr>
            <w:tcW w:w="439" w:type="dxa"/>
            <w:shd w:val="clear" w:color="auto" w:fill="auto"/>
          </w:tcPr>
          <w:p w14:paraId="632E7DCF" w14:textId="54A33ADA"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DD1" w14:textId="7758D10F" w:rsidR="00E90764" w:rsidRPr="00CF6322" w:rsidRDefault="00041BDA" w:rsidP="001D1CF9">
            <w:pPr>
              <w:pStyle w:val="BodyText"/>
            </w:pPr>
            <w:r>
              <w:rPr>
                <w:rFonts w:ascii="Segoe UI Symbol" w:hAnsi="Segoe UI Symbol" w:cs="Segoe UI Symbol"/>
              </w:rPr>
              <w:t>✓</w:t>
            </w:r>
          </w:p>
        </w:tc>
      </w:tr>
      <w:tr w:rsidR="00E90764" w:rsidRPr="00CF6322" w14:paraId="632E7DD8" w14:textId="77777777" w:rsidTr="00C404FB">
        <w:trPr>
          <w:trHeight w:val="582"/>
        </w:trPr>
        <w:tc>
          <w:tcPr>
            <w:tcW w:w="8541" w:type="dxa"/>
            <w:shd w:val="clear" w:color="auto" w:fill="auto"/>
            <w:vAlign w:val="center"/>
          </w:tcPr>
          <w:p w14:paraId="632E7DD3" w14:textId="77777777" w:rsidR="00E90764" w:rsidRPr="00CF6322" w:rsidRDefault="0099166C" w:rsidP="001D1CF9">
            <w:pPr>
              <w:pStyle w:val="BodyText"/>
            </w:pPr>
            <w:r w:rsidRPr="00CF6322">
              <w:t>Supporting people in residential aged care, and people with different care needs, via flexible care arrangements.</w:t>
            </w:r>
          </w:p>
        </w:tc>
        <w:tc>
          <w:tcPr>
            <w:tcW w:w="441" w:type="dxa"/>
            <w:shd w:val="clear" w:color="auto" w:fill="auto"/>
          </w:tcPr>
          <w:p w14:paraId="632E7DD4" w14:textId="6A604569"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DD5" w14:textId="4A4D5446"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DD6" w14:textId="032E1821"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DD7" w14:textId="7FB77B57" w:rsidR="00E90764" w:rsidRPr="00CF6322" w:rsidRDefault="00041BDA" w:rsidP="001D1CF9">
            <w:pPr>
              <w:pStyle w:val="BodyText"/>
            </w:pPr>
            <w:r>
              <w:rPr>
                <w:rFonts w:ascii="Segoe UI Symbol" w:hAnsi="Segoe UI Symbol" w:cs="Segoe UI Symbol"/>
              </w:rPr>
              <w:t>✓</w:t>
            </w:r>
          </w:p>
        </w:tc>
      </w:tr>
      <w:tr w:rsidR="00E90764" w:rsidRPr="00CF6322" w14:paraId="632E7DDE" w14:textId="77777777" w:rsidTr="00C404FB">
        <w:trPr>
          <w:trHeight w:val="582"/>
        </w:trPr>
        <w:tc>
          <w:tcPr>
            <w:tcW w:w="8541" w:type="dxa"/>
            <w:shd w:val="clear" w:color="auto" w:fill="auto"/>
            <w:vAlign w:val="center"/>
          </w:tcPr>
          <w:p w14:paraId="632E7DD9" w14:textId="77777777" w:rsidR="00E90764" w:rsidRPr="00CF6322" w:rsidRDefault="0099166C" w:rsidP="001D1CF9">
            <w:pPr>
              <w:pStyle w:val="BodyText"/>
            </w:pPr>
            <w:r w:rsidRPr="00CF6322">
              <w:t>Delivering a range of residential aged care options and accommodation for senior Australians who are unable to continue living independently in their own homes, either on a permanent or short-term basis.</w:t>
            </w:r>
          </w:p>
        </w:tc>
        <w:tc>
          <w:tcPr>
            <w:tcW w:w="441" w:type="dxa"/>
            <w:shd w:val="clear" w:color="auto" w:fill="auto"/>
          </w:tcPr>
          <w:p w14:paraId="632E7DDA" w14:textId="50014F89"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DDB" w14:textId="25660670"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DDC" w14:textId="032F0B97"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DDD" w14:textId="276CBEEC" w:rsidR="00E90764" w:rsidRPr="00CF6322" w:rsidRDefault="00041BDA" w:rsidP="001D1CF9">
            <w:pPr>
              <w:pStyle w:val="BodyText"/>
            </w:pPr>
            <w:r>
              <w:rPr>
                <w:rFonts w:ascii="Segoe UI Symbol" w:hAnsi="Segoe UI Symbol" w:cs="Segoe UI Symbol"/>
              </w:rPr>
              <w:t>✓</w:t>
            </w:r>
          </w:p>
        </w:tc>
      </w:tr>
      <w:tr w:rsidR="00E90764" w:rsidRPr="00CF6322" w14:paraId="632E7DE4" w14:textId="77777777" w:rsidTr="00C404FB">
        <w:trPr>
          <w:trHeight w:val="582"/>
        </w:trPr>
        <w:tc>
          <w:tcPr>
            <w:tcW w:w="8541" w:type="dxa"/>
            <w:shd w:val="clear" w:color="auto" w:fill="auto"/>
            <w:vAlign w:val="center"/>
          </w:tcPr>
          <w:p w14:paraId="632E7DDF" w14:textId="77777777" w:rsidR="00E90764" w:rsidRPr="00CF6322" w:rsidRDefault="0099166C" w:rsidP="001D1CF9">
            <w:pPr>
              <w:pStyle w:val="BodyText"/>
            </w:pPr>
            <w:r w:rsidRPr="00CF6322">
              <w:t>Continuing implementation of the Specialist Dementia Care Program to assist people experiencing Severe Behavioural and Psychological Symptoms of Dementia.</w:t>
            </w:r>
          </w:p>
        </w:tc>
        <w:tc>
          <w:tcPr>
            <w:tcW w:w="441" w:type="dxa"/>
            <w:shd w:val="clear" w:color="auto" w:fill="auto"/>
          </w:tcPr>
          <w:p w14:paraId="632E7DE0" w14:textId="2141900B"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DE1" w14:textId="07B97194"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DE2" w14:textId="6993B032"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DE3" w14:textId="39A76383" w:rsidR="00E90764" w:rsidRPr="00CF6322" w:rsidRDefault="00041BDA" w:rsidP="001D1CF9">
            <w:pPr>
              <w:pStyle w:val="BodyText"/>
            </w:pPr>
            <w:r>
              <w:rPr>
                <w:rFonts w:ascii="Segoe UI Symbol" w:hAnsi="Segoe UI Symbol" w:cs="Segoe UI Symbol"/>
              </w:rPr>
              <w:t>✓</w:t>
            </w:r>
          </w:p>
        </w:tc>
      </w:tr>
      <w:tr w:rsidR="00E90764" w:rsidRPr="00CF6322" w14:paraId="632E7DEA" w14:textId="77777777" w:rsidTr="00C404FB">
        <w:trPr>
          <w:trHeight w:val="582"/>
        </w:trPr>
        <w:tc>
          <w:tcPr>
            <w:tcW w:w="8541" w:type="dxa"/>
            <w:shd w:val="clear" w:color="auto" w:fill="auto"/>
            <w:vAlign w:val="center"/>
          </w:tcPr>
          <w:p w14:paraId="632E7DE5" w14:textId="668D6E34" w:rsidR="00E90764" w:rsidRPr="00CF6322" w:rsidRDefault="0099166C" w:rsidP="001D1CF9">
            <w:pPr>
              <w:pStyle w:val="BodyText"/>
            </w:pPr>
            <w:r w:rsidRPr="00CF6322">
              <w:t>Supporting development of innovative technologies to pilot stage, to improve care for people living</w:t>
            </w:r>
            <w:r w:rsidR="00C404FB">
              <w:t xml:space="preserve"> </w:t>
            </w:r>
            <w:r w:rsidRPr="00CF6322">
              <w:t>with dementia.</w:t>
            </w:r>
          </w:p>
        </w:tc>
        <w:tc>
          <w:tcPr>
            <w:tcW w:w="441" w:type="dxa"/>
            <w:shd w:val="clear" w:color="auto" w:fill="auto"/>
          </w:tcPr>
          <w:p w14:paraId="632E7DE6" w14:textId="7C0C0A83"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DE7" w14:textId="0ADEAA39"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DE8" w14:textId="77777777" w:rsidR="00E90764" w:rsidRPr="00CF6322" w:rsidRDefault="00E90764" w:rsidP="001D1CF9">
            <w:pPr>
              <w:pStyle w:val="BodyText"/>
            </w:pPr>
          </w:p>
        </w:tc>
        <w:tc>
          <w:tcPr>
            <w:tcW w:w="441" w:type="dxa"/>
            <w:shd w:val="clear" w:color="auto" w:fill="auto"/>
          </w:tcPr>
          <w:p w14:paraId="632E7DE9" w14:textId="77777777" w:rsidR="00E90764" w:rsidRPr="00CF6322" w:rsidRDefault="00E90764" w:rsidP="001D1CF9">
            <w:pPr>
              <w:pStyle w:val="BodyText"/>
            </w:pPr>
          </w:p>
        </w:tc>
      </w:tr>
      <w:tr w:rsidR="00E90764" w:rsidRPr="00CF6322" w14:paraId="632E7DF0" w14:textId="77777777" w:rsidTr="00C404FB">
        <w:trPr>
          <w:trHeight w:val="582"/>
        </w:trPr>
        <w:tc>
          <w:tcPr>
            <w:tcW w:w="8541" w:type="dxa"/>
            <w:shd w:val="clear" w:color="auto" w:fill="auto"/>
            <w:vAlign w:val="center"/>
          </w:tcPr>
          <w:p w14:paraId="632E7DEB" w14:textId="77777777" w:rsidR="00E90764" w:rsidRPr="00CF6322" w:rsidRDefault="0099166C" w:rsidP="001D1CF9">
            <w:pPr>
              <w:pStyle w:val="BodyText"/>
            </w:pPr>
            <w:r w:rsidRPr="00CF6322">
              <w:t>Continuing to support access to restorative care interventions by improving wellbeing for senior Australians through the STRCP and Transition Care Program.</w:t>
            </w:r>
          </w:p>
        </w:tc>
        <w:tc>
          <w:tcPr>
            <w:tcW w:w="441" w:type="dxa"/>
            <w:shd w:val="clear" w:color="auto" w:fill="auto"/>
          </w:tcPr>
          <w:p w14:paraId="632E7DEC" w14:textId="5C96CE43"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DED" w14:textId="127B0B3B"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DEE" w14:textId="353EEA0A"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DEF" w14:textId="65B359A6" w:rsidR="00E90764" w:rsidRPr="00CF6322" w:rsidRDefault="00041BDA" w:rsidP="001D1CF9">
            <w:pPr>
              <w:pStyle w:val="BodyText"/>
            </w:pPr>
            <w:r>
              <w:rPr>
                <w:rFonts w:ascii="Segoe UI Symbol" w:hAnsi="Segoe UI Symbol" w:cs="Segoe UI Symbol"/>
              </w:rPr>
              <w:t>✓</w:t>
            </w:r>
          </w:p>
        </w:tc>
      </w:tr>
      <w:tr w:rsidR="00E90764" w:rsidRPr="00CF6322" w14:paraId="632E7DFA" w14:textId="77777777" w:rsidTr="00C404FB">
        <w:trPr>
          <w:trHeight w:val="822"/>
        </w:trPr>
        <w:tc>
          <w:tcPr>
            <w:tcW w:w="8541" w:type="dxa"/>
            <w:shd w:val="clear" w:color="auto" w:fill="auto"/>
            <w:vAlign w:val="center"/>
          </w:tcPr>
          <w:p w14:paraId="632E7DF1" w14:textId="5AC9A60B" w:rsidR="00E90764" w:rsidRPr="00CF6322" w:rsidRDefault="0099166C" w:rsidP="001D1CF9">
            <w:pPr>
              <w:pStyle w:val="BodyText"/>
            </w:pPr>
            <w:r w:rsidRPr="00CF6322">
              <w:t xml:space="preserve">Delivering the new Disability Support for Older Australians program to deliver improved parity with the National Disability Insurance Scheme and deliver a more client </w:t>
            </w:r>
            <w:proofErr w:type="spellStart"/>
            <w:r w:rsidRPr="00CF6322">
              <w:t>centred</w:t>
            </w:r>
            <w:proofErr w:type="spellEnd"/>
            <w:r w:rsidRPr="00CF6322">
              <w:t xml:space="preserve"> program for older</w:t>
            </w:r>
            <w:r w:rsidR="00313977" w:rsidRPr="00CF6322">
              <w:t xml:space="preserve"> </w:t>
            </w:r>
            <w:r w:rsidRPr="00CF6322">
              <w:t>Australians with Disability.</w:t>
            </w:r>
          </w:p>
        </w:tc>
        <w:tc>
          <w:tcPr>
            <w:tcW w:w="441" w:type="dxa"/>
            <w:shd w:val="clear" w:color="auto" w:fill="auto"/>
          </w:tcPr>
          <w:p w14:paraId="632E7DF3" w14:textId="3B89C8DF"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DF5" w14:textId="08C1FAAE"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DF7" w14:textId="5854C905"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DF9" w14:textId="5D4AAA22" w:rsidR="00E90764" w:rsidRPr="00CF6322" w:rsidRDefault="00041BDA" w:rsidP="001D1CF9">
            <w:pPr>
              <w:pStyle w:val="BodyText"/>
            </w:pPr>
            <w:r>
              <w:rPr>
                <w:rFonts w:ascii="Segoe UI Symbol" w:hAnsi="Segoe UI Symbol" w:cs="Segoe UI Symbol"/>
              </w:rPr>
              <w:t>✓</w:t>
            </w:r>
          </w:p>
        </w:tc>
      </w:tr>
      <w:tr w:rsidR="00E90764" w:rsidRPr="00CF6322" w14:paraId="632E7E00" w14:textId="77777777" w:rsidTr="00C404FB">
        <w:trPr>
          <w:trHeight w:val="582"/>
        </w:trPr>
        <w:tc>
          <w:tcPr>
            <w:tcW w:w="8541" w:type="dxa"/>
            <w:shd w:val="clear" w:color="auto" w:fill="auto"/>
            <w:vAlign w:val="center"/>
          </w:tcPr>
          <w:p w14:paraId="632E7DFB" w14:textId="19688E31" w:rsidR="00E90764" w:rsidRPr="00CF6322" w:rsidRDefault="0099166C" w:rsidP="001D1CF9">
            <w:pPr>
              <w:pStyle w:val="BodyText"/>
            </w:pPr>
            <w:r w:rsidRPr="00CF6322">
              <w:t>Providing flexible care options to meet the aged care needs of senior Australians living in regional</w:t>
            </w:r>
            <w:r w:rsidR="00C404FB">
              <w:t xml:space="preserve"> </w:t>
            </w:r>
            <w:r w:rsidRPr="00CF6322">
              <w:t>and remote communities through the Multi-Purpose Services Program.</w:t>
            </w:r>
          </w:p>
        </w:tc>
        <w:tc>
          <w:tcPr>
            <w:tcW w:w="441" w:type="dxa"/>
            <w:shd w:val="clear" w:color="auto" w:fill="auto"/>
          </w:tcPr>
          <w:p w14:paraId="632E7DFC" w14:textId="52866C5D"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DFD" w14:textId="0DCB3C78"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DFE" w14:textId="27D0AA6B"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DFF" w14:textId="62B800BD" w:rsidR="00E90764" w:rsidRPr="00CF6322" w:rsidRDefault="00041BDA" w:rsidP="001D1CF9">
            <w:pPr>
              <w:pStyle w:val="BodyText"/>
            </w:pPr>
            <w:r>
              <w:rPr>
                <w:rFonts w:ascii="Segoe UI Symbol" w:hAnsi="Segoe UI Symbol" w:cs="Segoe UI Symbol"/>
              </w:rPr>
              <w:t>✓</w:t>
            </w:r>
          </w:p>
        </w:tc>
      </w:tr>
      <w:tr w:rsidR="00E90764" w:rsidRPr="00CF6322" w14:paraId="632E7E0A" w14:textId="77777777" w:rsidTr="00C404FB">
        <w:trPr>
          <w:trHeight w:val="822"/>
        </w:trPr>
        <w:tc>
          <w:tcPr>
            <w:tcW w:w="8541" w:type="dxa"/>
            <w:shd w:val="clear" w:color="auto" w:fill="auto"/>
            <w:vAlign w:val="center"/>
          </w:tcPr>
          <w:p w14:paraId="632E7E01" w14:textId="5B23A7DE" w:rsidR="00E90764" w:rsidRPr="00CF6322" w:rsidRDefault="0099166C" w:rsidP="001D1CF9">
            <w:pPr>
              <w:pStyle w:val="BodyText"/>
            </w:pPr>
            <w:r w:rsidRPr="00CF6322">
              <w:t xml:space="preserve">Supporting the Indigenous Australians Health </w:t>
            </w:r>
            <w:proofErr w:type="spellStart"/>
            <w:r w:rsidRPr="00CF6322">
              <w:t>Programme</w:t>
            </w:r>
            <w:proofErr w:type="spellEnd"/>
            <w:r w:rsidRPr="00CF6322">
              <w:t>, including delivery of culturally appropriate</w:t>
            </w:r>
            <w:r w:rsidR="00313977" w:rsidRPr="00CF6322">
              <w:t xml:space="preserve"> </w:t>
            </w:r>
            <w:r w:rsidRPr="00CF6322">
              <w:t>aged care for Aboriginal and Torres Strait Islander people close to home, through the ongoing expansion of the National Aboriginal and Torres Strait Islander Flexible Aged Care Program.</w:t>
            </w:r>
          </w:p>
        </w:tc>
        <w:tc>
          <w:tcPr>
            <w:tcW w:w="441" w:type="dxa"/>
            <w:shd w:val="clear" w:color="auto" w:fill="auto"/>
          </w:tcPr>
          <w:p w14:paraId="632E7E03" w14:textId="7253E24E"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E05" w14:textId="6A15C2BA"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E07" w14:textId="204AD6B0"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E09" w14:textId="09A443E6" w:rsidR="00E90764" w:rsidRPr="00CF6322" w:rsidRDefault="00041BDA" w:rsidP="001D1CF9">
            <w:pPr>
              <w:pStyle w:val="BodyText"/>
            </w:pPr>
            <w:r>
              <w:rPr>
                <w:rFonts w:ascii="Segoe UI Symbol" w:hAnsi="Segoe UI Symbol" w:cs="Segoe UI Symbol"/>
              </w:rPr>
              <w:t>✓</w:t>
            </w:r>
          </w:p>
        </w:tc>
      </w:tr>
    </w:tbl>
    <w:p w14:paraId="24244682" w14:textId="77777777" w:rsidR="006D2D9F" w:rsidRDefault="006D2D9F" w:rsidP="00A750C2">
      <w:r>
        <w:br w:type="page"/>
      </w:r>
    </w:p>
    <w:p w14:paraId="632E7E0D" w14:textId="5CFE5589" w:rsidR="00E90764" w:rsidRPr="00CF6322" w:rsidRDefault="0099166C" w:rsidP="00C404FB">
      <w:pPr>
        <w:pStyle w:val="Heading4"/>
      </w:pPr>
      <w:r w:rsidRPr="00CF6322">
        <w:lastRenderedPageBreak/>
        <w:t xml:space="preserve">Our </w:t>
      </w:r>
      <w:r w:rsidRPr="00C404FB">
        <w:t>Performance</w:t>
      </w:r>
    </w:p>
    <w:p w14:paraId="632E7E0E" w14:textId="77777777" w:rsidR="00E90764" w:rsidRPr="00CF6322" w:rsidRDefault="0099166C" w:rsidP="00C404FB">
      <w:pPr>
        <w:pStyle w:val="Heading5"/>
      </w:pPr>
      <w:r w:rsidRPr="00CF6322">
        <w:t>Performance Measures for Aged Care Services – Program 3.2</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0" w:type="dxa"/>
        </w:tblCellMar>
        <w:tblLook w:val="01E0" w:firstRow="1" w:lastRow="1" w:firstColumn="1" w:lastColumn="1" w:noHBand="0" w:noVBand="0"/>
      </w:tblPr>
      <w:tblGrid>
        <w:gridCol w:w="2571"/>
        <w:gridCol w:w="2571"/>
        <w:gridCol w:w="2571"/>
        <w:gridCol w:w="2571"/>
      </w:tblGrid>
      <w:tr w:rsidR="00E90764" w:rsidRPr="006D2D9F" w14:paraId="632E7E11" w14:textId="77777777" w:rsidTr="006D2D9F">
        <w:trPr>
          <w:trHeight w:val="465"/>
          <w:tblHeader/>
        </w:trPr>
        <w:tc>
          <w:tcPr>
            <w:tcW w:w="10284" w:type="dxa"/>
            <w:gridSpan w:val="4"/>
            <w:shd w:val="clear" w:color="auto" w:fill="auto"/>
          </w:tcPr>
          <w:p w14:paraId="632E7E10" w14:textId="0D7E9514" w:rsidR="00E90764" w:rsidRPr="006D2D9F" w:rsidRDefault="0099166C" w:rsidP="001D1CF9">
            <w:pPr>
              <w:pStyle w:val="BodyText"/>
              <w:rPr>
                <w:b/>
                <w:bCs/>
              </w:rPr>
            </w:pPr>
            <w:r w:rsidRPr="006D2D9F">
              <w:rPr>
                <w:b/>
                <w:bCs/>
              </w:rPr>
              <w:t xml:space="preserve">Number of clients that accessed Commonwealth Home Support </w:t>
            </w:r>
            <w:proofErr w:type="spellStart"/>
            <w:r w:rsidRPr="006D2D9F">
              <w:rPr>
                <w:b/>
                <w:bCs/>
              </w:rPr>
              <w:t>Programme</w:t>
            </w:r>
            <w:proofErr w:type="spellEnd"/>
            <w:r w:rsidRPr="006D2D9F">
              <w:rPr>
                <w:b/>
                <w:bCs/>
              </w:rPr>
              <w:t xml:space="preserve"> (CHSP) services.</w:t>
            </w:r>
            <w:r w:rsidR="005F65F2" w:rsidRPr="006D2D9F">
              <w:rPr>
                <w:rStyle w:val="FootnoteReference"/>
                <w:b/>
                <w:bCs/>
              </w:rPr>
              <w:footnoteReference w:id="65"/>
            </w:r>
          </w:p>
        </w:tc>
      </w:tr>
      <w:tr w:rsidR="00E90764" w:rsidRPr="006D2D9F" w14:paraId="632E7E16" w14:textId="77777777" w:rsidTr="00C404FB">
        <w:trPr>
          <w:trHeight w:val="458"/>
        </w:trPr>
        <w:tc>
          <w:tcPr>
            <w:tcW w:w="2571" w:type="dxa"/>
            <w:shd w:val="clear" w:color="auto" w:fill="auto"/>
          </w:tcPr>
          <w:p w14:paraId="632E7E12" w14:textId="77777777" w:rsidR="00E90764" w:rsidRPr="006D2D9F" w:rsidRDefault="0099166C" w:rsidP="001D1CF9">
            <w:pPr>
              <w:pStyle w:val="BodyText"/>
              <w:rPr>
                <w:b/>
                <w:bCs/>
              </w:rPr>
            </w:pPr>
            <w:r w:rsidRPr="006D2D9F">
              <w:rPr>
                <w:b/>
                <w:bCs/>
              </w:rPr>
              <w:t>2021–22 Target</w:t>
            </w:r>
          </w:p>
        </w:tc>
        <w:tc>
          <w:tcPr>
            <w:tcW w:w="2571" w:type="dxa"/>
            <w:shd w:val="clear" w:color="auto" w:fill="auto"/>
          </w:tcPr>
          <w:p w14:paraId="632E7E13" w14:textId="77777777" w:rsidR="00E90764" w:rsidRPr="006D2D9F" w:rsidRDefault="0099166C" w:rsidP="001D1CF9">
            <w:pPr>
              <w:pStyle w:val="BodyText"/>
              <w:rPr>
                <w:b/>
                <w:bCs/>
              </w:rPr>
            </w:pPr>
            <w:r w:rsidRPr="006D2D9F">
              <w:rPr>
                <w:b/>
                <w:bCs/>
              </w:rPr>
              <w:t>2022–23 Target</w:t>
            </w:r>
          </w:p>
        </w:tc>
        <w:tc>
          <w:tcPr>
            <w:tcW w:w="2571" w:type="dxa"/>
            <w:shd w:val="clear" w:color="auto" w:fill="auto"/>
          </w:tcPr>
          <w:p w14:paraId="632E7E14" w14:textId="77777777" w:rsidR="00E90764" w:rsidRPr="006D2D9F" w:rsidRDefault="0099166C" w:rsidP="001D1CF9">
            <w:pPr>
              <w:pStyle w:val="BodyText"/>
              <w:rPr>
                <w:b/>
                <w:bCs/>
              </w:rPr>
            </w:pPr>
            <w:r w:rsidRPr="006D2D9F">
              <w:rPr>
                <w:b/>
                <w:bCs/>
              </w:rPr>
              <w:t>2023–24 Target</w:t>
            </w:r>
          </w:p>
        </w:tc>
        <w:tc>
          <w:tcPr>
            <w:tcW w:w="2571" w:type="dxa"/>
            <w:shd w:val="clear" w:color="auto" w:fill="auto"/>
          </w:tcPr>
          <w:p w14:paraId="632E7E15" w14:textId="77777777" w:rsidR="00E90764" w:rsidRPr="006D2D9F" w:rsidRDefault="0099166C" w:rsidP="001D1CF9">
            <w:pPr>
              <w:pStyle w:val="BodyText"/>
              <w:rPr>
                <w:b/>
                <w:bCs/>
              </w:rPr>
            </w:pPr>
            <w:r w:rsidRPr="006D2D9F">
              <w:rPr>
                <w:b/>
                <w:bCs/>
              </w:rPr>
              <w:t>2024–25 Target</w:t>
            </w:r>
          </w:p>
        </w:tc>
      </w:tr>
      <w:tr w:rsidR="00E90764" w:rsidRPr="00CF6322" w14:paraId="632E7E1B" w14:textId="77777777" w:rsidTr="00C404FB">
        <w:trPr>
          <w:trHeight w:val="465"/>
        </w:trPr>
        <w:tc>
          <w:tcPr>
            <w:tcW w:w="2571" w:type="dxa"/>
            <w:shd w:val="clear" w:color="auto" w:fill="auto"/>
          </w:tcPr>
          <w:p w14:paraId="632E7E17" w14:textId="77777777" w:rsidR="00E90764" w:rsidRPr="00CF6322" w:rsidRDefault="0099166C" w:rsidP="001D1CF9">
            <w:pPr>
              <w:pStyle w:val="BodyText"/>
            </w:pPr>
            <w:r w:rsidRPr="00CF6322">
              <w:t>&gt;840,000</w:t>
            </w:r>
          </w:p>
        </w:tc>
        <w:tc>
          <w:tcPr>
            <w:tcW w:w="2571" w:type="dxa"/>
            <w:shd w:val="clear" w:color="auto" w:fill="auto"/>
          </w:tcPr>
          <w:p w14:paraId="632E7E18" w14:textId="77777777" w:rsidR="00E90764" w:rsidRPr="00CF6322" w:rsidRDefault="0099166C" w:rsidP="001D1CF9">
            <w:pPr>
              <w:pStyle w:val="BodyText"/>
            </w:pPr>
            <w:r w:rsidRPr="00CF6322">
              <w:t>N/A</w:t>
            </w:r>
          </w:p>
        </w:tc>
        <w:tc>
          <w:tcPr>
            <w:tcW w:w="2571" w:type="dxa"/>
            <w:shd w:val="clear" w:color="auto" w:fill="auto"/>
          </w:tcPr>
          <w:p w14:paraId="632E7E19" w14:textId="77777777" w:rsidR="00E90764" w:rsidRPr="00CF6322" w:rsidRDefault="0099166C" w:rsidP="001D1CF9">
            <w:pPr>
              <w:pStyle w:val="BodyText"/>
            </w:pPr>
            <w:r w:rsidRPr="00CF6322">
              <w:t>N/A</w:t>
            </w:r>
          </w:p>
        </w:tc>
        <w:tc>
          <w:tcPr>
            <w:tcW w:w="2571" w:type="dxa"/>
            <w:shd w:val="clear" w:color="auto" w:fill="auto"/>
          </w:tcPr>
          <w:p w14:paraId="632E7E1A" w14:textId="77777777" w:rsidR="00E90764" w:rsidRPr="00CF6322" w:rsidRDefault="0099166C" w:rsidP="001D1CF9">
            <w:pPr>
              <w:pStyle w:val="BodyText"/>
            </w:pPr>
            <w:r w:rsidRPr="00CF6322">
              <w:t>N/A</w:t>
            </w:r>
          </w:p>
        </w:tc>
      </w:tr>
      <w:tr w:rsidR="00E90764" w:rsidRPr="00CF6322" w14:paraId="632E7E25" w14:textId="77777777" w:rsidTr="00C404FB">
        <w:trPr>
          <w:trHeight w:val="3259"/>
        </w:trPr>
        <w:tc>
          <w:tcPr>
            <w:tcW w:w="10284" w:type="dxa"/>
            <w:gridSpan w:val="4"/>
            <w:shd w:val="clear" w:color="auto" w:fill="auto"/>
          </w:tcPr>
          <w:p w14:paraId="632E7E1C" w14:textId="77777777" w:rsidR="00E90764" w:rsidRPr="00C404FB" w:rsidRDefault="0099166C" w:rsidP="001D1CF9">
            <w:pPr>
              <w:pStyle w:val="Heading6"/>
            </w:pPr>
            <w:r w:rsidRPr="00CF6322">
              <w:t>Data source and methodology</w:t>
            </w:r>
          </w:p>
          <w:p w14:paraId="632E7E1D" w14:textId="77777777" w:rsidR="00E90764" w:rsidRPr="00CF6322" w:rsidRDefault="0099166C" w:rsidP="001D1CF9">
            <w:pPr>
              <w:pStyle w:val="BodyText"/>
            </w:pPr>
            <w:r w:rsidRPr="00CF6322">
              <w:t>CHSP performance data is entered externally by funded providers into a reporting system, managed by the Department of Social Services. This is reported to the Department and held internally.</w:t>
            </w:r>
          </w:p>
          <w:p w14:paraId="632E7E1F" w14:textId="77777777" w:rsidR="00E90764" w:rsidRPr="00C404FB" w:rsidRDefault="0099166C" w:rsidP="001D1CF9">
            <w:pPr>
              <w:pStyle w:val="Heading6"/>
            </w:pPr>
            <w:r w:rsidRPr="00CF6322">
              <w:t>Measure type</w:t>
            </w:r>
          </w:p>
          <w:p w14:paraId="632E7E20" w14:textId="77777777" w:rsidR="00E90764" w:rsidRPr="00CF6322" w:rsidRDefault="0099166C" w:rsidP="001D1CF9">
            <w:pPr>
              <w:pStyle w:val="BodyText"/>
            </w:pPr>
            <w:r w:rsidRPr="00CF6322">
              <w:t>Quantitative/Output</w:t>
            </w:r>
          </w:p>
          <w:p w14:paraId="632E7E22" w14:textId="77777777" w:rsidR="00E90764" w:rsidRPr="00C404FB" w:rsidRDefault="0099166C" w:rsidP="001D1CF9">
            <w:pPr>
              <w:pStyle w:val="Heading6"/>
            </w:pPr>
            <w:r w:rsidRPr="00CF6322">
              <w:t>Discussion</w:t>
            </w:r>
          </w:p>
          <w:p w14:paraId="632E7E23" w14:textId="77777777" w:rsidR="00E90764" w:rsidRPr="00CF6322" w:rsidRDefault="0099166C" w:rsidP="001D1CF9">
            <w:pPr>
              <w:pStyle w:val="BodyText"/>
            </w:pPr>
            <w:r w:rsidRPr="00CF6322">
              <w:t>Targets for each financial year are rounded to the nearest 100 and reflect the target at 30 June.</w:t>
            </w:r>
          </w:p>
          <w:p w14:paraId="632E7E24" w14:textId="2CA30808" w:rsidR="00E90764" w:rsidRPr="00CF6322" w:rsidRDefault="0099166C" w:rsidP="001D1CF9">
            <w:pPr>
              <w:pStyle w:val="BodyText"/>
            </w:pPr>
            <w:r w:rsidRPr="00CF6322">
              <w:t>2022–23 and beyond targets will be set subject to Government decision in response to the Royal Commission into Aged</w:t>
            </w:r>
            <w:r w:rsidR="00313977" w:rsidRPr="00CF6322">
              <w:t xml:space="preserve"> </w:t>
            </w:r>
            <w:r w:rsidRPr="00CF6322">
              <w:t>Care Quality and Safety.</w:t>
            </w:r>
          </w:p>
        </w:tc>
      </w:tr>
    </w:tbl>
    <w:p w14:paraId="632E7E26" w14:textId="77777777" w:rsidR="00E90764" w:rsidRPr="00CF6322" w:rsidRDefault="00E90764" w:rsidP="001D1CF9">
      <w:pPr>
        <w:pStyle w:val="BodyText"/>
      </w:pPr>
    </w:p>
    <w:tbl>
      <w:tblPr>
        <w:tblW w:w="102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0" w:type="dxa"/>
        </w:tblCellMar>
        <w:tblLook w:val="01E0" w:firstRow="1" w:lastRow="1" w:firstColumn="1" w:lastColumn="1" w:noHBand="0" w:noVBand="0"/>
      </w:tblPr>
      <w:tblGrid>
        <w:gridCol w:w="2571"/>
        <w:gridCol w:w="2571"/>
        <w:gridCol w:w="2571"/>
        <w:gridCol w:w="2571"/>
      </w:tblGrid>
      <w:tr w:rsidR="00E90764" w:rsidRPr="006D2D9F" w14:paraId="632E7E28" w14:textId="77777777" w:rsidTr="006D2D9F">
        <w:trPr>
          <w:trHeight w:val="465"/>
          <w:tblHeader/>
        </w:trPr>
        <w:tc>
          <w:tcPr>
            <w:tcW w:w="10284" w:type="dxa"/>
            <w:gridSpan w:val="4"/>
            <w:shd w:val="clear" w:color="auto" w:fill="auto"/>
          </w:tcPr>
          <w:p w14:paraId="632E7E27" w14:textId="70CD8234" w:rsidR="00E90764" w:rsidRPr="006D2D9F" w:rsidRDefault="0099166C" w:rsidP="001D1CF9">
            <w:pPr>
              <w:pStyle w:val="BodyText"/>
              <w:rPr>
                <w:b/>
                <w:bCs/>
              </w:rPr>
            </w:pPr>
            <w:r w:rsidRPr="006D2D9F">
              <w:rPr>
                <w:b/>
                <w:bCs/>
              </w:rPr>
              <w:t>Number of allocated Home Care Packages (HCPs).</w:t>
            </w:r>
            <w:r w:rsidR="00C404FB" w:rsidRPr="006D2D9F">
              <w:rPr>
                <w:rStyle w:val="FootnoteReference"/>
                <w:b/>
                <w:bCs/>
              </w:rPr>
              <w:footnoteReference w:id="66"/>
            </w:r>
          </w:p>
        </w:tc>
      </w:tr>
      <w:tr w:rsidR="00E90764" w:rsidRPr="006D2D9F" w14:paraId="632E7E2D" w14:textId="77777777" w:rsidTr="00C404FB">
        <w:trPr>
          <w:trHeight w:val="458"/>
        </w:trPr>
        <w:tc>
          <w:tcPr>
            <w:tcW w:w="2571" w:type="dxa"/>
            <w:shd w:val="clear" w:color="auto" w:fill="auto"/>
          </w:tcPr>
          <w:p w14:paraId="632E7E29" w14:textId="77777777" w:rsidR="00E90764" w:rsidRPr="006D2D9F" w:rsidRDefault="0099166C" w:rsidP="001D1CF9">
            <w:pPr>
              <w:pStyle w:val="BodyText"/>
              <w:rPr>
                <w:b/>
                <w:bCs/>
              </w:rPr>
            </w:pPr>
            <w:r w:rsidRPr="006D2D9F">
              <w:rPr>
                <w:b/>
                <w:bCs/>
              </w:rPr>
              <w:t>2021–22 Target</w:t>
            </w:r>
          </w:p>
        </w:tc>
        <w:tc>
          <w:tcPr>
            <w:tcW w:w="2571" w:type="dxa"/>
            <w:shd w:val="clear" w:color="auto" w:fill="auto"/>
          </w:tcPr>
          <w:p w14:paraId="632E7E2A" w14:textId="77777777" w:rsidR="00E90764" w:rsidRPr="006D2D9F" w:rsidRDefault="0099166C" w:rsidP="001D1CF9">
            <w:pPr>
              <w:pStyle w:val="BodyText"/>
              <w:rPr>
                <w:b/>
                <w:bCs/>
              </w:rPr>
            </w:pPr>
            <w:r w:rsidRPr="006D2D9F">
              <w:rPr>
                <w:b/>
                <w:bCs/>
              </w:rPr>
              <w:t>2022–23 Target</w:t>
            </w:r>
          </w:p>
        </w:tc>
        <w:tc>
          <w:tcPr>
            <w:tcW w:w="2571" w:type="dxa"/>
            <w:shd w:val="clear" w:color="auto" w:fill="auto"/>
          </w:tcPr>
          <w:p w14:paraId="632E7E2B" w14:textId="77777777" w:rsidR="00E90764" w:rsidRPr="006D2D9F" w:rsidRDefault="0099166C" w:rsidP="001D1CF9">
            <w:pPr>
              <w:pStyle w:val="BodyText"/>
              <w:rPr>
                <w:b/>
                <w:bCs/>
              </w:rPr>
            </w:pPr>
            <w:r w:rsidRPr="006D2D9F">
              <w:rPr>
                <w:b/>
                <w:bCs/>
              </w:rPr>
              <w:t>2023–24 Target</w:t>
            </w:r>
          </w:p>
        </w:tc>
        <w:tc>
          <w:tcPr>
            <w:tcW w:w="2571" w:type="dxa"/>
            <w:shd w:val="clear" w:color="auto" w:fill="auto"/>
          </w:tcPr>
          <w:p w14:paraId="632E7E2C" w14:textId="77777777" w:rsidR="00E90764" w:rsidRPr="006D2D9F" w:rsidRDefault="0099166C" w:rsidP="001D1CF9">
            <w:pPr>
              <w:pStyle w:val="BodyText"/>
              <w:rPr>
                <w:b/>
                <w:bCs/>
              </w:rPr>
            </w:pPr>
            <w:r w:rsidRPr="006D2D9F">
              <w:rPr>
                <w:b/>
                <w:bCs/>
              </w:rPr>
              <w:t>2024–25 Target</w:t>
            </w:r>
          </w:p>
        </w:tc>
      </w:tr>
      <w:tr w:rsidR="00E90764" w:rsidRPr="00CF6322" w14:paraId="632E7E32" w14:textId="77777777" w:rsidTr="00C404FB">
        <w:trPr>
          <w:trHeight w:val="465"/>
        </w:trPr>
        <w:tc>
          <w:tcPr>
            <w:tcW w:w="2571" w:type="dxa"/>
            <w:shd w:val="clear" w:color="auto" w:fill="auto"/>
          </w:tcPr>
          <w:p w14:paraId="632E7E2E" w14:textId="77777777" w:rsidR="00E90764" w:rsidRPr="00CF6322" w:rsidRDefault="0099166C" w:rsidP="001D1CF9">
            <w:pPr>
              <w:pStyle w:val="BodyText"/>
            </w:pPr>
            <w:r w:rsidRPr="00CF6322">
              <w:t>235,600</w:t>
            </w:r>
          </w:p>
        </w:tc>
        <w:tc>
          <w:tcPr>
            <w:tcW w:w="2571" w:type="dxa"/>
            <w:shd w:val="clear" w:color="auto" w:fill="auto"/>
          </w:tcPr>
          <w:p w14:paraId="632E7E2F" w14:textId="77777777" w:rsidR="00E90764" w:rsidRPr="00CF6322" w:rsidRDefault="0099166C" w:rsidP="001D1CF9">
            <w:pPr>
              <w:pStyle w:val="BodyText"/>
            </w:pPr>
            <w:r w:rsidRPr="00CF6322">
              <w:t>275,600</w:t>
            </w:r>
          </w:p>
        </w:tc>
        <w:tc>
          <w:tcPr>
            <w:tcW w:w="2571" w:type="dxa"/>
            <w:shd w:val="clear" w:color="auto" w:fill="auto"/>
          </w:tcPr>
          <w:p w14:paraId="632E7E30" w14:textId="77777777" w:rsidR="00E90764" w:rsidRPr="00CF6322" w:rsidRDefault="0099166C" w:rsidP="001D1CF9">
            <w:pPr>
              <w:pStyle w:val="BodyText"/>
            </w:pPr>
            <w:r w:rsidRPr="00CF6322">
              <w:t>275,600</w:t>
            </w:r>
          </w:p>
        </w:tc>
        <w:tc>
          <w:tcPr>
            <w:tcW w:w="2571" w:type="dxa"/>
            <w:shd w:val="clear" w:color="auto" w:fill="auto"/>
          </w:tcPr>
          <w:p w14:paraId="632E7E31" w14:textId="77777777" w:rsidR="00E90764" w:rsidRPr="00CF6322" w:rsidRDefault="0099166C" w:rsidP="001D1CF9">
            <w:pPr>
              <w:pStyle w:val="BodyText"/>
            </w:pPr>
            <w:r w:rsidRPr="00CF6322">
              <w:t>275,600</w:t>
            </w:r>
          </w:p>
        </w:tc>
      </w:tr>
      <w:tr w:rsidR="00E90764" w:rsidRPr="00CF6322" w14:paraId="632E7E3C" w14:textId="77777777" w:rsidTr="00C404FB">
        <w:trPr>
          <w:trHeight w:val="3509"/>
        </w:trPr>
        <w:tc>
          <w:tcPr>
            <w:tcW w:w="10284" w:type="dxa"/>
            <w:gridSpan w:val="4"/>
            <w:shd w:val="clear" w:color="auto" w:fill="auto"/>
          </w:tcPr>
          <w:p w14:paraId="632E7E33" w14:textId="77777777" w:rsidR="00E90764" w:rsidRPr="00C404FB" w:rsidRDefault="0099166C" w:rsidP="001D1CF9">
            <w:pPr>
              <w:pStyle w:val="Heading6"/>
            </w:pPr>
            <w:r w:rsidRPr="00CF6322">
              <w:t>Data source and methodology</w:t>
            </w:r>
          </w:p>
          <w:p w14:paraId="632E7E34" w14:textId="3278691F" w:rsidR="00E90764" w:rsidRPr="00CF6322" w:rsidRDefault="0099166C" w:rsidP="001D1CF9">
            <w:pPr>
              <w:pStyle w:val="BodyText"/>
            </w:pPr>
            <w:r w:rsidRPr="00CF6322">
              <w:t>The number of allocated HCPs is the sum of the number of people in a HCP and the number of people in an assigned HCP (those in their 56/84 day take-up period). Data is published quarterly by the Australian Institute of Health and Welfare, these targets are based on the Home Care Packages Program Data Report 3rd Quarter 2020–21</w:t>
            </w:r>
            <w:r w:rsidR="00C404FB">
              <w:rPr>
                <w:rStyle w:val="FootnoteReference"/>
              </w:rPr>
              <w:footnoteReference w:id="67"/>
            </w:r>
            <w:r w:rsidRPr="00CF6322">
              <w:t>.</w:t>
            </w:r>
          </w:p>
          <w:p w14:paraId="632E7E36" w14:textId="77777777" w:rsidR="00E90764" w:rsidRPr="00CF6322" w:rsidRDefault="0099166C" w:rsidP="001D1CF9">
            <w:pPr>
              <w:pStyle w:val="Heading6"/>
            </w:pPr>
            <w:r w:rsidRPr="00CF6322">
              <w:t xml:space="preserve">Measure </w:t>
            </w:r>
            <w:r w:rsidRPr="00C404FB">
              <w:t>type</w:t>
            </w:r>
          </w:p>
          <w:p w14:paraId="632E7E37" w14:textId="77777777" w:rsidR="00E90764" w:rsidRPr="00CF6322" w:rsidRDefault="0099166C" w:rsidP="001D1CF9">
            <w:pPr>
              <w:pStyle w:val="BodyText"/>
            </w:pPr>
            <w:r w:rsidRPr="00CF6322">
              <w:t>Quantitative/Output</w:t>
            </w:r>
          </w:p>
          <w:p w14:paraId="632E7E39" w14:textId="77777777" w:rsidR="00E90764" w:rsidRPr="00C404FB" w:rsidRDefault="0099166C" w:rsidP="001D1CF9">
            <w:pPr>
              <w:pStyle w:val="Heading6"/>
            </w:pPr>
            <w:r w:rsidRPr="00CF6322">
              <w:t>Discussion</w:t>
            </w:r>
          </w:p>
          <w:p w14:paraId="632E7E3A" w14:textId="77777777" w:rsidR="00E90764" w:rsidRPr="00CF6322" w:rsidRDefault="0099166C" w:rsidP="001D1CF9">
            <w:pPr>
              <w:pStyle w:val="BodyText"/>
            </w:pPr>
            <w:r w:rsidRPr="00CF6322">
              <w:t>Targets for each financial year are rounded to the nearest 100 and reflect the target at 30 June.</w:t>
            </w:r>
          </w:p>
          <w:p w14:paraId="632E7E3B" w14:textId="77777777" w:rsidR="00E90764" w:rsidRPr="00CF6322" w:rsidRDefault="0099166C" w:rsidP="001D1CF9">
            <w:pPr>
              <w:pStyle w:val="BodyText"/>
            </w:pPr>
            <w:r w:rsidRPr="00CF6322">
              <w:t xml:space="preserve">Please note: Due to a typographical error, the targets for this performance measure published in the </w:t>
            </w:r>
            <w:r w:rsidRPr="006E10D0">
              <w:rPr>
                <w:i/>
              </w:rPr>
              <w:t xml:space="preserve">2021–22 Health Portfolio Budget Statements </w:t>
            </w:r>
            <w:r w:rsidRPr="00CF6322">
              <w:t>were incorrect.</w:t>
            </w:r>
          </w:p>
        </w:tc>
      </w:tr>
    </w:tbl>
    <w:p w14:paraId="21CAC524" w14:textId="77777777" w:rsidR="006D2D9F" w:rsidRDefault="006D2D9F">
      <w:pPr>
        <w:rPr>
          <w:rFonts w:ascii="Helvetica" w:hAnsi="Helvetica"/>
          <w:color w:val="231F20"/>
          <w:sz w:val="19"/>
          <w:szCs w:val="19"/>
        </w:rPr>
      </w:pPr>
      <w:r>
        <w:br w:type="page"/>
      </w:r>
    </w:p>
    <w:p w14:paraId="4026F605" w14:textId="77777777" w:rsidR="00E90764" w:rsidRPr="00CF6322" w:rsidRDefault="00E90764" w:rsidP="001D1CF9">
      <w:pPr>
        <w:pStyle w:val="BodyText"/>
      </w:pPr>
    </w:p>
    <w:tbl>
      <w:tblPr>
        <w:tblW w:w="102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0" w:type="dxa"/>
        </w:tblCellMar>
        <w:tblLook w:val="01E0" w:firstRow="1" w:lastRow="1" w:firstColumn="1" w:lastColumn="1" w:noHBand="0" w:noVBand="0"/>
      </w:tblPr>
      <w:tblGrid>
        <w:gridCol w:w="2571"/>
        <w:gridCol w:w="2571"/>
        <w:gridCol w:w="2571"/>
        <w:gridCol w:w="2571"/>
      </w:tblGrid>
      <w:tr w:rsidR="00E90764" w:rsidRPr="006D2D9F" w14:paraId="632E7E45" w14:textId="77777777" w:rsidTr="006D2D9F">
        <w:trPr>
          <w:trHeight w:val="465"/>
          <w:tblHeader/>
        </w:trPr>
        <w:tc>
          <w:tcPr>
            <w:tcW w:w="10284" w:type="dxa"/>
            <w:gridSpan w:val="4"/>
            <w:shd w:val="clear" w:color="auto" w:fill="auto"/>
          </w:tcPr>
          <w:p w14:paraId="632E7E44" w14:textId="14A68C0F" w:rsidR="00E90764" w:rsidRPr="006D2D9F" w:rsidRDefault="0099166C" w:rsidP="001D1CF9">
            <w:pPr>
              <w:pStyle w:val="BodyText"/>
              <w:rPr>
                <w:b/>
                <w:bCs/>
              </w:rPr>
            </w:pPr>
            <w:r w:rsidRPr="006D2D9F">
              <w:rPr>
                <w:b/>
                <w:bCs/>
              </w:rPr>
              <w:t>Residential aged care places available as at 30 June.</w:t>
            </w:r>
            <w:r w:rsidR="00C404FB" w:rsidRPr="006D2D9F">
              <w:rPr>
                <w:rStyle w:val="FootnoteReference"/>
                <w:b/>
                <w:bCs/>
              </w:rPr>
              <w:footnoteReference w:id="68"/>
            </w:r>
          </w:p>
        </w:tc>
      </w:tr>
      <w:tr w:rsidR="00E90764" w:rsidRPr="00CF6322" w14:paraId="632E7E4A" w14:textId="77777777" w:rsidTr="00C404FB">
        <w:trPr>
          <w:trHeight w:val="458"/>
        </w:trPr>
        <w:tc>
          <w:tcPr>
            <w:tcW w:w="2571" w:type="dxa"/>
            <w:shd w:val="clear" w:color="auto" w:fill="auto"/>
          </w:tcPr>
          <w:p w14:paraId="632E7E46" w14:textId="77777777" w:rsidR="00E90764" w:rsidRPr="00A37C57" w:rsidRDefault="0099166C" w:rsidP="001D1CF9">
            <w:pPr>
              <w:pStyle w:val="BodyText"/>
            </w:pPr>
            <w:r w:rsidRPr="00A37C57">
              <w:t>2021–22 Target</w:t>
            </w:r>
          </w:p>
        </w:tc>
        <w:tc>
          <w:tcPr>
            <w:tcW w:w="2571" w:type="dxa"/>
            <w:shd w:val="clear" w:color="auto" w:fill="auto"/>
          </w:tcPr>
          <w:p w14:paraId="632E7E47" w14:textId="77777777" w:rsidR="00E90764" w:rsidRPr="00A37C57" w:rsidRDefault="0099166C" w:rsidP="001D1CF9">
            <w:pPr>
              <w:pStyle w:val="BodyText"/>
            </w:pPr>
            <w:r w:rsidRPr="00A37C57">
              <w:t>2022–23 Target</w:t>
            </w:r>
          </w:p>
        </w:tc>
        <w:tc>
          <w:tcPr>
            <w:tcW w:w="2571" w:type="dxa"/>
            <w:shd w:val="clear" w:color="auto" w:fill="auto"/>
          </w:tcPr>
          <w:p w14:paraId="632E7E48" w14:textId="77777777" w:rsidR="00E90764" w:rsidRPr="00A37C57" w:rsidRDefault="0099166C" w:rsidP="001D1CF9">
            <w:pPr>
              <w:pStyle w:val="BodyText"/>
            </w:pPr>
            <w:r w:rsidRPr="00A37C57">
              <w:t>2023–24 Target</w:t>
            </w:r>
          </w:p>
        </w:tc>
        <w:tc>
          <w:tcPr>
            <w:tcW w:w="2571" w:type="dxa"/>
            <w:shd w:val="clear" w:color="auto" w:fill="auto"/>
          </w:tcPr>
          <w:p w14:paraId="632E7E49" w14:textId="77777777" w:rsidR="00E90764" w:rsidRPr="00A37C57" w:rsidRDefault="0099166C" w:rsidP="001D1CF9">
            <w:pPr>
              <w:pStyle w:val="BodyText"/>
            </w:pPr>
            <w:r w:rsidRPr="00A37C57">
              <w:t>2024–25 Target</w:t>
            </w:r>
          </w:p>
        </w:tc>
      </w:tr>
      <w:tr w:rsidR="00E90764" w:rsidRPr="00CF6322" w14:paraId="632E7E4F" w14:textId="77777777" w:rsidTr="00C404FB">
        <w:trPr>
          <w:trHeight w:val="465"/>
        </w:trPr>
        <w:tc>
          <w:tcPr>
            <w:tcW w:w="2571" w:type="dxa"/>
            <w:shd w:val="clear" w:color="auto" w:fill="auto"/>
          </w:tcPr>
          <w:p w14:paraId="632E7E4B" w14:textId="77777777" w:rsidR="00E90764" w:rsidRPr="00CF6322" w:rsidRDefault="0099166C" w:rsidP="001D1CF9">
            <w:pPr>
              <w:pStyle w:val="BodyText"/>
            </w:pPr>
            <w:r w:rsidRPr="00CF6322">
              <w:t>230,000</w:t>
            </w:r>
          </w:p>
        </w:tc>
        <w:tc>
          <w:tcPr>
            <w:tcW w:w="2571" w:type="dxa"/>
            <w:shd w:val="clear" w:color="auto" w:fill="auto"/>
          </w:tcPr>
          <w:p w14:paraId="632E7E4C" w14:textId="77777777" w:rsidR="00E90764" w:rsidRPr="00CF6322" w:rsidRDefault="0099166C" w:rsidP="001D1CF9">
            <w:pPr>
              <w:pStyle w:val="BodyText"/>
            </w:pPr>
            <w:r w:rsidRPr="00CF6322">
              <w:t>235,000</w:t>
            </w:r>
          </w:p>
        </w:tc>
        <w:tc>
          <w:tcPr>
            <w:tcW w:w="2571" w:type="dxa"/>
            <w:shd w:val="clear" w:color="auto" w:fill="auto"/>
          </w:tcPr>
          <w:p w14:paraId="632E7E4D" w14:textId="77777777" w:rsidR="00E90764" w:rsidRPr="00CF6322" w:rsidRDefault="0099166C" w:rsidP="001D1CF9">
            <w:pPr>
              <w:pStyle w:val="BodyText"/>
            </w:pPr>
            <w:r w:rsidRPr="00CF6322">
              <w:t>244,000</w:t>
            </w:r>
          </w:p>
        </w:tc>
        <w:tc>
          <w:tcPr>
            <w:tcW w:w="2571" w:type="dxa"/>
            <w:shd w:val="clear" w:color="auto" w:fill="auto"/>
          </w:tcPr>
          <w:p w14:paraId="632E7E4E" w14:textId="77777777" w:rsidR="00E90764" w:rsidRPr="00CF6322" w:rsidRDefault="0099166C" w:rsidP="001D1CF9">
            <w:pPr>
              <w:pStyle w:val="BodyText"/>
            </w:pPr>
            <w:r w:rsidRPr="00CF6322">
              <w:t>251,000</w:t>
            </w:r>
          </w:p>
        </w:tc>
      </w:tr>
      <w:tr w:rsidR="00E90764" w:rsidRPr="00CF6322" w14:paraId="632E7E57" w14:textId="77777777" w:rsidTr="00C404FB">
        <w:trPr>
          <w:trHeight w:val="3452"/>
        </w:trPr>
        <w:tc>
          <w:tcPr>
            <w:tcW w:w="10284" w:type="dxa"/>
            <w:gridSpan w:val="4"/>
            <w:shd w:val="clear" w:color="auto" w:fill="auto"/>
          </w:tcPr>
          <w:p w14:paraId="632E7E50" w14:textId="77777777" w:rsidR="00E90764" w:rsidRPr="00CF6322" w:rsidRDefault="0099166C" w:rsidP="001D1CF9">
            <w:pPr>
              <w:pStyle w:val="Heading6"/>
            </w:pPr>
            <w:r w:rsidRPr="00CF6322">
              <w:t xml:space="preserve">Data source and </w:t>
            </w:r>
            <w:r w:rsidRPr="00C404FB">
              <w:t>methodology</w:t>
            </w:r>
          </w:p>
          <w:p w14:paraId="632E7E51" w14:textId="77777777" w:rsidR="00E90764" w:rsidRPr="00CF6322" w:rsidRDefault="0099166C" w:rsidP="001D1CF9">
            <w:pPr>
              <w:pStyle w:val="BodyText"/>
            </w:pPr>
            <w:r w:rsidRPr="00CF6322">
              <w:t xml:space="preserve">The Department internally maintains a record of allocated places and conducts an annual </w:t>
            </w:r>
            <w:proofErr w:type="spellStart"/>
            <w:r w:rsidRPr="00CF6322">
              <w:t>stocktake</w:t>
            </w:r>
            <w:proofErr w:type="spellEnd"/>
            <w:r w:rsidRPr="00CF6322">
              <w:t xml:space="preserve"> of aged care places.</w:t>
            </w:r>
          </w:p>
          <w:p w14:paraId="632E7E52" w14:textId="77777777" w:rsidR="00E90764" w:rsidRPr="00CF6322" w:rsidRDefault="0099166C" w:rsidP="001D1CF9">
            <w:pPr>
              <w:pStyle w:val="BodyText"/>
            </w:pPr>
            <w:r w:rsidRPr="00CF6322">
              <w:t>The target numbers represent an estimate of the total number of places providers will have brought to market (</w:t>
            </w:r>
            <w:proofErr w:type="spellStart"/>
            <w:r w:rsidRPr="00CF6322">
              <w:t>operationalised</w:t>
            </w:r>
            <w:proofErr w:type="spellEnd"/>
            <w:r w:rsidRPr="00CF6322">
              <w:t>) each year based on historical trends. Targets are set using a formula comprised of 78 places per 1,000 persons in the population aged over 70.</w:t>
            </w:r>
          </w:p>
          <w:p w14:paraId="5B567C36" w14:textId="77777777" w:rsidR="00C404FB" w:rsidRPr="00C404FB" w:rsidRDefault="0099166C" w:rsidP="001D1CF9">
            <w:pPr>
              <w:pStyle w:val="Heading6"/>
            </w:pPr>
            <w:r w:rsidRPr="00CF6322">
              <w:t xml:space="preserve">Measure type </w:t>
            </w:r>
          </w:p>
          <w:p w14:paraId="0C07976B" w14:textId="77777777" w:rsidR="00C404FB" w:rsidRDefault="0099166C" w:rsidP="001D1CF9">
            <w:pPr>
              <w:pStyle w:val="BodyText"/>
            </w:pPr>
            <w:r w:rsidRPr="00CF6322">
              <w:t xml:space="preserve">Quantitative/Output </w:t>
            </w:r>
          </w:p>
          <w:p w14:paraId="632E7E54" w14:textId="1A48AE6D" w:rsidR="00E90764" w:rsidRPr="00CF6322" w:rsidRDefault="00C404FB" w:rsidP="001D1CF9">
            <w:pPr>
              <w:pStyle w:val="Heading6"/>
            </w:pPr>
            <w:r w:rsidRPr="00C404FB">
              <w:t>D</w:t>
            </w:r>
            <w:r w:rsidR="0099166C" w:rsidRPr="00C404FB">
              <w:t>iscussion</w:t>
            </w:r>
          </w:p>
          <w:p w14:paraId="632E7E56" w14:textId="6836B715" w:rsidR="00E90764" w:rsidRPr="00CF6322" w:rsidRDefault="0099166C" w:rsidP="001D1CF9">
            <w:pPr>
              <w:pStyle w:val="BodyText"/>
            </w:pPr>
            <w:r w:rsidRPr="00CF6322">
              <w:t>A new system will be implemented from 1 July 2024 to assign residential aged care places to senior Australians. The</w:t>
            </w:r>
            <w:r w:rsidR="00C404FB">
              <w:t xml:space="preserve"> </w:t>
            </w:r>
            <w:r w:rsidRPr="00CF6322">
              <w:t>Department intends to replace this performance measure at that time.</w:t>
            </w:r>
          </w:p>
        </w:tc>
      </w:tr>
    </w:tbl>
    <w:p w14:paraId="6A3A28E7" w14:textId="77777777" w:rsidR="00A750C2" w:rsidRDefault="00A750C2" w:rsidP="00A750C2"/>
    <w:p w14:paraId="388DECC4" w14:textId="77777777" w:rsidR="00A750C2" w:rsidRDefault="00A750C2" w:rsidP="00A750C2">
      <w:r>
        <w:br w:type="page"/>
      </w:r>
    </w:p>
    <w:p w14:paraId="44A70F7C" w14:textId="54400F0B" w:rsidR="005F65F2" w:rsidRPr="005F65F2" w:rsidRDefault="005F65F2" w:rsidP="005F65F2">
      <w:pPr>
        <w:pStyle w:val="Heading3"/>
      </w:pPr>
      <w:r>
        <w:lastRenderedPageBreak/>
        <w:t>3.3 –</w:t>
      </w:r>
      <w:r w:rsidR="006D2D9F">
        <w:t xml:space="preserve"> </w:t>
      </w:r>
      <w:r>
        <w:t>Aged</w:t>
      </w:r>
      <w:r>
        <w:rPr>
          <w:spacing w:val="-6"/>
        </w:rPr>
        <w:t xml:space="preserve"> </w:t>
      </w:r>
      <w:r>
        <w:t>Care</w:t>
      </w:r>
      <w:r>
        <w:rPr>
          <w:spacing w:val="-6"/>
        </w:rPr>
        <w:t xml:space="preserve"> </w:t>
      </w:r>
      <w:r>
        <w:t>Quality</w:t>
      </w:r>
    </w:p>
    <w:p w14:paraId="632E7E5E" w14:textId="77777777" w:rsidR="00E90764" w:rsidRPr="00CF6322" w:rsidRDefault="0099166C" w:rsidP="005F65F2">
      <w:pPr>
        <w:pStyle w:val="Heading4"/>
      </w:pPr>
      <w:r w:rsidRPr="00CF6322">
        <w:t xml:space="preserve">Program </w:t>
      </w:r>
      <w:r w:rsidRPr="005F65F2">
        <w:t>Objective</w:t>
      </w:r>
    </w:p>
    <w:p w14:paraId="42C3CE08" w14:textId="77777777" w:rsidR="008F22ED" w:rsidRDefault="008F22ED" w:rsidP="001D1CF9">
      <w:pPr>
        <w:pStyle w:val="BodyText"/>
        <w:rPr>
          <w:color w:val="000000"/>
        </w:rPr>
      </w:pPr>
      <w:r>
        <w:t>Support</w:t>
      </w:r>
      <w:r>
        <w:rPr>
          <w:spacing w:val="3"/>
        </w:rPr>
        <w:t xml:space="preserve"> </w:t>
      </w:r>
      <w:r>
        <w:t>the</w:t>
      </w:r>
      <w:r>
        <w:rPr>
          <w:spacing w:val="3"/>
        </w:rPr>
        <w:t xml:space="preserve"> </w:t>
      </w:r>
      <w:r>
        <w:t>provision</w:t>
      </w:r>
      <w:r>
        <w:rPr>
          <w:spacing w:val="4"/>
        </w:rPr>
        <w:t xml:space="preserve"> </w:t>
      </w:r>
      <w:r>
        <w:t>of</w:t>
      </w:r>
      <w:r>
        <w:rPr>
          <w:spacing w:val="3"/>
        </w:rPr>
        <w:t xml:space="preserve"> </w:t>
      </w:r>
      <w:r>
        <w:t>safe</w:t>
      </w:r>
      <w:r>
        <w:rPr>
          <w:spacing w:val="3"/>
        </w:rPr>
        <w:t xml:space="preserve"> </w:t>
      </w:r>
      <w:r>
        <w:t>and</w:t>
      </w:r>
      <w:r>
        <w:rPr>
          <w:spacing w:val="4"/>
        </w:rPr>
        <w:t xml:space="preserve"> </w:t>
      </w:r>
      <w:r>
        <w:t>quality</w:t>
      </w:r>
      <w:r>
        <w:rPr>
          <w:spacing w:val="3"/>
        </w:rPr>
        <w:t xml:space="preserve"> </w:t>
      </w:r>
      <w:r>
        <w:t>care</w:t>
      </w:r>
      <w:r>
        <w:rPr>
          <w:spacing w:val="3"/>
        </w:rPr>
        <w:t xml:space="preserve"> </w:t>
      </w:r>
      <w:r>
        <w:t>for</w:t>
      </w:r>
      <w:r>
        <w:rPr>
          <w:spacing w:val="4"/>
        </w:rPr>
        <w:t xml:space="preserve"> </w:t>
      </w:r>
      <w:r>
        <w:t>senior</w:t>
      </w:r>
      <w:r>
        <w:rPr>
          <w:spacing w:val="3"/>
        </w:rPr>
        <w:t xml:space="preserve"> </w:t>
      </w:r>
      <w:r>
        <w:t>Australians</w:t>
      </w:r>
      <w:r>
        <w:rPr>
          <w:spacing w:val="3"/>
        </w:rPr>
        <w:t xml:space="preserve"> </w:t>
      </w:r>
      <w:r>
        <w:t>in</w:t>
      </w:r>
      <w:r>
        <w:rPr>
          <w:spacing w:val="4"/>
        </w:rPr>
        <w:t xml:space="preserve"> </w:t>
      </w:r>
      <w:r>
        <w:t>their</w:t>
      </w:r>
      <w:r>
        <w:rPr>
          <w:spacing w:val="3"/>
        </w:rPr>
        <w:t xml:space="preserve"> </w:t>
      </w:r>
      <w:r>
        <w:t>choice</w:t>
      </w:r>
      <w:r>
        <w:rPr>
          <w:spacing w:val="3"/>
        </w:rPr>
        <w:t xml:space="preserve"> </w:t>
      </w:r>
      <w:r>
        <w:t>of</w:t>
      </w:r>
      <w:r>
        <w:rPr>
          <w:spacing w:val="4"/>
        </w:rPr>
        <w:t xml:space="preserve"> </w:t>
      </w:r>
      <w:r>
        <w:t>care</w:t>
      </w:r>
      <w:r>
        <w:rPr>
          <w:spacing w:val="3"/>
        </w:rPr>
        <w:t xml:space="preserve"> </w:t>
      </w:r>
      <w:r>
        <w:t>through</w:t>
      </w:r>
      <w:r>
        <w:rPr>
          <w:spacing w:val="3"/>
        </w:rPr>
        <w:t xml:space="preserve"> </w:t>
      </w:r>
      <w:r>
        <w:t>regulatory</w:t>
      </w:r>
      <w:r>
        <w:rPr>
          <w:spacing w:val="1"/>
        </w:rPr>
        <w:t xml:space="preserve"> </w:t>
      </w:r>
      <w:r>
        <w:t>activities,</w:t>
      </w:r>
      <w:r>
        <w:rPr>
          <w:spacing w:val="4"/>
        </w:rPr>
        <w:t xml:space="preserve"> </w:t>
      </w:r>
      <w:r>
        <w:t>collaboration</w:t>
      </w:r>
      <w:r>
        <w:rPr>
          <w:spacing w:val="5"/>
        </w:rPr>
        <w:t xml:space="preserve"> </w:t>
      </w:r>
      <w:r>
        <w:t>with</w:t>
      </w:r>
      <w:r>
        <w:rPr>
          <w:spacing w:val="4"/>
        </w:rPr>
        <w:t xml:space="preserve"> </w:t>
      </w:r>
      <w:r>
        <w:t>the</w:t>
      </w:r>
      <w:r>
        <w:rPr>
          <w:spacing w:val="5"/>
        </w:rPr>
        <w:t xml:space="preserve"> </w:t>
      </w:r>
      <w:r>
        <w:t>aged</w:t>
      </w:r>
      <w:r>
        <w:rPr>
          <w:spacing w:val="4"/>
        </w:rPr>
        <w:t xml:space="preserve"> </w:t>
      </w:r>
      <w:r>
        <w:t>care</w:t>
      </w:r>
      <w:r>
        <w:rPr>
          <w:spacing w:val="5"/>
        </w:rPr>
        <w:t xml:space="preserve"> </w:t>
      </w:r>
      <w:r>
        <w:t>sector</w:t>
      </w:r>
      <w:r>
        <w:rPr>
          <w:spacing w:val="4"/>
        </w:rPr>
        <w:t xml:space="preserve"> </w:t>
      </w:r>
      <w:r>
        <w:t>and</w:t>
      </w:r>
      <w:r>
        <w:rPr>
          <w:spacing w:val="5"/>
        </w:rPr>
        <w:t xml:space="preserve"> </w:t>
      </w:r>
      <w:r>
        <w:t>consumers,</w:t>
      </w:r>
      <w:r>
        <w:rPr>
          <w:spacing w:val="4"/>
        </w:rPr>
        <w:t xml:space="preserve"> </w:t>
      </w:r>
      <w:r>
        <w:t>as</w:t>
      </w:r>
      <w:r>
        <w:rPr>
          <w:spacing w:val="5"/>
        </w:rPr>
        <w:t xml:space="preserve"> </w:t>
      </w:r>
      <w:r>
        <w:t>well</w:t>
      </w:r>
      <w:r>
        <w:rPr>
          <w:spacing w:val="4"/>
        </w:rPr>
        <w:t xml:space="preserve"> </w:t>
      </w:r>
      <w:r>
        <w:t>as</w:t>
      </w:r>
      <w:r>
        <w:rPr>
          <w:spacing w:val="5"/>
        </w:rPr>
        <w:t xml:space="preserve"> </w:t>
      </w:r>
      <w:r>
        <w:t>capacity</w:t>
      </w:r>
      <w:r>
        <w:rPr>
          <w:spacing w:val="4"/>
        </w:rPr>
        <w:t xml:space="preserve"> </w:t>
      </w:r>
      <w:r>
        <w:t>building</w:t>
      </w:r>
      <w:r>
        <w:rPr>
          <w:spacing w:val="5"/>
        </w:rPr>
        <w:t xml:space="preserve"> </w:t>
      </w:r>
      <w:r>
        <w:t>and</w:t>
      </w:r>
      <w:r>
        <w:rPr>
          <w:spacing w:val="4"/>
        </w:rPr>
        <w:t xml:space="preserve"> </w:t>
      </w:r>
      <w:r>
        <w:t>awareness</w:t>
      </w:r>
      <w:r>
        <w:rPr>
          <w:spacing w:val="-49"/>
        </w:rPr>
        <w:t xml:space="preserve"> </w:t>
      </w:r>
      <w:r>
        <w:t>raising activities.</w:t>
      </w:r>
    </w:p>
    <w:p w14:paraId="632E7E62" w14:textId="77777777" w:rsidR="00E90764" w:rsidRPr="008F22ED" w:rsidRDefault="0099166C" w:rsidP="008F22ED">
      <w:pPr>
        <w:pStyle w:val="Heading4"/>
      </w:pPr>
      <w:r w:rsidRPr="00CF6322">
        <w:t>Our Operating Focus</w:t>
      </w:r>
    </w:p>
    <w:p w14:paraId="632E7E63" w14:textId="77777777" w:rsidR="00E90764" w:rsidRPr="00CF6322" w:rsidRDefault="0099166C" w:rsidP="001D1CF9">
      <w:pPr>
        <w:pStyle w:val="BodyText"/>
      </w:pPr>
      <w:r w:rsidRPr="00CF6322">
        <w:t xml:space="preserve">We are committed to the Australian Government’s vision that dementia and diversity are part of our core business in aged care, as a prerequisite for an aged care system that places the person needing care at its </w:t>
      </w:r>
      <w:proofErr w:type="spellStart"/>
      <w:r w:rsidRPr="00CF6322">
        <w:t>centre</w:t>
      </w:r>
      <w:proofErr w:type="spellEnd"/>
      <w:r w:rsidRPr="00CF6322">
        <w:t>. We will work to align funding, regulation, information and education measures to support this outcome.</w:t>
      </w:r>
    </w:p>
    <w:p w14:paraId="632E7E64" w14:textId="0B270D00" w:rsidR="00E90764" w:rsidRPr="00CF6322" w:rsidRDefault="0099166C" w:rsidP="001D1CF9">
      <w:pPr>
        <w:pStyle w:val="BodyText"/>
      </w:pPr>
      <w:r w:rsidRPr="00CF6322">
        <w:t>Coordinated health, social and aged care services can be</w:t>
      </w:r>
      <w:r w:rsidR="008F22ED">
        <w:t xml:space="preserve"> </w:t>
      </w:r>
      <w:r w:rsidRPr="00CF6322">
        <w:t xml:space="preserve">a significant enabler for people as they age, particularly for people living with dementia and their </w:t>
      </w:r>
      <w:proofErr w:type="spellStart"/>
      <w:r w:rsidRPr="00CF6322">
        <w:t>carers</w:t>
      </w:r>
      <w:proofErr w:type="spellEnd"/>
      <w:r w:rsidRPr="00CF6322">
        <w:t xml:space="preserve">. We will work with Primary Health Networks, state and territory governments, the </w:t>
      </w:r>
      <w:proofErr w:type="spellStart"/>
      <w:r w:rsidRPr="00CF6322">
        <w:t>Carers</w:t>
      </w:r>
      <w:proofErr w:type="spellEnd"/>
      <w:r w:rsidRPr="00CF6322">
        <w:t xml:space="preserve"> Gateway and dementia service providers to increase the coordination and accessibility of</w:t>
      </w:r>
      <w:r w:rsidR="00313977" w:rsidRPr="00CF6322">
        <w:t xml:space="preserve"> </w:t>
      </w:r>
      <w:r w:rsidRPr="00CF6322">
        <w:t>these services.</w:t>
      </w:r>
    </w:p>
    <w:p w14:paraId="632E7E65" w14:textId="77777777" w:rsidR="00E90764" w:rsidRPr="00CF6322" w:rsidRDefault="0099166C" w:rsidP="001D1CF9">
      <w:pPr>
        <w:pStyle w:val="BodyText"/>
      </w:pPr>
      <w:r w:rsidRPr="00CF6322">
        <w:t xml:space="preserve">To deliver on our plans, we will continue to place the consumer at the </w:t>
      </w:r>
      <w:proofErr w:type="spellStart"/>
      <w:r w:rsidRPr="00CF6322">
        <w:t>centre</w:t>
      </w:r>
      <w:proofErr w:type="spellEnd"/>
      <w:r w:rsidRPr="00CF6322">
        <w:t xml:space="preserve"> of our operations, and work collectively to ensure the aged care system is simple, effective, and connected to meet the needs of consumers. Opportunities for insights and engagements with consumers and the community will remain embedded into our core business.</w:t>
      </w:r>
    </w:p>
    <w:p w14:paraId="632E7E66" w14:textId="1A3A19E0" w:rsidR="00E90764" w:rsidRPr="00CF6322" w:rsidRDefault="0099166C" w:rsidP="001D1CF9">
      <w:pPr>
        <w:pStyle w:val="BodyText"/>
      </w:pPr>
      <w:r w:rsidRPr="00CF6322">
        <w:t xml:space="preserve">We will work collaboratively across agencies and with industry stakeholders to implement workforce measures designed to grow a skilled aged care workforce. This will require operating in an environment where the competition for </w:t>
      </w:r>
      <w:proofErr w:type="spellStart"/>
      <w:r w:rsidRPr="00CF6322">
        <w:t>labour</w:t>
      </w:r>
      <w:proofErr w:type="spellEnd"/>
      <w:r w:rsidRPr="00CF6322">
        <w:t xml:space="preserve"> is high across the care sector and where the COVID-19 pandemic continues to impact the aged care workforce.</w:t>
      </w:r>
    </w:p>
    <w:p w14:paraId="632E7E68" w14:textId="6315DFFE" w:rsidR="00E90764" w:rsidRPr="00CF6322" w:rsidRDefault="0099166C" w:rsidP="001D1CF9">
      <w:pPr>
        <w:pStyle w:val="BodyText"/>
      </w:pPr>
      <w:r w:rsidRPr="00CF6322">
        <w:t>We will progress implementation of Government decisions for aligning regulation across care and support sectors, namely aged care, the National Disability Insurance Scheme (NDIS), disability services, and veterans’ care. This will include aligned and improved regulation of providers</w:t>
      </w:r>
      <w:r w:rsidR="008F22ED">
        <w:t xml:space="preserve"> </w:t>
      </w:r>
      <w:r w:rsidRPr="00CF6322">
        <w:t>and workers and other arrangements to reduce regulatory burden, while ensuring strong protections for the safety of Australians using those services and supports.</w:t>
      </w:r>
    </w:p>
    <w:p w14:paraId="632E7E69" w14:textId="77777777" w:rsidR="00E90764" w:rsidRPr="00CF6322" w:rsidRDefault="0099166C" w:rsidP="001D1CF9">
      <w:pPr>
        <w:pStyle w:val="BodyText"/>
      </w:pPr>
      <w:r w:rsidRPr="00CF6322">
        <w:t>This will be achieved by delivering a new, rights-based legislative framework focused on the needs of senior Australians that:</w:t>
      </w:r>
    </w:p>
    <w:p w14:paraId="632E7E6A" w14:textId="77777777" w:rsidR="00E90764" w:rsidRPr="008F22ED" w:rsidRDefault="0099166C" w:rsidP="008F22ED">
      <w:pPr>
        <w:pStyle w:val="Bullets"/>
      </w:pPr>
      <w:r w:rsidRPr="00CF6322">
        <w:t xml:space="preserve">provides for high quality, safe and </w:t>
      </w:r>
      <w:r w:rsidRPr="008F22ED">
        <w:t>compassionate care</w:t>
      </w:r>
    </w:p>
    <w:p w14:paraId="632E7E6B" w14:textId="77777777" w:rsidR="00E90764" w:rsidRPr="008F22ED" w:rsidRDefault="0099166C" w:rsidP="008F22ED">
      <w:pPr>
        <w:pStyle w:val="Bullets"/>
      </w:pPr>
      <w:r w:rsidRPr="008F22ED">
        <w:t xml:space="preserve">supports </w:t>
      </w:r>
      <w:proofErr w:type="spellStart"/>
      <w:r w:rsidRPr="008F22ED">
        <w:t>harmonisation</w:t>
      </w:r>
      <w:proofErr w:type="spellEnd"/>
      <w:r w:rsidRPr="008F22ED">
        <w:t xml:space="preserve"> across Government systems</w:t>
      </w:r>
    </w:p>
    <w:p w14:paraId="632E7E6C" w14:textId="77777777" w:rsidR="00E90764" w:rsidRPr="00CF6322" w:rsidRDefault="0099166C" w:rsidP="008F22ED">
      <w:pPr>
        <w:pStyle w:val="Bullets"/>
      </w:pPr>
      <w:proofErr w:type="gramStart"/>
      <w:r w:rsidRPr="008F22ED">
        <w:t>gives</w:t>
      </w:r>
      <w:proofErr w:type="gramEnd"/>
      <w:r w:rsidRPr="008F22ED">
        <w:t xml:space="preserve"> effect to recommendations of t</w:t>
      </w:r>
      <w:r w:rsidRPr="00CF6322">
        <w:t>he Royal Commission into Aged Care Quality and Safety.</w:t>
      </w:r>
    </w:p>
    <w:p w14:paraId="632E7E6D" w14:textId="77777777" w:rsidR="00E90764" w:rsidRPr="00CF6322" w:rsidRDefault="0099166C" w:rsidP="001D1CF9">
      <w:pPr>
        <w:pStyle w:val="BodyText"/>
      </w:pPr>
      <w:r w:rsidRPr="00CF6322">
        <w:t>We will review the Aged Care Quality Standards, with focus on areas of concern identified by the Royal Commission including, but not limited to, governance, diversity, dementia, food and nutrition. Responsibility for the formulation of clinical components of the Quality Standards will be transferred to the Australian Commission on Safety and Quality in Health Care.</w:t>
      </w:r>
    </w:p>
    <w:p w14:paraId="632E7E6E" w14:textId="77777777" w:rsidR="00E90764" w:rsidRPr="00CF6322" w:rsidRDefault="0099166C" w:rsidP="001D1CF9">
      <w:pPr>
        <w:pStyle w:val="BodyText"/>
      </w:pPr>
      <w:r w:rsidRPr="00CF6322">
        <w:t>The Serious Incident Response Scheme (SIRS) will be expanded to home services from 1 July 2022 to ensure aged care consumers receiving these services are offered the same level of protection as residential care consumers.</w:t>
      </w:r>
    </w:p>
    <w:p w14:paraId="632E7E6F" w14:textId="77777777" w:rsidR="00E90764" w:rsidRPr="00CF6322" w:rsidRDefault="0099166C" w:rsidP="001D1CF9">
      <w:pPr>
        <w:pStyle w:val="BodyText"/>
      </w:pPr>
      <w:r w:rsidRPr="00CF6322">
        <w:t>Nurses will be encouraged to enter and remain in the aged care workforce through financial support, incentives and access to additional training opportunities.</w:t>
      </w:r>
    </w:p>
    <w:p w14:paraId="632E7E70" w14:textId="77777777" w:rsidR="00E90764" w:rsidRPr="00CF6322" w:rsidRDefault="0099166C" w:rsidP="001D1CF9">
      <w:pPr>
        <w:pStyle w:val="BodyText"/>
      </w:pPr>
      <w:r w:rsidRPr="00CF6322">
        <w:t>Aged care providers will be supported to implement strategies to better plan and manage their workforce through workforce planning support.</w:t>
      </w:r>
    </w:p>
    <w:p w14:paraId="632E7E71" w14:textId="43ED31BC" w:rsidR="006D2D9F" w:rsidRDefault="0099166C" w:rsidP="001D1CF9">
      <w:pPr>
        <w:pStyle w:val="BodyText"/>
      </w:pPr>
      <w:r w:rsidRPr="00CF6322">
        <w:t>Further insight into the aged care workforce will be developed through more regular collection of aged care workforce data.</w:t>
      </w:r>
    </w:p>
    <w:p w14:paraId="7D99BFF3" w14:textId="77777777" w:rsidR="006D2D9F" w:rsidRDefault="006D2D9F">
      <w:pPr>
        <w:rPr>
          <w:rFonts w:ascii="Helvetica" w:hAnsi="Helvetica"/>
          <w:color w:val="231F20"/>
          <w:sz w:val="19"/>
          <w:szCs w:val="19"/>
        </w:rPr>
      </w:pPr>
      <w:r>
        <w:br w:type="page"/>
      </w:r>
    </w:p>
    <w:tbl>
      <w:tblPr>
        <w:tblW w:w="10303"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0" w:type="dxa"/>
        </w:tblCellMar>
        <w:tblLook w:val="01E0" w:firstRow="1" w:lastRow="1" w:firstColumn="1" w:lastColumn="1" w:noHBand="0" w:noVBand="0"/>
      </w:tblPr>
      <w:tblGrid>
        <w:gridCol w:w="8541"/>
        <w:gridCol w:w="441"/>
        <w:gridCol w:w="441"/>
        <w:gridCol w:w="439"/>
        <w:gridCol w:w="441"/>
      </w:tblGrid>
      <w:tr w:rsidR="00E90764" w:rsidRPr="006D2D9F" w14:paraId="632E7E7B" w14:textId="77777777" w:rsidTr="006D2D9F">
        <w:trPr>
          <w:trHeight w:val="1187"/>
          <w:tblHeader/>
        </w:trPr>
        <w:tc>
          <w:tcPr>
            <w:tcW w:w="8541" w:type="dxa"/>
            <w:shd w:val="clear" w:color="auto" w:fill="auto"/>
          </w:tcPr>
          <w:p w14:paraId="632E7E76" w14:textId="77777777" w:rsidR="00E90764" w:rsidRPr="006D2D9F" w:rsidRDefault="0099166C" w:rsidP="001D1CF9">
            <w:pPr>
              <w:pStyle w:val="BodyText"/>
              <w:rPr>
                <w:b/>
                <w:bCs/>
              </w:rPr>
            </w:pPr>
            <w:r w:rsidRPr="006D2D9F">
              <w:rPr>
                <w:b/>
                <w:bCs/>
              </w:rPr>
              <w:lastRenderedPageBreak/>
              <w:t>Key Activities</w:t>
            </w:r>
          </w:p>
        </w:tc>
        <w:tc>
          <w:tcPr>
            <w:tcW w:w="441" w:type="dxa"/>
            <w:shd w:val="clear" w:color="auto" w:fill="auto"/>
            <w:textDirection w:val="tbRl"/>
            <w:vAlign w:val="center"/>
          </w:tcPr>
          <w:p w14:paraId="632E7E77" w14:textId="77777777" w:rsidR="00E90764" w:rsidRPr="006D2D9F" w:rsidRDefault="0099166C" w:rsidP="001D1CF9">
            <w:pPr>
              <w:pStyle w:val="BodyText"/>
              <w:rPr>
                <w:b/>
                <w:bCs/>
              </w:rPr>
            </w:pPr>
            <w:r w:rsidRPr="006D2D9F">
              <w:rPr>
                <w:b/>
                <w:bCs/>
              </w:rPr>
              <w:t>2021–22</w:t>
            </w:r>
          </w:p>
        </w:tc>
        <w:tc>
          <w:tcPr>
            <w:tcW w:w="441" w:type="dxa"/>
            <w:shd w:val="clear" w:color="auto" w:fill="auto"/>
            <w:textDirection w:val="tbRl"/>
            <w:vAlign w:val="center"/>
          </w:tcPr>
          <w:p w14:paraId="632E7E78" w14:textId="77777777" w:rsidR="00E90764" w:rsidRPr="006D2D9F" w:rsidRDefault="0099166C" w:rsidP="001D1CF9">
            <w:pPr>
              <w:pStyle w:val="BodyText"/>
              <w:rPr>
                <w:b/>
                <w:bCs/>
              </w:rPr>
            </w:pPr>
            <w:r w:rsidRPr="006D2D9F">
              <w:rPr>
                <w:b/>
                <w:bCs/>
              </w:rPr>
              <w:t>2022–23</w:t>
            </w:r>
          </w:p>
        </w:tc>
        <w:tc>
          <w:tcPr>
            <w:tcW w:w="439" w:type="dxa"/>
            <w:shd w:val="clear" w:color="auto" w:fill="auto"/>
            <w:textDirection w:val="tbRl"/>
            <w:vAlign w:val="center"/>
          </w:tcPr>
          <w:p w14:paraId="632E7E79" w14:textId="77777777" w:rsidR="00E90764" w:rsidRPr="006D2D9F" w:rsidRDefault="0099166C" w:rsidP="001D1CF9">
            <w:pPr>
              <w:pStyle w:val="BodyText"/>
              <w:rPr>
                <w:b/>
                <w:bCs/>
              </w:rPr>
            </w:pPr>
            <w:r w:rsidRPr="006D2D9F">
              <w:rPr>
                <w:b/>
                <w:bCs/>
              </w:rPr>
              <w:t>2023–24</w:t>
            </w:r>
          </w:p>
        </w:tc>
        <w:tc>
          <w:tcPr>
            <w:tcW w:w="441" w:type="dxa"/>
            <w:shd w:val="clear" w:color="auto" w:fill="auto"/>
            <w:textDirection w:val="tbRl"/>
            <w:vAlign w:val="center"/>
          </w:tcPr>
          <w:p w14:paraId="632E7E7A" w14:textId="77777777" w:rsidR="00E90764" w:rsidRPr="006D2D9F" w:rsidRDefault="0099166C" w:rsidP="001D1CF9">
            <w:pPr>
              <w:pStyle w:val="BodyText"/>
              <w:rPr>
                <w:b/>
                <w:bCs/>
              </w:rPr>
            </w:pPr>
            <w:r w:rsidRPr="006D2D9F">
              <w:rPr>
                <w:b/>
                <w:bCs/>
              </w:rPr>
              <w:t>2024–25</w:t>
            </w:r>
          </w:p>
        </w:tc>
      </w:tr>
      <w:tr w:rsidR="00E90764" w:rsidRPr="00CF6322" w14:paraId="632E7E81" w14:textId="77777777" w:rsidTr="00FE2D80">
        <w:trPr>
          <w:trHeight w:val="391"/>
        </w:trPr>
        <w:tc>
          <w:tcPr>
            <w:tcW w:w="8541" w:type="dxa"/>
            <w:shd w:val="clear" w:color="auto" w:fill="auto"/>
            <w:vAlign w:val="center"/>
          </w:tcPr>
          <w:p w14:paraId="632E7E7C" w14:textId="77777777" w:rsidR="00E90764" w:rsidRPr="00CF6322" w:rsidRDefault="0099166C" w:rsidP="001D1CF9">
            <w:pPr>
              <w:pStyle w:val="BodyText"/>
            </w:pPr>
            <w:r w:rsidRPr="00CF6322">
              <w:t xml:space="preserve">Implementing more equitable access to aged care for First Nations and special needs </w:t>
            </w:r>
            <w:proofErr w:type="gramStart"/>
            <w:r w:rsidRPr="00CF6322">
              <w:t>groups</w:t>
            </w:r>
            <w:proofErr w:type="gramEnd"/>
            <w:r w:rsidRPr="00CF6322">
              <w:t xml:space="preserve"> measure.</w:t>
            </w:r>
          </w:p>
        </w:tc>
        <w:tc>
          <w:tcPr>
            <w:tcW w:w="441" w:type="dxa"/>
            <w:shd w:val="clear" w:color="auto" w:fill="auto"/>
          </w:tcPr>
          <w:p w14:paraId="632E7E7D" w14:textId="516C6E48"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E7E" w14:textId="04EE7F4F"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E7F" w14:textId="4BE0249F"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E80" w14:textId="54A36C5F" w:rsidR="00E90764" w:rsidRPr="00CF6322" w:rsidRDefault="00041BDA" w:rsidP="001D1CF9">
            <w:pPr>
              <w:pStyle w:val="BodyText"/>
            </w:pPr>
            <w:r>
              <w:rPr>
                <w:rFonts w:ascii="Segoe UI Symbol" w:hAnsi="Segoe UI Symbol" w:cs="Segoe UI Symbol"/>
              </w:rPr>
              <w:t>✓</w:t>
            </w:r>
          </w:p>
        </w:tc>
      </w:tr>
      <w:tr w:rsidR="00E90764" w:rsidRPr="00CF6322" w14:paraId="632E7E87" w14:textId="77777777" w:rsidTr="00FE2D80">
        <w:trPr>
          <w:trHeight w:val="582"/>
        </w:trPr>
        <w:tc>
          <w:tcPr>
            <w:tcW w:w="8541" w:type="dxa"/>
            <w:shd w:val="clear" w:color="auto" w:fill="auto"/>
            <w:vAlign w:val="center"/>
          </w:tcPr>
          <w:p w14:paraId="632E7E82" w14:textId="77777777" w:rsidR="00E90764" w:rsidRPr="00CF6322" w:rsidRDefault="0099166C" w:rsidP="001D1CF9">
            <w:pPr>
              <w:pStyle w:val="BodyText"/>
            </w:pPr>
            <w:r w:rsidRPr="00CF6322">
              <w:t>Ensuring provision of quality aged care services, including equitable care for people from diverse backgrounds and support for people with dementia.</w:t>
            </w:r>
          </w:p>
        </w:tc>
        <w:tc>
          <w:tcPr>
            <w:tcW w:w="441" w:type="dxa"/>
            <w:shd w:val="clear" w:color="auto" w:fill="auto"/>
          </w:tcPr>
          <w:p w14:paraId="632E7E83" w14:textId="2B37F63A"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E84" w14:textId="6BEADCE3"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E85" w14:textId="363049B3"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E86" w14:textId="06667262" w:rsidR="00E90764" w:rsidRPr="00CF6322" w:rsidRDefault="00041BDA" w:rsidP="001D1CF9">
            <w:pPr>
              <w:pStyle w:val="BodyText"/>
            </w:pPr>
            <w:r>
              <w:rPr>
                <w:rFonts w:ascii="Segoe UI Symbol" w:hAnsi="Segoe UI Symbol" w:cs="Segoe UI Symbol"/>
              </w:rPr>
              <w:t>✓</w:t>
            </w:r>
          </w:p>
        </w:tc>
      </w:tr>
      <w:tr w:rsidR="00E90764" w:rsidRPr="00CF6322" w14:paraId="632E7E91" w14:textId="77777777" w:rsidTr="00FE2D80">
        <w:trPr>
          <w:trHeight w:val="822"/>
        </w:trPr>
        <w:tc>
          <w:tcPr>
            <w:tcW w:w="8541" w:type="dxa"/>
            <w:shd w:val="clear" w:color="auto" w:fill="auto"/>
            <w:vAlign w:val="center"/>
          </w:tcPr>
          <w:p w14:paraId="632E7E88" w14:textId="77777777" w:rsidR="00E90764" w:rsidRPr="00CF6322" w:rsidRDefault="0099166C" w:rsidP="001D1CF9">
            <w:pPr>
              <w:pStyle w:val="BodyText"/>
            </w:pPr>
            <w:r w:rsidRPr="00CF6322">
              <w:t>Reducing use of restrictive practices in residential aged care services through the ‘use of physical restraints’ quality indicator and the ‘medication management’ quality indicator under the National Aged Care Mandatory Quality Indicator Program.</w:t>
            </w:r>
          </w:p>
        </w:tc>
        <w:tc>
          <w:tcPr>
            <w:tcW w:w="441" w:type="dxa"/>
            <w:shd w:val="clear" w:color="auto" w:fill="auto"/>
          </w:tcPr>
          <w:p w14:paraId="632E7E8A" w14:textId="3AD58F5F"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E8C" w14:textId="0395B47B"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E8E" w14:textId="33EB8673"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E90" w14:textId="0CCDCD48" w:rsidR="00E90764" w:rsidRPr="00CF6322" w:rsidRDefault="00041BDA" w:rsidP="001D1CF9">
            <w:pPr>
              <w:pStyle w:val="BodyText"/>
            </w:pPr>
            <w:r>
              <w:rPr>
                <w:rFonts w:ascii="Segoe UI Symbol" w:hAnsi="Segoe UI Symbol" w:cs="Segoe UI Symbol"/>
              </w:rPr>
              <w:t>✓</w:t>
            </w:r>
          </w:p>
        </w:tc>
      </w:tr>
      <w:tr w:rsidR="00E90764" w:rsidRPr="00CF6322" w14:paraId="632E7E97" w14:textId="77777777" w:rsidTr="00FE2D80">
        <w:trPr>
          <w:trHeight w:val="582"/>
        </w:trPr>
        <w:tc>
          <w:tcPr>
            <w:tcW w:w="8541" w:type="dxa"/>
            <w:shd w:val="clear" w:color="auto" w:fill="auto"/>
            <w:vAlign w:val="center"/>
          </w:tcPr>
          <w:p w14:paraId="632E7E92" w14:textId="77777777" w:rsidR="00E90764" w:rsidRPr="00CF6322" w:rsidRDefault="0099166C" w:rsidP="001D1CF9">
            <w:pPr>
              <w:pStyle w:val="BodyText"/>
            </w:pPr>
            <w:r w:rsidRPr="00CF6322">
              <w:t xml:space="preserve">Providing funding and support through the Dementia Training Program, Dementia </w:t>
            </w:r>
            <w:proofErr w:type="spellStart"/>
            <w:r w:rsidRPr="00CF6322">
              <w:t>Behaviour</w:t>
            </w:r>
            <w:proofErr w:type="spellEnd"/>
            <w:r w:rsidRPr="00CF6322">
              <w:t xml:space="preserve"> Management Advisory Service and Severe </w:t>
            </w:r>
            <w:proofErr w:type="spellStart"/>
            <w:r w:rsidRPr="00CF6322">
              <w:t>Behaviour</w:t>
            </w:r>
            <w:proofErr w:type="spellEnd"/>
            <w:r w:rsidRPr="00CF6322">
              <w:t xml:space="preserve"> Response Teams.</w:t>
            </w:r>
          </w:p>
        </w:tc>
        <w:tc>
          <w:tcPr>
            <w:tcW w:w="441" w:type="dxa"/>
            <w:shd w:val="clear" w:color="auto" w:fill="auto"/>
          </w:tcPr>
          <w:p w14:paraId="632E7E93" w14:textId="5E5E8B37"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E94" w14:textId="2E1C7C53"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E95" w14:textId="70396FF3"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E96" w14:textId="77777777" w:rsidR="00E90764" w:rsidRPr="00CF6322" w:rsidRDefault="00E90764" w:rsidP="001D1CF9">
            <w:pPr>
              <w:pStyle w:val="BodyText"/>
            </w:pPr>
          </w:p>
        </w:tc>
      </w:tr>
      <w:tr w:rsidR="00E90764" w:rsidRPr="00CF6322" w14:paraId="632E7E9D" w14:textId="77777777" w:rsidTr="00FE2D80">
        <w:trPr>
          <w:trHeight w:val="582"/>
        </w:trPr>
        <w:tc>
          <w:tcPr>
            <w:tcW w:w="8541" w:type="dxa"/>
            <w:shd w:val="clear" w:color="auto" w:fill="auto"/>
            <w:vAlign w:val="center"/>
          </w:tcPr>
          <w:p w14:paraId="632E7E98" w14:textId="77777777" w:rsidR="00E90764" w:rsidRPr="00CF6322" w:rsidRDefault="0099166C" w:rsidP="001D1CF9">
            <w:pPr>
              <w:pStyle w:val="BodyText"/>
            </w:pPr>
            <w:r w:rsidRPr="00CF6322">
              <w:t>Supporting aged care providers to deliver appropriate, sensitive care to senior Australians with diverse needs, including through the adoption of trauma informed care practices.</w:t>
            </w:r>
          </w:p>
        </w:tc>
        <w:tc>
          <w:tcPr>
            <w:tcW w:w="441" w:type="dxa"/>
            <w:shd w:val="clear" w:color="auto" w:fill="auto"/>
          </w:tcPr>
          <w:p w14:paraId="632E7E99" w14:textId="233C5313"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E9A" w14:textId="638B8F9A"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E9B" w14:textId="2FB4635F"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E9C" w14:textId="7780CC47" w:rsidR="00E90764" w:rsidRPr="00CF6322" w:rsidRDefault="00041BDA" w:rsidP="001D1CF9">
            <w:pPr>
              <w:pStyle w:val="BodyText"/>
            </w:pPr>
            <w:r>
              <w:rPr>
                <w:rFonts w:ascii="Segoe UI Symbol" w:hAnsi="Segoe UI Symbol" w:cs="Segoe UI Symbol"/>
              </w:rPr>
              <w:t>✓</w:t>
            </w:r>
          </w:p>
        </w:tc>
      </w:tr>
      <w:tr w:rsidR="00E90764" w:rsidRPr="00CF6322" w14:paraId="632E7EA3" w14:textId="77777777" w:rsidTr="00FE2D80">
        <w:trPr>
          <w:trHeight w:val="582"/>
        </w:trPr>
        <w:tc>
          <w:tcPr>
            <w:tcW w:w="8541" w:type="dxa"/>
            <w:shd w:val="clear" w:color="auto" w:fill="auto"/>
            <w:vAlign w:val="center"/>
          </w:tcPr>
          <w:p w14:paraId="632E7E9E" w14:textId="77777777" w:rsidR="00E90764" w:rsidRPr="00CF6322" w:rsidRDefault="0099166C" w:rsidP="001D1CF9">
            <w:pPr>
              <w:pStyle w:val="BodyText"/>
            </w:pPr>
            <w:r w:rsidRPr="00CF6322">
              <w:t>Supporting the aged care sector to improve its capability to meet the diverse characteristics and life experiences of their consumers through regulation and diversity information and education.</w:t>
            </w:r>
          </w:p>
        </w:tc>
        <w:tc>
          <w:tcPr>
            <w:tcW w:w="441" w:type="dxa"/>
            <w:shd w:val="clear" w:color="auto" w:fill="auto"/>
          </w:tcPr>
          <w:p w14:paraId="632E7E9F" w14:textId="141EE6BB"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EA0" w14:textId="3C2BE4C5"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EA1" w14:textId="0756438C"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EA2" w14:textId="667AF8FB" w:rsidR="00E90764" w:rsidRPr="00CF6322" w:rsidRDefault="00041BDA" w:rsidP="001D1CF9">
            <w:pPr>
              <w:pStyle w:val="BodyText"/>
            </w:pPr>
            <w:r>
              <w:rPr>
                <w:rFonts w:ascii="Segoe UI Symbol" w:hAnsi="Segoe UI Symbol" w:cs="Segoe UI Symbol"/>
              </w:rPr>
              <w:t>✓</w:t>
            </w:r>
          </w:p>
        </w:tc>
      </w:tr>
      <w:tr w:rsidR="00E90764" w:rsidRPr="00CF6322" w14:paraId="632E7EA9" w14:textId="77777777" w:rsidTr="00FE2D80">
        <w:trPr>
          <w:trHeight w:val="582"/>
        </w:trPr>
        <w:tc>
          <w:tcPr>
            <w:tcW w:w="8541" w:type="dxa"/>
            <w:shd w:val="clear" w:color="auto" w:fill="auto"/>
            <w:vAlign w:val="center"/>
          </w:tcPr>
          <w:p w14:paraId="632E7EA4" w14:textId="77777777" w:rsidR="00E90764" w:rsidRPr="00CF6322" w:rsidRDefault="0099166C" w:rsidP="001D1CF9">
            <w:pPr>
              <w:pStyle w:val="BodyText"/>
            </w:pPr>
            <w:r w:rsidRPr="00CF6322">
              <w:t>Working with the Aged Care Quality and Safety Commission (ACQSC) to refine the risk-based targeting and information sharing capability within the ACQSC, including information about home care.</w:t>
            </w:r>
          </w:p>
        </w:tc>
        <w:tc>
          <w:tcPr>
            <w:tcW w:w="441" w:type="dxa"/>
            <w:shd w:val="clear" w:color="auto" w:fill="auto"/>
          </w:tcPr>
          <w:p w14:paraId="632E7EA5" w14:textId="431BDA8E"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EA6" w14:textId="70D43043"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EA7" w14:textId="77777777" w:rsidR="00E90764" w:rsidRPr="00CF6322" w:rsidRDefault="00E90764" w:rsidP="001D1CF9">
            <w:pPr>
              <w:pStyle w:val="BodyText"/>
            </w:pPr>
          </w:p>
        </w:tc>
        <w:tc>
          <w:tcPr>
            <w:tcW w:w="441" w:type="dxa"/>
            <w:shd w:val="clear" w:color="auto" w:fill="auto"/>
          </w:tcPr>
          <w:p w14:paraId="632E7EA8" w14:textId="77777777" w:rsidR="00E90764" w:rsidRPr="00CF6322" w:rsidRDefault="00E90764" w:rsidP="001D1CF9">
            <w:pPr>
              <w:pStyle w:val="BodyText"/>
            </w:pPr>
          </w:p>
        </w:tc>
      </w:tr>
      <w:tr w:rsidR="00E90764" w:rsidRPr="00CF6322" w14:paraId="632E7EB1" w14:textId="77777777" w:rsidTr="00FE2D80">
        <w:trPr>
          <w:trHeight w:val="822"/>
        </w:trPr>
        <w:tc>
          <w:tcPr>
            <w:tcW w:w="8541" w:type="dxa"/>
            <w:shd w:val="clear" w:color="auto" w:fill="auto"/>
            <w:vAlign w:val="center"/>
          </w:tcPr>
          <w:p w14:paraId="632E7EAA" w14:textId="77777777" w:rsidR="00E90764" w:rsidRPr="00CF6322" w:rsidRDefault="0099166C" w:rsidP="001D1CF9">
            <w:pPr>
              <w:pStyle w:val="BodyText"/>
            </w:pPr>
            <w:r w:rsidRPr="00CF6322">
              <w:t>Consulting with stakeholders to refine the reporting requirements associated with the 2021 basic daily fee supplement. Continuing to develop policy options for improving food and nutrition for those in residential aged care.</w:t>
            </w:r>
          </w:p>
        </w:tc>
        <w:tc>
          <w:tcPr>
            <w:tcW w:w="441" w:type="dxa"/>
            <w:shd w:val="clear" w:color="auto" w:fill="auto"/>
          </w:tcPr>
          <w:p w14:paraId="632E7EAC" w14:textId="6C67B3D8"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EAE" w14:textId="6D624919"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EAF" w14:textId="77777777" w:rsidR="00E90764" w:rsidRPr="00CF6322" w:rsidRDefault="00E90764" w:rsidP="001D1CF9">
            <w:pPr>
              <w:pStyle w:val="BodyText"/>
            </w:pPr>
          </w:p>
        </w:tc>
        <w:tc>
          <w:tcPr>
            <w:tcW w:w="441" w:type="dxa"/>
            <w:shd w:val="clear" w:color="auto" w:fill="auto"/>
          </w:tcPr>
          <w:p w14:paraId="632E7EB0" w14:textId="77777777" w:rsidR="00E90764" w:rsidRPr="00CF6322" w:rsidRDefault="00E90764" w:rsidP="001D1CF9">
            <w:pPr>
              <w:pStyle w:val="BodyText"/>
            </w:pPr>
          </w:p>
        </w:tc>
      </w:tr>
      <w:tr w:rsidR="00E90764" w:rsidRPr="00CF6322" w14:paraId="632E7EB7" w14:textId="77777777" w:rsidTr="00FE2D80">
        <w:trPr>
          <w:trHeight w:val="582"/>
        </w:trPr>
        <w:tc>
          <w:tcPr>
            <w:tcW w:w="8541" w:type="dxa"/>
            <w:shd w:val="clear" w:color="auto" w:fill="auto"/>
            <w:vAlign w:val="center"/>
          </w:tcPr>
          <w:p w14:paraId="632E7EB2" w14:textId="77777777" w:rsidR="00E90764" w:rsidRPr="00CF6322" w:rsidRDefault="0099166C" w:rsidP="001D1CF9">
            <w:pPr>
              <w:pStyle w:val="BodyText"/>
            </w:pPr>
            <w:r w:rsidRPr="00CF6322">
              <w:t>Supporting the operation of the Aged Care Workforce Industry Council to implement the Aged Care Workforce Strategy Taskforce report A Matter of Care: Australia’s Aged Care Workforce Strategy.</w:t>
            </w:r>
          </w:p>
        </w:tc>
        <w:tc>
          <w:tcPr>
            <w:tcW w:w="441" w:type="dxa"/>
            <w:shd w:val="clear" w:color="auto" w:fill="auto"/>
          </w:tcPr>
          <w:p w14:paraId="632E7EB3" w14:textId="52D73606"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EB4" w14:textId="35408B00"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EB5" w14:textId="77777777" w:rsidR="00E90764" w:rsidRPr="00CF6322" w:rsidRDefault="00E90764" w:rsidP="001D1CF9">
            <w:pPr>
              <w:pStyle w:val="BodyText"/>
            </w:pPr>
          </w:p>
        </w:tc>
        <w:tc>
          <w:tcPr>
            <w:tcW w:w="441" w:type="dxa"/>
            <w:shd w:val="clear" w:color="auto" w:fill="auto"/>
          </w:tcPr>
          <w:p w14:paraId="632E7EB6" w14:textId="77777777" w:rsidR="00E90764" w:rsidRPr="00CF6322" w:rsidRDefault="00E90764" w:rsidP="001D1CF9">
            <w:pPr>
              <w:pStyle w:val="BodyText"/>
            </w:pPr>
          </w:p>
        </w:tc>
      </w:tr>
      <w:tr w:rsidR="00E90764" w:rsidRPr="00CF6322" w14:paraId="632E7EBD" w14:textId="77777777" w:rsidTr="00FE2D80">
        <w:trPr>
          <w:trHeight w:val="391"/>
        </w:trPr>
        <w:tc>
          <w:tcPr>
            <w:tcW w:w="8541" w:type="dxa"/>
            <w:shd w:val="clear" w:color="auto" w:fill="auto"/>
            <w:vAlign w:val="center"/>
          </w:tcPr>
          <w:p w14:paraId="632E7EB8" w14:textId="77777777" w:rsidR="00E90764" w:rsidRPr="00CF6322" w:rsidRDefault="0099166C" w:rsidP="001D1CF9">
            <w:pPr>
              <w:pStyle w:val="BodyText"/>
            </w:pPr>
            <w:r w:rsidRPr="00CF6322">
              <w:t>Implementing the aged care nurses’ bonus initiative and transition to practice programs.</w:t>
            </w:r>
          </w:p>
        </w:tc>
        <w:tc>
          <w:tcPr>
            <w:tcW w:w="441" w:type="dxa"/>
            <w:shd w:val="clear" w:color="auto" w:fill="auto"/>
          </w:tcPr>
          <w:p w14:paraId="632E7EB9" w14:textId="77777777" w:rsidR="00E90764" w:rsidRPr="00CF6322" w:rsidRDefault="00E90764" w:rsidP="001D1CF9">
            <w:pPr>
              <w:pStyle w:val="BodyText"/>
            </w:pPr>
          </w:p>
        </w:tc>
        <w:tc>
          <w:tcPr>
            <w:tcW w:w="441" w:type="dxa"/>
            <w:shd w:val="clear" w:color="auto" w:fill="auto"/>
          </w:tcPr>
          <w:p w14:paraId="632E7EBA" w14:textId="028DBF74"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EBB" w14:textId="14CE9374"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EBC" w14:textId="77777777" w:rsidR="00E90764" w:rsidRPr="00CF6322" w:rsidRDefault="00E90764" w:rsidP="001D1CF9">
            <w:pPr>
              <w:pStyle w:val="BodyText"/>
            </w:pPr>
          </w:p>
        </w:tc>
      </w:tr>
      <w:tr w:rsidR="00E90764" w:rsidRPr="00CF6322" w14:paraId="632E7EC3" w14:textId="77777777" w:rsidTr="00FE2D80">
        <w:trPr>
          <w:trHeight w:val="391"/>
        </w:trPr>
        <w:tc>
          <w:tcPr>
            <w:tcW w:w="8541" w:type="dxa"/>
            <w:shd w:val="clear" w:color="auto" w:fill="auto"/>
            <w:vAlign w:val="center"/>
          </w:tcPr>
          <w:p w14:paraId="632E7EBE" w14:textId="77777777" w:rsidR="00E90764" w:rsidRPr="00CF6322" w:rsidRDefault="0099166C" w:rsidP="001D1CF9">
            <w:pPr>
              <w:pStyle w:val="BodyText"/>
            </w:pPr>
            <w:r w:rsidRPr="00CF6322">
              <w:t>Exploring the feasibility of an aged care worker regulation scheme.</w:t>
            </w:r>
          </w:p>
        </w:tc>
        <w:tc>
          <w:tcPr>
            <w:tcW w:w="441" w:type="dxa"/>
            <w:shd w:val="clear" w:color="auto" w:fill="auto"/>
          </w:tcPr>
          <w:p w14:paraId="632E7EBF" w14:textId="753E44A8"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EC0" w14:textId="6535270E"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EC1" w14:textId="77777777" w:rsidR="00E90764" w:rsidRPr="00CF6322" w:rsidRDefault="00E90764" w:rsidP="001D1CF9">
            <w:pPr>
              <w:pStyle w:val="BodyText"/>
            </w:pPr>
          </w:p>
        </w:tc>
        <w:tc>
          <w:tcPr>
            <w:tcW w:w="441" w:type="dxa"/>
            <w:shd w:val="clear" w:color="auto" w:fill="auto"/>
          </w:tcPr>
          <w:p w14:paraId="632E7EC2" w14:textId="77777777" w:rsidR="00E90764" w:rsidRPr="00CF6322" w:rsidRDefault="00E90764" w:rsidP="001D1CF9">
            <w:pPr>
              <w:pStyle w:val="BodyText"/>
            </w:pPr>
          </w:p>
        </w:tc>
      </w:tr>
      <w:tr w:rsidR="00E90764" w:rsidRPr="00CF6322" w14:paraId="632E7EC9" w14:textId="77777777" w:rsidTr="00FE2D80">
        <w:trPr>
          <w:trHeight w:val="391"/>
        </w:trPr>
        <w:tc>
          <w:tcPr>
            <w:tcW w:w="8541" w:type="dxa"/>
            <w:shd w:val="clear" w:color="auto" w:fill="auto"/>
            <w:vAlign w:val="center"/>
          </w:tcPr>
          <w:p w14:paraId="632E7EC4" w14:textId="77777777" w:rsidR="00E90764" w:rsidRPr="00CF6322" w:rsidRDefault="0099166C" w:rsidP="001D1CF9">
            <w:pPr>
              <w:pStyle w:val="BodyText"/>
            </w:pPr>
            <w:r w:rsidRPr="00CF6322">
              <w:t>Establishing a Centre for Growth and Translational Research.</w:t>
            </w:r>
          </w:p>
        </w:tc>
        <w:tc>
          <w:tcPr>
            <w:tcW w:w="441" w:type="dxa"/>
            <w:shd w:val="clear" w:color="auto" w:fill="auto"/>
          </w:tcPr>
          <w:p w14:paraId="632E7EC5" w14:textId="7949AE24"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EC6" w14:textId="77777777" w:rsidR="00E90764" w:rsidRPr="00CF6322" w:rsidRDefault="00E90764" w:rsidP="001D1CF9">
            <w:pPr>
              <w:pStyle w:val="BodyText"/>
            </w:pPr>
          </w:p>
        </w:tc>
        <w:tc>
          <w:tcPr>
            <w:tcW w:w="439" w:type="dxa"/>
            <w:shd w:val="clear" w:color="auto" w:fill="auto"/>
          </w:tcPr>
          <w:p w14:paraId="632E7EC7" w14:textId="77777777" w:rsidR="00E90764" w:rsidRPr="00CF6322" w:rsidRDefault="00E90764" w:rsidP="001D1CF9">
            <w:pPr>
              <w:pStyle w:val="BodyText"/>
            </w:pPr>
          </w:p>
        </w:tc>
        <w:tc>
          <w:tcPr>
            <w:tcW w:w="441" w:type="dxa"/>
            <w:shd w:val="clear" w:color="auto" w:fill="auto"/>
          </w:tcPr>
          <w:p w14:paraId="632E7EC8" w14:textId="77777777" w:rsidR="00E90764" w:rsidRPr="00CF6322" w:rsidRDefault="00E90764" w:rsidP="001D1CF9">
            <w:pPr>
              <w:pStyle w:val="BodyText"/>
            </w:pPr>
          </w:p>
        </w:tc>
      </w:tr>
      <w:tr w:rsidR="00E90764" w:rsidRPr="00CF6322" w14:paraId="632E7ECF" w14:textId="77777777" w:rsidTr="00FE2D80">
        <w:trPr>
          <w:trHeight w:val="582"/>
        </w:trPr>
        <w:tc>
          <w:tcPr>
            <w:tcW w:w="8541" w:type="dxa"/>
            <w:shd w:val="clear" w:color="auto" w:fill="auto"/>
            <w:vAlign w:val="center"/>
          </w:tcPr>
          <w:p w14:paraId="632E7ECA" w14:textId="77777777" w:rsidR="00E90764" w:rsidRPr="00CF6322" w:rsidRDefault="0099166C" w:rsidP="001D1CF9">
            <w:pPr>
              <w:pStyle w:val="BodyText"/>
            </w:pPr>
            <w:r w:rsidRPr="00CF6322">
              <w:t>Continuing to provide free independent business advisory services, including workforce advisory services, to residential aged care and home care providers.</w:t>
            </w:r>
          </w:p>
        </w:tc>
        <w:tc>
          <w:tcPr>
            <w:tcW w:w="441" w:type="dxa"/>
            <w:shd w:val="clear" w:color="auto" w:fill="auto"/>
          </w:tcPr>
          <w:p w14:paraId="632E7ECB" w14:textId="1BC3C58C"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ECC" w14:textId="48086421"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ECD" w14:textId="77777777" w:rsidR="00E90764" w:rsidRPr="00CF6322" w:rsidRDefault="00E90764" w:rsidP="001D1CF9">
            <w:pPr>
              <w:pStyle w:val="BodyText"/>
            </w:pPr>
          </w:p>
        </w:tc>
        <w:tc>
          <w:tcPr>
            <w:tcW w:w="441" w:type="dxa"/>
            <w:shd w:val="clear" w:color="auto" w:fill="auto"/>
          </w:tcPr>
          <w:p w14:paraId="632E7ECE" w14:textId="77777777" w:rsidR="00E90764" w:rsidRPr="00CF6322" w:rsidRDefault="00E90764" w:rsidP="001D1CF9">
            <w:pPr>
              <w:pStyle w:val="BodyText"/>
            </w:pPr>
          </w:p>
        </w:tc>
      </w:tr>
      <w:tr w:rsidR="00E90764" w:rsidRPr="00CF6322" w14:paraId="632E7ED5" w14:textId="77777777" w:rsidTr="00FE2D80">
        <w:trPr>
          <w:trHeight w:val="582"/>
        </w:trPr>
        <w:tc>
          <w:tcPr>
            <w:tcW w:w="8541" w:type="dxa"/>
            <w:shd w:val="clear" w:color="auto" w:fill="auto"/>
            <w:vAlign w:val="center"/>
          </w:tcPr>
          <w:p w14:paraId="632E7ED0" w14:textId="4B153432" w:rsidR="00E90764" w:rsidRPr="00CF6322" w:rsidRDefault="0099166C" w:rsidP="001D1CF9">
            <w:pPr>
              <w:pStyle w:val="BodyText"/>
            </w:pPr>
            <w:r w:rsidRPr="00CF6322">
              <w:t>Providing grant funding to support residential aged care providers to deliver quality care and achieve</w:t>
            </w:r>
            <w:r w:rsidR="00313977" w:rsidRPr="00CF6322">
              <w:t xml:space="preserve"> </w:t>
            </w:r>
            <w:r w:rsidRPr="00CF6322">
              <w:t>a stronger and more viable residential aged care sector through the Structural Adjustment Program.</w:t>
            </w:r>
          </w:p>
        </w:tc>
        <w:tc>
          <w:tcPr>
            <w:tcW w:w="441" w:type="dxa"/>
            <w:shd w:val="clear" w:color="auto" w:fill="auto"/>
          </w:tcPr>
          <w:p w14:paraId="632E7ED1" w14:textId="6E9D974D"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ED2" w14:textId="7051BC4E"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ED3" w14:textId="77777777" w:rsidR="00E90764" w:rsidRPr="00CF6322" w:rsidRDefault="00E90764" w:rsidP="001D1CF9">
            <w:pPr>
              <w:pStyle w:val="BodyText"/>
            </w:pPr>
          </w:p>
        </w:tc>
        <w:tc>
          <w:tcPr>
            <w:tcW w:w="441" w:type="dxa"/>
            <w:shd w:val="clear" w:color="auto" w:fill="auto"/>
          </w:tcPr>
          <w:p w14:paraId="632E7ED4" w14:textId="77777777" w:rsidR="00E90764" w:rsidRPr="00CF6322" w:rsidRDefault="00E90764" w:rsidP="001D1CF9">
            <w:pPr>
              <w:pStyle w:val="BodyText"/>
            </w:pPr>
          </w:p>
        </w:tc>
      </w:tr>
      <w:tr w:rsidR="00E90764" w:rsidRPr="00CF6322" w14:paraId="632E7EDB" w14:textId="77777777" w:rsidTr="00FE2D80">
        <w:trPr>
          <w:trHeight w:val="582"/>
        </w:trPr>
        <w:tc>
          <w:tcPr>
            <w:tcW w:w="8541" w:type="dxa"/>
            <w:shd w:val="clear" w:color="auto" w:fill="auto"/>
            <w:vAlign w:val="center"/>
          </w:tcPr>
          <w:p w14:paraId="632E7ED6" w14:textId="01850E2E" w:rsidR="00E90764" w:rsidRPr="00CF6322" w:rsidRDefault="0099166C" w:rsidP="001D1CF9">
            <w:pPr>
              <w:pStyle w:val="BodyText"/>
            </w:pPr>
            <w:r w:rsidRPr="00CF6322">
              <w:t>Expand the Financial Monitoring Program to identify and support providers at financial risk and refer</w:t>
            </w:r>
            <w:r w:rsidR="00313977" w:rsidRPr="00CF6322">
              <w:t xml:space="preserve"> </w:t>
            </w:r>
            <w:r w:rsidRPr="00CF6322">
              <w:t>them to support.</w:t>
            </w:r>
          </w:p>
        </w:tc>
        <w:tc>
          <w:tcPr>
            <w:tcW w:w="441" w:type="dxa"/>
            <w:shd w:val="clear" w:color="auto" w:fill="auto"/>
          </w:tcPr>
          <w:p w14:paraId="632E7ED7" w14:textId="673542D8"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ED8" w14:textId="4B7A5A30"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ED9" w14:textId="27F19087"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EDA" w14:textId="7EE0B4EA" w:rsidR="00E90764" w:rsidRPr="00CF6322" w:rsidRDefault="00041BDA" w:rsidP="001D1CF9">
            <w:pPr>
              <w:pStyle w:val="BodyText"/>
            </w:pPr>
            <w:r>
              <w:rPr>
                <w:rFonts w:ascii="Segoe UI Symbol" w:hAnsi="Segoe UI Symbol" w:cs="Segoe UI Symbol"/>
              </w:rPr>
              <w:t>✓</w:t>
            </w:r>
          </w:p>
        </w:tc>
      </w:tr>
      <w:tr w:rsidR="00E90764" w:rsidRPr="00CF6322" w14:paraId="632E7EE1" w14:textId="77777777" w:rsidTr="00FE2D80">
        <w:trPr>
          <w:trHeight w:val="582"/>
        </w:trPr>
        <w:tc>
          <w:tcPr>
            <w:tcW w:w="8541" w:type="dxa"/>
            <w:shd w:val="clear" w:color="auto" w:fill="auto"/>
            <w:vAlign w:val="center"/>
          </w:tcPr>
          <w:p w14:paraId="632E7EDC" w14:textId="77777777" w:rsidR="00E90764" w:rsidRPr="00CF6322" w:rsidRDefault="0099166C" w:rsidP="001D1CF9">
            <w:pPr>
              <w:pStyle w:val="BodyText"/>
            </w:pPr>
            <w:r w:rsidRPr="00CF6322">
              <w:t xml:space="preserve">Improve coordination and accessibility of post-diagnostic supports for people living with dementia and their </w:t>
            </w:r>
            <w:proofErr w:type="spellStart"/>
            <w:r w:rsidRPr="00CF6322">
              <w:t>carers</w:t>
            </w:r>
            <w:proofErr w:type="spellEnd"/>
            <w:r w:rsidRPr="00CF6322">
              <w:t>, including through an expansion of the National Dementia Support Program.</w:t>
            </w:r>
          </w:p>
        </w:tc>
        <w:tc>
          <w:tcPr>
            <w:tcW w:w="441" w:type="dxa"/>
            <w:shd w:val="clear" w:color="auto" w:fill="auto"/>
          </w:tcPr>
          <w:p w14:paraId="632E7EDD" w14:textId="6C4E76C7"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EDE" w14:textId="52990C3B"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EDF" w14:textId="7539B420"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EE0" w14:textId="04D80B1D" w:rsidR="00E90764" w:rsidRPr="00CF6322" w:rsidRDefault="00041BDA" w:rsidP="001D1CF9">
            <w:pPr>
              <w:pStyle w:val="BodyText"/>
            </w:pPr>
            <w:r>
              <w:rPr>
                <w:rFonts w:ascii="Segoe UI Symbol" w:hAnsi="Segoe UI Symbol" w:cs="Segoe UI Symbol"/>
              </w:rPr>
              <w:t>✓</w:t>
            </w:r>
          </w:p>
        </w:tc>
      </w:tr>
      <w:tr w:rsidR="00E90764" w:rsidRPr="00CF6322" w14:paraId="632E7EE7" w14:textId="77777777" w:rsidTr="00FE2D80">
        <w:trPr>
          <w:trHeight w:val="391"/>
        </w:trPr>
        <w:tc>
          <w:tcPr>
            <w:tcW w:w="8541" w:type="dxa"/>
            <w:shd w:val="clear" w:color="auto" w:fill="auto"/>
            <w:vAlign w:val="center"/>
          </w:tcPr>
          <w:p w14:paraId="632E7EE2" w14:textId="77777777" w:rsidR="00E90764" w:rsidRPr="00CF6322" w:rsidRDefault="0099166C" w:rsidP="001D1CF9">
            <w:pPr>
              <w:pStyle w:val="BodyText"/>
            </w:pPr>
            <w:r w:rsidRPr="00CF6322">
              <w:t>Developing accommodation design standards for residential aged care.</w:t>
            </w:r>
          </w:p>
        </w:tc>
        <w:tc>
          <w:tcPr>
            <w:tcW w:w="441" w:type="dxa"/>
            <w:shd w:val="clear" w:color="auto" w:fill="auto"/>
          </w:tcPr>
          <w:p w14:paraId="632E7EE3" w14:textId="7BC05882"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EE4" w14:textId="191DEC3F"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EE5" w14:textId="235CD1BD"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EE6" w14:textId="77777777" w:rsidR="00E90764" w:rsidRPr="00CF6322" w:rsidRDefault="00E90764" w:rsidP="001D1CF9">
            <w:pPr>
              <w:pStyle w:val="BodyText"/>
            </w:pPr>
          </w:p>
        </w:tc>
      </w:tr>
      <w:tr w:rsidR="00E90764" w:rsidRPr="00CF6322" w14:paraId="632E7EED" w14:textId="77777777" w:rsidTr="00FE2D80">
        <w:trPr>
          <w:trHeight w:val="582"/>
        </w:trPr>
        <w:tc>
          <w:tcPr>
            <w:tcW w:w="8541" w:type="dxa"/>
            <w:shd w:val="clear" w:color="auto" w:fill="auto"/>
            <w:vAlign w:val="center"/>
          </w:tcPr>
          <w:p w14:paraId="632E7EE8" w14:textId="77777777" w:rsidR="00E90764" w:rsidRPr="00CF6322" w:rsidRDefault="0099166C" w:rsidP="001D1CF9">
            <w:pPr>
              <w:pStyle w:val="BodyText"/>
            </w:pPr>
            <w:r w:rsidRPr="00CF6322">
              <w:t>Aligning regulation across the care and support sector, including aged care, the NDIS and disability services, and veterans’ care.</w:t>
            </w:r>
          </w:p>
        </w:tc>
        <w:tc>
          <w:tcPr>
            <w:tcW w:w="441" w:type="dxa"/>
            <w:shd w:val="clear" w:color="auto" w:fill="auto"/>
          </w:tcPr>
          <w:p w14:paraId="632E7EE9" w14:textId="4B0CE03D"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EEA" w14:textId="42D86794"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EEB" w14:textId="77777777" w:rsidR="00E90764" w:rsidRPr="00CF6322" w:rsidRDefault="00E90764" w:rsidP="001D1CF9">
            <w:pPr>
              <w:pStyle w:val="BodyText"/>
            </w:pPr>
          </w:p>
        </w:tc>
        <w:tc>
          <w:tcPr>
            <w:tcW w:w="441" w:type="dxa"/>
            <w:shd w:val="clear" w:color="auto" w:fill="auto"/>
          </w:tcPr>
          <w:p w14:paraId="632E7EEC" w14:textId="77777777" w:rsidR="00E90764" w:rsidRPr="00CF6322" w:rsidRDefault="00E90764" w:rsidP="001D1CF9">
            <w:pPr>
              <w:pStyle w:val="BodyText"/>
            </w:pPr>
          </w:p>
        </w:tc>
      </w:tr>
      <w:tr w:rsidR="00E90764" w:rsidRPr="00CF6322" w14:paraId="632E7EF3" w14:textId="77777777" w:rsidTr="00FE2D80">
        <w:trPr>
          <w:trHeight w:val="582"/>
        </w:trPr>
        <w:tc>
          <w:tcPr>
            <w:tcW w:w="8541" w:type="dxa"/>
            <w:shd w:val="clear" w:color="auto" w:fill="auto"/>
            <w:vAlign w:val="center"/>
          </w:tcPr>
          <w:p w14:paraId="632E7EEE" w14:textId="77777777" w:rsidR="00E90764" w:rsidRPr="00CF6322" w:rsidRDefault="0099166C" w:rsidP="001D1CF9">
            <w:pPr>
              <w:pStyle w:val="BodyText"/>
            </w:pPr>
            <w:r w:rsidRPr="00CF6322">
              <w:lastRenderedPageBreak/>
              <w:t>Review of the Aged Care Quality Standards, with focus on governance, diversity, dementia, food and nutrition.</w:t>
            </w:r>
          </w:p>
        </w:tc>
        <w:tc>
          <w:tcPr>
            <w:tcW w:w="441" w:type="dxa"/>
            <w:shd w:val="clear" w:color="auto" w:fill="auto"/>
          </w:tcPr>
          <w:p w14:paraId="632E7EEF" w14:textId="440388A9"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EF0" w14:textId="1C5FEC85"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EF1" w14:textId="7A21CA4B"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EF2" w14:textId="77777777" w:rsidR="00E90764" w:rsidRPr="00CF6322" w:rsidRDefault="00E90764" w:rsidP="001D1CF9">
            <w:pPr>
              <w:pStyle w:val="BodyText"/>
            </w:pPr>
          </w:p>
        </w:tc>
      </w:tr>
      <w:tr w:rsidR="00E90764" w:rsidRPr="00CF6322" w14:paraId="632E7EF9" w14:textId="77777777" w:rsidTr="00FE2D80">
        <w:trPr>
          <w:trHeight w:val="391"/>
        </w:trPr>
        <w:tc>
          <w:tcPr>
            <w:tcW w:w="8541" w:type="dxa"/>
            <w:shd w:val="clear" w:color="auto" w:fill="auto"/>
            <w:vAlign w:val="center"/>
          </w:tcPr>
          <w:p w14:paraId="632E7EF4" w14:textId="77777777" w:rsidR="00E90764" w:rsidRPr="00CF6322" w:rsidRDefault="0099166C" w:rsidP="001D1CF9">
            <w:pPr>
              <w:pStyle w:val="BodyText"/>
            </w:pPr>
            <w:r w:rsidRPr="00CF6322">
              <w:t>Expanding the SIRS to in-home services.</w:t>
            </w:r>
          </w:p>
        </w:tc>
        <w:tc>
          <w:tcPr>
            <w:tcW w:w="441" w:type="dxa"/>
            <w:shd w:val="clear" w:color="auto" w:fill="auto"/>
          </w:tcPr>
          <w:p w14:paraId="632E7EF5" w14:textId="19DA428F" w:rsidR="00E90764" w:rsidRPr="00CF6322" w:rsidRDefault="00041BDA" w:rsidP="001D1CF9">
            <w:pPr>
              <w:pStyle w:val="BodyText"/>
            </w:pPr>
            <w:r>
              <w:rPr>
                <w:rFonts w:ascii="Segoe UI Symbol" w:hAnsi="Segoe UI Symbol" w:cs="Segoe UI Symbol"/>
              </w:rPr>
              <w:t>✓</w:t>
            </w:r>
          </w:p>
        </w:tc>
        <w:tc>
          <w:tcPr>
            <w:tcW w:w="441" w:type="dxa"/>
            <w:shd w:val="clear" w:color="auto" w:fill="auto"/>
            <w:vAlign w:val="bottom"/>
          </w:tcPr>
          <w:p w14:paraId="632E7EF6" w14:textId="37C85082" w:rsidR="00E90764" w:rsidRPr="00CF6322" w:rsidRDefault="00041BDA" w:rsidP="001D1CF9">
            <w:pPr>
              <w:pStyle w:val="BodyText"/>
            </w:pPr>
            <w:r>
              <w:rPr>
                <w:rFonts w:ascii="Segoe UI Symbol" w:hAnsi="Segoe UI Symbol" w:cs="Segoe UI Symbol"/>
              </w:rPr>
              <w:t>✓</w:t>
            </w:r>
          </w:p>
        </w:tc>
        <w:tc>
          <w:tcPr>
            <w:tcW w:w="439" w:type="dxa"/>
            <w:shd w:val="clear" w:color="auto" w:fill="auto"/>
          </w:tcPr>
          <w:p w14:paraId="632E7EF7" w14:textId="1F9567F0" w:rsidR="00E90764" w:rsidRPr="00CF6322" w:rsidRDefault="00041BDA" w:rsidP="001D1CF9">
            <w:pPr>
              <w:pStyle w:val="BodyText"/>
            </w:pPr>
            <w:r>
              <w:rPr>
                <w:rFonts w:ascii="Segoe UI Symbol" w:hAnsi="Segoe UI Symbol" w:cs="Segoe UI Symbol"/>
              </w:rPr>
              <w:t>✓</w:t>
            </w:r>
          </w:p>
        </w:tc>
        <w:tc>
          <w:tcPr>
            <w:tcW w:w="441" w:type="dxa"/>
            <w:shd w:val="clear" w:color="auto" w:fill="auto"/>
          </w:tcPr>
          <w:p w14:paraId="632E7EF8" w14:textId="2C2BB599" w:rsidR="00E90764" w:rsidRPr="00CF6322" w:rsidRDefault="00041BDA" w:rsidP="001D1CF9">
            <w:pPr>
              <w:pStyle w:val="BodyText"/>
            </w:pPr>
            <w:r>
              <w:rPr>
                <w:rFonts w:ascii="Segoe UI Symbol" w:hAnsi="Segoe UI Symbol" w:cs="Segoe UI Symbol"/>
              </w:rPr>
              <w:t>✓</w:t>
            </w:r>
          </w:p>
        </w:tc>
      </w:tr>
    </w:tbl>
    <w:p w14:paraId="632E7EFC" w14:textId="77777777" w:rsidR="00E90764" w:rsidRPr="00CF6322" w:rsidRDefault="0099166C" w:rsidP="00FE2D80">
      <w:pPr>
        <w:pStyle w:val="Heading4"/>
      </w:pPr>
      <w:r w:rsidRPr="00CF6322">
        <w:t xml:space="preserve">Our </w:t>
      </w:r>
      <w:r w:rsidRPr="00FE2D80">
        <w:t>Performance</w:t>
      </w:r>
    </w:p>
    <w:p w14:paraId="632E7EFD" w14:textId="77777777" w:rsidR="00E90764" w:rsidRPr="00CF6322" w:rsidRDefault="0099166C" w:rsidP="00FE2D80">
      <w:pPr>
        <w:pStyle w:val="Heading5"/>
      </w:pPr>
      <w:r w:rsidRPr="00CF6322">
        <w:t>Performance Measures for Aged Care Quality – Program 3.3</w:t>
      </w:r>
    </w:p>
    <w:tbl>
      <w:tblPr>
        <w:tblW w:w="102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0" w:type="dxa"/>
        </w:tblCellMar>
        <w:tblLook w:val="01E0" w:firstRow="1" w:lastRow="1" w:firstColumn="1" w:lastColumn="1" w:noHBand="0" w:noVBand="0"/>
      </w:tblPr>
      <w:tblGrid>
        <w:gridCol w:w="2571"/>
        <w:gridCol w:w="2571"/>
        <w:gridCol w:w="2571"/>
        <w:gridCol w:w="2571"/>
      </w:tblGrid>
      <w:tr w:rsidR="00E90764" w:rsidRPr="006D2D9F" w14:paraId="632E7F00" w14:textId="77777777" w:rsidTr="006D2D9F">
        <w:trPr>
          <w:trHeight w:val="965"/>
          <w:tblHeader/>
        </w:trPr>
        <w:tc>
          <w:tcPr>
            <w:tcW w:w="10284" w:type="dxa"/>
            <w:gridSpan w:val="4"/>
            <w:shd w:val="clear" w:color="auto" w:fill="auto"/>
          </w:tcPr>
          <w:p w14:paraId="632E7EFF" w14:textId="0DCC4343" w:rsidR="00E90764" w:rsidRPr="006D2D9F" w:rsidRDefault="0099166C" w:rsidP="001D1CF9">
            <w:pPr>
              <w:pStyle w:val="BodyText"/>
              <w:rPr>
                <w:b/>
                <w:bCs/>
              </w:rPr>
            </w:pPr>
            <w:r w:rsidRPr="006D2D9F">
              <w:rPr>
                <w:b/>
                <w:bCs/>
              </w:rPr>
              <w:t xml:space="preserve">Percentage of care givers providing feedback via a survey who report an improvement in confidence when managing Behavioural and Psychological Symptoms of Dementia, following an intervention from the Dementia </w:t>
            </w:r>
            <w:proofErr w:type="spellStart"/>
            <w:r w:rsidRPr="006D2D9F">
              <w:rPr>
                <w:b/>
                <w:bCs/>
              </w:rPr>
              <w:t>Behaviour</w:t>
            </w:r>
            <w:proofErr w:type="spellEnd"/>
            <w:r w:rsidRPr="006D2D9F">
              <w:rPr>
                <w:b/>
                <w:bCs/>
              </w:rPr>
              <w:t xml:space="preserve"> Management Advisory Service (DBMAS) or the Severe </w:t>
            </w:r>
            <w:proofErr w:type="spellStart"/>
            <w:r w:rsidRPr="006D2D9F">
              <w:rPr>
                <w:b/>
                <w:bCs/>
              </w:rPr>
              <w:t>Behaviour</w:t>
            </w:r>
            <w:proofErr w:type="spellEnd"/>
            <w:r w:rsidRPr="006D2D9F">
              <w:rPr>
                <w:b/>
                <w:bCs/>
              </w:rPr>
              <w:t xml:space="preserve"> Response Teams (SBRT).</w:t>
            </w:r>
            <w:r w:rsidR="00A9158F" w:rsidRPr="006D2D9F">
              <w:rPr>
                <w:rStyle w:val="FootnoteReference"/>
                <w:b/>
                <w:bCs/>
              </w:rPr>
              <w:footnoteReference w:id="69"/>
            </w:r>
          </w:p>
        </w:tc>
      </w:tr>
      <w:tr w:rsidR="00E90764" w:rsidRPr="006D2D9F" w14:paraId="632E7F05" w14:textId="77777777" w:rsidTr="00CA1C4B">
        <w:trPr>
          <w:trHeight w:val="458"/>
        </w:trPr>
        <w:tc>
          <w:tcPr>
            <w:tcW w:w="2571" w:type="dxa"/>
            <w:shd w:val="clear" w:color="auto" w:fill="auto"/>
          </w:tcPr>
          <w:p w14:paraId="632E7F01" w14:textId="77777777" w:rsidR="00E90764" w:rsidRPr="006D2D9F" w:rsidRDefault="0099166C" w:rsidP="001D1CF9">
            <w:pPr>
              <w:pStyle w:val="BodyText"/>
              <w:rPr>
                <w:b/>
                <w:bCs/>
              </w:rPr>
            </w:pPr>
            <w:r w:rsidRPr="006D2D9F">
              <w:rPr>
                <w:b/>
                <w:bCs/>
              </w:rPr>
              <w:t>2021–22 Target</w:t>
            </w:r>
          </w:p>
        </w:tc>
        <w:tc>
          <w:tcPr>
            <w:tcW w:w="2571" w:type="dxa"/>
            <w:shd w:val="clear" w:color="auto" w:fill="auto"/>
          </w:tcPr>
          <w:p w14:paraId="632E7F02" w14:textId="77777777" w:rsidR="00E90764" w:rsidRPr="006D2D9F" w:rsidRDefault="0099166C" w:rsidP="001D1CF9">
            <w:pPr>
              <w:pStyle w:val="BodyText"/>
              <w:rPr>
                <w:b/>
                <w:bCs/>
              </w:rPr>
            </w:pPr>
            <w:r w:rsidRPr="006D2D9F">
              <w:rPr>
                <w:b/>
                <w:bCs/>
              </w:rPr>
              <w:t>2022–23 Target</w:t>
            </w:r>
          </w:p>
        </w:tc>
        <w:tc>
          <w:tcPr>
            <w:tcW w:w="2571" w:type="dxa"/>
            <w:shd w:val="clear" w:color="auto" w:fill="auto"/>
          </w:tcPr>
          <w:p w14:paraId="632E7F03" w14:textId="77777777" w:rsidR="00E90764" w:rsidRPr="006D2D9F" w:rsidRDefault="0099166C" w:rsidP="001D1CF9">
            <w:pPr>
              <w:pStyle w:val="BodyText"/>
              <w:rPr>
                <w:b/>
                <w:bCs/>
              </w:rPr>
            </w:pPr>
            <w:r w:rsidRPr="006D2D9F">
              <w:rPr>
                <w:b/>
                <w:bCs/>
              </w:rPr>
              <w:t>2023–24 Target</w:t>
            </w:r>
          </w:p>
        </w:tc>
        <w:tc>
          <w:tcPr>
            <w:tcW w:w="2571" w:type="dxa"/>
            <w:shd w:val="clear" w:color="auto" w:fill="auto"/>
          </w:tcPr>
          <w:p w14:paraId="632E7F04" w14:textId="77777777" w:rsidR="00E90764" w:rsidRPr="006D2D9F" w:rsidRDefault="0099166C" w:rsidP="001D1CF9">
            <w:pPr>
              <w:pStyle w:val="BodyText"/>
              <w:rPr>
                <w:b/>
                <w:bCs/>
              </w:rPr>
            </w:pPr>
            <w:r w:rsidRPr="006D2D9F">
              <w:rPr>
                <w:b/>
                <w:bCs/>
              </w:rPr>
              <w:t>2024–25 Target</w:t>
            </w:r>
          </w:p>
        </w:tc>
      </w:tr>
      <w:tr w:rsidR="00E90764" w:rsidRPr="00CF6322" w14:paraId="632E7F0A" w14:textId="77777777" w:rsidTr="00CA1C4B">
        <w:trPr>
          <w:trHeight w:val="465"/>
        </w:trPr>
        <w:tc>
          <w:tcPr>
            <w:tcW w:w="2571" w:type="dxa"/>
            <w:shd w:val="clear" w:color="auto" w:fill="auto"/>
          </w:tcPr>
          <w:p w14:paraId="632E7F06" w14:textId="77777777" w:rsidR="00E90764" w:rsidRPr="00CF6322" w:rsidRDefault="0099166C" w:rsidP="001D1CF9">
            <w:pPr>
              <w:pStyle w:val="BodyText"/>
            </w:pPr>
            <w:r w:rsidRPr="00CF6322">
              <w:t>≥75%</w:t>
            </w:r>
          </w:p>
        </w:tc>
        <w:tc>
          <w:tcPr>
            <w:tcW w:w="2571" w:type="dxa"/>
            <w:shd w:val="clear" w:color="auto" w:fill="auto"/>
          </w:tcPr>
          <w:p w14:paraId="632E7F07" w14:textId="77777777" w:rsidR="00E90764" w:rsidRPr="00CF6322" w:rsidRDefault="0099166C" w:rsidP="001D1CF9">
            <w:pPr>
              <w:pStyle w:val="BodyText"/>
            </w:pPr>
            <w:r w:rsidRPr="00CF6322">
              <w:t>≥75%</w:t>
            </w:r>
          </w:p>
        </w:tc>
        <w:tc>
          <w:tcPr>
            <w:tcW w:w="2571" w:type="dxa"/>
            <w:shd w:val="clear" w:color="auto" w:fill="auto"/>
          </w:tcPr>
          <w:p w14:paraId="632E7F08" w14:textId="77777777" w:rsidR="00E90764" w:rsidRPr="00CF6322" w:rsidRDefault="0099166C" w:rsidP="001D1CF9">
            <w:pPr>
              <w:pStyle w:val="BodyText"/>
            </w:pPr>
            <w:r w:rsidRPr="00CF6322">
              <w:t>≥75%</w:t>
            </w:r>
          </w:p>
        </w:tc>
        <w:tc>
          <w:tcPr>
            <w:tcW w:w="2571" w:type="dxa"/>
            <w:shd w:val="clear" w:color="auto" w:fill="auto"/>
          </w:tcPr>
          <w:p w14:paraId="632E7F09" w14:textId="77777777" w:rsidR="00E90764" w:rsidRPr="00CF6322" w:rsidRDefault="0099166C" w:rsidP="001D1CF9">
            <w:pPr>
              <w:pStyle w:val="BodyText"/>
            </w:pPr>
            <w:r w:rsidRPr="00CF6322">
              <w:t>≥75%</w:t>
            </w:r>
          </w:p>
        </w:tc>
      </w:tr>
      <w:tr w:rsidR="00E90764" w:rsidRPr="00CF6322" w14:paraId="632E7F14" w14:textId="77777777" w:rsidTr="00CA1C4B">
        <w:trPr>
          <w:trHeight w:val="3509"/>
        </w:trPr>
        <w:tc>
          <w:tcPr>
            <w:tcW w:w="10284" w:type="dxa"/>
            <w:gridSpan w:val="4"/>
            <w:shd w:val="clear" w:color="auto" w:fill="auto"/>
          </w:tcPr>
          <w:p w14:paraId="632E7F0B" w14:textId="77777777" w:rsidR="00E90764" w:rsidRPr="00CF6322" w:rsidRDefault="0099166C" w:rsidP="001D1CF9">
            <w:pPr>
              <w:pStyle w:val="Heading6"/>
            </w:pPr>
            <w:r w:rsidRPr="00CF6322">
              <w:t xml:space="preserve">Data source and </w:t>
            </w:r>
            <w:r w:rsidRPr="00CA1C4B">
              <w:t>methodology</w:t>
            </w:r>
          </w:p>
          <w:p w14:paraId="632E7F0C" w14:textId="77777777" w:rsidR="00E90764" w:rsidRPr="00CF6322" w:rsidRDefault="0099166C" w:rsidP="001D1CF9">
            <w:pPr>
              <w:pStyle w:val="BodyText"/>
            </w:pPr>
            <w:r w:rsidRPr="00CF6322">
              <w:t xml:space="preserve">Data is obtained through a Quality Satisfaction Survey and managed by Dementia Support Australia (DSA). The survey is sent to all referrers for both DBMAS and SBRT who have a valid email address. The relevant response is to: ‘Contact with Dementia Services Australia (DSA) has increased my/our confidence regarding </w:t>
            </w:r>
            <w:proofErr w:type="spellStart"/>
            <w:r w:rsidRPr="00CF6322">
              <w:t>behaviour</w:t>
            </w:r>
            <w:proofErr w:type="spellEnd"/>
            <w:r w:rsidRPr="00CF6322">
              <w:t xml:space="preserve"> management.’</w:t>
            </w:r>
          </w:p>
          <w:p w14:paraId="632E7F0D" w14:textId="77777777" w:rsidR="00E90764" w:rsidRPr="00CF6322" w:rsidRDefault="0099166C" w:rsidP="001D1CF9">
            <w:pPr>
              <w:pStyle w:val="BodyText"/>
            </w:pPr>
            <w:r w:rsidRPr="00CF6322">
              <w:t>DSA provides 6 monthly reports to the Department.</w:t>
            </w:r>
          </w:p>
          <w:p w14:paraId="632E7F0F" w14:textId="77777777" w:rsidR="00E90764" w:rsidRPr="00CF6322" w:rsidRDefault="0099166C" w:rsidP="001D1CF9">
            <w:pPr>
              <w:pStyle w:val="Heading6"/>
            </w:pPr>
            <w:r w:rsidRPr="00CF6322">
              <w:t xml:space="preserve">Measure </w:t>
            </w:r>
            <w:r w:rsidRPr="00CA1C4B">
              <w:t>type</w:t>
            </w:r>
          </w:p>
          <w:p w14:paraId="632E7F10" w14:textId="77777777" w:rsidR="00E90764" w:rsidRPr="00CF6322" w:rsidRDefault="0099166C" w:rsidP="001D1CF9">
            <w:pPr>
              <w:pStyle w:val="BodyText"/>
            </w:pPr>
            <w:r w:rsidRPr="00CF6322">
              <w:t>Quantitative/Effectiveness</w:t>
            </w:r>
          </w:p>
          <w:p w14:paraId="632E7F12" w14:textId="77777777" w:rsidR="00E90764" w:rsidRPr="00CA1C4B" w:rsidRDefault="0099166C" w:rsidP="001D1CF9">
            <w:pPr>
              <w:pStyle w:val="Heading6"/>
            </w:pPr>
            <w:r w:rsidRPr="00CF6322">
              <w:t>Discussion</w:t>
            </w:r>
          </w:p>
          <w:p w14:paraId="632E7F13" w14:textId="77777777" w:rsidR="00E90764" w:rsidRPr="00CF6322" w:rsidRDefault="0099166C" w:rsidP="001D1CF9">
            <w:pPr>
              <w:pStyle w:val="BodyText"/>
            </w:pPr>
            <w:r w:rsidRPr="00CF6322">
              <w:t>Previously the performance measure was for DBMAS only. The measure now includes both DBMAS and SBRT, as both are major programs contributing to all elements of the objective for Australians living with dementia.</w:t>
            </w:r>
          </w:p>
        </w:tc>
      </w:tr>
    </w:tbl>
    <w:p w14:paraId="2FEFA206" w14:textId="77777777" w:rsidR="00A9158F" w:rsidRPr="00A9158F" w:rsidRDefault="00A9158F" w:rsidP="00A9158F">
      <w:pPr>
        <w:pStyle w:val="Heading3"/>
      </w:pPr>
      <w:r w:rsidRPr="00A9158F">
        <w:t>Our Partners in Delivering Outcome 3</w:t>
      </w:r>
    </w:p>
    <w:p w14:paraId="1C196C0B" w14:textId="77777777" w:rsidR="00ED716A" w:rsidRDefault="00A9158F" w:rsidP="001D1CF9">
      <w:pPr>
        <w:pStyle w:val="BodyText"/>
      </w:pPr>
      <w:r w:rsidRPr="00A9158F">
        <w:t xml:space="preserve">In working towards achieving our purpose, we cooperate with all entities within the Health portfolio and other Commonwealth entities. We also partner with a wide range of external stakeholders including states and territories, peak bodies and international </w:t>
      </w:r>
      <w:proofErr w:type="spellStart"/>
      <w:r w:rsidRPr="00A9158F">
        <w:t>organisations</w:t>
      </w:r>
      <w:proofErr w:type="spellEnd"/>
      <w:r w:rsidRPr="00A9158F">
        <w:t xml:space="preserve">. More detail on our partners can be found in the </w:t>
      </w:r>
      <w:r w:rsidRPr="006E10D0">
        <w:rPr>
          <w:i/>
        </w:rPr>
        <w:t xml:space="preserve">2021–22 Health Portfolio Budget Statements </w:t>
      </w:r>
      <w:r w:rsidRPr="00A9158F">
        <w:t>linked programs section.</w:t>
      </w:r>
    </w:p>
    <w:p w14:paraId="7AFD8073" w14:textId="77777777" w:rsidR="00ED716A" w:rsidRDefault="00ED716A" w:rsidP="00ED716A">
      <w:pPr>
        <w:pStyle w:val="Heading2"/>
        <w:sectPr w:rsidR="00ED716A" w:rsidSect="006D2D9F">
          <w:headerReference w:type="default" r:id="rId17"/>
          <w:footerReference w:type="default" r:id="rId18"/>
          <w:pgSz w:w="11910" w:h="16840"/>
          <w:pgMar w:top="720" w:right="720" w:bottom="720" w:left="720" w:header="0" w:footer="330" w:gutter="0"/>
          <w:cols w:space="720"/>
          <w:docGrid w:linePitch="299"/>
        </w:sectPr>
      </w:pPr>
    </w:p>
    <w:p w14:paraId="632E7F47" w14:textId="1652A12A" w:rsidR="00E90764" w:rsidRPr="00CF6322" w:rsidRDefault="0099166C" w:rsidP="00ED716A">
      <w:pPr>
        <w:pStyle w:val="Heading2"/>
      </w:pPr>
      <w:bookmarkStart w:id="32" w:name="_Toc83043022"/>
      <w:r w:rsidRPr="00CF6322">
        <w:lastRenderedPageBreak/>
        <w:t>OUTCOME 4</w:t>
      </w:r>
      <w:r w:rsidR="00ED716A">
        <w:t xml:space="preserve"> – </w:t>
      </w:r>
      <w:r w:rsidRPr="00CF6322">
        <w:t>Sport and Recreation</w:t>
      </w:r>
      <w:bookmarkEnd w:id="32"/>
    </w:p>
    <w:p w14:paraId="632E7F48" w14:textId="5D1C4343" w:rsidR="00E90764" w:rsidRPr="00CF6322" w:rsidRDefault="0099166C" w:rsidP="001D1CF9">
      <w:pPr>
        <w:pStyle w:val="BodyText"/>
      </w:pPr>
      <w:r w:rsidRPr="00CF6322">
        <w:t>Improved opportunities for community participation in sport and recreation, excellence in high-performance athletes, and protecting the integrity of sport through</w:t>
      </w:r>
      <w:r w:rsidR="00ED716A">
        <w:t xml:space="preserve"> </w:t>
      </w:r>
      <w:r w:rsidRPr="00CF6322">
        <w:t>investment in sport infrastructure, coordination of Commonwealth involvement in major sporting events, and research and international cooperation on sport issues.</w:t>
      </w:r>
    </w:p>
    <w:p w14:paraId="632E7F4A" w14:textId="0461457F" w:rsidR="00E90764" w:rsidRPr="00CF6322" w:rsidRDefault="0099166C" w:rsidP="001D1CF9">
      <w:pPr>
        <w:pStyle w:val="BodyText"/>
      </w:pPr>
      <w:r w:rsidRPr="00CF6322">
        <w:t>Outcome 4 is delivered through the following program:</w:t>
      </w:r>
    </w:p>
    <w:p w14:paraId="632E7F4D" w14:textId="64CC2B14" w:rsidR="00E90764" w:rsidRPr="00CF6322" w:rsidRDefault="0099166C" w:rsidP="001D1CF9">
      <w:pPr>
        <w:pStyle w:val="BodyText"/>
      </w:pPr>
      <w:r w:rsidRPr="00CF6322">
        <w:t>4.1</w:t>
      </w:r>
      <w:r w:rsidR="00ED716A">
        <w:t xml:space="preserve"> </w:t>
      </w:r>
      <w:r w:rsidRPr="00CF6322">
        <w:t>Sport and Recreation</w:t>
      </w:r>
    </w:p>
    <w:p w14:paraId="632E7F4E" w14:textId="05F88BC3" w:rsidR="00E90764" w:rsidRPr="00CF6322" w:rsidRDefault="0099166C" w:rsidP="00ED716A">
      <w:pPr>
        <w:pStyle w:val="Heading3"/>
      </w:pPr>
      <w:r w:rsidRPr="00CF6322">
        <w:t xml:space="preserve">Outcome </w:t>
      </w:r>
      <w:r w:rsidRPr="00ED716A">
        <w:t>Snapshot</w:t>
      </w:r>
    </w:p>
    <w:p w14:paraId="632E7F4F" w14:textId="77777777" w:rsidR="00E90764" w:rsidRPr="00CF6322" w:rsidRDefault="0099166C" w:rsidP="001D1CF9">
      <w:pPr>
        <w:pStyle w:val="BodyText"/>
      </w:pPr>
      <w:r w:rsidRPr="00CF6322">
        <w:t>Through Outcome 4, we will undertake a wide range of functions to advance the role that sport plays in achieving the Australian Government’s broader social and economic policy objectives. This includes:</w:t>
      </w:r>
    </w:p>
    <w:p w14:paraId="632E7F50" w14:textId="77777777" w:rsidR="00E90764" w:rsidRPr="00ED716A" w:rsidRDefault="0099166C" w:rsidP="00ED716A">
      <w:pPr>
        <w:pStyle w:val="Bullets"/>
      </w:pPr>
      <w:r w:rsidRPr="00CF6322">
        <w:t xml:space="preserve">Coordinating Commonwealth </w:t>
      </w:r>
      <w:r w:rsidRPr="00ED716A">
        <w:t>support for major</w:t>
      </w:r>
    </w:p>
    <w:p w14:paraId="632E7F51" w14:textId="77777777" w:rsidR="00E90764" w:rsidRPr="00ED716A" w:rsidRDefault="0099166C" w:rsidP="00ED716A">
      <w:pPr>
        <w:pStyle w:val="Bullets"/>
      </w:pPr>
      <w:proofErr w:type="gramStart"/>
      <w:r w:rsidRPr="00ED716A">
        <w:t>international</w:t>
      </w:r>
      <w:proofErr w:type="gramEnd"/>
      <w:r w:rsidRPr="00ED716A">
        <w:t xml:space="preserve"> sporting events.</w:t>
      </w:r>
    </w:p>
    <w:p w14:paraId="632E7F52" w14:textId="77777777" w:rsidR="00E90764" w:rsidRPr="00ED716A" w:rsidRDefault="0099166C" w:rsidP="00ED716A">
      <w:pPr>
        <w:pStyle w:val="Bullets"/>
      </w:pPr>
      <w:r w:rsidRPr="00ED716A">
        <w:t>Supporting Brisbane as the host of the 2032 Olympic and Paralympic Games.</w:t>
      </w:r>
    </w:p>
    <w:p w14:paraId="632E7F53" w14:textId="77777777" w:rsidR="00E90764" w:rsidRPr="00ED716A" w:rsidRDefault="0099166C" w:rsidP="00ED716A">
      <w:pPr>
        <w:pStyle w:val="Bullets"/>
      </w:pPr>
      <w:r w:rsidRPr="00ED716A">
        <w:t>Improving water and snow safety.</w:t>
      </w:r>
    </w:p>
    <w:p w14:paraId="632E7F54" w14:textId="77777777" w:rsidR="00E90764" w:rsidRPr="00ED716A" w:rsidRDefault="0099166C" w:rsidP="00ED716A">
      <w:pPr>
        <w:pStyle w:val="Bullets"/>
      </w:pPr>
      <w:r w:rsidRPr="00ED716A">
        <w:t xml:space="preserve">Partnering with the Department of Foreign Affairs and Trade to implement initiatives under the </w:t>
      </w:r>
      <w:r w:rsidRPr="00A7769F">
        <w:rPr>
          <w:i/>
          <w:iCs/>
        </w:rPr>
        <w:t>Sports Diplomacy 2030</w:t>
      </w:r>
      <w:r w:rsidRPr="00ED716A">
        <w:t xml:space="preserve"> strategy.</w:t>
      </w:r>
    </w:p>
    <w:p w14:paraId="632E7F55" w14:textId="77777777" w:rsidR="00E90764" w:rsidRPr="00ED716A" w:rsidRDefault="0099166C" w:rsidP="00ED716A">
      <w:pPr>
        <w:pStyle w:val="Bullets"/>
      </w:pPr>
      <w:r w:rsidRPr="00ED716A">
        <w:t>Partnering with Sport Australia to encourage Australians to lead more healthy and active lifestyles.</w:t>
      </w:r>
    </w:p>
    <w:p w14:paraId="632E7F56" w14:textId="77777777" w:rsidR="00E90764" w:rsidRPr="00ED716A" w:rsidRDefault="0099166C" w:rsidP="00ED716A">
      <w:pPr>
        <w:pStyle w:val="Bullets"/>
      </w:pPr>
      <w:r w:rsidRPr="00ED716A">
        <w:t xml:space="preserve">Implementing initiatives under the national sport plan, </w:t>
      </w:r>
      <w:r w:rsidRPr="00A7769F">
        <w:rPr>
          <w:i/>
          <w:iCs/>
        </w:rPr>
        <w:t>Sport 2030</w:t>
      </w:r>
      <w:r w:rsidRPr="00ED716A">
        <w:t>.</w:t>
      </w:r>
    </w:p>
    <w:p w14:paraId="632E7F57" w14:textId="77777777" w:rsidR="00E90764" w:rsidRPr="00CF6322" w:rsidRDefault="0099166C" w:rsidP="00ED716A">
      <w:pPr>
        <w:pStyle w:val="Bullets"/>
      </w:pPr>
      <w:r w:rsidRPr="00ED716A">
        <w:t>Ensuring sport dispute</w:t>
      </w:r>
      <w:r w:rsidRPr="00CF6322">
        <w:t xml:space="preserve"> resolution is fair, efficient and transparent.</w:t>
      </w:r>
    </w:p>
    <w:p w14:paraId="009E783E" w14:textId="77777777" w:rsidR="006D2D9F" w:rsidRDefault="006D2D9F" w:rsidP="00ED716A">
      <w:pPr>
        <w:pStyle w:val="Heading3"/>
        <w:sectPr w:rsidR="006D2D9F" w:rsidSect="00DD2F20">
          <w:pgSz w:w="11910" w:h="16840"/>
          <w:pgMar w:top="720" w:right="720" w:bottom="720" w:left="720" w:header="0" w:footer="330" w:gutter="0"/>
          <w:cols w:space="720"/>
          <w:docGrid w:linePitch="299"/>
        </w:sectPr>
      </w:pPr>
    </w:p>
    <w:p w14:paraId="632E7F79" w14:textId="53EE862E" w:rsidR="00E90764" w:rsidRPr="00ED716A" w:rsidRDefault="00ED716A" w:rsidP="00ED716A">
      <w:pPr>
        <w:pStyle w:val="Heading3"/>
      </w:pPr>
      <w:r>
        <w:t>4.1 – Sport and Recreation</w:t>
      </w:r>
    </w:p>
    <w:p w14:paraId="632E7F7B" w14:textId="77777777" w:rsidR="00E90764" w:rsidRPr="00ED716A" w:rsidRDefault="0099166C" w:rsidP="00ED716A">
      <w:pPr>
        <w:pStyle w:val="Heading4"/>
      </w:pPr>
      <w:r w:rsidRPr="00CF6322">
        <w:t>Program Objective</w:t>
      </w:r>
    </w:p>
    <w:p w14:paraId="7FEDAF0E" w14:textId="2BCC8EAC" w:rsidR="00ED716A" w:rsidRDefault="00ED716A" w:rsidP="001D1CF9">
      <w:pPr>
        <w:pStyle w:val="BodyText"/>
        <w:rPr>
          <w:color w:val="000000"/>
        </w:rPr>
      </w:pPr>
      <w:r>
        <w:t>Increase</w:t>
      </w:r>
      <w:r>
        <w:rPr>
          <w:spacing w:val="-12"/>
        </w:rPr>
        <w:t xml:space="preserve"> </w:t>
      </w:r>
      <w:r>
        <w:t>participation</w:t>
      </w:r>
      <w:r>
        <w:rPr>
          <w:spacing w:val="-11"/>
        </w:rPr>
        <w:t xml:space="preserve"> </w:t>
      </w:r>
      <w:r>
        <w:t>in</w:t>
      </w:r>
      <w:r>
        <w:rPr>
          <w:spacing w:val="-11"/>
        </w:rPr>
        <w:t xml:space="preserve"> </w:t>
      </w:r>
      <w:r>
        <w:t>sport</w:t>
      </w:r>
      <w:r>
        <w:rPr>
          <w:spacing w:val="-12"/>
        </w:rPr>
        <w:t xml:space="preserve"> </w:t>
      </w:r>
      <w:r>
        <w:t>and</w:t>
      </w:r>
      <w:r>
        <w:rPr>
          <w:spacing w:val="-11"/>
        </w:rPr>
        <w:t xml:space="preserve"> </w:t>
      </w:r>
      <w:r>
        <w:t>recreation</w:t>
      </w:r>
      <w:r>
        <w:rPr>
          <w:spacing w:val="-11"/>
        </w:rPr>
        <w:t xml:space="preserve"> </w:t>
      </w:r>
      <w:r>
        <w:t>activities</w:t>
      </w:r>
      <w:r>
        <w:rPr>
          <w:spacing w:val="-12"/>
        </w:rPr>
        <w:t xml:space="preserve"> </w:t>
      </w:r>
      <w:r>
        <w:t>by</w:t>
      </w:r>
      <w:r>
        <w:rPr>
          <w:spacing w:val="-11"/>
        </w:rPr>
        <w:t xml:space="preserve"> </w:t>
      </w:r>
      <w:r>
        <w:t>all</w:t>
      </w:r>
      <w:r>
        <w:rPr>
          <w:spacing w:val="-11"/>
        </w:rPr>
        <w:t xml:space="preserve"> </w:t>
      </w:r>
      <w:r>
        <w:t>Australians</w:t>
      </w:r>
      <w:r>
        <w:rPr>
          <w:spacing w:val="-11"/>
        </w:rPr>
        <w:t xml:space="preserve"> </w:t>
      </w:r>
      <w:r>
        <w:t>and</w:t>
      </w:r>
      <w:r>
        <w:rPr>
          <w:spacing w:val="-12"/>
        </w:rPr>
        <w:t xml:space="preserve"> </w:t>
      </w:r>
      <w:r>
        <w:t>foster</w:t>
      </w:r>
      <w:r>
        <w:rPr>
          <w:spacing w:val="-11"/>
        </w:rPr>
        <w:t xml:space="preserve"> </w:t>
      </w:r>
      <w:r>
        <w:t>excellence</w:t>
      </w:r>
      <w:r>
        <w:rPr>
          <w:spacing w:val="-11"/>
        </w:rPr>
        <w:t xml:space="preserve"> </w:t>
      </w:r>
      <w:r>
        <w:t>in</w:t>
      </w:r>
      <w:r>
        <w:rPr>
          <w:spacing w:val="-12"/>
        </w:rPr>
        <w:t xml:space="preserve"> </w:t>
      </w:r>
      <w:r>
        <w:t>Australia’s</w:t>
      </w:r>
      <w:r>
        <w:rPr>
          <w:spacing w:val="-49"/>
        </w:rPr>
        <w:t xml:space="preserve"> </w:t>
      </w:r>
      <w:r>
        <w:t>high-performance</w:t>
      </w:r>
      <w:r>
        <w:rPr>
          <w:spacing w:val="-12"/>
        </w:rPr>
        <w:t xml:space="preserve"> </w:t>
      </w:r>
      <w:r>
        <w:t>athletes.</w:t>
      </w:r>
      <w:r>
        <w:rPr>
          <w:spacing w:val="-12"/>
        </w:rPr>
        <w:t xml:space="preserve"> </w:t>
      </w:r>
      <w:r>
        <w:t>Further</w:t>
      </w:r>
      <w:r>
        <w:rPr>
          <w:spacing w:val="-12"/>
        </w:rPr>
        <w:t xml:space="preserve"> </w:t>
      </w:r>
      <w:r>
        <w:t>Australia’s</w:t>
      </w:r>
      <w:r>
        <w:rPr>
          <w:spacing w:val="-12"/>
        </w:rPr>
        <w:t xml:space="preserve"> </w:t>
      </w:r>
      <w:r>
        <w:t>national</w:t>
      </w:r>
      <w:r>
        <w:rPr>
          <w:spacing w:val="-12"/>
        </w:rPr>
        <w:t xml:space="preserve"> </w:t>
      </w:r>
      <w:r>
        <w:t>interests</w:t>
      </w:r>
      <w:r>
        <w:rPr>
          <w:spacing w:val="-12"/>
        </w:rPr>
        <w:t xml:space="preserve"> </w:t>
      </w:r>
      <w:r>
        <w:t>by</w:t>
      </w:r>
      <w:r>
        <w:rPr>
          <w:spacing w:val="-12"/>
        </w:rPr>
        <w:t xml:space="preserve"> </w:t>
      </w:r>
      <w:r>
        <w:t>supporting</w:t>
      </w:r>
      <w:r>
        <w:rPr>
          <w:spacing w:val="-11"/>
        </w:rPr>
        <w:t xml:space="preserve"> </w:t>
      </w:r>
      <w:r>
        <w:t>the</w:t>
      </w:r>
      <w:r>
        <w:rPr>
          <w:spacing w:val="-12"/>
        </w:rPr>
        <w:t xml:space="preserve"> </w:t>
      </w:r>
      <w:r>
        <w:t>Australian</w:t>
      </w:r>
      <w:r>
        <w:rPr>
          <w:spacing w:val="-12"/>
        </w:rPr>
        <w:t xml:space="preserve"> </w:t>
      </w:r>
      <w:r>
        <w:t>sport</w:t>
      </w:r>
      <w:r>
        <w:rPr>
          <w:spacing w:val="-12"/>
        </w:rPr>
        <w:t xml:space="preserve"> </w:t>
      </w:r>
      <w:r>
        <w:t>sector, showcasing</w:t>
      </w:r>
      <w:r>
        <w:rPr>
          <w:spacing w:val="-11"/>
        </w:rPr>
        <w:t xml:space="preserve"> </w:t>
      </w:r>
      <w:r>
        <w:t>Australia</w:t>
      </w:r>
      <w:r>
        <w:rPr>
          <w:spacing w:val="-11"/>
        </w:rPr>
        <w:t xml:space="preserve"> </w:t>
      </w:r>
      <w:r>
        <w:t>as</w:t>
      </w:r>
      <w:r>
        <w:rPr>
          <w:spacing w:val="-11"/>
        </w:rPr>
        <w:t xml:space="preserve"> </w:t>
      </w:r>
      <w:r>
        <w:t>a</w:t>
      </w:r>
      <w:r>
        <w:rPr>
          <w:spacing w:val="-11"/>
        </w:rPr>
        <w:t xml:space="preserve"> </w:t>
      </w:r>
      <w:r>
        <w:t>premier</w:t>
      </w:r>
      <w:r>
        <w:rPr>
          <w:spacing w:val="-10"/>
        </w:rPr>
        <w:t xml:space="preserve"> </w:t>
      </w:r>
      <w:r>
        <w:t>host</w:t>
      </w:r>
      <w:r>
        <w:rPr>
          <w:spacing w:val="-11"/>
        </w:rPr>
        <w:t xml:space="preserve"> </w:t>
      </w:r>
      <w:r>
        <w:t>of</w:t>
      </w:r>
      <w:r>
        <w:rPr>
          <w:spacing w:val="-11"/>
        </w:rPr>
        <w:t xml:space="preserve"> </w:t>
      </w:r>
      <w:r>
        <w:t>major</w:t>
      </w:r>
      <w:r>
        <w:rPr>
          <w:spacing w:val="-11"/>
        </w:rPr>
        <w:t xml:space="preserve"> </w:t>
      </w:r>
      <w:r>
        <w:t>international</w:t>
      </w:r>
      <w:r>
        <w:rPr>
          <w:spacing w:val="-10"/>
        </w:rPr>
        <w:t xml:space="preserve"> </w:t>
      </w:r>
      <w:r>
        <w:t>sporting</w:t>
      </w:r>
      <w:r>
        <w:rPr>
          <w:spacing w:val="-11"/>
        </w:rPr>
        <w:t xml:space="preserve"> </w:t>
      </w:r>
      <w:r>
        <w:t>events</w:t>
      </w:r>
      <w:r>
        <w:rPr>
          <w:spacing w:val="-11"/>
        </w:rPr>
        <w:t xml:space="preserve"> </w:t>
      </w:r>
      <w:r>
        <w:t>and</w:t>
      </w:r>
      <w:r>
        <w:rPr>
          <w:spacing w:val="-11"/>
        </w:rPr>
        <w:t xml:space="preserve"> </w:t>
      </w:r>
      <w:r>
        <w:t>improving</w:t>
      </w:r>
      <w:r>
        <w:rPr>
          <w:spacing w:val="-10"/>
        </w:rPr>
        <w:t xml:space="preserve"> </w:t>
      </w:r>
      <w:r>
        <w:t>water</w:t>
      </w:r>
      <w:r>
        <w:rPr>
          <w:spacing w:val="-11"/>
        </w:rPr>
        <w:t xml:space="preserve"> </w:t>
      </w:r>
      <w:r>
        <w:t>and</w:t>
      </w:r>
      <w:r>
        <w:rPr>
          <w:spacing w:val="-11"/>
        </w:rPr>
        <w:t xml:space="preserve"> </w:t>
      </w:r>
      <w:r>
        <w:t>snow</w:t>
      </w:r>
      <w:r>
        <w:rPr>
          <w:spacing w:val="-11"/>
        </w:rPr>
        <w:t xml:space="preserve"> </w:t>
      </w:r>
      <w:r>
        <w:t>safety.</w:t>
      </w:r>
    </w:p>
    <w:p w14:paraId="632E7F7F" w14:textId="77777777" w:rsidR="00E90764" w:rsidRPr="00CF6322" w:rsidRDefault="0099166C" w:rsidP="00ED716A">
      <w:pPr>
        <w:pStyle w:val="Heading4"/>
      </w:pPr>
      <w:r w:rsidRPr="00CF6322">
        <w:t>Our Operating Focus</w:t>
      </w:r>
    </w:p>
    <w:p w14:paraId="632E7F81" w14:textId="2719074A" w:rsidR="00E90764" w:rsidRPr="00CF6322" w:rsidRDefault="0099166C" w:rsidP="001D1CF9">
      <w:pPr>
        <w:pStyle w:val="BodyText"/>
      </w:pPr>
      <w:r w:rsidRPr="00CF6322">
        <w:t>The Australian sporting sector is continuing to adapt to the challenges of the COVID-19 pandemic at community and high performance levels. Restrictions related to the</w:t>
      </w:r>
      <w:r w:rsidR="005D46F8" w:rsidRPr="00CF6322">
        <w:t xml:space="preserve"> </w:t>
      </w:r>
      <w:r w:rsidRPr="00CF6322">
        <w:t>pandemic response led to the cancellation of domestic and</w:t>
      </w:r>
      <w:r w:rsidR="0062143E" w:rsidRPr="00CF6322">
        <w:t xml:space="preserve"> </w:t>
      </w:r>
      <w:r w:rsidRPr="00CF6322">
        <w:t>international events, the suspension of group community sport, shortened sporting seasons, and significant economic challenges for sporting codes across the sector.</w:t>
      </w:r>
    </w:p>
    <w:p w14:paraId="632E7F83" w14:textId="652C28E3" w:rsidR="00E90764" w:rsidRPr="00CF6322" w:rsidRDefault="0099166C" w:rsidP="001D1CF9">
      <w:pPr>
        <w:pStyle w:val="BodyText"/>
      </w:pPr>
      <w:r w:rsidRPr="00CF6322">
        <w:t>The pandemic created a period of uncertainty for elite and emerging athletes, coaches and officials, with associated negative impacts on their careers, income, mental</w:t>
      </w:r>
      <w:r w:rsidR="005D46F8" w:rsidRPr="00CF6322">
        <w:t xml:space="preserve"> </w:t>
      </w:r>
      <w:r w:rsidRPr="00CF6322">
        <w:t xml:space="preserve">health and wellbeing. </w:t>
      </w:r>
      <w:proofErr w:type="spellStart"/>
      <w:r w:rsidRPr="00CF6322">
        <w:t>AusPlay</w:t>
      </w:r>
      <w:proofErr w:type="spellEnd"/>
      <w:r w:rsidRPr="00CF6322">
        <w:t xml:space="preserve"> data</w:t>
      </w:r>
      <w:r w:rsidR="00ED716A">
        <w:rPr>
          <w:rStyle w:val="FootnoteReference"/>
        </w:rPr>
        <w:footnoteReference w:id="70"/>
      </w:r>
      <w:r w:rsidRPr="00CF6322">
        <w:t xml:space="preserve"> shows a decline in participation in </w:t>
      </w:r>
      <w:proofErr w:type="spellStart"/>
      <w:r w:rsidRPr="00CF6322">
        <w:t>organised</w:t>
      </w:r>
      <w:proofErr w:type="spellEnd"/>
      <w:r w:rsidRPr="00CF6322">
        <w:t xml:space="preserve"> sport and physical activity during</w:t>
      </w:r>
      <w:r w:rsidR="00313977" w:rsidRPr="00CF6322">
        <w:t xml:space="preserve"> </w:t>
      </w:r>
      <w:r w:rsidRPr="00CF6322">
        <w:t>2020, particularly for children.</w:t>
      </w:r>
    </w:p>
    <w:p w14:paraId="632E7F84" w14:textId="77777777" w:rsidR="00E90764" w:rsidRPr="00CF6322" w:rsidRDefault="0099166C" w:rsidP="001D1CF9">
      <w:pPr>
        <w:pStyle w:val="BodyText"/>
      </w:pPr>
      <w:r w:rsidRPr="00CF6322">
        <w:t xml:space="preserve">We will continue to work with Sport Australia to review and implement sport policies and initiatives that encourage Australians to re-engage in community sport and lead more healthy and active lifestyles. We will also continue to work with agencies across government to support sport and recreation </w:t>
      </w:r>
      <w:proofErr w:type="spellStart"/>
      <w:r w:rsidRPr="00CF6322">
        <w:t>organisations</w:t>
      </w:r>
      <w:proofErr w:type="spellEnd"/>
      <w:r w:rsidRPr="00CF6322">
        <w:t xml:space="preserve"> to deliver their services in a COVID safe environment.</w:t>
      </w:r>
    </w:p>
    <w:p w14:paraId="632E7F85" w14:textId="77777777" w:rsidR="00E90764" w:rsidRPr="00CF6322" w:rsidRDefault="0099166C" w:rsidP="001D1CF9">
      <w:pPr>
        <w:pStyle w:val="BodyText"/>
      </w:pPr>
      <w:r w:rsidRPr="00CF6322">
        <w:t>We will continue working with Sport Australia and the Australian Institute of Sport on opportunities to enhance the high performance system including through funding, coordination, programs and facilities.</w:t>
      </w:r>
    </w:p>
    <w:p w14:paraId="632E7F87" w14:textId="165FAA25" w:rsidR="00E90764" w:rsidRPr="00CF6322" w:rsidRDefault="0099166C" w:rsidP="001D1CF9">
      <w:pPr>
        <w:pStyle w:val="BodyText"/>
      </w:pPr>
      <w:r w:rsidRPr="00CF6322">
        <w:t>After a disrupted lead-up, we and the Australian community, were able to support our Australian teams at the rescheduled 2020 Tokyo Olympic and Paralympic Games.</w:t>
      </w:r>
      <w:r w:rsidR="00ED716A">
        <w:t xml:space="preserve"> </w:t>
      </w:r>
      <w:r w:rsidRPr="00CF6322">
        <w:t>We have responsibility for coordinating Commonwealth support for major sporting events hosted in Australia. Policies and operational arrangements are developed and implemented to meet Australian Government commitments</w:t>
      </w:r>
      <w:r w:rsidR="00313977" w:rsidRPr="00CF6322">
        <w:t xml:space="preserve"> </w:t>
      </w:r>
      <w:r w:rsidRPr="00CF6322">
        <w:t>to support bids for, and delivery of, major sporting events in Australia.</w:t>
      </w:r>
    </w:p>
    <w:p w14:paraId="632E7F88" w14:textId="6DC40D58" w:rsidR="00E90764" w:rsidRPr="00CF6322" w:rsidRDefault="0099166C" w:rsidP="001D1CF9">
      <w:pPr>
        <w:pStyle w:val="BodyText"/>
      </w:pPr>
      <w:r w:rsidRPr="00CF6322">
        <w:t xml:space="preserve">We will continue coordinating Commonwealth responsibilities in support of several upcoming major international sporting </w:t>
      </w:r>
      <w:r w:rsidRPr="00CF6322">
        <w:lastRenderedPageBreak/>
        <w:t>events, including the FIBA</w:t>
      </w:r>
      <w:r w:rsidR="00ED716A">
        <w:rPr>
          <w:rStyle w:val="FootnoteReference"/>
        </w:rPr>
        <w:footnoteReference w:id="71"/>
      </w:r>
      <w:r w:rsidRPr="00CF6322">
        <w:t xml:space="preserve"> Women’s</w:t>
      </w:r>
      <w:r w:rsidR="00ED716A">
        <w:t xml:space="preserve"> </w:t>
      </w:r>
      <w:r w:rsidRPr="00CF6322">
        <w:t>World Cup 2022, ICC</w:t>
      </w:r>
      <w:r w:rsidR="00ED716A">
        <w:rPr>
          <w:rStyle w:val="FootnoteReference"/>
        </w:rPr>
        <w:footnoteReference w:id="72"/>
      </w:r>
      <w:r w:rsidRPr="00CF6322">
        <w:t xml:space="preserve"> Men’s T20 World Cup 2022 and the FIFA</w:t>
      </w:r>
      <w:r w:rsidR="00ED716A">
        <w:rPr>
          <w:rStyle w:val="FootnoteReference"/>
        </w:rPr>
        <w:footnoteReference w:id="73"/>
      </w:r>
      <w:r w:rsidRPr="00CF6322">
        <w:t xml:space="preserve"> Women’s World Cup 2023 (jointly hosted by Australia and New Zealand). We are also considering leveraging any legacy opportunities presented by hosting major international sporting events to achieve broader Government health and diplomacy objectives and deliver socio economic benefits to Australia.</w:t>
      </w:r>
    </w:p>
    <w:p w14:paraId="632E7F89" w14:textId="77777777" w:rsidR="00E90764" w:rsidRPr="00CF6322" w:rsidRDefault="0099166C" w:rsidP="001D1CF9">
      <w:pPr>
        <w:pStyle w:val="BodyText"/>
      </w:pPr>
      <w:r w:rsidRPr="00CF6322">
        <w:t xml:space="preserve">We will continue supporting the 2032 Summer Olympic and Paralympic Games in Brisbane through financial, policy and operational support coordination to ensure the Government commitments and expectations are </w:t>
      </w:r>
      <w:proofErr w:type="spellStart"/>
      <w:r w:rsidRPr="00CF6322">
        <w:t>realised</w:t>
      </w:r>
      <w:proofErr w:type="spellEnd"/>
      <w:r w:rsidRPr="00CF6322">
        <w:t>.</w:t>
      </w:r>
    </w:p>
    <w:p w14:paraId="632E7F8A" w14:textId="62FA0E37" w:rsidR="006D2D9F" w:rsidRDefault="0099166C" w:rsidP="001D1CF9">
      <w:pPr>
        <w:pStyle w:val="BodyText"/>
      </w:pPr>
      <w:r w:rsidRPr="00CF6322">
        <w:t xml:space="preserve">We will continue promoting and protecting the integrity and fairness of Australian sport through the National Sports Tribunal (NST) pilot. The NST will continue to provide the Australian sporting community with an independent and specialist forum for resolving sporting disputes through arbitration, mediation, </w:t>
      </w:r>
      <w:proofErr w:type="gramStart"/>
      <w:r w:rsidRPr="00CF6322">
        <w:t>conciliation</w:t>
      </w:r>
      <w:proofErr w:type="gramEnd"/>
      <w:r w:rsidRPr="00CF6322">
        <w:t xml:space="preserve"> and case appraisal.</w:t>
      </w:r>
    </w:p>
    <w:p w14:paraId="2E003936" w14:textId="77777777" w:rsidR="006D2D9F" w:rsidRDefault="006D2D9F">
      <w:pPr>
        <w:rPr>
          <w:rFonts w:ascii="Helvetica" w:hAnsi="Helvetica"/>
          <w:color w:val="231F20"/>
          <w:sz w:val="19"/>
          <w:szCs w:val="19"/>
        </w:rPr>
      </w:pPr>
      <w:r>
        <w:br w:type="page"/>
      </w:r>
    </w:p>
    <w:tbl>
      <w:tblPr>
        <w:tblW w:w="10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0" w:type="dxa"/>
        </w:tblCellMar>
        <w:tblLook w:val="01E0" w:firstRow="1" w:lastRow="1" w:firstColumn="1" w:lastColumn="1" w:noHBand="0" w:noVBand="0"/>
      </w:tblPr>
      <w:tblGrid>
        <w:gridCol w:w="8556"/>
        <w:gridCol w:w="442"/>
        <w:gridCol w:w="442"/>
        <w:gridCol w:w="440"/>
        <w:gridCol w:w="442"/>
      </w:tblGrid>
      <w:tr w:rsidR="00E90764" w:rsidRPr="006D2D9F" w14:paraId="632E7F9B" w14:textId="77777777" w:rsidTr="006D2D9F">
        <w:trPr>
          <w:trHeight w:val="1150"/>
          <w:tblHeader/>
        </w:trPr>
        <w:tc>
          <w:tcPr>
            <w:tcW w:w="8556" w:type="dxa"/>
            <w:shd w:val="clear" w:color="auto" w:fill="auto"/>
          </w:tcPr>
          <w:p w14:paraId="632E7F96" w14:textId="77777777" w:rsidR="00E90764" w:rsidRPr="006D2D9F" w:rsidRDefault="0099166C" w:rsidP="001D1CF9">
            <w:pPr>
              <w:pStyle w:val="BodyText"/>
              <w:rPr>
                <w:b/>
                <w:bCs/>
              </w:rPr>
            </w:pPr>
            <w:r w:rsidRPr="006D2D9F">
              <w:rPr>
                <w:b/>
                <w:bCs/>
              </w:rPr>
              <w:lastRenderedPageBreak/>
              <w:t>Key Activities</w:t>
            </w:r>
          </w:p>
        </w:tc>
        <w:tc>
          <w:tcPr>
            <w:tcW w:w="442" w:type="dxa"/>
            <w:shd w:val="clear" w:color="auto" w:fill="auto"/>
            <w:textDirection w:val="tbRl"/>
          </w:tcPr>
          <w:p w14:paraId="632E7F97" w14:textId="77777777" w:rsidR="00E90764" w:rsidRPr="006D2D9F" w:rsidRDefault="0099166C" w:rsidP="001D1CF9">
            <w:pPr>
              <w:pStyle w:val="BodyText"/>
              <w:rPr>
                <w:b/>
                <w:bCs/>
              </w:rPr>
            </w:pPr>
            <w:r w:rsidRPr="006D2D9F">
              <w:rPr>
                <w:b/>
                <w:bCs/>
              </w:rPr>
              <w:t>2021–22</w:t>
            </w:r>
          </w:p>
        </w:tc>
        <w:tc>
          <w:tcPr>
            <w:tcW w:w="442" w:type="dxa"/>
            <w:shd w:val="clear" w:color="auto" w:fill="auto"/>
            <w:textDirection w:val="tbRl"/>
          </w:tcPr>
          <w:p w14:paraId="632E7F98" w14:textId="77777777" w:rsidR="00E90764" w:rsidRPr="006D2D9F" w:rsidRDefault="0099166C" w:rsidP="001D1CF9">
            <w:pPr>
              <w:pStyle w:val="BodyText"/>
              <w:rPr>
                <w:b/>
                <w:bCs/>
              </w:rPr>
            </w:pPr>
            <w:r w:rsidRPr="006D2D9F">
              <w:rPr>
                <w:b/>
                <w:bCs/>
              </w:rPr>
              <w:t>2022–23</w:t>
            </w:r>
          </w:p>
        </w:tc>
        <w:tc>
          <w:tcPr>
            <w:tcW w:w="440" w:type="dxa"/>
            <w:shd w:val="clear" w:color="auto" w:fill="auto"/>
            <w:textDirection w:val="tbRl"/>
          </w:tcPr>
          <w:p w14:paraId="632E7F99" w14:textId="77777777" w:rsidR="00E90764" w:rsidRPr="006D2D9F" w:rsidRDefault="0099166C" w:rsidP="001D1CF9">
            <w:pPr>
              <w:pStyle w:val="BodyText"/>
              <w:rPr>
                <w:b/>
                <w:bCs/>
              </w:rPr>
            </w:pPr>
            <w:r w:rsidRPr="006D2D9F">
              <w:rPr>
                <w:b/>
                <w:bCs/>
              </w:rPr>
              <w:t>2023–24</w:t>
            </w:r>
          </w:p>
        </w:tc>
        <w:tc>
          <w:tcPr>
            <w:tcW w:w="442" w:type="dxa"/>
            <w:shd w:val="clear" w:color="auto" w:fill="auto"/>
            <w:textDirection w:val="tbRl"/>
          </w:tcPr>
          <w:p w14:paraId="632E7F9A" w14:textId="77777777" w:rsidR="00E90764" w:rsidRPr="006D2D9F" w:rsidRDefault="0099166C" w:rsidP="001D1CF9">
            <w:pPr>
              <w:pStyle w:val="BodyText"/>
              <w:rPr>
                <w:b/>
                <w:bCs/>
              </w:rPr>
            </w:pPr>
            <w:r w:rsidRPr="006D2D9F">
              <w:rPr>
                <w:b/>
                <w:bCs/>
              </w:rPr>
              <w:t>2024–25</w:t>
            </w:r>
          </w:p>
        </w:tc>
      </w:tr>
      <w:tr w:rsidR="00E90764" w:rsidRPr="00CF6322" w14:paraId="632E7FA1" w14:textId="77777777" w:rsidTr="00D00F14">
        <w:trPr>
          <w:trHeight w:val="582"/>
        </w:trPr>
        <w:tc>
          <w:tcPr>
            <w:tcW w:w="8556" w:type="dxa"/>
            <w:shd w:val="clear" w:color="auto" w:fill="auto"/>
          </w:tcPr>
          <w:p w14:paraId="632E7F9C" w14:textId="77777777" w:rsidR="00E90764" w:rsidRPr="00CF6322" w:rsidRDefault="0099166C" w:rsidP="001D1CF9">
            <w:pPr>
              <w:pStyle w:val="BodyText"/>
            </w:pPr>
            <w:r w:rsidRPr="00CF6322">
              <w:t>Implementing sport policies and initiatives and promoting the benefits of an active lifestyle, in accordance with the national sport plan Sport 2030.</w:t>
            </w:r>
          </w:p>
        </w:tc>
        <w:tc>
          <w:tcPr>
            <w:tcW w:w="442" w:type="dxa"/>
            <w:shd w:val="clear" w:color="auto" w:fill="auto"/>
          </w:tcPr>
          <w:p w14:paraId="632E7F9D" w14:textId="41624DE5"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F9E" w14:textId="55F0ABB8" w:rsidR="00E90764" w:rsidRPr="00CF6322" w:rsidRDefault="00041BDA" w:rsidP="001D1CF9">
            <w:pPr>
              <w:pStyle w:val="BodyText"/>
            </w:pPr>
            <w:r>
              <w:rPr>
                <w:rFonts w:ascii="Segoe UI Symbol" w:hAnsi="Segoe UI Symbol" w:cs="Segoe UI Symbol"/>
              </w:rPr>
              <w:t>✓</w:t>
            </w:r>
          </w:p>
        </w:tc>
        <w:tc>
          <w:tcPr>
            <w:tcW w:w="440" w:type="dxa"/>
            <w:shd w:val="clear" w:color="auto" w:fill="auto"/>
          </w:tcPr>
          <w:p w14:paraId="632E7F9F" w14:textId="3572917D"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FA0" w14:textId="60B422A9" w:rsidR="00E90764" w:rsidRPr="00CF6322" w:rsidRDefault="00041BDA" w:rsidP="001D1CF9">
            <w:pPr>
              <w:pStyle w:val="BodyText"/>
            </w:pPr>
            <w:r>
              <w:rPr>
                <w:rFonts w:ascii="Segoe UI Symbol" w:hAnsi="Segoe UI Symbol" w:cs="Segoe UI Symbol"/>
              </w:rPr>
              <w:t>✓</w:t>
            </w:r>
          </w:p>
        </w:tc>
      </w:tr>
      <w:tr w:rsidR="00E90764" w:rsidRPr="00CF6322" w14:paraId="632E7FA7" w14:textId="77777777" w:rsidTr="00D00F14">
        <w:trPr>
          <w:trHeight w:val="582"/>
        </w:trPr>
        <w:tc>
          <w:tcPr>
            <w:tcW w:w="8556" w:type="dxa"/>
            <w:shd w:val="clear" w:color="auto" w:fill="auto"/>
          </w:tcPr>
          <w:p w14:paraId="632E7FA2" w14:textId="77777777" w:rsidR="00E90764" w:rsidRPr="00CF6322" w:rsidRDefault="0099166C" w:rsidP="001D1CF9">
            <w:pPr>
              <w:pStyle w:val="BodyText"/>
            </w:pPr>
            <w:r w:rsidRPr="00CF6322">
              <w:t>Collaborating with Sport Australia, also known as the Australian Sports Commission, on policy development and engagement with states and territories.</w:t>
            </w:r>
          </w:p>
        </w:tc>
        <w:tc>
          <w:tcPr>
            <w:tcW w:w="442" w:type="dxa"/>
            <w:shd w:val="clear" w:color="auto" w:fill="auto"/>
          </w:tcPr>
          <w:p w14:paraId="632E7FA3" w14:textId="6F9D2741"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FA4" w14:textId="10868FE3" w:rsidR="00E90764" w:rsidRPr="00CF6322" w:rsidRDefault="00041BDA" w:rsidP="001D1CF9">
            <w:pPr>
              <w:pStyle w:val="BodyText"/>
            </w:pPr>
            <w:r>
              <w:rPr>
                <w:rFonts w:ascii="Segoe UI Symbol" w:hAnsi="Segoe UI Symbol" w:cs="Segoe UI Symbol"/>
              </w:rPr>
              <w:t>✓</w:t>
            </w:r>
          </w:p>
        </w:tc>
        <w:tc>
          <w:tcPr>
            <w:tcW w:w="440" w:type="dxa"/>
            <w:shd w:val="clear" w:color="auto" w:fill="auto"/>
          </w:tcPr>
          <w:p w14:paraId="632E7FA5" w14:textId="6DFCA0AB"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FA6" w14:textId="6CF9F455" w:rsidR="00E90764" w:rsidRPr="00CF6322" w:rsidRDefault="00041BDA" w:rsidP="001D1CF9">
            <w:pPr>
              <w:pStyle w:val="BodyText"/>
            </w:pPr>
            <w:r>
              <w:rPr>
                <w:rFonts w:ascii="Segoe UI Symbol" w:hAnsi="Segoe UI Symbol" w:cs="Segoe UI Symbol"/>
              </w:rPr>
              <w:t>✓</w:t>
            </w:r>
          </w:p>
        </w:tc>
      </w:tr>
      <w:tr w:rsidR="00E90764" w:rsidRPr="00CF6322" w14:paraId="632E7FAD" w14:textId="77777777" w:rsidTr="00D00F14">
        <w:trPr>
          <w:trHeight w:val="592"/>
        </w:trPr>
        <w:tc>
          <w:tcPr>
            <w:tcW w:w="8556" w:type="dxa"/>
            <w:shd w:val="clear" w:color="auto" w:fill="auto"/>
          </w:tcPr>
          <w:p w14:paraId="632E7FA8" w14:textId="77777777" w:rsidR="00E90764" w:rsidRPr="00CF6322" w:rsidRDefault="0099166C" w:rsidP="001D1CF9">
            <w:pPr>
              <w:pStyle w:val="BodyText"/>
            </w:pPr>
            <w:r w:rsidRPr="00CF6322">
              <w:t>Implementing the Sports Diplomacy 2030 strategy, in conjunction with the Department of Foreign Affairs and Trade.</w:t>
            </w:r>
          </w:p>
        </w:tc>
        <w:tc>
          <w:tcPr>
            <w:tcW w:w="442" w:type="dxa"/>
            <w:shd w:val="clear" w:color="auto" w:fill="auto"/>
          </w:tcPr>
          <w:p w14:paraId="632E7FA9" w14:textId="6B3B1008"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FAA" w14:textId="43C7DFDA" w:rsidR="00E90764" w:rsidRPr="00CF6322" w:rsidRDefault="00041BDA" w:rsidP="001D1CF9">
            <w:pPr>
              <w:pStyle w:val="BodyText"/>
            </w:pPr>
            <w:r>
              <w:rPr>
                <w:rFonts w:ascii="Segoe UI Symbol" w:hAnsi="Segoe UI Symbol" w:cs="Segoe UI Symbol"/>
              </w:rPr>
              <w:t>✓</w:t>
            </w:r>
          </w:p>
        </w:tc>
        <w:tc>
          <w:tcPr>
            <w:tcW w:w="440" w:type="dxa"/>
            <w:shd w:val="clear" w:color="auto" w:fill="auto"/>
          </w:tcPr>
          <w:p w14:paraId="632E7FAB" w14:textId="64B5B523"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FAC" w14:textId="693F9854" w:rsidR="00E90764" w:rsidRPr="00CF6322" w:rsidRDefault="00041BDA" w:rsidP="001D1CF9">
            <w:pPr>
              <w:pStyle w:val="BodyText"/>
            </w:pPr>
            <w:r>
              <w:rPr>
                <w:rFonts w:ascii="Segoe UI Symbol" w:hAnsi="Segoe UI Symbol" w:cs="Segoe UI Symbol"/>
              </w:rPr>
              <w:t>✓</w:t>
            </w:r>
          </w:p>
        </w:tc>
      </w:tr>
      <w:tr w:rsidR="00E90764" w:rsidRPr="00CF6322" w14:paraId="632E7FB3" w14:textId="77777777" w:rsidTr="00D00F14">
        <w:trPr>
          <w:trHeight w:val="592"/>
        </w:trPr>
        <w:tc>
          <w:tcPr>
            <w:tcW w:w="8556" w:type="dxa"/>
            <w:shd w:val="clear" w:color="auto" w:fill="auto"/>
          </w:tcPr>
          <w:p w14:paraId="632E7FAE" w14:textId="48B5B314" w:rsidR="00E90764" w:rsidRPr="00CF6322" w:rsidRDefault="0099166C" w:rsidP="001D1CF9">
            <w:pPr>
              <w:pStyle w:val="BodyText"/>
            </w:pPr>
            <w:r w:rsidRPr="00CF6322">
              <w:t>Coordinating whole of government support for the bidding and hosting of major international sporting</w:t>
            </w:r>
            <w:r w:rsidR="0062143E" w:rsidRPr="00CF6322">
              <w:t xml:space="preserve"> </w:t>
            </w:r>
            <w:r w:rsidRPr="00CF6322">
              <w:t>events hosted in Australia.</w:t>
            </w:r>
          </w:p>
        </w:tc>
        <w:tc>
          <w:tcPr>
            <w:tcW w:w="442" w:type="dxa"/>
            <w:shd w:val="clear" w:color="auto" w:fill="auto"/>
          </w:tcPr>
          <w:p w14:paraId="632E7FAF" w14:textId="393B0FEE"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FB0" w14:textId="660AA173" w:rsidR="00E90764" w:rsidRPr="00CF6322" w:rsidRDefault="00041BDA" w:rsidP="001D1CF9">
            <w:pPr>
              <w:pStyle w:val="BodyText"/>
            </w:pPr>
            <w:r>
              <w:rPr>
                <w:rFonts w:ascii="Segoe UI Symbol" w:hAnsi="Segoe UI Symbol" w:cs="Segoe UI Symbol"/>
              </w:rPr>
              <w:t>✓</w:t>
            </w:r>
          </w:p>
        </w:tc>
        <w:tc>
          <w:tcPr>
            <w:tcW w:w="440" w:type="dxa"/>
            <w:shd w:val="clear" w:color="auto" w:fill="auto"/>
          </w:tcPr>
          <w:p w14:paraId="632E7FB1" w14:textId="058784FE"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FB2" w14:textId="6580F142" w:rsidR="00E90764" w:rsidRPr="00CF6322" w:rsidRDefault="00041BDA" w:rsidP="001D1CF9">
            <w:pPr>
              <w:pStyle w:val="BodyText"/>
            </w:pPr>
            <w:r>
              <w:rPr>
                <w:rFonts w:ascii="Segoe UI Symbol" w:hAnsi="Segoe UI Symbol" w:cs="Segoe UI Symbol"/>
              </w:rPr>
              <w:t>✓</w:t>
            </w:r>
          </w:p>
        </w:tc>
      </w:tr>
      <w:tr w:rsidR="00E90764" w:rsidRPr="00CF6322" w14:paraId="632E7FB9" w14:textId="77777777" w:rsidTr="00D00F14">
        <w:trPr>
          <w:trHeight w:val="391"/>
        </w:trPr>
        <w:tc>
          <w:tcPr>
            <w:tcW w:w="8556" w:type="dxa"/>
            <w:shd w:val="clear" w:color="auto" w:fill="auto"/>
          </w:tcPr>
          <w:p w14:paraId="632E7FB4" w14:textId="77777777" w:rsidR="00E90764" w:rsidRPr="00CF6322" w:rsidRDefault="0099166C" w:rsidP="001D1CF9">
            <w:pPr>
              <w:pStyle w:val="BodyText"/>
            </w:pPr>
            <w:r w:rsidRPr="00CF6322">
              <w:t>Developing and implementing a strategic, whole-of-government legacy and communications approach.</w:t>
            </w:r>
          </w:p>
        </w:tc>
        <w:tc>
          <w:tcPr>
            <w:tcW w:w="442" w:type="dxa"/>
            <w:shd w:val="clear" w:color="auto" w:fill="auto"/>
          </w:tcPr>
          <w:p w14:paraId="632E7FB5" w14:textId="05C6A42E"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FB6" w14:textId="64B06BE9" w:rsidR="00E90764" w:rsidRPr="00CF6322" w:rsidRDefault="00041BDA" w:rsidP="001D1CF9">
            <w:pPr>
              <w:pStyle w:val="BodyText"/>
            </w:pPr>
            <w:r>
              <w:rPr>
                <w:rFonts w:ascii="Segoe UI Symbol" w:hAnsi="Segoe UI Symbol" w:cs="Segoe UI Symbol"/>
              </w:rPr>
              <w:t>✓</w:t>
            </w:r>
          </w:p>
        </w:tc>
        <w:tc>
          <w:tcPr>
            <w:tcW w:w="440" w:type="dxa"/>
            <w:shd w:val="clear" w:color="auto" w:fill="auto"/>
          </w:tcPr>
          <w:p w14:paraId="632E7FB7" w14:textId="38A99477"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FB8" w14:textId="1CFD3DB5" w:rsidR="00E90764" w:rsidRPr="00CF6322" w:rsidRDefault="00041BDA" w:rsidP="001D1CF9">
            <w:pPr>
              <w:pStyle w:val="BodyText"/>
            </w:pPr>
            <w:r>
              <w:rPr>
                <w:rFonts w:ascii="Segoe UI Symbol" w:hAnsi="Segoe UI Symbol" w:cs="Segoe UI Symbol"/>
              </w:rPr>
              <w:t>✓</w:t>
            </w:r>
          </w:p>
        </w:tc>
      </w:tr>
      <w:tr w:rsidR="00E90764" w:rsidRPr="00CF6322" w14:paraId="632E7FBF" w14:textId="77777777" w:rsidTr="00D00F14">
        <w:trPr>
          <w:trHeight w:val="391"/>
        </w:trPr>
        <w:tc>
          <w:tcPr>
            <w:tcW w:w="8556" w:type="dxa"/>
            <w:shd w:val="clear" w:color="auto" w:fill="auto"/>
          </w:tcPr>
          <w:p w14:paraId="632E7FBA" w14:textId="77777777" w:rsidR="00E90764" w:rsidRPr="00CF6322" w:rsidRDefault="0099166C" w:rsidP="001D1CF9">
            <w:pPr>
              <w:pStyle w:val="BodyText"/>
            </w:pPr>
            <w:r w:rsidRPr="00CF6322">
              <w:t>Supporting Brisbane as the host of the 2032 Olympic and Paralympic Games.</w:t>
            </w:r>
          </w:p>
        </w:tc>
        <w:tc>
          <w:tcPr>
            <w:tcW w:w="442" w:type="dxa"/>
            <w:shd w:val="clear" w:color="auto" w:fill="auto"/>
          </w:tcPr>
          <w:p w14:paraId="632E7FBB" w14:textId="1FBFBDF5"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FBC" w14:textId="5541550C" w:rsidR="00E90764" w:rsidRPr="00CF6322" w:rsidRDefault="00041BDA" w:rsidP="001D1CF9">
            <w:pPr>
              <w:pStyle w:val="BodyText"/>
            </w:pPr>
            <w:r>
              <w:rPr>
                <w:rFonts w:ascii="Segoe UI Symbol" w:hAnsi="Segoe UI Symbol" w:cs="Segoe UI Symbol"/>
              </w:rPr>
              <w:t>✓</w:t>
            </w:r>
          </w:p>
        </w:tc>
        <w:tc>
          <w:tcPr>
            <w:tcW w:w="440" w:type="dxa"/>
            <w:shd w:val="clear" w:color="auto" w:fill="auto"/>
          </w:tcPr>
          <w:p w14:paraId="632E7FBD" w14:textId="343F93E1"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FBE" w14:textId="0694FC7C" w:rsidR="00E90764" w:rsidRPr="00CF6322" w:rsidRDefault="00041BDA" w:rsidP="001D1CF9">
            <w:pPr>
              <w:pStyle w:val="BodyText"/>
            </w:pPr>
            <w:r>
              <w:rPr>
                <w:rFonts w:ascii="Segoe UI Symbol" w:hAnsi="Segoe UI Symbol" w:cs="Segoe UI Symbol"/>
              </w:rPr>
              <w:t>✓</w:t>
            </w:r>
          </w:p>
        </w:tc>
      </w:tr>
      <w:tr w:rsidR="00E90764" w:rsidRPr="00CF6322" w14:paraId="632E7FC5" w14:textId="77777777" w:rsidTr="00D00F14">
        <w:trPr>
          <w:trHeight w:val="592"/>
        </w:trPr>
        <w:tc>
          <w:tcPr>
            <w:tcW w:w="8556" w:type="dxa"/>
            <w:shd w:val="clear" w:color="auto" w:fill="auto"/>
          </w:tcPr>
          <w:p w14:paraId="632E7FC0" w14:textId="77777777" w:rsidR="00E90764" w:rsidRPr="00CF6322" w:rsidRDefault="0099166C" w:rsidP="001D1CF9">
            <w:pPr>
              <w:pStyle w:val="BodyText"/>
            </w:pPr>
            <w:r w:rsidRPr="00CF6322">
              <w:t>At a departmental level, providing corporate support to Sport Integrity Australia for sports integrity legislation and budget requirements.</w:t>
            </w:r>
          </w:p>
        </w:tc>
        <w:tc>
          <w:tcPr>
            <w:tcW w:w="442" w:type="dxa"/>
            <w:shd w:val="clear" w:color="auto" w:fill="auto"/>
          </w:tcPr>
          <w:p w14:paraId="632E7FC1" w14:textId="48397E95"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FC2" w14:textId="5A0A94AB" w:rsidR="00E90764" w:rsidRPr="00CF6322" w:rsidRDefault="00041BDA" w:rsidP="001D1CF9">
            <w:pPr>
              <w:pStyle w:val="BodyText"/>
            </w:pPr>
            <w:r>
              <w:rPr>
                <w:rFonts w:ascii="Segoe UI Symbol" w:hAnsi="Segoe UI Symbol" w:cs="Segoe UI Symbol"/>
              </w:rPr>
              <w:t>✓</w:t>
            </w:r>
          </w:p>
        </w:tc>
        <w:tc>
          <w:tcPr>
            <w:tcW w:w="440" w:type="dxa"/>
            <w:shd w:val="clear" w:color="auto" w:fill="auto"/>
          </w:tcPr>
          <w:p w14:paraId="632E7FC3" w14:textId="1D4EE58C"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FC4" w14:textId="16C76E67" w:rsidR="00E90764" w:rsidRPr="00CF6322" w:rsidRDefault="00041BDA" w:rsidP="001D1CF9">
            <w:pPr>
              <w:pStyle w:val="BodyText"/>
            </w:pPr>
            <w:r>
              <w:rPr>
                <w:rFonts w:ascii="Segoe UI Symbol" w:hAnsi="Segoe UI Symbol" w:cs="Segoe UI Symbol"/>
              </w:rPr>
              <w:t>✓</w:t>
            </w:r>
          </w:p>
        </w:tc>
      </w:tr>
      <w:tr w:rsidR="00E90764" w:rsidRPr="00CF6322" w14:paraId="632E7FCB" w14:textId="77777777" w:rsidTr="00D00F14">
        <w:trPr>
          <w:trHeight w:val="592"/>
        </w:trPr>
        <w:tc>
          <w:tcPr>
            <w:tcW w:w="8556" w:type="dxa"/>
            <w:shd w:val="clear" w:color="auto" w:fill="auto"/>
          </w:tcPr>
          <w:p w14:paraId="632E7FC6" w14:textId="77777777" w:rsidR="00E90764" w:rsidRPr="00CF6322" w:rsidRDefault="0099166C" w:rsidP="001D1CF9">
            <w:pPr>
              <w:pStyle w:val="BodyText"/>
            </w:pPr>
            <w:r w:rsidRPr="00CF6322">
              <w:t>Providing a cost-effective, efficient, transparent and independent forum for resolving nationally focused sporting disputes, through the National Sports Tribunal pilot.</w:t>
            </w:r>
          </w:p>
        </w:tc>
        <w:tc>
          <w:tcPr>
            <w:tcW w:w="442" w:type="dxa"/>
            <w:shd w:val="clear" w:color="auto" w:fill="auto"/>
          </w:tcPr>
          <w:p w14:paraId="632E7FC7" w14:textId="552A393D"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FC8" w14:textId="4755D489" w:rsidR="00E90764" w:rsidRPr="00CF6322" w:rsidRDefault="00041BDA" w:rsidP="001D1CF9">
            <w:pPr>
              <w:pStyle w:val="BodyText"/>
            </w:pPr>
            <w:r>
              <w:rPr>
                <w:rFonts w:ascii="Segoe UI Symbol" w:hAnsi="Segoe UI Symbol" w:cs="Segoe UI Symbol"/>
              </w:rPr>
              <w:t>✓</w:t>
            </w:r>
          </w:p>
        </w:tc>
        <w:tc>
          <w:tcPr>
            <w:tcW w:w="440" w:type="dxa"/>
            <w:shd w:val="clear" w:color="auto" w:fill="auto"/>
          </w:tcPr>
          <w:p w14:paraId="632E7FC9" w14:textId="77777777" w:rsidR="00E90764" w:rsidRPr="00CF6322" w:rsidRDefault="00E90764" w:rsidP="001D1CF9">
            <w:pPr>
              <w:pStyle w:val="BodyText"/>
            </w:pPr>
          </w:p>
        </w:tc>
        <w:tc>
          <w:tcPr>
            <w:tcW w:w="442" w:type="dxa"/>
            <w:shd w:val="clear" w:color="auto" w:fill="auto"/>
          </w:tcPr>
          <w:p w14:paraId="632E7FCA" w14:textId="77777777" w:rsidR="00E90764" w:rsidRPr="00CF6322" w:rsidRDefault="00E90764" w:rsidP="001D1CF9">
            <w:pPr>
              <w:pStyle w:val="BodyText"/>
            </w:pPr>
          </w:p>
        </w:tc>
      </w:tr>
      <w:tr w:rsidR="00E90764" w:rsidRPr="00CF6322" w14:paraId="632E7FD1" w14:textId="77777777" w:rsidTr="00D00F14">
        <w:trPr>
          <w:trHeight w:val="592"/>
        </w:trPr>
        <w:tc>
          <w:tcPr>
            <w:tcW w:w="8556" w:type="dxa"/>
            <w:shd w:val="clear" w:color="auto" w:fill="auto"/>
          </w:tcPr>
          <w:p w14:paraId="632E7FCC" w14:textId="77777777" w:rsidR="00E90764" w:rsidRPr="00CF6322" w:rsidRDefault="0099166C" w:rsidP="001D1CF9">
            <w:pPr>
              <w:pStyle w:val="BodyText"/>
            </w:pPr>
            <w:r w:rsidRPr="00CF6322">
              <w:t xml:space="preserve">Supporting water and snow safety </w:t>
            </w:r>
            <w:proofErr w:type="spellStart"/>
            <w:r w:rsidRPr="00CF6322">
              <w:t>organisations</w:t>
            </w:r>
            <w:proofErr w:type="spellEnd"/>
            <w:r w:rsidRPr="00CF6322">
              <w:t xml:space="preserve"> to reduce the incidence of fatal and non-fatal drownings and accidents, and promoting the importance of water and snow safety.</w:t>
            </w:r>
          </w:p>
        </w:tc>
        <w:tc>
          <w:tcPr>
            <w:tcW w:w="442" w:type="dxa"/>
            <w:shd w:val="clear" w:color="auto" w:fill="auto"/>
          </w:tcPr>
          <w:p w14:paraId="632E7FCD" w14:textId="73FCC116"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FCE" w14:textId="04780917" w:rsidR="00E90764" w:rsidRPr="00CF6322" w:rsidRDefault="00041BDA" w:rsidP="001D1CF9">
            <w:pPr>
              <w:pStyle w:val="BodyText"/>
            </w:pPr>
            <w:r>
              <w:rPr>
                <w:rFonts w:ascii="Segoe UI Symbol" w:hAnsi="Segoe UI Symbol" w:cs="Segoe UI Symbol"/>
              </w:rPr>
              <w:t>✓</w:t>
            </w:r>
          </w:p>
        </w:tc>
        <w:tc>
          <w:tcPr>
            <w:tcW w:w="440" w:type="dxa"/>
            <w:shd w:val="clear" w:color="auto" w:fill="auto"/>
          </w:tcPr>
          <w:p w14:paraId="632E7FCF" w14:textId="2D01E3D6" w:rsidR="00E90764" w:rsidRPr="00CF6322" w:rsidRDefault="00041BDA" w:rsidP="001D1CF9">
            <w:pPr>
              <w:pStyle w:val="BodyText"/>
            </w:pPr>
            <w:r>
              <w:rPr>
                <w:rFonts w:ascii="Segoe UI Symbol" w:hAnsi="Segoe UI Symbol" w:cs="Segoe UI Symbol"/>
              </w:rPr>
              <w:t>✓</w:t>
            </w:r>
          </w:p>
        </w:tc>
        <w:tc>
          <w:tcPr>
            <w:tcW w:w="442" w:type="dxa"/>
            <w:shd w:val="clear" w:color="auto" w:fill="auto"/>
          </w:tcPr>
          <w:p w14:paraId="632E7FD0" w14:textId="3D322242" w:rsidR="00E90764" w:rsidRPr="00CF6322" w:rsidRDefault="00041BDA" w:rsidP="001D1CF9">
            <w:pPr>
              <w:pStyle w:val="BodyText"/>
            </w:pPr>
            <w:r>
              <w:rPr>
                <w:rFonts w:ascii="Segoe UI Symbol" w:hAnsi="Segoe UI Symbol" w:cs="Segoe UI Symbol"/>
              </w:rPr>
              <w:t>✓</w:t>
            </w:r>
          </w:p>
        </w:tc>
      </w:tr>
    </w:tbl>
    <w:p w14:paraId="58F29D75" w14:textId="77777777" w:rsidR="00A00981" w:rsidRDefault="00A00981">
      <w:pPr>
        <w:rPr>
          <w:rFonts w:ascii="Helvetica" w:eastAsia="HelveticaNeueLT Std" w:hAnsi="Helvetica" w:cs="HelveticaNeueLT Std"/>
          <w:b/>
          <w:bCs/>
          <w:sz w:val="29"/>
          <w:szCs w:val="29"/>
        </w:rPr>
      </w:pPr>
      <w:r>
        <w:br w:type="page"/>
      </w:r>
    </w:p>
    <w:p w14:paraId="632E7FD4" w14:textId="15C59BB1" w:rsidR="00E90764" w:rsidRPr="00CF6322" w:rsidRDefault="0099166C" w:rsidP="00117737">
      <w:pPr>
        <w:pStyle w:val="Heading4"/>
      </w:pPr>
      <w:r w:rsidRPr="00CF6322">
        <w:lastRenderedPageBreak/>
        <w:t>Our Performance</w:t>
      </w:r>
    </w:p>
    <w:p w14:paraId="632E7FD5" w14:textId="77777777" w:rsidR="00E90764" w:rsidRPr="00CF6322" w:rsidRDefault="0099166C" w:rsidP="00117737">
      <w:pPr>
        <w:pStyle w:val="Heading5"/>
      </w:pPr>
      <w:r w:rsidRPr="00CF6322">
        <w:t>Performance measures for Sport and Recreation – Program 4.1</w:t>
      </w:r>
    </w:p>
    <w:tbl>
      <w:tblPr>
        <w:tblW w:w="10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0" w:type="dxa"/>
        </w:tblCellMar>
        <w:tblLook w:val="01E0" w:firstRow="1" w:lastRow="1" w:firstColumn="1" w:lastColumn="1" w:noHBand="0" w:noVBand="0"/>
      </w:tblPr>
      <w:tblGrid>
        <w:gridCol w:w="709"/>
        <w:gridCol w:w="2265"/>
        <w:gridCol w:w="2437"/>
        <w:gridCol w:w="2437"/>
        <w:gridCol w:w="2437"/>
      </w:tblGrid>
      <w:tr w:rsidR="00E90764" w:rsidRPr="006D2D9F" w14:paraId="632E7FDB" w14:textId="77777777" w:rsidTr="00A00981">
        <w:trPr>
          <w:trHeight w:val="2135"/>
          <w:tblHeader/>
        </w:trPr>
        <w:tc>
          <w:tcPr>
            <w:tcW w:w="10285" w:type="dxa"/>
            <w:gridSpan w:val="5"/>
            <w:shd w:val="clear" w:color="auto" w:fill="auto"/>
          </w:tcPr>
          <w:p w14:paraId="632E7FD7" w14:textId="77777777" w:rsidR="00E90764" w:rsidRPr="006D2D9F" w:rsidRDefault="0099166C" w:rsidP="001D1CF9">
            <w:pPr>
              <w:pStyle w:val="BodyText"/>
              <w:rPr>
                <w:b/>
                <w:bCs/>
              </w:rPr>
            </w:pPr>
            <w:r w:rsidRPr="006D2D9F">
              <w:rPr>
                <w:b/>
                <w:bCs/>
              </w:rPr>
              <w:t xml:space="preserve">Re-engagement of Australians in weekly </w:t>
            </w:r>
            <w:proofErr w:type="spellStart"/>
            <w:r w:rsidRPr="006D2D9F">
              <w:rPr>
                <w:b/>
                <w:bCs/>
              </w:rPr>
              <w:t>organised</w:t>
            </w:r>
            <w:proofErr w:type="spellEnd"/>
            <w:r w:rsidRPr="006D2D9F">
              <w:rPr>
                <w:b/>
                <w:bCs/>
              </w:rPr>
              <w:t xml:space="preserve"> community sport and physical activity as measured through:</w:t>
            </w:r>
          </w:p>
          <w:p w14:paraId="632E7FD8" w14:textId="77777777" w:rsidR="00E90764" w:rsidRPr="006D2D9F" w:rsidRDefault="0099166C" w:rsidP="001D1CF9">
            <w:pPr>
              <w:pStyle w:val="BodyText"/>
              <w:numPr>
                <w:ilvl w:val="0"/>
                <w:numId w:val="33"/>
              </w:numPr>
              <w:rPr>
                <w:b/>
                <w:bCs/>
              </w:rPr>
            </w:pPr>
            <w:r w:rsidRPr="006D2D9F">
              <w:rPr>
                <w:b/>
                <w:bCs/>
              </w:rPr>
              <w:t xml:space="preserve">Percentage of Australian children aged zero to 14 years participating in </w:t>
            </w:r>
            <w:proofErr w:type="spellStart"/>
            <w:r w:rsidRPr="006D2D9F">
              <w:rPr>
                <w:b/>
                <w:bCs/>
              </w:rPr>
              <w:t>organised</w:t>
            </w:r>
            <w:proofErr w:type="spellEnd"/>
            <w:r w:rsidRPr="006D2D9F">
              <w:rPr>
                <w:b/>
                <w:bCs/>
              </w:rPr>
              <w:t xml:space="preserve"> sport or physical activity outside of school hours once per week.</w:t>
            </w:r>
          </w:p>
          <w:p w14:paraId="632E7FD9" w14:textId="77777777" w:rsidR="00E90764" w:rsidRPr="006D2D9F" w:rsidRDefault="0099166C" w:rsidP="001D1CF9">
            <w:pPr>
              <w:pStyle w:val="BodyText"/>
              <w:numPr>
                <w:ilvl w:val="0"/>
                <w:numId w:val="33"/>
              </w:numPr>
              <w:rPr>
                <w:b/>
                <w:bCs/>
              </w:rPr>
            </w:pPr>
            <w:r w:rsidRPr="006D2D9F">
              <w:rPr>
                <w:b/>
                <w:bCs/>
              </w:rPr>
              <w:t xml:space="preserve">Percentage of Australians aged 15 years and over participating in </w:t>
            </w:r>
            <w:proofErr w:type="spellStart"/>
            <w:r w:rsidRPr="006D2D9F">
              <w:rPr>
                <w:b/>
                <w:bCs/>
              </w:rPr>
              <w:t>organised</w:t>
            </w:r>
            <w:proofErr w:type="spellEnd"/>
            <w:r w:rsidRPr="006D2D9F">
              <w:rPr>
                <w:b/>
                <w:bCs/>
              </w:rPr>
              <w:t xml:space="preserve"> sport or physical activity once per week.</w:t>
            </w:r>
          </w:p>
          <w:p w14:paraId="632E7FDA" w14:textId="77777777" w:rsidR="00E90764" w:rsidRPr="006D2D9F" w:rsidRDefault="0099166C" w:rsidP="001D1CF9">
            <w:pPr>
              <w:pStyle w:val="BodyText"/>
              <w:numPr>
                <w:ilvl w:val="0"/>
                <w:numId w:val="33"/>
              </w:numPr>
              <w:rPr>
                <w:b/>
                <w:bCs/>
              </w:rPr>
            </w:pPr>
            <w:r w:rsidRPr="006D2D9F">
              <w:rPr>
                <w:b/>
                <w:bCs/>
              </w:rPr>
              <w:t>Percentage of Australians participating in at least 150 minutes of moderate to vigorous activity each week.</w:t>
            </w:r>
          </w:p>
        </w:tc>
      </w:tr>
      <w:tr w:rsidR="00E90764" w:rsidRPr="006D2D9F" w14:paraId="632E7FE1" w14:textId="77777777" w:rsidTr="00A7769F">
        <w:trPr>
          <w:trHeight w:val="458"/>
        </w:trPr>
        <w:tc>
          <w:tcPr>
            <w:tcW w:w="709" w:type="dxa"/>
            <w:shd w:val="clear" w:color="auto" w:fill="auto"/>
          </w:tcPr>
          <w:p w14:paraId="632E7FDC" w14:textId="77777777" w:rsidR="00E90764" w:rsidRPr="006D2D9F" w:rsidRDefault="00E90764" w:rsidP="001D1CF9">
            <w:pPr>
              <w:pStyle w:val="BodyText"/>
              <w:rPr>
                <w:b/>
                <w:bCs/>
              </w:rPr>
            </w:pPr>
          </w:p>
        </w:tc>
        <w:tc>
          <w:tcPr>
            <w:tcW w:w="2265" w:type="dxa"/>
            <w:shd w:val="clear" w:color="auto" w:fill="auto"/>
          </w:tcPr>
          <w:p w14:paraId="632E7FDD" w14:textId="77777777" w:rsidR="00E90764" w:rsidRPr="006D2D9F" w:rsidRDefault="0099166C" w:rsidP="001D1CF9">
            <w:pPr>
              <w:pStyle w:val="BodyText"/>
              <w:rPr>
                <w:b/>
                <w:bCs/>
              </w:rPr>
            </w:pPr>
            <w:r w:rsidRPr="006D2D9F">
              <w:rPr>
                <w:b/>
                <w:bCs/>
              </w:rPr>
              <w:t>2021–22 Target</w:t>
            </w:r>
          </w:p>
        </w:tc>
        <w:tc>
          <w:tcPr>
            <w:tcW w:w="2437" w:type="dxa"/>
            <w:shd w:val="clear" w:color="auto" w:fill="auto"/>
          </w:tcPr>
          <w:p w14:paraId="632E7FDE" w14:textId="77777777" w:rsidR="00E90764" w:rsidRPr="006D2D9F" w:rsidRDefault="0099166C" w:rsidP="001D1CF9">
            <w:pPr>
              <w:pStyle w:val="BodyText"/>
              <w:rPr>
                <w:b/>
                <w:bCs/>
              </w:rPr>
            </w:pPr>
            <w:r w:rsidRPr="006D2D9F">
              <w:rPr>
                <w:b/>
                <w:bCs/>
              </w:rPr>
              <w:t>2022–23 Target</w:t>
            </w:r>
          </w:p>
        </w:tc>
        <w:tc>
          <w:tcPr>
            <w:tcW w:w="2437" w:type="dxa"/>
            <w:shd w:val="clear" w:color="auto" w:fill="auto"/>
          </w:tcPr>
          <w:p w14:paraId="632E7FDF" w14:textId="77777777" w:rsidR="00E90764" w:rsidRPr="006D2D9F" w:rsidRDefault="0099166C" w:rsidP="001D1CF9">
            <w:pPr>
              <w:pStyle w:val="BodyText"/>
              <w:rPr>
                <w:b/>
                <w:bCs/>
              </w:rPr>
            </w:pPr>
            <w:r w:rsidRPr="006D2D9F">
              <w:rPr>
                <w:b/>
                <w:bCs/>
              </w:rPr>
              <w:t>2023–24 Target</w:t>
            </w:r>
          </w:p>
        </w:tc>
        <w:tc>
          <w:tcPr>
            <w:tcW w:w="2437" w:type="dxa"/>
            <w:shd w:val="clear" w:color="auto" w:fill="auto"/>
          </w:tcPr>
          <w:p w14:paraId="632E7FE0" w14:textId="77777777" w:rsidR="00E90764" w:rsidRPr="006D2D9F" w:rsidRDefault="0099166C" w:rsidP="001D1CF9">
            <w:pPr>
              <w:pStyle w:val="BodyText"/>
              <w:rPr>
                <w:b/>
                <w:bCs/>
              </w:rPr>
            </w:pPr>
            <w:r w:rsidRPr="006D2D9F">
              <w:rPr>
                <w:b/>
                <w:bCs/>
              </w:rPr>
              <w:t>2024–25 Target</w:t>
            </w:r>
          </w:p>
        </w:tc>
      </w:tr>
      <w:tr w:rsidR="00E90764" w:rsidRPr="00CF6322" w14:paraId="632E7FE7" w14:textId="77777777" w:rsidTr="00A7769F">
        <w:trPr>
          <w:trHeight w:val="465"/>
        </w:trPr>
        <w:tc>
          <w:tcPr>
            <w:tcW w:w="709" w:type="dxa"/>
            <w:shd w:val="clear" w:color="auto" w:fill="auto"/>
          </w:tcPr>
          <w:p w14:paraId="632E7FE2" w14:textId="77777777" w:rsidR="00E90764" w:rsidRPr="00A00981" w:rsidRDefault="0099166C" w:rsidP="001D1CF9">
            <w:pPr>
              <w:pStyle w:val="BodyText"/>
              <w:rPr>
                <w:b/>
                <w:bCs/>
              </w:rPr>
            </w:pPr>
            <w:r w:rsidRPr="00A00981">
              <w:rPr>
                <w:b/>
                <w:bCs/>
              </w:rPr>
              <w:t>a.</w:t>
            </w:r>
          </w:p>
        </w:tc>
        <w:tc>
          <w:tcPr>
            <w:tcW w:w="2265" w:type="dxa"/>
            <w:shd w:val="clear" w:color="auto" w:fill="auto"/>
          </w:tcPr>
          <w:p w14:paraId="632E7FE3" w14:textId="77777777" w:rsidR="00E90764" w:rsidRPr="00CF6322" w:rsidRDefault="0099166C" w:rsidP="001D1CF9">
            <w:pPr>
              <w:pStyle w:val="BodyText"/>
            </w:pPr>
            <w:r w:rsidRPr="00CF6322">
              <w:t>50%</w:t>
            </w:r>
          </w:p>
        </w:tc>
        <w:tc>
          <w:tcPr>
            <w:tcW w:w="2437" w:type="dxa"/>
            <w:shd w:val="clear" w:color="auto" w:fill="auto"/>
          </w:tcPr>
          <w:p w14:paraId="632E7FE4" w14:textId="77777777" w:rsidR="00E90764" w:rsidRPr="00CF6322" w:rsidRDefault="0099166C" w:rsidP="001D1CF9">
            <w:pPr>
              <w:pStyle w:val="BodyText"/>
            </w:pPr>
            <w:r w:rsidRPr="00CF6322">
              <w:t>N/A</w:t>
            </w:r>
          </w:p>
        </w:tc>
        <w:tc>
          <w:tcPr>
            <w:tcW w:w="2437" w:type="dxa"/>
            <w:shd w:val="clear" w:color="auto" w:fill="auto"/>
          </w:tcPr>
          <w:p w14:paraId="632E7FE5" w14:textId="77777777" w:rsidR="00E90764" w:rsidRPr="00CF6322" w:rsidRDefault="0099166C" w:rsidP="001D1CF9">
            <w:pPr>
              <w:pStyle w:val="BodyText"/>
            </w:pPr>
            <w:r w:rsidRPr="00CF6322">
              <w:t>N/A</w:t>
            </w:r>
          </w:p>
        </w:tc>
        <w:tc>
          <w:tcPr>
            <w:tcW w:w="2437" w:type="dxa"/>
            <w:shd w:val="clear" w:color="auto" w:fill="auto"/>
          </w:tcPr>
          <w:p w14:paraId="632E7FE6" w14:textId="77777777" w:rsidR="00E90764" w:rsidRPr="00CF6322" w:rsidRDefault="0099166C" w:rsidP="001D1CF9">
            <w:pPr>
              <w:pStyle w:val="BodyText"/>
            </w:pPr>
            <w:r w:rsidRPr="00CF6322">
              <w:t>N/A</w:t>
            </w:r>
          </w:p>
        </w:tc>
      </w:tr>
      <w:tr w:rsidR="00E90764" w:rsidRPr="00CF6322" w14:paraId="632E7FED" w14:textId="77777777" w:rsidTr="00A7769F">
        <w:trPr>
          <w:trHeight w:val="472"/>
        </w:trPr>
        <w:tc>
          <w:tcPr>
            <w:tcW w:w="709" w:type="dxa"/>
            <w:shd w:val="clear" w:color="auto" w:fill="auto"/>
          </w:tcPr>
          <w:p w14:paraId="632E7FE8" w14:textId="77777777" w:rsidR="00E90764" w:rsidRPr="00A00981" w:rsidRDefault="0099166C" w:rsidP="001D1CF9">
            <w:pPr>
              <w:pStyle w:val="BodyText"/>
              <w:rPr>
                <w:b/>
                <w:bCs/>
              </w:rPr>
            </w:pPr>
            <w:r w:rsidRPr="00A00981">
              <w:rPr>
                <w:b/>
                <w:bCs/>
              </w:rPr>
              <w:t>b.</w:t>
            </w:r>
          </w:p>
        </w:tc>
        <w:tc>
          <w:tcPr>
            <w:tcW w:w="2265" w:type="dxa"/>
            <w:shd w:val="clear" w:color="auto" w:fill="auto"/>
          </w:tcPr>
          <w:p w14:paraId="632E7FE9" w14:textId="77777777" w:rsidR="00E90764" w:rsidRPr="00CF6322" w:rsidRDefault="0099166C" w:rsidP="001D1CF9">
            <w:pPr>
              <w:pStyle w:val="BodyText"/>
            </w:pPr>
            <w:r w:rsidRPr="00CF6322">
              <w:t>70%</w:t>
            </w:r>
          </w:p>
        </w:tc>
        <w:tc>
          <w:tcPr>
            <w:tcW w:w="2437" w:type="dxa"/>
            <w:shd w:val="clear" w:color="auto" w:fill="auto"/>
          </w:tcPr>
          <w:p w14:paraId="632E7FEA" w14:textId="77777777" w:rsidR="00E90764" w:rsidRPr="00CF6322" w:rsidRDefault="0099166C" w:rsidP="001D1CF9">
            <w:pPr>
              <w:pStyle w:val="BodyText"/>
            </w:pPr>
            <w:r w:rsidRPr="00CF6322">
              <w:t>N/A</w:t>
            </w:r>
          </w:p>
        </w:tc>
        <w:tc>
          <w:tcPr>
            <w:tcW w:w="2437" w:type="dxa"/>
            <w:shd w:val="clear" w:color="auto" w:fill="auto"/>
          </w:tcPr>
          <w:p w14:paraId="632E7FEB" w14:textId="77777777" w:rsidR="00E90764" w:rsidRPr="00CF6322" w:rsidRDefault="0099166C" w:rsidP="001D1CF9">
            <w:pPr>
              <w:pStyle w:val="BodyText"/>
            </w:pPr>
            <w:r w:rsidRPr="00CF6322">
              <w:t>N/A</w:t>
            </w:r>
          </w:p>
        </w:tc>
        <w:tc>
          <w:tcPr>
            <w:tcW w:w="2437" w:type="dxa"/>
            <w:shd w:val="clear" w:color="auto" w:fill="auto"/>
          </w:tcPr>
          <w:p w14:paraId="632E7FEC" w14:textId="77777777" w:rsidR="00E90764" w:rsidRPr="00CF6322" w:rsidRDefault="0099166C" w:rsidP="001D1CF9">
            <w:pPr>
              <w:pStyle w:val="BodyText"/>
            </w:pPr>
            <w:r w:rsidRPr="00CF6322">
              <w:t>N/A</w:t>
            </w:r>
          </w:p>
        </w:tc>
      </w:tr>
      <w:tr w:rsidR="00E90764" w:rsidRPr="00CF6322" w14:paraId="632E7FF3" w14:textId="77777777" w:rsidTr="00A7769F">
        <w:trPr>
          <w:trHeight w:val="465"/>
        </w:trPr>
        <w:tc>
          <w:tcPr>
            <w:tcW w:w="709" w:type="dxa"/>
            <w:shd w:val="clear" w:color="auto" w:fill="auto"/>
          </w:tcPr>
          <w:p w14:paraId="632E7FEE" w14:textId="77777777" w:rsidR="00E90764" w:rsidRPr="00A00981" w:rsidRDefault="0099166C" w:rsidP="001D1CF9">
            <w:pPr>
              <w:pStyle w:val="BodyText"/>
              <w:rPr>
                <w:b/>
                <w:bCs/>
              </w:rPr>
            </w:pPr>
            <w:r w:rsidRPr="00A00981">
              <w:rPr>
                <w:b/>
                <w:bCs/>
              </w:rPr>
              <w:t>c.</w:t>
            </w:r>
          </w:p>
        </w:tc>
        <w:tc>
          <w:tcPr>
            <w:tcW w:w="2265" w:type="dxa"/>
            <w:shd w:val="clear" w:color="auto" w:fill="auto"/>
          </w:tcPr>
          <w:p w14:paraId="632E7FEF" w14:textId="77777777" w:rsidR="00E90764" w:rsidRPr="00CF6322" w:rsidRDefault="0099166C" w:rsidP="001D1CF9">
            <w:pPr>
              <w:pStyle w:val="BodyText"/>
            </w:pPr>
            <w:r w:rsidRPr="00CF6322">
              <w:t>Establish baseline</w:t>
            </w:r>
          </w:p>
        </w:tc>
        <w:tc>
          <w:tcPr>
            <w:tcW w:w="2437" w:type="dxa"/>
            <w:shd w:val="clear" w:color="auto" w:fill="auto"/>
          </w:tcPr>
          <w:p w14:paraId="632E7FF0" w14:textId="77777777" w:rsidR="00E90764" w:rsidRPr="00CF6322" w:rsidRDefault="0099166C" w:rsidP="001D1CF9">
            <w:pPr>
              <w:pStyle w:val="BodyText"/>
            </w:pPr>
            <w:r w:rsidRPr="00CF6322">
              <w:t>N/A</w:t>
            </w:r>
          </w:p>
        </w:tc>
        <w:tc>
          <w:tcPr>
            <w:tcW w:w="2437" w:type="dxa"/>
            <w:shd w:val="clear" w:color="auto" w:fill="auto"/>
          </w:tcPr>
          <w:p w14:paraId="632E7FF1" w14:textId="77777777" w:rsidR="00E90764" w:rsidRPr="00CF6322" w:rsidRDefault="0099166C" w:rsidP="001D1CF9">
            <w:pPr>
              <w:pStyle w:val="BodyText"/>
            </w:pPr>
            <w:r w:rsidRPr="00CF6322">
              <w:t>N/A</w:t>
            </w:r>
          </w:p>
        </w:tc>
        <w:tc>
          <w:tcPr>
            <w:tcW w:w="2437" w:type="dxa"/>
            <w:shd w:val="clear" w:color="auto" w:fill="auto"/>
          </w:tcPr>
          <w:p w14:paraId="632E7FF2" w14:textId="77777777" w:rsidR="00E90764" w:rsidRPr="00CF6322" w:rsidRDefault="0099166C" w:rsidP="001D1CF9">
            <w:pPr>
              <w:pStyle w:val="BodyText"/>
            </w:pPr>
            <w:r w:rsidRPr="00CF6322">
              <w:t>N/A</w:t>
            </w:r>
          </w:p>
        </w:tc>
      </w:tr>
      <w:tr w:rsidR="00E90764" w:rsidRPr="00CF6322" w14:paraId="632E7FFD" w14:textId="77777777" w:rsidTr="00117737">
        <w:trPr>
          <w:trHeight w:val="3759"/>
        </w:trPr>
        <w:tc>
          <w:tcPr>
            <w:tcW w:w="10285" w:type="dxa"/>
            <w:gridSpan w:val="5"/>
            <w:shd w:val="clear" w:color="auto" w:fill="auto"/>
          </w:tcPr>
          <w:p w14:paraId="632E7FF4" w14:textId="77777777" w:rsidR="00E90764" w:rsidRPr="00CF6322" w:rsidRDefault="0099166C" w:rsidP="001D1CF9">
            <w:pPr>
              <w:pStyle w:val="Heading6"/>
            </w:pPr>
            <w:r w:rsidRPr="00CF6322">
              <w:t xml:space="preserve">Data source and </w:t>
            </w:r>
            <w:r w:rsidRPr="00117737">
              <w:t>methodology</w:t>
            </w:r>
          </w:p>
          <w:p w14:paraId="632E7FF5" w14:textId="1339C3B3" w:rsidR="00E90764" w:rsidRPr="00CF6322" w:rsidRDefault="0099166C" w:rsidP="001D1CF9">
            <w:pPr>
              <w:pStyle w:val="BodyText"/>
            </w:pPr>
            <w:r w:rsidRPr="00CF6322">
              <w:t xml:space="preserve">This data is derived from Sport Australia’s </w:t>
            </w:r>
            <w:proofErr w:type="spellStart"/>
            <w:r w:rsidRPr="00CF6322">
              <w:t>AusPlay</w:t>
            </w:r>
            <w:proofErr w:type="spellEnd"/>
            <w:r w:rsidRPr="00CF6322">
              <w:t xml:space="preserve"> survey results</w:t>
            </w:r>
            <w:r w:rsidR="00117737">
              <w:rPr>
                <w:rStyle w:val="FootnoteReference"/>
              </w:rPr>
              <w:footnoteReference w:id="74"/>
            </w:r>
            <w:r w:rsidRPr="00CF6322">
              <w:t xml:space="preserve">. </w:t>
            </w:r>
            <w:proofErr w:type="spellStart"/>
            <w:r w:rsidRPr="00CF6322">
              <w:t>AusPlay</w:t>
            </w:r>
            <w:proofErr w:type="spellEnd"/>
            <w:r w:rsidRPr="00CF6322">
              <w:t xml:space="preserve"> collects national, state and territory data on participation rates across </w:t>
            </w:r>
            <w:proofErr w:type="spellStart"/>
            <w:r w:rsidRPr="00CF6322">
              <w:t>organised</w:t>
            </w:r>
            <w:proofErr w:type="spellEnd"/>
            <w:r w:rsidRPr="00CF6322">
              <w:t xml:space="preserve"> sport and physical activity.</w:t>
            </w:r>
          </w:p>
          <w:p w14:paraId="632E7FF7" w14:textId="77777777" w:rsidR="00E90764" w:rsidRPr="00117737" w:rsidRDefault="0099166C" w:rsidP="001D1CF9">
            <w:pPr>
              <w:pStyle w:val="Heading6"/>
            </w:pPr>
            <w:r w:rsidRPr="00CF6322">
              <w:t>Measure type</w:t>
            </w:r>
          </w:p>
          <w:p w14:paraId="632E7FF8" w14:textId="77777777" w:rsidR="00E90764" w:rsidRPr="00CF6322" w:rsidRDefault="0099166C" w:rsidP="001D1CF9">
            <w:pPr>
              <w:pStyle w:val="BodyText"/>
            </w:pPr>
            <w:r w:rsidRPr="00CF6322">
              <w:t>Quantitative/Effectiveness</w:t>
            </w:r>
          </w:p>
          <w:p w14:paraId="632E7FFA" w14:textId="77777777" w:rsidR="00E90764" w:rsidRPr="00117737" w:rsidRDefault="0099166C" w:rsidP="001D1CF9">
            <w:pPr>
              <w:pStyle w:val="Heading6"/>
            </w:pPr>
            <w:r w:rsidRPr="00CF6322">
              <w:t>Discussion</w:t>
            </w:r>
          </w:p>
          <w:p w14:paraId="632E7FFB" w14:textId="179C1FC9" w:rsidR="00E90764" w:rsidRPr="00CF6322" w:rsidRDefault="0099166C" w:rsidP="001D1CF9">
            <w:pPr>
              <w:pStyle w:val="BodyText"/>
            </w:pPr>
            <w:r w:rsidRPr="00CF6322">
              <w:t xml:space="preserve">Supporting the participation of Australians in sport and physical activity is a priority of the national sport plan, </w:t>
            </w:r>
            <w:r w:rsidRPr="00A37C57">
              <w:rPr>
                <w:i/>
                <w:iCs/>
              </w:rPr>
              <w:t>Sport 2030</w:t>
            </w:r>
            <w:r w:rsidR="00117737">
              <w:rPr>
                <w:rStyle w:val="FootnoteReference"/>
              </w:rPr>
              <w:footnoteReference w:id="75"/>
            </w:r>
            <w:r w:rsidRPr="00CF6322">
              <w:t xml:space="preserve">. Due to the impact of the COVID-19 pandemic, 2022–23 targets will be set following reviews on participation in </w:t>
            </w:r>
            <w:proofErr w:type="spellStart"/>
            <w:r w:rsidRPr="00CF6322">
              <w:t>organised</w:t>
            </w:r>
            <w:proofErr w:type="spellEnd"/>
            <w:r w:rsidR="0062143E" w:rsidRPr="00CF6322">
              <w:t xml:space="preserve"> </w:t>
            </w:r>
            <w:r w:rsidRPr="00CF6322">
              <w:t>sport and physical activity.</w:t>
            </w:r>
          </w:p>
          <w:p w14:paraId="632E7FFC" w14:textId="7E472D60" w:rsidR="00E90764" w:rsidRPr="00CF6322" w:rsidRDefault="0099166C" w:rsidP="001D1CF9">
            <w:pPr>
              <w:pStyle w:val="BodyText"/>
            </w:pPr>
            <w:r w:rsidRPr="00CF6322">
              <w:t>Data for element c. is expected to be available through the 2020–21 National Health Survey, with first results available in</w:t>
            </w:r>
            <w:r w:rsidR="00117737">
              <w:t xml:space="preserve"> </w:t>
            </w:r>
            <w:r w:rsidRPr="00CF6322">
              <w:t>December 2021.</w:t>
            </w:r>
          </w:p>
        </w:tc>
      </w:tr>
    </w:tbl>
    <w:p w14:paraId="632E7FFE" w14:textId="06831988" w:rsidR="00A750C2" w:rsidRDefault="00A750C2" w:rsidP="001D1CF9">
      <w:pPr>
        <w:pStyle w:val="BodyText"/>
      </w:pPr>
    </w:p>
    <w:p w14:paraId="6E7724C9" w14:textId="77777777" w:rsidR="00A750C2" w:rsidRDefault="00A750C2">
      <w:pPr>
        <w:rPr>
          <w:rFonts w:ascii="Helvetica" w:hAnsi="Helvetica"/>
          <w:color w:val="231F20"/>
          <w:sz w:val="19"/>
          <w:szCs w:val="19"/>
        </w:rPr>
      </w:pPr>
      <w:r>
        <w:br w:type="page"/>
      </w:r>
    </w:p>
    <w:p w14:paraId="756388C6" w14:textId="77777777" w:rsidR="00E90764" w:rsidRPr="00CF6322" w:rsidRDefault="00E90764" w:rsidP="001D1CF9">
      <w:pPr>
        <w:pStyle w:val="BodyText"/>
      </w:pPr>
    </w:p>
    <w:tbl>
      <w:tblPr>
        <w:tblW w:w="102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0" w:type="dxa"/>
        </w:tblCellMar>
        <w:tblLook w:val="01E0" w:firstRow="1" w:lastRow="1" w:firstColumn="1" w:lastColumn="1" w:noHBand="0" w:noVBand="0"/>
      </w:tblPr>
      <w:tblGrid>
        <w:gridCol w:w="2571"/>
        <w:gridCol w:w="2571"/>
        <w:gridCol w:w="2571"/>
        <w:gridCol w:w="2571"/>
      </w:tblGrid>
      <w:tr w:rsidR="00E90764" w:rsidRPr="00A00981" w14:paraId="632E8005" w14:textId="77777777" w:rsidTr="002A2BCF">
        <w:trPr>
          <w:trHeight w:val="743"/>
        </w:trPr>
        <w:tc>
          <w:tcPr>
            <w:tcW w:w="10284" w:type="dxa"/>
            <w:gridSpan w:val="4"/>
            <w:shd w:val="clear" w:color="auto" w:fill="auto"/>
          </w:tcPr>
          <w:p w14:paraId="632E8004" w14:textId="00653179" w:rsidR="00E90764" w:rsidRPr="00A00981" w:rsidRDefault="0099166C" w:rsidP="001D1CF9">
            <w:pPr>
              <w:pStyle w:val="BodyText"/>
              <w:rPr>
                <w:b/>
                <w:bCs/>
              </w:rPr>
            </w:pPr>
            <w:r w:rsidRPr="00A00981">
              <w:rPr>
                <w:b/>
                <w:bCs/>
              </w:rPr>
              <w:t>Strategic coordination of Commonwealth responsibilities in relation to the following future bids and major sporting events in Australia.</w:t>
            </w:r>
            <w:r w:rsidR="002A2BCF" w:rsidRPr="00A00981">
              <w:rPr>
                <w:rStyle w:val="FootnoteReference"/>
                <w:b/>
                <w:bCs/>
              </w:rPr>
              <w:footnoteReference w:id="76"/>
            </w:r>
          </w:p>
        </w:tc>
      </w:tr>
      <w:tr w:rsidR="00E90764" w:rsidRPr="00A00981" w14:paraId="632E800A" w14:textId="77777777" w:rsidTr="002A2BCF">
        <w:trPr>
          <w:trHeight w:val="458"/>
        </w:trPr>
        <w:tc>
          <w:tcPr>
            <w:tcW w:w="2571" w:type="dxa"/>
            <w:shd w:val="clear" w:color="auto" w:fill="auto"/>
          </w:tcPr>
          <w:p w14:paraId="632E8006" w14:textId="77777777" w:rsidR="00E90764" w:rsidRPr="00A00981" w:rsidRDefault="0099166C" w:rsidP="001D1CF9">
            <w:pPr>
              <w:pStyle w:val="BodyText"/>
              <w:rPr>
                <w:b/>
                <w:bCs/>
              </w:rPr>
            </w:pPr>
            <w:r w:rsidRPr="00A00981">
              <w:rPr>
                <w:b/>
                <w:bCs/>
              </w:rPr>
              <w:t>2021–22 Target</w:t>
            </w:r>
          </w:p>
        </w:tc>
        <w:tc>
          <w:tcPr>
            <w:tcW w:w="2571" w:type="dxa"/>
            <w:shd w:val="clear" w:color="auto" w:fill="auto"/>
          </w:tcPr>
          <w:p w14:paraId="632E8007" w14:textId="77777777" w:rsidR="00E90764" w:rsidRPr="00A00981" w:rsidRDefault="0099166C" w:rsidP="001D1CF9">
            <w:pPr>
              <w:pStyle w:val="BodyText"/>
              <w:rPr>
                <w:b/>
                <w:bCs/>
              </w:rPr>
            </w:pPr>
            <w:r w:rsidRPr="00A00981">
              <w:rPr>
                <w:b/>
                <w:bCs/>
              </w:rPr>
              <w:t>2022–23 Target</w:t>
            </w:r>
          </w:p>
        </w:tc>
        <w:tc>
          <w:tcPr>
            <w:tcW w:w="2571" w:type="dxa"/>
            <w:shd w:val="clear" w:color="auto" w:fill="auto"/>
          </w:tcPr>
          <w:p w14:paraId="632E8008" w14:textId="77777777" w:rsidR="00E90764" w:rsidRPr="00A00981" w:rsidRDefault="0099166C" w:rsidP="001D1CF9">
            <w:pPr>
              <w:pStyle w:val="BodyText"/>
              <w:rPr>
                <w:b/>
                <w:bCs/>
              </w:rPr>
            </w:pPr>
            <w:r w:rsidRPr="00A00981">
              <w:rPr>
                <w:b/>
                <w:bCs/>
              </w:rPr>
              <w:t>2023–24 Target</w:t>
            </w:r>
          </w:p>
        </w:tc>
        <w:tc>
          <w:tcPr>
            <w:tcW w:w="2571" w:type="dxa"/>
            <w:shd w:val="clear" w:color="auto" w:fill="auto"/>
          </w:tcPr>
          <w:p w14:paraId="632E8009" w14:textId="77777777" w:rsidR="00E90764" w:rsidRPr="00A00981" w:rsidRDefault="0099166C" w:rsidP="001D1CF9">
            <w:pPr>
              <w:pStyle w:val="BodyText"/>
              <w:rPr>
                <w:b/>
                <w:bCs/>
              </w:rPr>
            </w:pPr>
            <w:r w:rsidRPr="00A00981">
              <w:rPr>
                <w:b/>
                <w:bCs/>
              </w:rPr>
              <w:t>2024–25 Target</w:t>
            </w:r>
          </w:p>
        </w:tc>
      </w:tr>
      <w:tr w:rsidR="00E90764" w:rsidRPr="00CF6322" w14:paraId="632E801D" w14:textId="77777777" w:rsidTr="002A2BCF">
        <w:trPr>
          <w:trHeight w:val="3749"/>
        </w:trPr>
        <w:tc>
          <w:tcPr>
            <w:tcW w:w="2571" w:type="dxa"/>
            <w:shd w:val="clear" w:color="auto" w:fill="auto"/>
          </w:tcPr>
          <w:p w14:paraId="632E800B" w14:textId="1CF07623" w:rsidR="00E90764" w:rsidRPr="00CF6322" w:rsidRDefault="0099166C" w:rsidP="001D1CF9">
            <w:pPr>
              <w:pStyle w:val="BodyText"/>
            </w:pPr>
            <w:r w:rsidRPr="00CF6322">
              <w:t>ICC T20 Men’s World</w:t>
            </w:r>
            <w:r w:rsidR="00A37C57">
              <w:t xml:space="preserve"> </w:t>
            </w:r>
            <w:r w:rsidRPr="00CF6322">
              <w:t>Cup 2022</w:t>
            </w:r>
          </w:p>
          <w:p w14:paraId="632E800C" w14:textId="695DA0B2" w:rsidR="00E90764" w:rsidRPr="00CF6322" w:rsidRDefault="0099166C" w:rsidP="001D1CF9">
            <w:pPr>
              <w:pStyle w:val="BodyText"/>
            </w:pPr>
            <w:r w:rsidRPr="00CF6322">
              <w:t>FIBA Women’s World</w:t>
            </w:r>
            <w:r w:rsidR="00A37C57">
              <w:t xml:space="preserve"> </w:t>
            </w:r>
            <w:r w:rsidRPr="00CF6322">
              <w:t>Cup 2022</w:t>
            </w:r>
          </w:p>
          <w:p w14:paraId="632E800D" w14:textId="77777777" w:rsidR="00E90764" w:rsidRPr="00CF6322" w:rsidRDefault="0099166C" w:rsidP="001D1CF9">
            <w:pPr>
              <w:pStyle w:val="BodyText"/>
            </w:pPr>
            <w:r w:rsidRPr="00CF6322">
              <w:t>World Transplant Games 2023</w:t>
            </w:r>
          </w:p>
          <w:p w14:paraId="632E800E" w14:textId="47EAC659" w:rsidR="00E90764" w:rsidRPr="00CF6322" w:rsidRDefault="0099166C" w:rsidP="001D1CF9">
            <w:pPr>
              <w:pStyle w:val="BodyText"/>
            </w:pPr>
            <w:r w:rsidRPr="00CF6322">
              <w:t>FIFA Women’s World</w:t>
            </w:r>
            <w:r w:rsidR="0062143E" w:rsidRPr="00CF6322">
              <w:t xml:space="preserve"> </w:t>
            </w:r>
            <w:r w:rsidRPr="00CF6322">
              <w:t>Cup 2023</w:t>
            </w:r>
          </w:p>
          <w:p w14:paraId="632E800F" w14:textId="5C2350B0" w:rsidR="00E90764" w:rsidRPr="00CF6322" w:rsidRDefault="0099166C" w:rsidP="001D1CF9">
            <w:pPr>
              <w:pStyle w:val="BodyText"/>
            </w:pPr>
            <w:r w:rsidRPr="00CF6322">
              <w:t>Rugby World Cup 2027</w:t>
            </w:r>
            <w:r w:rsidR="0062143E" w:rsidRPr="00CF6322">
              <w:t xml:space="preserve"> </w:t>
            </w:r>
            <w:r w:rsidRPr="00CF6322">
              <w:t>bid</w:t>
            </w:r>
          </w:p>
          <w:p w14:paraId="632E8010" w14:textId="77777777" w:rsidR="00E90764" w:rsidRPr="00CF6322" w:rsidRDefault="0099166C" w:rsidP="001D1CF9">
            <w:pPr>
              <w:pStyle w:val="BodyText"/>
            </w:pPr>
            <w:r w:rsidRPr="00CF6322">
              <w:t>2032 Olympic and Paralympic Games candidature</w:t>
            </w:r>
          </w:p>
        </w:tc>
        <w:tc>
          <w:tcPr>
            <w:tcW w:w="2571" w:type="dxa"/>
            <w:shd w:val="clear" w:color="auto" w:fill="auto"/>
          </w:tcPr>
          <w:p w14:paraId="632E8011" w14:textId="67C28F95" w:rsidR="00E90764" w:rsidRPr="00CF6322" w:rsidRDefault="0099166C" w:rsidP="001D1CF9">
            <w:pPr>
              <w:pStyle w:val="BodyText"/>
            </w:pPr>
            <w:r w:rsidRPr="00CF6322">
              <w:t>ICC T20 Men’s World</w:t>
            </w:r>
            <w:r w:rsidR="0062143E" w:rsidRPr="00CF6322">
              <w:t xml:space="preserve"> </w:t>
            </w:r>
            <w:r w:rsidRPr="00CF6322">
              <w:t>Cup 2022</w:t>
            </w:r>
          </w:p>
          <w:p w14:paraId="632E8012" w14:textId="192CD3B5" w:rsidR="00E90764" w:rsidRPr="00CF6322" w:rsidRDefault="0099166C" w:rsidP="001D1CF9">
            <w:pPr>
              <w:pStyle w:val="BodyText"/>
            </w:pPr>
            <w:r w:rsidRPr="00CF6322">
              <w:t>FIBA Women’s World</w:t>
            </w:r>
            <w:r w:rsidR="0062143E" w:rsidRPr="00CF6322">
              <w:t xml:space="preserve"> </w:t>
            </w:r>
            <w:r w:rsidRPr="00CF6322">
              <w:t>Cup 2022</w:t>
            </w:r>
          </w:p>
          <w:p w14:paraId="632E8013" w14:textId="77777777" w:rsidR="00E90764" w:rsidRPr="00CF6322" w:rsidRDefault="0099166C" w:rsidP="001D1CF9">
            <w:pPr>
              <w:pStyle w:val="BodyText"/>
            </w:pPr>
            <w:r w:rsidRPr="00CF6322">
              <w:t>World Transplant Games 2023</w:t>
            </w:r>
          </w:p>
          <w:p w14:paraId="632E8014" w14:textId="7B7E1C7C" w:rsidR="00E90764" w:rsidRPr="00CF6322" w:rsidRDefault="0099166C" w:rsidP="001D1CF9">
            <w:pPr>
              <w:pStyle w:val="BodyText"/>
            </w:pPr>
            <w:r w:rsidRPr="00CF6322">
              <w:t>FIFA Women’s World</w:t>
            </w:r>
            <w:r w:rsidR="0062143E" w:rsidRPr="00CF6322">
              <w:t xml:space="preserve"> </w:t>
            </w:r>
            <w:r w:rsidRPr="00CF6322">
              <w:t>Cup 2023</w:t>
            </w:r>
          </w:p>
          <w:p w14:paraId="632E8015" w14:textId="6989B0D6" w:rsidR="00E90764" w:rsidRPr="00CF6322" w:rsidRDefault="0099166C" w:rsidP="001D1CF9">
            <w:pPr>
              <w:pStyle w:val="BodyText"/>
            </w:pPr>
            <w:r w:rsidRPr="00CF6322">
              <w:t>Rugby World Cup 2027</w:t>
            </w:r>
            <w:r w:rsidR="0062143E" w:rsidRPr="00CF6322">
              <w:t xml:space="preserve"> </w:t>
            </w:r>
            <w:r w:rsidRPr="00CF6322">
              <w:t>bid</w:t>
            </w:r>
          </w:p>
          <w:p w14:paraId="632E8016" w14:textId="77777777" w:rsidR="00E90764" w:rsidRPr="00CF6322" w:rsidRDefault="0099166C" w:rsidP="001D1CF9">
            <w:pPr>
              <w:pStyle w:val="BodyText"/>
            </w:pPr>
            <w:r w:rsidRPr="00CF6322">
              <w:t>2032 Olympic and Paralympic Games</w:t>
            </w:r>
          </w:p>
        </w:tc>
        <w:tc>
          <w:tcPr>
            <w:tcW w:w="2571" w:type="dxa"/>
            <w:shd w:val="clear" w:color="auto" w:fill="auto"/>
          </w:tcPr>
          <w:p w14:paraId="632E8017" w14:textId="7F2CF709" w:rsidR="00E90764" w:rsidRPr="00CF6322" w:rsidRDefault="0099166C" w:rsidP="001D1CF9">
            <w:pPr>
              <w:pStyle w:val="BodyText"/>
            </w:pPr>
            <w:r w:rsidRPr="00CF6322">
              <w:t>World Transplant Games</w:t>
            </w:r>
            <w:r w:rsidR="0062143E" w:rsidRPr="00CF6322">
              <w:t xml:space="preserve"> </w:t>
            </w:r>
            <w:r w:rsidRPr="00CF6322">
              <w:t>2023</w:t>
            </w:r>
          </w:p>
          <w:p w14:paraId="632E8018" w14:textId="671FCDE8" w:rsidR="00E90764" w:rsidRPr="00CF6322" w:rsidRDefault="0099166C" w:rsidP="001D1CF9">
            <w:pPr>
              <w:pStyle w:val="BodyText"/>
            </w:pPr>
            <w:r w:rsidRPr="00CF6322">
              <w:t>FIFA Women’s World Cup 2023</w:t>
            </w:r>
          </w:p>
          <w:p w14:paraId="632E8019" w14:textId="77777777" w:rsidR="00E90764" w:rsidRPr="00CF6322" w:rsidRDefault="0099166C" w:rsidP="001D1CF9">
            <w:pPr>
              <w:pStyle w:val="BodyText"/>
            </w:pPr>
            <w:r w:rsidRPr="00CF6322">
              <w:t>Rugby World Cup 2027</w:t>
            </w:r>
          </w:p>
          <w:p w14:paraId="632E801A" w14:textId="77777777" w:rsidR="00E90764" w:rsidRPr="00CF6322" w:rsidRDefault="0099166C" w:rsidP="001D1CF9">
            <w:pPr>
              <w:pStyle w:val="BodyText"/>
            </w:pPr>
            <w:r w:rsidRPr="00CF6322">
              <w:t>2032 Olympic and Paralympic Games</w:t>
            </w:r>
          </w:p>
        </w:tc>
        <w:tc>
          <w:tcPr>
            <w:tcW w:w="2571" w:type="dxa"/>
            <w:shd w:val="clear" w:color="auto" w:fill="auto"/>
          </w:tcPr>
          <w:p w14:paraId="632E801B" w14:textId="77777777" w:rsidR="00E90764" w:rsidRPr="00CF6322" w:rsidRDefault="0099166C" w:rsidP="001D1CF9">
            <w:pPr>
              <w:pStyle w:val="BodyText"/>
            </w:pPr>
            <w:r w:rsidRPr="00CF6322">
              <w:t>Rugby World Cup 2027</w:t>
            </w:r>
          </w:p>
          <w:p w14:paraId="632E801C" w14:textId="77777777" w:rsidR="00E90764" w:rsidRPr="00CF6322" w:rsidRDefault="0099166C" w:rsidP="001D1CF9">
            <w:pPr>
              <w:pStyle w:val="BodyText"/>
            </w:pPr>
            <w:r w:rsidRPr="00CF6322">
              <w:t>2032 Olympic and Paralympic Games</w:t>
            </w:r>
          </w:p>
        </w:tc>
      </w:tr>
      <w:tr w:rsidR="00E90764" w:rsidRPr="00CF6322" w14:paraId="632E8026" w14:textId="77777777" w:rsidTr="002A2BCF">
        <w:trPr>
          <w:trHeight w:val="2839"/>
        </w:trPr>
        <w:tc>
          <w:tcPr>
            <w:tcW w:w="10284" w:type="dxa"/>
            <w:gridSpan w:val="4"/>
            <w:shd w:val="clear" w:color="auto" w:fill="auto"/>
          </w:tcPr>
          <w:p w14:paraId="632E801E" w14:textId="77777777" w:rsidR="00E90764" w:rsidRPr="00CF6322" w:rsidRDefault="0099166C" w:rsidP="001D1CF9">
            <w:pPr>
              <w:pStyle w:val="Heading6"/>
            </w:pPr>
            <w:r w:rsidRPr="00CF6322">
              <w:t xml:space="preserve">Data source and </w:t>
            </w:r>
            <w:r w:rsidRPr="002A2BCF">
              <w:t>methodology</w:t>
            </w:r>
          </w:p>
          <w:p w14:paraId="632E8020" w14:textId="18706949" w:rsidR="00E90764" w:rsidRPr="00CF6322" w:rsidRDefault="0099166C" w:rsidP="001D1CF9">
            <w:pPr>
              <w:pStyle w:val="BodyText"/>
            </w:pPr>
            <w:r w:rsidRPr="00CF6322">
              <w:t>Policies and operational arrangements are developed and implemented to meet the Government’s commitments to support</w:t>
            </w:r>
            <w:r w:rsidR="0062143E" w:rsidRPr="00CF6322">
              <w:t xml:space="preserve"> </w:t>
            </w:r>
            <w:r w:rsidRPr="00CF6322">
              <w:t>bids for, and delivery of, future major sporting events in Australia. Data is maintained internally by the Department.</w:t>
            </w:r>
          </w:p>
          <w:p w14:paraId="632E8021" w14:textId="77777777" w:rsidR="00E90764" w:rsidRPr="002A2BCF" w:rsidRDefault="0099166C" w:rsidP="001D1CF9">
            <w:pPr>
              <w:pStyle w:val="Heading6"/>
            </w:pPr>
            <w:r w:rsidRPr="00CF6322">
              <w:t>Measure type</w:t>
            </w:r>
          </w:p>
          <w:p w14:paraId="632E8023" w14:textId="2B83DFA0" w:rsidR="00E90764" w:rsidRPr="00CF6322" w:rsidRDefault="0099166C" w:rsidP="001D1CF9">
            <w:pPr>
              <w:pStyle w:val="BodyText"/>
            </w:pPr>
            <w:r w:rsidRPr="00CF6322">
              <w:t>Qualitative/Output</w:t>
            </w:r>
          </w:p>
          <w:p w14:paraId="632E8024" w14:textId="77777777" w:rsidR="00E90764" w:rsidRPr="002A2BCF" w:rsidRDefault="0099166C" w:rsidP="001D1CF9">
            <w:pPr>
              <w:pStyle w:val="Heading6"/>
            </w:pPr>
            <w:r w:rsidRPr="00CF6322">
              <w:t>Discussion</w:t>
            </w:r>
          </w:p>
          <w:p w14:paraId="632E8025" w14:textId="7D26C940" w:rsidR="00E90764" w:rsidRPr="00CF6322" w:rsidRDefault="0099166C" w:rsidP="001D1CF9">
            <w:pPr>
              <w:pStyle w:val="BodyText"/>
            </w:pPr>
            <w:r w:rsidRPr="00CF6322">
              <w:t>The Department is working to develop an appropriate performance measure to use in the future. In the interim, this target provides insight into the expected level of output and enables reporting that can be compared year to year.</w:t>
            </w:r>
          </w:p>
        </w:tc>
      </w:tr>
    </w:tbl>
    <w:p w14:paraId="537F8E5F" w14:textId="77777777" w:rsidR="002A2BCF" w:rsidRPr="002A2BCF" w:rsidRDefault="002A2BCF" w:rsidP="002A2BCF">
      <w:pPr>
        <w:pStyle w:val="Heading3"/>
      </w:pPr>
      <w:r w:rsidRPr="002A2BCF">
        <w:t>Our Partners in Delivering Outcome 4</w:t>
      </w:r>
    </w:p>
    <w:p w14:paraId="5F85A408" w14:textId="311FEC90" w:rsidR="002A2BCF" w:rsidRPr="002A2BCF" w:rsidRDefault="002A2BCF" w:rsidP="001D1CF9">
      <w:pPr>
        <w:pStyle w:val="BodyText"/>
      </w:pPr>
      <w:r w:rsidRPr="002A2BCF">
        <w:t xml:space="preserve">In working towards achieving our purpose, we cooperate with all entities within the Health portfolio and other Commonwealth entities. We also partner with a wide range of external stakeholders including states and territories, peak bodies and international </w:t>
      </w:r>
      <w:proofErr w:type="spellStart"/>
      <w:r w:rsidRPr="002A2BCF">
        <w:t>organisations</w:t>
      </w:r>
      <w:proofErr w:type="spellEnd"/>
      <w:r w:rsidRPr="002A2BCF">
        <w:t xml:space="preserve">. More detail on our partners can be found in the </w:t>
      </w:r>
      <w:r w:rsidRPr="006E10D0">
        <w:rPr>
          <w:i/>
        </w:rPr>
        <w:t xml:space="preserve">2021–22 Health Portfolio Budget Statements </w:t>
      </w:r>
      <w:r w:rsidRPr="002A2BCF">
        <w:t>linked programs section.</w:t>
      </w:r>
    </w:p>
    <w:p w14:paraId="1585EC14" w14:textId="77777777" w:rsidR="00A00981" w:rsidRDefault="00A00981" w:rsidP="002A2BCF">
      <w:pPr>
        <w:pStyle w:val="Heading2"/>
        <w:sectPr w:rsidR="00A00981" w:rsidSect="00DD2F20">
          <w:headerReference w:type="default" r:id="rId19"/>
          <w:footerReference w:type="default" r:id="rId20"/>
          <w:type w:val="continuous"/>
          <w:pgSz w:w="11910" w:h="16840"/>
          <w:pgMar w:top="720" w:right="720" w:bottom="720" w:left="720" w:header="0" w:footer="0" w:gutter="0"/>
          <w:cols w:space="720"/>
          <w:docGrid w:linePitch="299"/>
        </w:sectPr>
      </w:pPr>
      <w:bookmarkStart w:id="33" w:name="_Toc83043023"/>
    </w:p>
    <w:p w14:paraId="632E802B" w14:textId="12E6CB5F" w:rsidR="00E90764" w:rsidRPr="00CF6322" w:rsidRDefault="0099166C" w:rsidP="002A2BCF">
      <w:pPr>
        <w:pStyle w:val="Heading2"/>
      </w:pPr>
      <w:r w:rsidRPr="00CF6322">
        <w:lastRenderedPageBreak/>
        <w:t>List of Requi</w:t>
      </w:r>
      <w:r w:rsidRPr="002A2BCF">
        <w:t>r</w:t>
      </w:r>
      <w:r w:rsidRPr="00CF6322">
        <w:t>ements</w:t>
      </w:r>
      <w:bookmarkEnd w:id="33"/>
    </w:p>
    <w:p w14:paraId="13506CCA" w14:textId="77777777" w:rsidR="002A2BCF" w:rsidRDefault="0099166C" w:rsidP="001D1CF9">
      <w:pPr>
        <w:pStyle w:val="BodyText"/>
      </w:pPr>
      <w:r w:rsidRPr="00CF6322">
        <w:t>The Corporate Plan has been prepared in accordance with the requirements of:</w:t>
      </w:r>
    </w:p>
    <w:p w14:paraId="632E802D" w14:textId="270F5C30" w:rsidR="00E90764" w:rsidRPr="002A2BCF" w:rsidRDefault="0099166C" w:rsidP="002A2BCF">
      <w:pPr>
        <w:pStyle w:val="Bullets"/>
      </w:pPr>
      <w:r w:rsidRPr="00CF6322">
        <w:t xml:space="preserve">subsection 35(1) of the PGPA </w:t>
      </w:r>
      <w:r w:rsidRPr="002A2BCF">
        <w:t>Act and</w:t>
      </w:r>
    </w:p>
    <w:p w14:paraId="632E802E" w14:textId="77777777" w:rsidR="00E90764" w:rsidRPr="002A2BCF" w:rsidRDefault="0099166C" w:rsidP="002A2BCF">
      <w:pPr>
        <w:pStyle w:val="Bullets"/>
      </w:pPr>
      <w:proofErr w:type="gramStart"/>
      <w:r w:rsidRPr="002A2BCF">
        <w:t>the</w:t>
      </w:r>
      <w:proofErr w:type="gramEnd"/>
      <w:r w:rsidRPr="002A2BCF">
        <w:t xml:space="preserve"> PGPA Rule 2014.</w:t>
      </w:r>
    </w:p>
    <w:p w14:paraId="632E802F" w14:textId="77777777" w:rsidR="00E90764" w:rsidRPr="00CF6322" w:rsidRDefault="0099166C" w:rsidP="001D1CF9">
      <w:pPr>
        <w:pStyle w:val="BodyText"/>
      </w:pPr>
      <w:r w:rsidRPr="00CF6322">
        <w:t>This table details the requirements met by the Department of Health Corporate Plan 2021–22 and the page references for each requirement.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0" w:type="dxa"/>
        </w:tblCellMar>
        <w:tblLook w:val="01E0" w:firstRow="1" w:lastRow="1" w:firstColumn="1" w:lastColumn="1" w:noHBand="0" w:noVBand="0"/>
      </w:tblPr>
      <w:tblGrid>
        <w:gridCol w:w="1587"/>
        <w:gridCol w:w="6123"/>
        <w:gridCol w:w="2638"/>
      </w:tblGrid>
      <w:tr w:rsidR="002A2BCF" w:rsidRPr="00A00981" w14:paraId="632E8034" w14:textId="77777777" w:rsidTr="00A00981">
        <w:trPr>
          <w:trHeight w:val="468"/>
          <w:tblHeader/>
        </w:trPr>
        <w:tc>
          <w:tcPr>
            <w:tcW w:w="1587" w:type="dxa"/>
            <w:shd w:val="clear" w:color="auto" w:fill="auto"/>
          </w:tcPr>
          <w:p w14:paraId="632E8031" w14:textId="77777777" w:rsidR="00E90764" w:rsidRPr="00A00981" w:rsidRDefault="0099166C" w:rsidP="001D1CF9">
            <w:pPr>
              <w:pStyle w:val="BodyText"/>
              <w:rPr>
                <w:b/>
                <w:bCs/>
              </w:rPr>
            </w:pPr>
            <w:r w:rsidRPr="00A00981">
              <w:rPr>
                <w:b/>
                <w:bCs/>
              </w:rPr>
              <w:t>Topic</w:t>
            </w:r>
          </w:p>
        </w:tc>
        <w:tc>
          <w:tcPr>
            <w:tcW w:w="6123" w:type="dxa"/>
            <w:shd w:val="clear" w:color="auto" w:fill="auto"/>
          </w:tcPr>
          <w:p w14:paraId="632E8032" w14:textId="77777777" w:rsidR="00E90764" w:rsidRPr="00A00981" w:rsidRDefault="0099166C" w:rsidP="001D1CF9">
            <w:pPr>
              <w:pStyle w:val="BodyText"/>
              <w:rPr>
                <w:b/>
                <w:bCs/>
              </w:rPr>
            </w:pPr>
            <w:r w:rsidRPr="00A00981">
              <w:rPr>
                <w:b/>
                <w:bCs/>
              </w:rPr>
              <w:t>Requirements</w:t>
            </w:r>
          </w:p>
        </w:tc>
        <w:tc>
          <w:tcPr>
            <w:tcW w:w="2638" w:type="dxa"/>
            <w:shd w:val="clear" w:color="auto" w:fill="auto"/>
          </w:tcPr>
          <w:p w14:paraId="632E8033" w14:textId="77777777" w:rsidR="00E90764" w:rsidRPr="00A00981" w:rsidRDefault="0099166C" w:rsidP="001D1CF9">
            <w:pPr>
              <w:pStyle w:val="BodyText"/>
              <w:rPr>
                <w:b/>
                <w:bCs/>
              </w:rPr>
            </w:pPr>
            <w:r w:rsidRPr="00A00981">
              <w:rPr>
                <w:b/>
                <w:bCs/>
              </w:rPr>
              <w:t>Page(s)</w:t>
            </w:r>
          </w:p>
        </w:tc>
      </w:tr>
      <w:tr w:rsidR="002A2BCF" w:rsidRPr="002A2BCF" w14:paraId="632E803A" w14:textId="77777777" w:rsidTr="00A37C57">
        <w:trPr>
          <w:trHeight w:val="1084"/>
        </w:trPr>
        <w:tc>
          <w:tcPr>
            <w:tcW w:w="1587" w:type="dxa"/>
            <w:shd w:val="clear" w:color="auto" w:fill="auto"/>
          </w:tcPr>
          <w:p w14:paraId="632E8035" w14:textId="77777777" w:rsidR="00E90764" w:rsidRPr="002A2BCF" w:rsidRDefault="0099166C" w:rsidP="001D1CF9">
            <w:pPr>
              <w:pStyle w:val="BodyText"/>
            </w:pPr>
            <w:r w:rsidRPr="002A2BCF">
              <w:t>Introduction</w:t>
            </w:r>
          </w:p>
        </w:tc>
        <w:tc>
          <w:tcPr>
            <w:tcW w:w="6123" w:type="dxa"/>
            <w:shd w:val="clear" w:color="auto" w:fill="auto"/>
          </w:tcPr>
          <w:p w14:paraId="632E8036" w14:textId="77777777" w:rsidR="00E90764" w:rsidRPr="002A2BCF" w:rsidRDefault="0099166C" w:rsidP="002A2BCF">
            <w:pPr>
              <w:pStyle w:val="Bullets"/>
            </w:pPr>
            <w:r w:rsidRPr="002A2BCF">
              <w:t>A statement that the plan is prepared for paragraph 35(1</w:t>
            </w:r>
            <w:proofErr w:type="gramStart"/>
            <w:r w:rsidRPr="002A2BCF">
              <w:t>)(</w:t>
            </w:r>
            <w:proofErr w:type="gramEnd"/>
            <w:r w:rsidRPr="002A2BCF">
              <w:t>b) of the Act.</w:t>
            </w:r>
          </w:p>
          <w:p w14:paraId="632E8037" w14:textId="77777777" w:rsidR="00E90764" w:rsidRPr="002A2BCF" w:rsidRDefault="0099166C" w:rsidP="002A2BCF">
            <w:pPr>
              <w:pStyle w:val="Bullets"/>
            </w:pPr>
            <w:r w:rsidRPr="002A2BCF">
              <w:t>The reporting periods for which the plan is prepared.</w:t>
            </w:r>
          </w:p>
          <w:p w14:paraId="632E8038" w14:textId="77777777" w:rsidR="00E90764" w:rsidRPr="002A2BCF" w:rsidRDefault="0099166C" w:rsidP="002A2BCF">
            <w:pPr>
              <w:pStyle w:val="Bullets"/>
            </w:pPr>
            <w:r w:rsidRPr="002A2BCF">
              <w:t>The reporting periods covered by the plan.</w:t>
            </w:r>
          </w:p>
        </w:tc>
        <w:tc>
          <w:tcPr>
            <w:tcW w:w="2638" w:type="dxa"/>
            <w:shd w:val="clear" w:color="auto" w:fill="auto"/>
          </w:tcPr>
          <w:p w14:paraId="632E8039" w14:textId="33D8C100" w:rsidR="00E90764" w:rsidRPr="002A2BCF" w:rsidRDefault="00F97577" w:rsidP="001D1CF9">
            <w:pPr>
              <w:pStyle w:val="BodyText"/>
            </w:pPr>
            <w:hyperlink w:anchor="_Message_from_the" w:history="1">
              <w:r w:rsidR="0099166C" w:rsidRPr="00581F29">
                <w:rPr>
                  <w:rStyle w:val="Hyperlink"/>
                </w:rPr>
                <w:t>Message from the Secretary</w:t>
              </w:r>
            </w:hyperlink>
          </w:p>
        </w:tc>
      </w:tr>
      <w:tr w:rsidR="002A2BCF" w:rsidRPr="002A2BCF" w14:paraId="632E803E" w14:textId="77777777" w:rsidTr="00A37C57">
        <w:trPr>
          <w:trHeight w:val="465"/>
        </w:trPr>
        <w:tc>
          <w:tcPr>
            <w:tcW w:w="1587" w:type="dxa"/>
            <w:shd w:val="clear" w:color="auto" w:fill="auto"/>
          </w:tcPr>
          <w:p w14:paraId="632E803B" w14:textId="77777777" w:rsidR="00E90764" w:rsidRPr="002A2BCF" w:rsidRDefault="0099166C" w:rsidP="001D1CF9">
            <w:pPr>
              <w:pStyle w:val="BodyText"/>
            </w:pPr>
            <w:r w:rsidRPr="002A2BCF">
              <w:t>Purposes</w:t>
            </w:r>
          </w:p>
        </w:tc>
        <w:tc>
          <w:tcPr>
            <w:tcW w:w="6123" w:type="dxa"/>
            <w:shd w:val="clear" w:color="auto" w:fill="auto"/>
          </w:tcPr>
          <w:p w14:paraId="632E803C" w14:textId="3C9D2B5F" w:rsidR="00E90764" w:rsidRPr="002A2BCF" w:rsidRDefault="0099166C" w:rsidP="002A2BCF">
            <w:pPr>
              <w:pStyle w:val="Bullets"/>
            </w:pPr>
            <w:r w:rsidRPr="002A2BCF">
              <w:t>The purposes of the entity</w:t>
            </w:r>
            <w:r w:rsidR="000C4CA9">
              <w:t>.</w:t>
            </w:r>
          </w:p>
        </w:tc>
        <w:tc>
          <w:tcPr>
            <w:tcW w:w="2638" w:type="dxa"/>
            <w:shd w:val="clear" w:color="auto" w:fill="auto"/>
          </w:tcPr>
          <w:p w14:paraId="632E803D" w14:textId="0308D586" w:rsidR="00E90764" w:rsidRPr="002A2BCF" w:rsidRDefault="00F97577" w:rsidP="001D1CF9">
            <w:pPr>
              <w:pStyle w:val="BodyText"/>
            </w:pPr>
            <w:hyperlink w:anchor="_Our_Purpose" w:history="1">
              <w:r w:rsidR="0099166C" w:rsidRPr="00581F29">
                <w:rPr>
                  <w:rStyle w:val="Hyperlink"/>
                </w:rPr>
                <w:t>Our Purpose</w:t>
              </w:r>
            </w:hyperlink>
          </w:p>
        </w:tc>
      </w:tr>
      <w:tr w:rsidR="002A2BCF" w:rsidRPr="002A2BCF" w14:paraId="632E8042" w14:textId="77777777" w:rsidTr="00A37C57">
        <w:trPr>
          <w:trHeight w:val="1525"/>
        </w:trPr>
        <w:tc>
          <w:tcPr>
            <w:tcW w:w="1587" w:type="dxa"/>
            <w:shd w:val="clear" w:color="auto" w:fill="auto"/>
          </w:tcPr>
          <w:p w14:paraId="632E803F" w14:textId="77777777" w:rsidR="00E90764" w:rsidRPr="002A2BCF" w:rsidRDefault="0099166C" w:rsidP="001D1CF9">
            <w:pPr>
              <w:pStyle w:val="BodyText"/>
            </w:pPr>
            <w:r w:rsidRPr="002A2BCF">
              <w:t>Key activities</w:t>
            </w:r>
          </w:p>
        </w:tc>
        <w:tc>
          <w:tcPr>
            <w:tcW w:w="6123" w:type="dxa"/>
            <w:shd w:val="clear" w:color="auto" w:fill="auto"/>
          </w:tcPr>
          <w:p w14:paraId="632E8040" w14:textId="57C7EED5" w:rsidR="00E90764" w:rsidRPr="002A2BCF" w:rsidRDefault="0099166C" w:rsidP="002A2BCF">
            <w:pPr>
              <w:pStyle w:val="Bullets"/>
            </w:pPr>
            <w:r w:rsidRPr="002A2BCF">
              <w:t>The key activities that the entity will undertake in order to achieve</w:t>
            </w:r>
            <w:r w:rsidR="0062143E" w:rsidRPr="002A2BCF">
              <w:t xml:space="preserve"> </w:t>
            </w:r>
            <w:r w:rsidRPr="002A2BCF">
              <w:t>its purposes.</w:t>
            </w:r>
          </w:p>
        </w:tc>
        <w:tc>
          <w:tcPr>
            <w:tcW w:w="2638" w:type="dxa"/>
            <w:shd w:val="clear" w:color="auto" w:fill="auto"/>
          </w:tcPr>
          <w:p w14:paraId="632E8041" w14:textId="4EE756E1" w:rsidR="00E90764" w:rsidRPr="002A2BCF" w:rsidRDefault="00F97577" w:rsidP="001D1CF9">
            <w:pPr>
              <w:pStyle w:val="BodyText"/>
            </w:pPr>
            <w:hyperlink w:anchor="_Outcome_1_–" w:history="1">
              <w:r w:rsidR="0099166C" w:rsidRPr="00581F29">
                <w:rPr>
                  <w:rStyle w:val="Hyperlink"/>
                </w:rPr>
                <w:t>Outcome 1</w:t>
              </w:r>
            </w:hyperlink>
            <w:r w:rsidR="0099166C" w:rsidRPr="002A2BCF">
              <w:t xml:space="preserve"> </w:t>
            </w:r>
            <w:r w:rsidR="00581F29">
              <w:br/>
            </w:r>
            <w:hyperlink w:anchor="_Outcome_2_–" w:history="1">
              <w:r w:rsidR="0099166C" w:rsidRPr="00581F29">
                <w:rPr>
                  <w:rStyle w:val="Hyperlink"/>
                </w:rPr>
                <w:t>Outcome 2</w:t>
              </w:r>
            </w:hyperlink>
            <w:r w:rsidR="0099166C" w:rsidRPr="002A2BCF">
              <w:t xml:space="preserve"> </w:t>
            </w:r>
            <w:r w:rsidR="00581F29">
              <w:br/>
            </w:r>
            <w:hyperlink w:anchor="_Outcome_3_–" w:history="1">
              <w:r w:rsidR="0099166C" w:rsidRPr="00581F29">
                <w:rPr>
                  <w:rStyle w:val="Hyperlink"/>
                </w:rPr>
                <w:t>Outcome 3</w:t>
              </w:r>
            </w:hyperlink>
            <w:r w:rsidR="0099166C" w:rsidRPr="002A2BCF">
              <w:t xml:space="preserve"> </w:t>
            </w:r>
            <w:r w:rsidR="00581F29">
              <w:br/>
            </w:r>
            <w:hyperlink w:anchor="_Outcome_4_–" w:history="1">
              <w:r w:rsidR="0099166C" w:rsidRPr="00581F29">
                <w:rPr>
                  <w:rStyle w:val="Hyperlink"/>
                </w:rPr>
                <w:t>Outcome 4</w:t>
              </w:r>
            </w:hyperlink>
          </w:p>
        </w:tc>
      </w:tr>
      <w:tr w:rsidR="00581F29" w:rsidRPr="002A2BCF" w14:paraId="632E804B" w14:textId="77777777" w:rsidTr="00A00981">
        <w:trPr>
          <w:trHeight w:val="4195"/>
        </w:trPr>
        <w:tc>
          <w:tcPr>
            <w:tcW w:w="1587" w:type="dxa"/>
            <w:shd w:val="clear" w:color="auto" w:fill="auto"/>
          </w:tcPr>
          <w:p w14:paraId="632E8043" w14:textId="77777777" w:rsidR="00581F29" w:rsidRPr="002A2BCF" w:rsidRDefault="00581F29" w:rsidP="001D1CF9">
            <w:pPr>
              <w:pStyle w:val="BodyText"/>
            </w:pPr>
            <w:r w:rsidRPr="002A2BCF">
              <w:t>Operating context</w:t>
            </w:r>
          </w:p>
        </w:tc>
        <w:tc>
          <w:tcPr>
            <w:tcW w:w="6123" w:type="dxa"/>
            <w:shd w:val="clear" w:color="auto" w:fill="auto"/>
          </w:tcPr>
          <w:p w14:paraId="632E8044" w14:textId="77777777" w:rsidR="00581F29" w:rsidRPr="002A2BCF" w:rsidRDefault="00581F29" w:rsidP="002A2BCF">
            <w:pPr>
              <w:pStyle w:val="Bullets"/>
            </w:pPr>
            <w:r w:rsidRPr="002A2BCF">
              <w:t>The environment in which the entity will operate.</w:t>
            </w:r>
          </w:p>
          <w:p w14:paraId="632E8045" w14:textId="77777777" w:rsidR="00581F29" w:rsidRPr="002A2BCF" w:rsidRDefault="00581F29" w:rsidP="002A2BCF">
            <w:pPr>
              <w:pStyle w:val="Bullets"/>
            </w:pPr>
            <w:r w:rsidRPr="002A2BCF">
              <w:t>The strategies and plans the entity will implement to have the capability it needs to undertake its key activities and achieve its purposes.</w:t>
            </w:r>
          </w:p>
          <w:p w14:paraId="632E8046" w14:textId="77777777" w:rsidR="00581F29" w:rsidRPr="002A2BCF" w:rsidRDefault="00581F29" w:rsidP="002A2BCF">
            <w:pPr>
              <w:pStyle w:val="Bullets"/>
            </w:pPr>
            <w:r w:rsidRPr="002A2BCF">
              <w:t>A summary of the risk oversight and management systems of the entity, and the key risks that the entity will manage and how those risks will be managed.</w:t>
            </w:r>
          </w:p>
          <w:p w14:paraId="632E8047" w14:textId="7495B19A" w:rsidR="00581F29" w:rsidRPr="002A2BCF" w:rsidRDefault="00581F29" w:rsidP="002A2BCF">
            <w:pPr>
              <w:pStyle w:val="Bullets"/>
            </w:pPr>
            <w:r w:rsidRPr="002A2BCF">
              <w:t xml:space="preserve">Details of any </w:t>
            </w:r>
            <w:proofErr w:type="spellStart"/>
            <w:r w:rsidRPr="002A2BCF">
              <w:t>organisation</w:t>
            </w:r>
            <w:proofErr w:type="spellEnd"/>
            <w:r w:rsidRPr="002A2BCF">
              <w:t xml:space="preserve"> or body that will make a significant contribution towards achieving the entity’s purposes through cooperation with the entity, including</w:t>
            </w:r>
            <w:r>
              <w:t>:</w:t>
            </w:r>
          </w:p>
          <w:p w14:paraId="632E8048" w14:textId="77777777" w:rsidR="00581F29" w:rsidRPr="002A2BCF" w:rsidRDefault="00581F29" w:rsidP="000C4CA9">
            <w:pPr>
              <w:pStyle w:val="Bullets"/>
              <w:numPr>
                <w:ilvl w:val="1"/>
                <w:numId w:val="20"/>
              </w:numPr>
            </w:pPr>
            <w:proofErr w:type="gramStart"/>
            <w:r w:rsidRPr="002A2BCF">
              <w:t>how</w:t>
            </w:r>
            <w:proofErr w:type="gramEnd"/>
            <w:r w:rsidRPr="002A2BCF">
              <w:t xml:space="preserve"> that cooperation will help achieve those purposes.</w:t>
            </w:r>
          </w:p>
          <w:p w14:paraId="632E8049" w14:textId="77777777" w:rsidR="00581F29" w:rsidRPr="002A2BCF" w:rsidRDefault="00581F29" w:rsidP="000C4CA9">
            <w:pPr>
              <w:pStyle w:val="Bullets"/>
              <w:numPr>
                <w:ilvl w:val="1"/>
                <w:numId w:val="20"/>
              </w:numPr>
            </w:pPr>
            <w:r w:rsidRPr="002A2BCF">
              <w:t>How any subsidiary of the entity will contribute to achieving the entity’s purposes (Not applicable)</w:t>
            </w:r>
            <w:proofErr w:type="gramStart"/>
            <w:r w:rsidRPr="002A2BCF">
              <w:t>.</w:t>
            </w:r>
            <w:proofErr w:type="gramEnd"/>
          </w:p>
        </w:tc>
        <w:tc>
          <w:tcPr>
            <w:tcW w:w="2638" w:type="dxa"/>
            <w:shd w:val="clear" w:color="auto" w:fill="auto"/>
          </w:tcPr>
          <w:p w14:paraId="632E804A" w14:textId="6480C071" w:rsidR="00581F29" w:rsidRPr="002A2BCF" w:rsidRDefault="00F97577" w:rsidP="001D1CF9">
            <w:pPr>
              <w:pStyle w:val="BodyText"/>
            </w:pPr>
            <w:hyperlink w:anchor="_Message_from_the" w:history="1">
              <w:r w:rsidR="00581F29" w:rsidRPr="00581F29">
                <w:rPr>
                  <w:rStyle w:val="Hyperlink"/>
                </w:rPr>
                <w:t>Message from the Secretary</w:t>
              </w:r>
            </w:hyperlink>
            <w:r w:rsidR="00581F29">
              <w:br/>
            </w:r>
            <w:hyperlink w:anchor="_Our_Operating_Context" w:history="1">
              <w:r w:rsidR="00581F29" w:rsidRPr="00581F29">
                <w:rPr>
                  <w:rStyle w:val="Hyperlink"/>
                </w:rPr>
                <w:t>Our Operating Context</w:t>
              </w:r>
            </w:hyperlink>
            <w:r w:rsidR="00581F29">
              <w:br/>
            </w:r>
            <w:hyperlink w:anchor="_Contents" w:history="1">
              <w:r w:rsidR="00581F29" w:rsidRPr="00581F29">
                <w:rPr>
                  <w:rStyle w:val="Hyperlink"/>
                </w:rPr>
                <w:t>Contents</w:t>
              </w:r>
            </w:hyperlink>
            <w:r w:rsidR="00581F29">
              <w:br/>
            </w:r>
            <w:hyperlink w:anchor="_National_Agreement_on" w:history="1">
              <w:r w:rsidR="00581F29" w:rsidRPr="00581F29">
                <w:rPr>
                  <w:rStyle w:val="Hyperlink"/>
                </w:rPr>
                <w:t>National Agreement on Closing the Gap</w:t>
              </w:r>
            </w:hyperlink>
            <w:r w:rsidR="00581F29">
              <w:br/>
            </w:r>
            <w:hyperlink w:anchor="_Our_Corporate_Governance" w:history="1">
              <w:r w:rsidR="00581F29" w:rsidRPr="00581F29">
                <w:rPr>
                  <w:rStyle w:val="Hyperlink"/>
                </w:rPr>
                <w:t>Our Corporate Governance</w:t>
              </w:r>
            </w:hyperlink>
            <w:r w:rsidR="00581F29">
              <w:br/>
            </w:r>
            <w:hyperlink w:anchor="_Our_Capability" w:history="1">
              <w:r w:rsidR="00581F29" w:rsidRPr="00581F29">
                <w:rPr>
                  <w:rStyle w:val="Hyperlink"/>
                </w:rPr>
                <w:t>Our Capability</w:t>
              </w:r>
            </w:hyperlink>
            <w:r w:rsidR="00581F29">
              <w:br/>
            </w:r>
            <w:hyperlink w:anchor="_Our_Performance" w:history="1">
              <w:r w:rsidR="00581F29" w:rsidRPr="00581F29">
                <w:rPr>
                  <w:rStyle w:val="Hyperlink"/>
                </w:rPr>
                <w:t>Our Performance</w:t>
              </w:r>
            </w:hyperlink>
            <w:r w:rsidR="00581F29">
              <w:br/>
            </w:r>
            <w:hyperlink w:anchor="_Outcome_1_–" w:history="1">
              <w:r w:rsidR="00581F29" w:rsidRPr="00581F29">
                <w:rPr>
                  <w:rStyle w:val="Hyperlink"/>
                </w:rPr>
                <w:t>Outcome 1</w:t>
              </w:r>
            </w:hyperlink>
            <w:r w:rsidR="00581F29" w:rsidRPr="002A2BCF">
              <w:t xml:space="preserve"> </w:t>
            </w:r>
            <w:r w:rsidR="00581F29">
              <w:br/>
            </w:r>
            <w:hyperlink w:anchor="_Outcome_2_–" w:history="1">
              <w:r w:rsidR="00581F29" w:rsidRPr="00581F29">
                <w:rPr>
                  <w:rStyle w:val="Hyperlink"/>
                </w:rPr>
                <w:t>Outcome 2</w:t>
              </w:r>
            </w:hyperlink>
            <w:r w:rsidR="00581F29" w:rsidRPr="002A2BCF">
              <w:t xml:space="preserve"> </w:t>
            </w:r>
            <w:r w:rsidR="00581F29">
              <w:br/>
            </w:r>
            <w:hyperlink w:anchor="_Outcome_3_–" w:history="1">
              <w:r w:rsidR="00581F29" w:rsidRPr="00581F29">
                <w:rPr>
                  <w:rStyle w:val="Hyperlink"/>
                </w:rPr>
                <w:t>Outcome 3</w:t>
              </w:r>
            </w:hyperlink>
            <w:r w:rsidR="00581F29" w:rsidRPr="002A2BCF">
              <w:t xml:space="preserve"> </w:t>
            </w:r>
            <w:r w:rsidR="00581F29">
              <w:br/>
            </w:r>
            <w:hyperlink w:anchor="_Outcome_4_–" w:history="1">
              <w:r w:rsidR="00581F29" w:rsidRPr="00581F29">
                <w:rPr>
                  <w:rStyle w:val="Hyperlink"/>
                </w:rPr>
                <w:t>Outcome 4</w:t>
              </w:r>
            </w:hyperlink>
          </w:p>
        </w:tc>
      </w:tr>
      <w:tr w:rsidR="00581F29" w:rsidRPr="002A2BCF" w14:paraId="632E8074" w14:textId="77777777" w:rsidTr="00A00981">
        <w:trPr>
          <w:trHeight w:val="1692"/>
        </w:trPr>
        <w:tc>
          <w:tcPr>
            <w:tcW w:w="1587" w:type="dxa"/>
            <w:shd w:val="clear" w:color="auto" w:fill="auto"/>
          </w:tcPr>
          <w:p w14:paraId="632E8070" w14:textId="77777777" w:rsidR="00581F29" w:rsidRPr="002A2BCF" w:rsidRDefault="00581F29" w:rsidP="001D1CF9">
            <w:pPr>
              <w:pStyle w:val="BodyText"/>
            </w:pPr>
            <w:r w:rsidRPr="002A2BCF">
              <w:t>Performance</w:t>
            </w:r>
          </w:p>
        </w:tc>
        <w:tc>
          <w:tcPr>
            <w:tcW w:w="6123" w:type="dxa"/>
            <w:shd w:val="clear" w:color="auto" w:fill="auto"/>
          </w:tcPr>
          <w:p w14:paraId="632E8071" w14:textId="2AE670D5" w:rsidR="00581F29" w:rsidRPr="002A2BCF" w:rsidRDefault="00581F29" w:rsidP="002A2BCF">
            <w:pPr>
              <w:pStyle w:val="Bullets"/>
            </w:pPr>
            <w:r w:rsidRPr="002A2BCF">
              <w:t>Specified performance measures for the entity that meet the</w:t>
            </w:r>
            <w:r>
              <w:t xml:space="preserve"> </w:t>
            </w:r>
            <w:r w:rsidRPr="002A2BCF">
              <w:t>requirements of section 16EA</w:t>
            </w:r>
            <w:r>
              <w:t>.</w:t>
            </w:r>
          </w:p>
          <w:p w14:paraId="632E8072" w14:textId="5CC90668" w:rsidR="00581F29" w:rsidRPr="002A2BCF" w:rsidRDefault="00581F29" w:rsidP="002A2BCF">
            <w:pPr>
              <w:pStyle w:val="Bullets"/>
            </w:pPr>
            <w:r w:rsidRPr="002A2BCF">
              <w:t>Specified targets for each of those performance measures for which it is reasonably practicable to set a target.</w:t>
            </w:r>
          </w:p>
        </w:tc>
        <w:tc>
          <w:tcPr>
            <w:tcW w:w="2638" w:type="dxa"/>
            <w:shd w:val="clear" w:color="auto" w:fill="auto"/>
          </w:tcPr>
          <w:p w14:paraId="632E8073" w14:textId="6345E181" w:rsidR="00581F29" w:rsidRPr="002A2BCF" w:rsidRDefault="00F97577" w:rsidP="001D1CF9">
            <w:pPr>
              <w:pStyle w:val="BodyText"/>
            </w:pPr>
            <w:hyperlink w:anchor="_Our_Performance" w:history="1">
              <w:r w:rsidR="00581F29" w:rsidRPr="00581F29">
                <w:rPr>
                  <w:rStyle w:val="Hyperlink"/>
                </w:rPr>
                <w:t>Our Performance</w:t>
              </w:r>
            </w:hyperlink>
            <w:r w:rsidR="00581F29">
              <w:br/>
            </w:r>
            <w:hyperlink w:anchor="_Outcome_1_–" w:history="1">
              <w:r w:rsidR="00581F29" w:rsidRPr="00581F29">
                <w:rPr>
                  <w:rStyle w:val="Hyperlink"/>
                </w:rPr>
                <w:t>Outcome 1</w:t>
              </w:r>
            </w:hyperlink>
            <w:r w:rsidR="00581F29" w:rsidRPr="002A2BCF">
              <w:t xml:space="preserve"> </w:t>
            </w:r>
            <w:r w:rsidR="00581F29">
              <w:br/>
            </w:r>
            <w:hyperlink w:anchor="_Outcome_2_–" w:history="1">
              <w:r w:rsidR="00581F29" w:rsidRPr="00581F29">
                <w:rPr>
                  <w:rStyle w:val="Hyperlink"/>
                </w:rPr>
                <w:t>Outcome 2</w:t>
              </w:r>
            </w:hyperlink>
            <w:r w:rsidR="00581F29" w:rsidRPr="002A2BCF">
              <w:t xml:space="preserve"> </w:t>
            </w:r>
            <w:r w:rsidR="00581F29">
              <w:br/>
            </w:r>
            <w:hyperlink w:anchor="_Outcome_3_–" w:history="1">
              <w:r w:rsidR="00581F29" w:rsidRPr="00581F29">
                <w:rPr>
                  <w:rStyle w:val="Hyperlink"/>
                </w:rPr>
                <w:t>Outcome 3</w:t>
              </w:r>
            </w:hyperlink>
            <w:r w:rsidR="00581F29" w:rsidRPr="002A2BCF">
              <w:t xml:space="preserve"> </w:t>
            </w:r>
            <w:r w:rsidR="00581F29">
              <w:br/>
            </w:r>
            <w:hyperlink w:anchor="_Outcome_4_–" w:history="1">
              <w:r w:rsidR="00581F29" w:rsidRPr="00581F29">
                <w:rPr>
                  <w:rStyle w:val="Hyperlink"/>
                </w:rPr>
                <w:t>Outcome 4</w:t>
              </w:r>
            </w:hyperlink>
          </w:p>
        </w:tc>
      </w:tr>
    </w:tbl>
    <w:p w14:paraId="6A6C15D7" w14:textId="73F62699" w:rsidR="002A2BCF" w:rsidRPr="00CF6322" w:rsidRDefault="002A2BCF" w:rsidP="00A00981">
      <w:pPr>
        <w:pStyle w:val="BodyText"/>
      </w:pPr>
    </w:p>
    <w:sectPr w:rsidR="002A2BCF" w:rsidRPr="00CF6322" w:rsidSect="00DD2F20">
      <w:pgSz w:w="11910" w:h="16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2A1D1" w14:textId="77777777" w:rsidR="001004D3" w:rsidRDefault="001004D3">
      <w:r>
        <w:separator/>
      </w:r>
    </w:p>
  </w:endnote>
  <w:endnote w:type="continuationSeparator" w:id="0">
    <w:p w14:paraId="1DF650D8" w14:textId="77777777" w:rsidR="001004D3" w:rsidRDefault="00100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ora">
    <w:altName w:val="Calibri"/>
    <w:charset w:val="4D"/>
    <w:family w:val="auto"/>
    <w:pitch w:val="variable"/>
    <w:sig w:usb0="20000207" w:usb1="00000000"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NeueLTStd-Lt">
    <w:altName w:val="Arial"/>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auto"/>
    <w:pitch w:val="variable"/>
    <w:sig w:usb0="E00002FF" w:usb1="5000785B" w:usb2="00000000" w:usb3="00000000" w:csb0="0000019F" w:csb1="00000000"/>
  </w:font>
  <w:font w:name="HelveticaNeueLTStd-Md">
    <w:altName w:val="Arial"/>
    <w:panose1 w:val="00000000000000000000"/>
    <w:charset w:val="00"/>
    <w:family w:val="swiss"/>
    <w:notTrueType/>
    <w:pitch w:val="variable"/>
    <w:sig w:usb0="800000AF" w:usb1="4000204A" w:usb2="00000000" w:usb3="00000000" w:csb0="00000001" w:csb1="00000000"/>
  </w:font>
  <w:font w:name="Roc Grotesk">
    <w:altName w:val="Calibri"/>
    <w:panose1 w:val="00000000000000000000"/>
    <w:charset w:val="4D"/>
    <w:family w:val="auto"/>
    <w:notTrueType/>
    <w:pitch w:val="variable"/>
    <w:sig w:usb0="00000007" w:usb1="00000000" w:usb2="00000000" w:usb3="00000000" w:csb0="00000093"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 Light">
    <w:altName w:val="Malgun Gothic"/>
    <w:charset w:val="00"/>
    <w:family w:val="swiss"/>
    <w:pitch w:val="variable"/>
    <w:sig w:usb0="800000AF" w:usb1="4000204A" w:usb2="00000000" w:usb3="00000000" w:csb0="00000001" w:csb1="00000000"/>
  </w:font>
  <w:font w:name="HelveticaNeueLTStd-Roman">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MinionPro-Regular">
    <w:altName w:val="Calibri"/>
    <w:charset w:val="4D"/>
    <w:family w:val="auto"/>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E8192" w14:textId="0B29E99A" w:rsidR="001004D3" w:rsidRPr="002F2887" w:rsidRDefault="001004D3" w:rsidP="002F288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E81A4" w14:textId="17DC0DDC" w:rsidR="001004D3" w:rsidRDefault="001004D3" w:rsidP="001D1CF9">
    <w:pPr>
      <w:pStyle w:val="BodyTex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E81B2" w14:textId="32E063BB" w:rsidR="001004D3" w:rsidRDefault="001004D3" w:rsidP="001D1CF9">
    <w:pPr>
      <w:pStyle w:val="BodyTex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E81B8" w14:textId="0CA91AA5" w:rsidR="001004D3" w:rsidRDefault="001004D3" w:rsidP="001D1CF9">
    <w:pPr>
      <w:pStyle w:val="BodyTex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E81BC" w14:textId="77777777" w:rsidR="001004D3" w:rsidRDefault="001004D3" w:rsidP="001D1CF9">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C3567" w14:textId="77777777" w:rsidR="001004D3" w:rsidRDefault="001004D3">
      <w:r>
        <w:separator/>
      </w:r>
    </w:p>
  </w:footnote>
  <w:footnote w:type="continuationSeparator" w:id="0">
    <w:p w14:paraId="5DA182C1" w14:textId="77777777" w:rsidR="001004D3" w:rsidRDefault="001004D3">
      <w:r>
        <w:continuationSeparator/>
      </w:r>
    </w:p>
  </w:footnote>
  <w:footnote w:id="1">
    <w:p w14:paraId="2035EAF5" w14:textId="563F131D" w:rsidR="001004D3" w:rsidRPr="00B13845" w:rsidRDefault="001004D3" w:rsidP="001D1CF9">
      <w:pPr>
        <w:pStyle w:val="Footnotes"/>
      </w:pPr>
      <w:r>
        <w:rPr>
          <w:rStyle w:val="FootnoteReference"/>
        </w:rPr>
        <w:footnoteRef/>
      </w:r>
      <w:r>
        <w:t xml:space="preserve"> </w:t>
      </w:r>
      <w:r w:rsidRPr="00CF6322">
        <w:t xml:space="preserve">Including the APS Employment Principles and the APS Code of Conduct contained in the </w:t>
      </w:r>
      <w:r w:rsidRPr="003061EA">
        <w:rPr>
          <w:i/>
          <w:iCs/>
        </w:rPr>
        <w:t>Public Service Act 1999</w:t>
      </w:r>
      <w:r w:rsidRPr="00CF6322">
        <w:t>.</w:t>
      </w:r>
    </w:p>
  </w:footnote>
  <w:footnote w:id="2">
    <w:p w14:paraId="01D0EC9F" w14:textId="45A8948D" w:rsidR="001004D3" w:rsidRPr="00810E5E" w:rsidRDefault="001004D3" w:rsidP="001D1CF9">
      <w:pPr>
        <w:pStyle w:val="Footnotes"/>
        <w:rPr>
          <w:lang w:val="en-AU"/>
        </w:rPr>
      </w:pPr>
      <w:r>
        <w:rPr>
          <w:rStyle w:val="FootnoteReference"/>
        </w:rPr>
        <w:footnoteRef/>
      </w:r>
      <w:r>
        <w:t xml:space="preserve"> </w:t>
      </w:r>
      <w:r w:rsidRPr="00CF6322">
        <w:t xml:space="preserve">Health portfolio: </w:t>
      </w:r>
      <w:r w:rsidRPr="003061EA">
        <w:t>Budget Paper No.1 2021–22</w:t>
      </w:r>
      <w:r w:rsidRPr="00CF6322">
        <w:t>.</w:t>
      </w:r>
    </w:p>
  </w:footnote>
  <w:footnote w:id="3">
    <w:p w14:paraId="11410E4C" w14:textId="6B935164" w:rsidR="001004D3" w:rsidRPr="00041BDA" w:rsidRDefault="001004D3" w:rsidP="001D1CF9">
      <w:pPr>
        <w:pStyle w:val="Footnotes"/>
        <w:rPr>
          <w:lang w:val="en-AU"/>
        </w:rPr>
      </w:pPr>
      <w:r>
        <w:rPr>
          <w:rStyle w:val="FootnoteReference"/>
        </w:rPr>
        <w:footnoteRef/>
      </w:r>
      <w:r>
        <w:t xml:space="preserve"> </w:t>
      </w:r>
      <w:r w:rsidRPr="00CF6322">
        <w:t xml:space="preserve">Source: </w:t>
      </w:r>
      <w:r w:rsidRPr="006E10D0">
        <w:rPr>
          <w:i/>
        </w:rPr>
        <w:t xml:space="preserve">2021–22 Health Portfolio Budget Statements </w:t>
      </w:r>
      <w:r w:rsidRPr="00CF6322">
        <w:t>p.68.</w:t>
      </w:r>
    </w:p>
  </w:footnote>
  <w:footnote w:id="4">
    <w:p w14:paraId="6F4F9163" w14:textId="548C4C82" w:rsidR="001004D3" w:rsidRPr="00041BDA" w:rsidRDefault="001004D3" w:rsidP="001D1CF9">
      <w:pPr>
        <w:pStyle w:val="Footnotes"/>
        <w:rPr>
          <w:lang w:val="en-AU"/>
        </w:rPr>
      </w:pPr>
      <w:r>
        <w:rPr>
          <w:rStyle w:val="FootnoteReference"/>
        </w:rPr>
        <w:footnoteRef/>
      </w:r>
      <w:r>
        <w:t xml:space="preserve"> </w:t>
      </w:r>
      <w:r w:rsidRPr="00CF6322">
        <w:t xml:space="preserve">Available at: </w:t>
      </w:r>
      <w:hyperlink r:id="rId1">
        <w:r w:rsidRPr="00CF6322">
          <w:rPr>
            <w:rStyle w:val="Hyperlink"/>
          </w:rPr>
          <w:t>www.health.gov.au/about-us/corporate-reporting/annual-reports</w:t>
        </w:r>
      </w:hyperlink>
    </w:p>
  </w:footnote>
  <w:footnote w:id="5">
    <w:p w14:paraId="4D3F2DB4" w14:textId="72ED63C7" w:rsidR="001004D3" w:rsidRPr="00041BDA" w:rsidRDefault="001004D3" w:rsidP="001D1CF9">
      <w:pPr>
        <w:pStyle w:val="Footnotes"/>
      </w:pPr>
      <w:r>
        <w:rPr>
          <w:rStyle w:val="FootnoteReference"/>
        </w:rPr>
        <w:footnoteRef/>
      </w:r>
      <w:r>
        <w:t xml:space="preserve"> </w:t>
      </w:r>
      <w:r w:rsidRPr="00CF6322">
        <w:t xml:space="preserve">Source: </w:t>
      </w:r>
      <w:r w:rsidRPr="006E10D0">
        <w:rPr>
          <w:i/>
        </w:rPr>
        <w:t xml:space="preserve">2021–22 Health Portfolio Budget Statements </w:t>
      </w:r>
      <w:r w:rsidRPr="00CF6322">
        <w:t>p.68.</w:t>
      </w:r>
    </w:p>
  </w:footnote>
  <w:footnote w:id="6">
    <w:p w14:paraId="640BC6F6" w14:textId="0397D5B0" w:rsidR="001004D3" w:rsidRPr="00041BDA" w:rsidRDefault="001004D3" w:rsidP="001D1CF9">
      <w:pPr>
        <w:pStyle w:val="Footnotes"/>
      </w:pPr>
      <w:r>
        <w:rPr>
          <w:rStyle w:val="FootnoteReference"/>
        </w:rPr>
        <w:footnoteRef/>
      </w:r>
      <w:r>
        <w:t xml:space="preserve"> </w:t>
      </w:r>
      <w:r w:rsidRPr="00CF6322">
        <w:t xml:space="preserve">Available at: </w:t>
      </w:r>
      <w:hyperlink r:id="rId2">
        <w:r w:rsidRPr="00CF6322">
          <w:rPr>
            <w:rStyle w:val="Hyperlink"/>
          </w:rPr>
          <w:t>www.pc.gov.au/research/ongoing/report-on-government-services/2020/health/public-hospitals</w:t>
        </w:r>
      </w:hyperlink>
    </w:p>
  </w:footnote>
  <w:footnote w:id="7">
    <w:p w14:paraId="6DCA0283" w14:textId="1DFF9FFF" w:rsidR="001004D3" w:rsidRPr="00E776A7" w:rsidRDefault="001004D3" w:rsidP="001D1CF9">
      <w:pPr>
        <w:pStyle w:val="Footnotes"/>
        <w:rPr>
          <w:lang w:val="en-AU"/>
        </w:rPr>
      </w:pPr>
      <w:r>
        <w:rPr>
          <w:rStyle w:val="FootnoteReference"/>
        </w:rPr>
        <w:footnoteRef/>
      </w:r>
      <w:r>
        <w:t xml:space="preserve"> </w:t>
      </w:r>
      <w:r w:rsidRPr="00CF6322">
        <w:t xml:space="preserve">Source: </w:t>
      </w:r>
      <w:r w:rsidRPr="006E10D0">
        <w:rPr>
          <w:i/>
        </w:rPr>
        <w:t xml:space="preserve">2021–22 Health Portfolio Budget Statements </w:t>
      </w:r>
      <w:r w:rsidRPr="00CF6322">
        <w:t>p.71.</w:t>
      </w:r>
    </w:p>
  </w:footnote>
  <w:footnote w:id="8">
    <w:p w14:paraId="4125376D" w14:textId="357191B8" w:rsidR="001004D3" w:rsidRPr="00E776A7" w:rsidRDefault="001004D3" w:rsidP="001D1CF9">
      <w:pPr>
        <w:pStyle w:val="Footnotes"/>
      </w:pPr>
      <w:r>
        <w:rPr>
          <w:rStyle w:val="FootnoteReference"/>
        </w:rPr>
        <w:footnoteRef/>
      </w:r>
      <w:r>
        <w:t xml:space="preserve"> </w:t>
      </w:r>
      <w:r w:rsidRPr="00CF6322">
        <w:t xml:space="preserve">Will be available at: </w:t>
      </w:r>
      <w:hyperlink r:id="rId3">
        <w:r w:rsidRPr="00CF6322">
          <w:rPr>
            <w:rStyle w:val="Hyperlink"/>
          </w:rPr>
          <w:t>www.federalfinancialrelations.gov.au/content/national_agreements.aspx</w:t>
        </w:r>
      </w:hyperlink>
    </w:p>
  </w:footnote>
  <w:footnote w:id="9">
    <w:p w14:paraId="49EDF4A7" w14:textId="60F0194E" w:rsidR="001004D3" w:rsidRPr="00E776A7" w:rsidRDefault="001004D3" w:rsidP="001D1CF9">
      <w:pPr>
        <w:pStyle w:val="Footnotes"/>
      </w:pPr>
      <w:r>
        <w:rPr>
          <w:rStyle w:val="FootnoteReference"/>
        </w:rPr>
        <w:footnoteRef/>
      </w:r>
      <w:r>
        <w:t xml:space="preserve"> </w:t>
      </w:r>
      <w:r w:rsidRPr="00CF6322">
        <w:t xml:space="preserve">Will be available at: </w:t>
      </w:r>
      <w:hyperlink r:id="rId4">
        <w:r w:rsidRPr="00CF6322">
          <w:rPr>
            <w:rStyle w:val="Hyperlink"/>
          </w:rPr>
          <w:t>www.health.gov.au/resources/collections/national-mental-health-workforce-strategy</w:t>
        </w:r>
      </w:hyperlink>
    </w:p>
  </w:footnote>
  <w:footnote w:id="10">
    <w:p w14:paraId="664B7274" w14:textId="3260D6B4" w:rsidR="001004D3" w:rsidRPr="00087BEB" w:rsidRDefault="001004D3" w:rsidP="001D1CF9">
      <w:pPr>
        <w:pStyle w:val="Footnotes"/>
      </w:pPr>
      <w:r>
        <w:rPr>
          <w:rStyle w:val="FootnoteReference"/>
        </w:rPr>
        <w:footnoteRef/>
      </w:r>
      <w:r>
        <w:t xml:space="preserve"> </w:t>
      </w:r>
      <w:r w:rsidRPr="00CF6322">
        <w:t xml:space="preserve">Source: </w:t>
      </w:r>
      <w:r w:rsidRPr="006E10D0">
        <w:rPr>
          <w:i/>
        </w:rPr>
        <w:t xml:space="preserve">2021–22 Health Portfolio Budget Statements </w:t>
      </w:r>
      <w:r w:rsidRPr="00CF6322">
        <w:t>p.72</w:t>
      </w:r>
      <w:r>
        <w:t>.</w:t>
      </w:r>
    </w:p>
  </w:footnote>
  <w:footnote w:id="11">
    <w:p w14:paraId="1100D88C" w14:textId="38A0FF19" w:rsidR="001004D3" w:rsidRPr="00087BEB" w:rsidRDefault="001004D3" w:rsidP="001D1CF9">
      <w:pPr>
        <w:pStyle w:val="Footnotes"/>
      </w:pPr>
      <w:r>
        <w:rPr>
          <w:rStyle w:val="FootnoteReference"/>
        </w:rPr>
        <w:footnoteRef/>
      </w:r>
      <w:r>
        <w:t xml:space="preserve"> </w:t>
      </w:r>
      <w:r w:rsidRPr="00CF6322">
        <w:t xml:space="preserve">Available at: </w:t>
      </w:r>
      <w:hyperlink r:id="rId5">
        <w:r w:rsidRPr="00CF6322">
          <w:rPr>
            <w:rStyle w:val="Hyperlink"/>
          </w:rPr>
          <w:t>www.health.gov.au/resources/publications/national-aboriginal-and-torres-strait-islander-health-plan-2013-2023</w:t>
        </w:r>
      </w:hyperlink>
    </w:p>
  </w:footnote>
  <w:footnote w:id="12">
    <w:p w14:paraId="52572C8D" w14:textId="30F1B7CB" w:rsidR="001004D3" w:rsidRPr="00087BEB" w:rsidRDefault="001004D3" w:rsidP="001D1CF9">
      <w:pPr>
        <w:pStyle w:val="Footnotes"/>
      </w:pPr>
      <w:r>
        <w:rPr>
          <w:rStyle w:val="FootnoteReference"/>
        </w:rPr>
        <w:footnoteRef/>
      </w:r>
      <w:r>
        <w:t xml:space="preserve"> </w:t>
      </w:r>
      <w:r w:rsidRPr="00CF6322">
        <w:t xml:space="preserve">Source: </w:t>
      </w:r>
      <w:r w:rsidRPr="006E10D0">
        <w:rPr>
          <w:i/>
        </w:rPr>
        <w:t xml:space="preserve">2021–22 Health Portfolio Budget Statements </w:t>
      </w:r>
      <w:r w:rsidRPr="00CF6322">
        <w:t>p.73.</w:t>
      </w:r>
    </w:p>
  </w:footnote>
  <w:footnote w:id="13">
    <w:p w14:paraId="2E2B4928" w14:textId="08A6D214" w:rsidR="001004D3" w:rsidRPr="00087BEB" w:rsidRDefault="001004D3" w:rsidP="001D1CF9">
      <w:pPr>
        <w:pStyle w:val="Footnotes"/>
      </w:pPr>
      <w:r>
        <w:rPr>
          <w:rStyle w:val="FootnoteReference"/>
        </w:rPr>
        <w:footnoteRef/>
      </w:r>
      <w:r>
        <w:t xml:space="preserve"> </w:t>
      </w:r>
      <w:r w:rsidRPr="00CF6322">
        <w:t xml:space="preserve">Available at: </w:t>
      </w:r>
      <w:hyperlink r:id="rId6">
        <w:r w:rsidRPr="00CF6322">
          <w:rPr>
            <w:rStyle w:val="Hyperlink"/>
          </w:rPr>
          <w:t>www.aihw.gov.au/about-our-data/our-data-collections/national-perinatal-data-collection</w:t>
        </w:r>
      </w:hyperlink>
    </w:p>
  </w:footnote>
  <w:footnote w:id="14">
    <w:p w14:paraId="6F1F9E76" w14:textId="71168AB2" w:rsidR="001004D3" w:rsidRPr="008A6742" w:rsidRDefault="001004D3" w:rsidP="001D1CF9">
      <w:pPr>
        <w:pStyle w:val="Footnotes"/>
      </w:pPr>
      <w:r w:rsidRPr="008A6742">
        <w:rPr>
          <w:rStyle w:val="FootnoteReference"/>
          <w:vertAlign w:val="baseline"/>
        </w:rPr>
        <w:footnoteRef/>
      </w:r>
      <w:r w:rsidRPr="008A6742">
        <w:t xml:space="preserve"> Source: </w:t>
      </w:r>
      <w:r w:rsidRPr="006E10D0">
        <w:rPr>
          <w:i/>
        </w:rPr>
        <w:t xml:space="preserve">2021–22 Health Portfolio Budget Statements </w:t>
      </w:r>
      <w:r w:rsidRPr="008A6742">
        <w:t>p.75.</w:t>
      </w:r>
    </w:p>
  </w:footnote>
  <w:footnote w:id="15">
    <w:p w14:paraId="39BB7028" w14:textId="5D435BA1" w:rsidR="001004D3" w:rsidRPr="008A6742" w:rsidRDefault="001004D3" w:rsidP="001D1CF9">
      <w:pPr>
        <w:pStyle w:val="Footnotes"/>
      </w:pPr>
      <w:r w:rsidRPr="008A6742">
        <w:rPr>
          <w:rStyle w:val="FootnoteReference"/>
          <w:vertAlign w:val="baseline"/>
        </w:rPr>
        <w:footnoteRef/>
      </w:r>
      <w:r w:rsidRPr="008A6742">
        <w:t xml:space="preserve"> Geography: Cities (MM1) and rural (MM2-7) based on Modified Monash Model 2019.</w:t>
      </w:r>
    </w:p>
  </w:footnote>
  <w:footnote w:id="16">
    <w:p w14:paraId="1206F065" w14:textId="1412C73C" w:rsidR="001004D3" w:rsidRPr="008A6742" w:rsidRDefault="001004D3" w:rsidP="001D1CF9">
      <w:pPr>
        <w:pStyle w:val="Footnotes"/>
      </w:pPr>
      <w:r w:rsidRPr="008A6742">
        <w:rPr>
          <w:rStyle w:val="FootnoteReference"/>
          <w:vertAlign w:val="baseline"/>
        </w:rPr>
        <w:footnoteRef/>
      </w:r>
      <w:r w:rsidRPr="008A6742">
        <w:t xml:space="preserve"> Available at: </w:t>
      </w:r>
      <w:hyperlink r:id="rId7" w:history="1">
        <w:r w:rsidRPr="00B1625C">
          <w:rPr>
            <w:rStyle w:val="Hyperlink"/>
          </w:rPr>
          <w:t>www1.health.gov.au/internet/main/publishing.nsf/Content/Medicare+Statistics-1</w:t>
        </w:r>
      </w:hyperlink>
    </w:p>
  </w:footnote>
  <w:footnote w:id="17">
    <w:p w14:paraId="3B201544" w14:textId="5519FF1F" w:rsidR="001004D3" w:rsidRPr="008A6742" w:rsidRDefault="001004D3" w:rsidP="001D1CF9">
      <w:pPr>
        <w:pStyle w:val="Footnotes"/>
      </w:pPr>
      <w:r w:rsidRPr="008A6742">
        <w:rPr>
          <w:rStyle w:val="FootnoteReference"/>
          <w:vertAlign w:val="baseline"/>
        </w:rPr>
        <w:footnoteRef/>
      </w:r>
      <w:r w:rsidRPr="008A6742">
        <w:t xml:space="preserve"> Available at: </w:t>
      </w:r>
      <w:hyperlink r:id="rId8" w:history="1">
        <w:r w:rsidRPr="00B1625C">
          <w:rPr>
            <w:rStyle w:val="Hyperlink"/>
          </w:rPr>
          <w:t>hwd.health.gov.au/resources/information/nhwds.html</w:t>
        </w:r>
      </w:hyperlink>
    </w:p>
  </w:footnote>
  <w:footnote w:id="18">
    <w:p w14:paraId="1D0992B1" w14:textId="66BEF71E" w:rsidR="001004D3" w:rsidRPr="006E10D0" w:rsidRDefault="001004D3" w:rsidP="006E10D0">
      <w:pPr>
        <w:pStyle w:val="Footnotes"/>
      </w:pPr>
      <w:r>
        <w:rPr>
          <w:rStyle w:val="FootnoteReference"/>
        </w:rPr>
        <w:footnoteRef/>
      </w:r>
      <w:r>
        <w:t xml:space="preserve"> </w:t>
      </w:r>
      <w:r w:rsidRPr="00603167">
        <w:t xml:space="preserve">Source: </w:t>
      </w:r>
      <w:r w:rsidRPr="006E10D0">
        <w:rPr>
          <w:i/>
        </w:rPr>
        <w:t xml:space="preserve">2021–22 Health Portfolio Budget Statements </w:t>
      </w:r>
      <w:r w:rsidRPr="00603167">
        <w:t>p.77.</w:t>
      </w:r>
    </w:p>
  </w:footnote>
  <w:footnote w:id="19">
    <w:p w14:paraId="7A238523" w14:textId="3DEEEE6D" w:rsidR="001004D3" w:rsidRPr="00603167" w:rsidRDefault="001004D3" w:rsidP="001D1CF9">
      <w:pPr>
        <w:pStyle w:val="Footnotes"/>
      </w:pPr>
      <w:r w:rsidRPr="00603167">
        <w:rPr>
          <w:rStyle w:val="FootnoteReference"/>
          <w:vertAlign w:val="baseline"/>
        </w:rPr>
        <w:footnoteRef/>
      </w:r>
      <w:r w:rsidRPr="00603167">
        <w:t xml:space="preserve"> Available at: </w:t>
      </w:r>
      <w:hyperlink r:id="rId9">
        <w:r w:rsidRPr="00603167">
          <w:t>www.abs.gov.au/statistics/health/health-conditions-and-risks/national-health-survey-first-results/latest-release</w:t>
        </w:r>
      </w:hyperlink>
    </w:p>
  </w:footnote>
  <w:footnote w:id="20">
    <w:p w14:paraId="39528498" w14:textId="0472A9F6" w:rsidR="001004D3" w:rsidRPr="00603167" w:rsidRDefault="001004D3" w:rsidP="001D1CF9">
      <w:pPr>
        <w:pStyle w:val="Footnotes"/>
      </w:pPr>
      <w:r w:rsidRPr="00603167">
        <w:rPr>
          <w:rStyle w:val="FootnoteReference"/>
          <w:vertAlign w:val="baseline"/>
        </w:rPr>
        <w:footnoteRef/>
      </w:r>
      <w:r w:rsidRPr="00603167">
        <w:t xml:space="preserve"> Available at: </w:t>
      </w:r>
      <w:hyperlink r:id="rId10">
        <w:r w:rsidRPr="00603167">
          <w:t>www.aihw.gov.au/about-our-data/our-data-collections/national-drug-strategy-household-survey/2019-ndshs</w:t>
        </w:r>
      </w:hyperlink>
    </w:p>
  </w:footnote>
  <w:footnote w:id="21">
    <w:p w14:paraId="1C29D36E" w14:textId="4FD615EC" w:rsidR="001004D3" w:rsidRPr="00603167" w:rsidRDefault="001004D3" w:rsidP="001D1CF9">
      <w:pPr>
        <w:pStyle w:val="Footnotes"/>
      </w:pPr>
      <w:r w:rsidRPr="00603167">
        <w:rPr>
          <w:rStyle w:val="FootnoteReference"/>
          <w:vertAlign w:val="baseline"/>
        </w:rPr>
        <w:footnoteRef/>
      </w:r>
      <w:r w:rsidRPr="00603167">
        <w:t xml:space="preserve"> Available at: </w:t>
      </w:r>
      <w:hyperlink r:id="rId11">
        <w:r w:rsidRPr="00603167">
          <w:t>www.aihw.gov.au/reports/alcohol/measuring-risky-drinking-aus-alcohol-guidelines/contents/measuring-risky-drinking</w:t>
        </w:r>
      </w:hyperlink>
    </w:p>
  </w:footnote>
  <w:footnote w:id="22">
    <w:p w14:paraId="295820BD" w14:textId="3A8D0A6F" w:rsidR="001004D3" w:rsidRPr="00603167" w:rsidRDefault="001004D3" w:rsidP="001D1CF9">
      <w:pPr>
        <w:pStyle w:val="Footnotes"/>
      </w:pPr>
      <w:r w:rsidRPr="00603167">
        <w:rPr>
          <w:rStyle w:val="FootnoteReference"/>
          <w:vertAlign w:val="baseline"/>
        </w:rPr>
        <w:footnoteRef/>
      </w:r>
      <w:r w:rsidRPr="00603167">
        <w:t xml:space="preserve"> Available at: </w:t>
      </w:r>
      <w:hyperlink r:id="rId12">
        <w:r w:rsidRPr="00603167">
          <w:t>www.aihw.gov.au/about-our-data/our-data-collections/national-drug-strategy-household-survey/2019-ndshs</w:t>
        </w:r>
      </w:hyperlink>
    </w:p>
  </w:footnote>
  <w:footnote w:id="23">
    <w:p w14:paraId="311C6761" w14:textId="2A0FC889" w:rsidR="001004D3" w:rsidRPr="00603167" w:rsidRDefault="001004D3" w:rsidP="001D1CF9">
      <w:pPr>
        <w:pStyle w:val="Footnotes"/>
        <w:rPr>
          <w:lang w:val="en-AU"/>
        </w:rPr>
      </w:pPr>
      <w:r w:rsidRPr="00603167">
        <w:rPr>
          <w:rStyle w:val="FootnoteReference"/>
          <w:vertAlign w:val="baseline"/>
        </w:rPr>
        <w:footnoteRef/>
      </w:r>
      <w:r w:rsidRPr="00603167">
        <w:t xml:space="preserve"> Available at: </w:t>
      </w:r>
      <w:hyperlink r:id="rId13">
        <w:r w:rsidRPr="00603167">
          <w:t>www.aihw.gov.au/reports-data/health-welfare-services/cancer-screening/reports</w:t>
        </w:r>
      </w:hyperlink>
    </w:p>
  </w:footnote>
  <w:footnote w:id="24">
    <w:p w14:paraId="3ECEF0EA" w14:textId="1976B318" w:rsidR="001004D3" w:rsidRPr="00E84419" w:rsidRDefault="001004D3" w:rsidP="001D1CF9">
      <w:pPr>
        <w:pStyle w:val="Footnotes"/>
        <w:rPr>
          <w:lang w:val="en-AU"/>
        </w:rPr>
      </w:pPr>
      <w:r>
        <w:rPr>
          <w:rStyle w:val="FootnoteReference"/>
        </w:rPr>
        <w:footnoteRef/>
      </w:r>
      <w:r>
        <w:t xml:space="preserve"> </w:t>
      </w:r>
      <w:r w:rsidRPr="00CF6322">
        <w:t xml:space="preserve">Source: </w:t>
      </w:r>
      <w:r w:rsidRPr="006E10D0">
        <w:rPr>
          <w:i/>
        </w:rPr>
        <w:t xml:space="preserve">2021–22 Health Portfolio Budget Statements </w:t>
      </w:r>
      <w:r w:rsidRPr="00CF6322">
        <w:t>p.78</w:t>
      </w:r>
      <w:r>
        <w:t>.</w:t>
      </w:r>
    </w:p>
  </w:footnote>
  <w:footnote w:id="25">
    <w:p w14:paraId="05ADBF6B" w14:textId="77777777" w:rsidR="001004D3" w:rsidRPr="005C3FDA" w:rsidRDefault="001004D3" w:rsidP="001D1CF9">
      <w:pPr>
        <w:pStyle w:val="Footnotes"/>
      </w:pPr>
      <w:r>
        <w:rPr>
          <w:rStyle w:val="FootnoteReference"/>
        </w:rPr>
        <w:footnoteRef/>
      </w:r>
      <w:r>
        <w:t xml:space="preserve"> </w:t>
      </w:r>
      <w:r w:rsidRPr="00CF6322">
        <w:t xml:space="preserve">Available at: </w:t>
      </w:r>
      <w:hyperlink r:id="rId14">
        <w:r w:rsidRPr="005C3FDA">
          <w:rPr>
            <w:rStyle w:val="Hyperlink"/>
          </w:rPr>
          <w:t>www.aihw.gov.au/reports/primary-health-care/disparities-in-potentially-preventable-hospitalisations-exploring-the-data/contents/exploring-the-potentially-</w:t>
        </w:r>
      </w:hyperlink>
      <w:r w:rsidRPr="005C3FDA">
        <w:t xml:space="preserve"> preventable-</w:t>
      </w:r>
      <w:proofErr w:type="spellStart"/>
      <w:r w:rsidRPr="005C3FDA">
        <w:t>hospitalisations</w:t>
      </w:r>
      <w:proofErr w:type="spellEnd"/>
      <w:r w:rsidRPr="005C3FDA">
        <w:t>-data</w:t>
      </w:r>
    </w:p>
    <w:p w14:paraId="6EC82578" w14:textId="75951202" w:rsidR="001004D3" w:rsidRPr="00E84419" w:rsidRDefault="001004D3">
      <w:pPr>
        <w:pStyle w:val="FootnoteText"/>
        <w:rPr>
          <w:lang w:val="en-AU"/>
        </w:rPr>
      </w:pPr>
    </w:p>
  </w:footnote>
  <w:footnote w:id="26">
    <w:p w14:paraId="67F49DAA" w14:textId="404F7F46" w:rsidR="001004D3" w:rsidRPr="005C3FDA" w:rsidRDefault="001004D3" w:rsidP="001D1CF9">
      <w:pPr>
        <w:pStyle w:val="Footnotes"/>
      </w:pPr>
      <w:r>
        <w:rPr>
          <w:rStyle w:val="FootnoteReference"/>
        </w:rPr>
        <w:footnoteRef/>
      </w:r>
      <w:r>
        <w:t xml:space="preserve"> </w:t>
      </w:r>
      <w:r w:rsidRPr="00CF6322">
        <w:t xml:space="preserve">Source: </w:t>
      </w:r>
      <w:r w:rsidRPr="006E10D0">
        <w:rPr>
          <w:i/>
        </w:rPr>
        <w:t xml:space="preserve">2021–22 Health Portfolio Budget Statements </w:t>
      </w:r>
      <w:r w:rsidRPr="00CF6322">
        <w:t>p.79</w:t>
      </w:r>
    </w:p>
  </w:footnote>
  <w:footnote w:id="27">
    <w:p w14:paraId="604ACC28" w14:textId="17DBCBD0" w:rsidR="001004D3" w:rsidRPr="005C3FDA" w:rsidRDefault="001004D3" w:rsidP="001D1CF9">
      <w:pPr>
        <w:pStyle w:val="Footnotes"/>
      </w:pPr>
      <w:r w:rsidRPr="005C3FDA">
        <w:rPr>
          <w:rStyle w:val="FootnoteReference"/>
          <w:vertAlign w:val="baseline"/>
        </w:rPr>
        <w:footnoteRef/>
      </w:r>
      <w:r w:rsidRPr="005C3FDA">
        <w:t xml:space="preserve"> Source: </w:t>
      </w:r>
      <w:r w:rsidRPr="006E10D0">
        <w:rPr>
          <w:i/>
        </w:rPr>
        <w:t xml:space="preserve">2021–22 Health Portfolio Budget Statements </w:t>
      </w:r>
      <w:r w:rsidRPr="005C3FDA">
        <w:t>p.80.</w:t>
      </w:r>
    </w:p>
  </w:footnote>
  <w:footnote w:id="28">
    <w:p w14:paraId="4D081A61" w14:textId="65544CC7" w:rsidR="001004D3" w:rsidRPr="001B12B1" w:rsidRDefault="001004D3" w:rsidP="001D1CF9">
      <w:pPr>
        <w:pStyle w:val="Footnotes"/>
      </w:pPr>
      <w:r w:rsidRPr="005C3FDA">
        <w:rPr>
          <w:rStyle w:val="FootnoteReference"/>
          <w:vertAlign w:val="baseline"/>
        </w:rPr>
        <w:footnoteRef/>
      </w:r>
      <w:r w:rsidRPr="005C3FDA">
        <w:t xml:space="preserve"> Available at: www1.health.gov.au/internet/main/publishing.nsf</w:t>
      </w:r>
      <w:r w:rsidRPr="00CF6322">
        <w:t>/Content/medical-indemnity.htm</w:t>
      </w:r>
    </w:p>
  </w:footnote>
  <w:footnote w:id="29">
    <w:p w14:paraId="5448567C" w14:textId="771648DE" w:rsidR="001004D3" w:rsidRPr="001B12B1" w:rsidRDefault="001004D3" w:rsidP="001D1CF9">
      <w:pPr>
        <w:pStyle w:val="Footnotes"/>
        <w:rPr>
          <w:lang w:val="en-AU"/>
        </w:rPr>
      </w:pPr>
      <w:r>
        <w:rPr>
          <w:rStyle w:val="FootnoteReference"/>
        </w:rPr>
        <w:footnoteRef/>
      </w:r>
      <w:r>
        <w:t xml:space="preserve"> </w:t>
      </w:r>
      <w:r w:rsidRPr="00CF6322">
        <w:t xml:space="preserve">Available at: </w:t>
      </w:r>
      <w:hyperlink r:id="rId15">
        <w:r w:rsidRPr="00CF6322">
          <w:rPr>
            <w:rStyle w:val="Hyperlink"/>
          </w:rPr>
          <w:t>www.tga.gov.au/publication/health-products-regulation-group-regulatory-science-strategy-2020-2025</w:t>
        </w:r>
      </w:hyperlink>
    </w:p>
  </w:footnote>
  <w:footnote w:id="30">
    <w:p w14:paraId="2180FA67" w14:textId="2CF66416" w:rsidR="001004D3" w:rsidRPr="001B12B1" w:rsidRDefault="001004D3" w:rsidP="001D1CF9">
      <w:pPr>
        <w:pStyle w:val="Footnotes"/>
        <w:rPr>
          <w:lang w:val="en-AU"/>
        </w:rPr>
      </w:pPr>
      <w:r>
        <w:rPr>
          <w:rStyle w:val="FootnoteReference"/>
        </w:rPr>
        <w:footnoteRef/>
      </w:r>
      <w:r>
        <w:t xml:space="preserve"> </w:t>
      </w:r>
      <w:r w:rsidRPr="00CF6322">
        <w:t>Available at: www1.health.gov.au/internet/main/publishing.nsf/Content/gene-technology-review</w:t>
      </w:r>
    </w:p>
  </w:footnote>
  <w:footnote w:id="31">
    <w:p w14:paraId="484072A1" w14:textId="59C4AFD6" w:rsidR="001004D3" w:rsidRPr="009E48CE" w:rsidRDefault="001004D3" w:rsidP="001D1CF9">
      <w:pPr>
        <w:pStyle w:val="Footnotes"/>
      </w:pPr>
      <w:r>
        <w:rPr>
          <w:rStyle w:val="FootnoteReference"/>
        </w:rPr>
        <w:footnoteRef/>
      </w:r>
      <w:r>
        <w:t xml:space="preserve"> </w:t>
      </w:r>
      <w:r w:rsidRPr="00CF6322">
        <w:t xml:space="preserve">A One Health response </w:t>
      </w:r>
      <w:proofErr w:type="spellStart"/>
      <w:r w:rsidRPr="00CF6322">
        <w:t>recognises</w:t>
      </w:r>
      <w:proofErr w:type="spellEnd"/>
      <w:r w:rsidRPr="00CF6322">
        <w:t xml:space="preserve"> that human, animal, and ecosystem health are inextricably linked; and combatting resistance to antimicrobials requires action in all sectors where antimicrobials are used.</w:t>
      </w:r>
    </w:p>
  </w:footnote>
  <w:footnote w:id="32">
    <w:p w14:paraId="5F5285FA" w14:textId="1D41C2F2" w:rsidR="001004D3" w:rsidRPr="009E48CE" w:rsidRDefault="001004D3" w:rsidP="001D1CF9">
      <w:pPr>
        <w:pStyle w:val="Footnotes"/>
      </w:pPr>
      <w:r>
        <w:rPr>
          <w:rStyle w:val="FootnoteReference"/>
        </w:rPr>
        <w:footnoteRef/>
      </w:r>
      <w:r>
        <w:t xml:space="preserve"> </w:t>
      </w:r>
      <w:r w:rsidRPr="00CF6322">
        <w:t xml:space="preserve">Source: </w:t>
      </w:r>
      <w:r w:rsidRPr="006E10D0">
        <w:rPr>
          <w:i/>
        </w:rPr>
        <w:t xml:space="preserve">2021–22 Health Portfolio Budget Statements </w:t>
      </w:r>
      <w:r w:rsidRPr="00CF6322">
        <w:t>p.82.</w:t>
      </w:r>
    </w:p>
  </w:footnote>
  <w:footnote w:id="33">
    <w:p w14:paraId="5E9CC48F" w14:textId="1B837590" w:rsidR="001004D3" w:rsidRPr="009E48CE" w:rsidRDefault="001004D3" w:rsidP="001D1CF9">
      <w:pPr>
        <w:pStyle w:val="Footnotes"/>
      </w:pPr>
      <w:r>
        <w:rPr>
          <w:rStyle w:val="FootnoteReference"/>
        </w:rPr>
        <w:footnoteRef/>
      </w:r>
      <w:r>
        <w:t xml:space="preserve"> </w:t>
      </w:r>
      <w:r w:rsidRPr="00CF6322">
        <w:t xml:space="preserve">Version in force as at August 2021 is available at: </w:t>
      </w:r>
      <w:hyperlink r:id="rId16">
        <w:r w:rsidRPr="00CF6322">
          <w:rPr>
            <w:rStyle w:val="Hyperlink"/>
          </w:rPr>
          <w:t>www.legislation.gov.au/Details/F2021C00400</w:t>
        </w:r>
      </w:hyperlink>
    </w:p>
  </w:footnote>
  <w:footnote w:id="34">
    <w:p w14:paraId="74262357" w14:textId="4596B1F3" w:rsidR="001004D3" w:rsidRPr="009E48CE" w:rsidRDefault="001004D3" w:rsidP="001D1CF9">
      <w:pPr>
        <w:pStyle w:val="Footnotes"/>
        <w:rPr>
          <w:lang w:val="en-AU"/>
        </w:rPr>
      </w:pPr>
      <w:r>
        <w:rPr>
          <w:rStyle w:val="FootnoteReference"/>
        </w:rPr>
        <w:footnoteRef/>
      </w:r>
      <w:r>
        <w:t xml:space="preserve"> </w:t>
      </w:r>
      <w:r w:rsidRPr="00CF6322">
        <w:t xml:space="preserve">Source: </w:t>
      </w:r>
      <w:r w:rsidRPr="006E10D0">
        <w:rPr>
          <w:i/>
        </w:rPr>
        <w:t xml:space="preserve">2021–22 Health Portfolio Budget Statements </w:t>
      </w:r>
      <w:r w:rsidRPr="00CF6322">
        <w:t>p.82.</w:t>
      </w:r>
    </w:p>
  </w:footnote>
  <w:footnote w:id="35">
    <w:p w14:paraId="3CB920D2" w14:textId="1A56ED6D" w:rsidR="001004D3" w:rsidRPr="009E48CE" w:rsidRDefault="001004D3" w:rsidP="001D1CF9">
      <w:pPr>
        <w:pStyle w:val="Footnotes"/>
      </w:pPr>
      <w:r>
        <w:rPr>
          <w:rStyle w:val="FootnoteReference"/>
        </w:rPr>
        <w:footnoteRef/>
      </w:r>
      <w:r>
        <w:t xml:space="preserve"> </w:t>
      </w:r>
      <w:r w:rsidRPr="00CF6322">
        <w:t xml:space="preserve">Source: </w:t>
      </w:r>
      <w:r w:rsidRPr="006E10D0">
        <w:rPr>
          <w:i/>
        </w:rPr>
        <w:t xml:space="preserve">2021–22 Health Portfolio Budget Statements </w:t>
      </w:r>
      <w:r w:rsidRPr="00CF6322">
        <w:t>p.83.</w:t>
      </w:r>
    </w:p>
  </w:footnote>
  <w:footnote w:id="36">
    <w:p w14:paraId="5CFF211D" w14:textId="7D755BFD" w:rsidR="001004D3" w:rsidRPr="009E48CE" w:rsidRDefault="001004D3" w:rsidP="001D1CF9">
      <w:pPr>
        <w:pStyle w:val="Footnotes"/>
      </w:pPr>
      <w:r>
        <w:rPr>
          <w:rStyle w:val="FootnoteReference"/>
        </w:rPr>
        <w:footnoteRef/>
      </w:r>
      <w:r>
        <w:t xml:space="preserve"> </w:t>
      </w:r>
      <w:r w:rsidRPr="00CF6322">
        <w:t xml:space="preserve">Version in force as at August 2021 is available at: </w:t>
      </w:r>
      <w:hyperlink r:id="rId17">
        <w:r w:rsidRPr="00CF6322">
          <w:rPr>
            <w:rStyle w:val="Hyperlink"/>
          </w:rPr>
          <w:t>www.comlaw.gov.au/Current/C2004C04256</w:t>
        </w:r>
      </w:hyperlink>
    </w:p>
  </w:footnote>
  <w:footnote w:id="37">
    <w:p w14:paraId="4E465724" w14:textId="410B087B" w:rsidR="001004D3" w:rsidRPr="009E48CE" w:rsidRDefault="001004D3" w:rsidP="001D1CF9">
      <w:pPr>
        <w:pStyle w:val="Footnotes"/>
      </w:pPr>
      <w:r>
        <w:rPr>
          <w:rStyle w:val="FootnoteReference"/>
        </w:rPr>
        <w:footnoteRef/>
      </w:r>
      <w:r>
        <w:t xml:space="preserve"> </w:t>
      </w:r>
      <w:r w:rsidRPr="00CF6322">
        <w:t>To be available at: ogtr.gov.au/collections/quarterly-activities-reports</w:t>
      </w:r>
    </w:p>
  </w:footnote>
  <w:footnote w:id="38">
    <w:p w14:paraId="329034AB" w14:textId="73A6D75F" w:rsidR="001004D3" w:rsidRPr="009E48CE" w:rsidRDefault="001004D3" w:rsidP="001D1CF9">
      <w:pPr>
        <w:pStyle w:val="Footnotes"/>
      </w:pPr>
      <w:r>
        <w:rPr>
          <w:rStyle w:val="FootnoteReference"/>
        </w:rPr>
        <w:footnoteRef/>
      </w:r>
      <w:r>
        <w:t xml:space="preserve"> </w:t>
      </w:r>
      <w:r w:rsidRPr="00CF6322">
        <w:t>To be available at: ogtr.gov.au/collections/annual-reports</w:t>
      </w:r>
    </w:p>
  </w:footnote>
  <w:footnote w:id="39">
    <w:p w14:paraId="68BDA12F" w14:textId="4BC4F429" w:rsidR="001004D3" w:rsidRPr="009E48CE" w:rsidRDefault="001004D3" w:rsidP="001D1CF9">
      <w:pPr>
        <w:pStyle w:val="Footnotes"/>
        <w:rPr>
          <w:lang w:val="en-AU"/>
        </w:rPr>
      </w:pPr>
      <w:r>
        <w:rPr>
          <w:rStyle w:val="FootnoteReference"/>
        </w:rPr>
        <w:footnoteRef/>
      </w:r>
      <w:r>
        <w:t xml:space="preserve"> </w:t>
      </w:r>
      <w:r w:rsidRPr="00CF6322">
        <w:t xml:space="preserve">Source: </w:t>
      </w:r>
      <w:r w:rsidRPr="006E10D0">
        <w:rPr>
          <w:i/>
        </w:rPr>
        <w:t xml:space="preserve">2021–22 Health Portfolio Budget Statements </w:t>
      </w:r>
      <w:r w:rsidRPr="00CF6322">
        <w:t>p.83.</w:t>
      </w:r>
    </w:p>
  </w:footnote>
  <w:footnote w:id="40">
    <w:p w14:paraId="62565724" w14:textId="4A186B33" w:rsidR="001004D3" w:rsidRPr="005C3FDA" w:rsidRDefault="001004D3" w:rsidP="001D1CF9">
      <w:pPr>
        <w:pStyle w:val="Footnotes"/>
      </w:pPr>
      <w:r>
        <w:rPr>
          <w:rStyle w:val="FootnoteReference"/>
        </w:rPr>
        <w:footnoteRef/>
      </w:r>
      <w:r>
        <w:t xml:space="preserve"> </w:t>
      </w:r>
      <w:r w:rsidRPr="00CF6322">
        <w:t xml:space="preserve">Available at: </w:t>
      </w:r>
      <w:hyperlink r:id="rId18">
        <w:r w:rsidRPr="00CF6322">
          <w:rPr>
            <w:rStyle w:val="Hyperlink"/>
          </w:rPr>
          <w:t>www.industrialchemicals.gov.au</w:t>
        </w:r>
      </w:hyperlink>
    </w:p>
  </w:footnote>
  <w:footnote w:id="41">
    <w:p w14:paraId="4BF79D9C" w14:textId="3E3DFB6D" w:rsidR="001004D3" w:rsidRPr="005C3FDA" w:rsidRDefault="001004D3" w:rsidP="001D1CF9">
      <w:pPr>
        <w:pStyle w:val="Footnotes"/>
      </w:pPr>
      <w:r w:rsidRPr="005C3FDA">
        <w:rPr>
          <w:rStyle w:val="FootnoteReference"/>
          <w:vertAlign w:val="baseline"/>
        </w:rPr>
        <w:footnoteRef/>
      </w:r>
      <w:r w:rsidRPr="005C3FDA">
        <w:t xml:space="preserve"> Source: </w:t>
      </w:r>
      <w:r w:rsidRPr="006E10D0">
        <w:rPr>
          <w:i/>
        </w:rPr>
        <w:t xml:space="preserve">2021–22 Health Portfolio Budget Statements </w:t>
      </w:r>
      <w:r w:rsidRPr="005C3FDA">
        <w:t>p.83.</w:t>
      </w:r>
    </w:p>
  </w:footnote>
  <w:footnote w:id="42">
    <w:p w14:paraId="637D8BA5" w14:textId="267666FE" w:rsidR="001004D3" w:rsidRPr="009E48CE" w:rsidRDefault="001004D3" w:rsidP="001D1CF9">
      <w:pPr>
        <w:pStyle w:val="Footnotes"/>
      </w:pPr>
      <w:r w:rsidRPr="005C3FDA">
        <w:rPr>
          <w:rStyle w:val="FootnoteReference"/>
          <w:vertAlign w:val="baseline"/>
        </w:rPr>
        <w:footnoteRef/>
      </w:r>
      <w:r w:rsidRPr="005C3FDA">
        <w:t xml:space="preserve"> Available at: www1.health.gov.au/internet/main/publishing.nsf</w:t>
      </w:r>
      <w:r w:rsidRPr="00CF6322">
        <w:t>/Content/ohp-biosec-JEE.htm</w:t>
      </w:r>
    </w:p>
  </w:footnote>
  <w:footnote w:id="43">
    <w:p w14:paraId="050630F4" w14:textId="26530681" w:rsidR="001004D3" w:rsidRPr="001E128C" w:rsidRDefault="001004D3" w:rsidP="001D1CF9">
      <w:pPr>
        <w:pStyle w:val="Footnotes"/>
      </w:pPr>
      <w:r>
        <w:rPr>
          <w:rStyle w:val="FootnoteReference"/>
        </w:rPr>
        <w:footnoteRef/>
      </w:r>
      <w:r>
        <w:t xml:space="preserve"> </w:t>
      </w:r>
      <w:r w:rsidRPr="00CF6322">
        <w:t xml:space="preserve">Source: </w:t>
      </w:r>
      <w:r w:rsidRPr="006E10D0">
        <w:rPr>
          <w:i/>
        </w:rPr>
        <w:t xml:space="preserve">2021–22 Health Portfolio Budget Statements </w:t>
      </w:r>
      <w:r w:rsidRPr="00CF6322">
        <w:t>p.84.</w:t>
      </w:r>
    </w:p>
  </w:footnote>
  <w:footnote w:id="44">
    <w:p w14:paraId="32C9D407" w14:textId="5A2D4F83" w:rsidR="001004D3" w:rsidRPr="001E128C" w:rsidRDefault="001004D3" w:rsidP="001D1CF9">
      <w:pPr>
        <w:pStyle w:val="Footnotes"/>
      </w:pPr>
      <w:r>
        <w:rPr>
          <w:rStyle w:val="FootnoteReference"/>
        </w:rPr>
        <w:footnoteRef/>
      </w:r>
      <w:r>
        <w:t xml:space="preserve"> </w:t>
      </w:r>
      <w:r w:rsidRPr="00CF6322">
        <w:t xml:space="preserve">Available at: </w:t>
      </w:r>
      <w:hyperlink r:id="rId19">
        <w:r w:rsidRPr="00CF6322">
          <w:rPr>
            <w:rStyle w:val="Hyperlink"/>
          </w:rPr>
          <w:t>www.health.gov.au/health-topics/immunisation/childhood-immunisation-coverage</w:t>
        </w:r>
      </w:hyperlink>
    </w:p>
  </w:footnote>
  <w:footnote w:id="45">
    <w:p w14:paraId="527D71B4" w14:textId="6B8B02F6" w:rsidR="001004D3" w:rsidRPr="001E128C" w:rsidRDefault="001004D3" w:rsidP="001D1CF9">
      <w:pPr>
        <w:pStyle w:val="Footnotes"/>
        <w:rPr>
          <w:lang w:val="en-AU"/>
        </w:rPr>
      </w:pPr>
      <w:r>
        <w:rPr>
          <w:rStyle w:val="FootnoteReference"/>
        </w:rPr>
        <w:footnoteRef/>
      </w:r>
      <w:r>
        <w:t xml:space="preserve"> </w:t>
      </w:r>
      <w:r w:rsidRPr="00CF6322">
        <w:t xml:space="preserve">Available at: </w:t>
      </w:r>
      <w:hyperlink r:id="rId20">
        <w:r w:rsidRPr="00CF6322">
          <w:rPr>
            <w:rStyle w:val="Hyperlink"/>
          </w:rPr>
          <w:t>www.ncirs.org.au</w:t>
        </w:r>
      </w:hyperlink>
    </w:p>
  </w:footnote>
  <w:footnote w:id="46">
    <w:p w14:paraId="23F3DDCA" w14:textId="13C0EE84" w:rsidR="001004D3" w:rsidRPr="001E128C" w:rsidRDefault="001004D3" w:rsidP="001D1CF9">
      <w:pPr>
        <w:pStyle w:val="Footnotes"/>
        <w:rPr>
          <w:lang w:val="en-AU"/>
        </w:rPr>
      </w:pPr>
      <w:r>
        <w:rPr>
          <w:rStyle w:val="FootnoteReference"/>
        </w:rPr>
        <w:footnoteRef/>
      </w:r>
      <w:r>
        <w:t xml:space="preserve"> </w:t>
      </w:r>
      <w:r w:rsidRPr="00CF6322">
        <w:t xml:space="preserve">Available at: </w:t>
      </w:r>
      <w:hyperlink r:id="rId21">
        <w:r w:rsidRPr="00CF6322">
          <w:rPr>
            <w:rStyle w:val="Hyperlink"/>
          </w:rPr>
          <w:t>www.health.gov.au/initiatives-and-programs/covid-19-vaccines/australias-covid-19-vaccine-rollout</w:t>
        </w:r>
      </w:hyperlink>
    </w:p>
  </w:footnote>
  <w:footnote w:id="47">
    <w:p w14:paraId="5435BDF2" w14:textId="03D1052C" w:rsidR="001004D3" w:rsidRPr="00902D05" w:rsidRDefault="001004D3" w:rsidP="001D1CF9">
      <w:pPr>
        <w:pStyle w:val="Footnotes"/>
      </w:pPr>
      <w:r>
        <w:rPr>
          <w:rStyle w:val="FootnoteReference"/>
        </w:rPr>
        <w:footnoteRef/>
      </w:r>
      <w:r>
        <w:t xml:space="preserve"> </w:t>
      </w:r>
      <w:r w:rsidRPr="00CF6322">
        <w:t xml:space="preserve">Source: </w:t>
      </w:r>
      <w:r w:rsidRPr="006E10D0">
        <w:rPr>
          <w:i/>
        </w:rPr>
        <w:t xml:space="preserve">2021–22 Health Portfolio Budget Statements </w:t>
      </w:r>
      <w:r w:rsidRPr="00CF6322">
        <w:t>p.91.</w:t>
      </w:r>
    </w:p>
  </w:footnote>
  <w:footnote w:id="48">
    <w:p w14:paraId="498BE44D" w14:textId="3A7A1D04" w:rsidR="001004D3" w:rsidRPr="00902D05" w:rsidRDefault="001004D3" w:rsidP="001D1CF9">
      <w:pPr>
        <w:pStyle w:val="Footnotes"/>
      </w:pPr>
      <w:r>
        <w:rPr>
          <w:rStyle w:val="FootnoteReference"/>
        </w:rPr>
        <w:footnoteRef/>
      </w:r>
      <w:r>
        <w:t xml:space="preserve"> </w:t>
      </w:r>
      <w:r w:rsidRPr="00CF6322">
        <w:t>Available at: www1.health.gov.au/internet/main/publishing.nsf/Content/Medicare%20Statistics-1</w:t>
      </w:r>
    </w:p>
  </w:footnote>
  <w:footnote w:id="49">
    <w:p w14:paraId="2E5947DD" w14:textId="629135AF" w:rsidR="001004D3" w:rsidRPr="00902D05" w:rsidRDefault="001004D3" w:rsidP="00FA6C8A">
      <w:pPr>
        <w:pStyle w:val="Footnotes"/>
        <w:rPr>
          <w:lang w:val="en-AU"/>
        </w:rPr>
      </w:pPr>
      <w:r>
        <w:rPr>
          <w:rStyle w:val="FootnoteReference"/>
        </w:rPr>
        <w:footnoteRef/>
      </w:r>
      <w:r>
        <w:t xml:space="preserve"> </w:t>
      </w:r>
      <w:r w:rsidRPr="00CF6322">
        <w:t xml:space="preserve">Source: </w:t>
      </w:r>
      <w:r w:rsidRPr="006E10D0">
        <w:rPr>
          <w:i/>
        </w:rPr>
        <w:t xml:space="preserve">2021–22 Health Portfolio Budget Statements </w:t>
      </w:r>
      <w:r w:rsidRPr="00CF6322">
        <w:t>p.91.</w:t>
      </w:r>
    </w:p>
  </w:footnote>
  <w:footnote w:id="50">
    <w:p w14:paraId="6904BADC" w14:textId="39C7D3FE" w:rsidR="001004D3" w:rsidRPr="005C3FDA" w:rsidRDefault="001004D3" w:rsidP="001D1CF9">
      <w:pPr>
        <w:pStyle w:val="Footnotes"/>
      </w:pPr>
      <w:r>
        <w:rPr>
          <w:rStyle w:val="FootnoteReference"/>
        </w:rPr>
        <w:footnoteRef/>
      </w:r>
      <w:r>
        <w:t xml:space="preserve"> </w:t>
      </w:r>
      <w:r w:rsidRPr="00CF6322">
        <w:t xml:space="preserve">Available at: </w:t>
      </w:r>
      <w:hyperlink r:id="rId22">
        <w:r w:rsidRPr="00CF6322">
          <w:rPr>
            <w:rStyle w:val="Hyperlink"/>
          </w:rPr>
          <w:t>www.health.gov.au/resources/collections/mbs-review-final-taskforce-reports-findings-and-recommendations</w:t>
        </w:r>
      </w:hyperlink>
    </w:p>
  </w:footnote>
  <w:footnote w:id="51">
    <w:p w14:paraId="5433A9EF" w14:textId="270B3E60" w:rsidR="001004D3" w:rsidRPr="00621452" w:rsidRDefault="001004D3" w:rsidP="001D1CF9">
      <w:pPr>
        <w:pStyle w:val="Footnotes"/>
        <w:rPr>
          <w:lang w:val="en-AU"/>
        </w:rPr>
      </w:pPr>
      <w:r>
        <w:rPr>
          <w:rStyle w:val="FootnoteReference"/>
        </w:rPr>
        <w:footnoteRef/>
      </w:r>
      <w:r>
        <w:t xml:space="preserve"> </w:t>
      </w:r>
      <w:r w:rsidRPr="00CF6322">
        <w:t xml:space="preserve">Source: </w:t>
      </w:r>
      <w:r w:rsidRPr="006E10D0">
        <w:rPr>
          <w:i/>
        </w:rPr>
        <w:t xml:space="preserve">2021–22 Health Portfolio Budget Statements </w:t>
      </w:r>
      <w:r w:rsidRPr="00CF6322">
        <w:t>p.92.</w:t>
      </w:r>
    </w:p>
  </w:footnote>
  <w:footnote w:id="52">
    <w:p w14:paraId="7A6ADB44" w14:textId="7564A99C" w:rsidR="001004D3" w:rsidRPr="00621452" w:rsidRDefault="001004D3" w:rsidP="001D1CF9">
      <w:pPr>
        <w:pStyle w:val="Footnotes"/>
        <w:rPr>
          <w:lang w:val="en-AU"/>
        </w:rPr>
      </w:pPr>
      <w:r>
        <w:rPr>
          <w:rStyle w:val="FootnoteReference"/>
        </w:rPr>
        <w:footnoteRef/>
      </w:r>
      <w:r>
        <w:t xml:space="preserve"> </w:t>
      </w:r>
      <w:r w:rsidRPr="00CF6322">
        <w:t xml:space="preserve">Available at: </w:t>
      </w:r>
      <w:hyperlink r:id="rId23">
        <w:r w:rsidRPr="00CF6322">
          <w:rPr>
            <w:rStyle w:val="Hyperlink"/>
          </w:rPr>
          <w:t>www.hearingservices.gov.au</w:t>
        </w:r>
      </w:hyperlink>
    </w:p>
  </w:footnote>
  <w:footnote w:id="53">
    <w:p w14:paraId="50F7F386" w14:textId="6946AF81" w:rsidR="001004D3" w:rsidRPr="00621452" w:rsidRDefault="001004D3" w:rsidP="001D1CF9">
      <w:pPr>
        <w:pStyle w:val="Footnotes"/>
        <w:rPr>
          <w:lang w:val="en-AU"/>
        </w:rPr>
      </w:pPr>
      <w:r>
        <w:rPr>
          <w:rStyle w:val="FootnoteReference"/>
        </w:rPr>
        <w:footnoteRef/>
      </w:r>
      <w:r>
        <w:t xml:space="preserve"> </w:t>
      </w:r>
      <w:r w:rsidRPr="00CF6322">
        <w:t xml:space="preserve">Available at: </w:t>
      </w:r>
      <w:hyperlink r:id="rId24">
        <w:r w:rsidRPr="00CF6322">
          <w:rPr>
            <w:rStyle w:val="Hyperlink"/>
          </w:rPr>
          <w:t>www.hearing.com.au/About-Hearing-Australia/Corporate-Publications-(1)/Annual-Reports</w:t>
        </w:r>
      </w:hyperlink>
    </w:p>
  </w:footnote>
  <w:footnote w:id="54">
    <w:p w14:paraId="53D08654" w14:textId="18793605" w:rsidR="001004D3" w:rsidRPr="005C3FDA" w:rsidRDefault="001004D3" w:rsidP="001D1CF9">
      <w:pPr>
        <w:pStyle w:val="Footnotes"/>
      </w:pPr>
      <w:r>
        <w:rPr>
          <w:rStyle w:val="FootnoteReference"/>
        </w:rPr>
        <w:footnoteRef/>
      </w:r>
      <w:r>
        <w:t xml:space="preserve"> </w:t>
      </w:r>
      <w:r w:rsidRPr="00CF6322">
        <w:t>Source</w:t>
      </w:r>
      <w:r w:rsidRPr="005C3FDA">
        <w:t xml:space="preserve">: </w:t>
      </w:r>
      <w:r w:rsidRPr="006E10D0">
        <w:rPr>
          <w:i/>
        </w:rPr>
        <w:t xml:space="preserve">2021–22 Health Portfolio Budget Statements </w:t>
      </w:r>
      <w:r w:rsidRPr="005C3FDA">
        <w:t>p.94.</w:t>
      </w:r>
    </w:p>
  </w:footnote>
  <w:footnote w:id="55">
    <w:p w14:paraId="79E5FBA7" w14:textId="7D1A0CF1" w:rsidR="001004D3" w:rsidRPr="005C3FDA" w:rsidRDefault="001004D3" w:rsidP="001D1CF9">
      <w:pPr>
        <w:pStyle w:val="Footnotes"/>
      </w:pPr>
      <w:r w:rsidRPr="005C3FDA">
        <w:rPr>
          <w:rStyle w:val="FootnoteReference"/>
          <w:vertAlign w:val="baseline"/>
        </w:rPr>
        <w:footnoteRef/>
      </w:r>
      <w:r w:rsidRPr="005C3FDA">
        <w:t xml:space="preserve"> Available at: </w:t>
      </w:r>
      <w:hyperlink r:id="rId25">
        <w:r w:rsidRPr="005C3FDA">
          <w:rPr>
            <w:rStyle w:val="Hyperlink"/>
            <w:color w:val="231F20"/>
            <w:u w:val="none"/>
          </w:rPr>
          <w:t>www.pbs.gov.au/medicinestatus/home.html</w:t>
        </w:r>
      </w:hyperlink>
    </w:p>
  </w:footnote>
  <w:footnote w:id="56">
    <w:p w14:paraId="55FD6763" w14:textId="41B333A4" w:rsidR="001004D3" w:rsidRPr="005C3FDA" w:rsidRDefault="001004D3" w:rsidP="001D1CF9">
      <w:pPr>
        <w:pStyle w:val="Footnotes"/>
      </w:pPr>
      <w:r w:rsidRPr="005C3FDA">
        <w:rPr>
          <w:rStyle w:val="FootnoteReference"/>
          <w:vertAlign w:val="baseline"/>
        </w:rPr>
        <w:footnoteRef/>
      </w:r>
      <w:r w:rsidRPr="005C3FDA">
        <w:t xml:space="preserve"> Available at: </w:t>
      </w:r>
      <w:hyperlink r:id="rId26">
        <w:r w:rsidRPr="005C3FDA">
          <w:rPr>
            <w:rStyle w:val="Hyperlink"/>
            <w:color w:val="231F20"/>
            <w:u w:val="none"/>
          </w:rPr>
          <w:t>www.pbs.gov.au/info/industry/listing/elements/pbac-meetings</w:t>
        </w:r>
      </w:hyperlink>
    </w:p>
  </w:footnote>
  <w:footnote w:id="57">
    <w:p w14:paraId="65A8EAB6" w14:textId="78A73543" w:rsidR="001004D3" w:rsidRPr="008C02B5" w:rsidRDefault="001004D3" w:rsidP="001D1CF9">
      <w:pPr>
        <w:pStyle w:val="Footnotes"/>
      </w:pPr>
      <w:r w:rsidRPr="005C3FDA">
        <w:rPr>
          <w:rStyle w:val="FootnoteReference"/>
          <w:vertAlign w:val="baseline"/>
        </w:rPr>
        <w:footnoteRef/>
      </w:r>
      <w:r w:rsidRPr="005C3FDA">
        <w:t xml:space="preserve"> Sourc</w:t>
      </w:r>
      <w:r w:rsidRPr="00CF6322">
        <w:t xml:space="preserve">e: </w:t>
      </w:r>
      <w:r w:rsidRPr="006E10D0">
        <w:rPr>
          <w:i/>
        </w:rPr>
        <w:t xml:space="preserve">2021–22 Health Portfolio Budget Statements </w:t>
      </w:r>
      <w:r w:rsidRPr="00CF6322">
        <w:t>p.94.</w:t>
      </w:r>
    </w:p>
  </w:footnote>
  <w:footnote w:id="58">
    <w:p w14:paraId="1E08D831" w14:textId="0E2CFE12" w:rsidR="001004D3" w:rsidRPr="005C3FDA" w:rsidRDefault="001004D3" w:rsidP="001D1CF9">
      <w:pPr>
        <w:pStyle w:val="Footnotes"/>
      </w:pPr>
      <w:r>
        <w:rPr>
          <w:rStyle w:val="FootnoteReference"/>
        </w:rPr>
        <w:footnoteRef/>
      </w:r>
      <w:r>
        <w:t xml:space="preserve"> </w:t>
      </w:r>
      <w:r w:rsidRPr="005C3FDA">
        <w:t xml:space="preserve">Source: </w:t>
      </w:r>
      <w:r w:rsidRPr="006E10D0">
        <w:rPr>
          <w:i/>
        </w:rPr>
        <w:t xml:space="preserve">2021–22 Health Portfolio Budget Statements </w:t>
      </w:r>
      <w:r w:rsidRPr="005C3FDA">
        <w:t>p.95.</w:t>
      </w:r>
    </w:p>
  </w:footnote>
  <w:footnote w:id="59">
    <w:p w14:paraId="62F33608" w14:textId="2AF4D8C6" w:rsidR="001004D3" w:rsidRPr="004D3CB6" w:rsidRDefault="001004D3" w:rsidP="001D1CF9">
      <w:pPr>
        <w:pStyle w:val="Footnotes"/>
        <w:rPr>
          <w:lang w:val="en-AU"/>
        </w:rPr>
      </w:pPr>
      <w:r w:rsidRPr="005C3FDA">
        <w:rPr>
          <w:rStyle w:val="FootnoteReference"/>
          <w:vertAlign w:val="baseline"/>
        </w:rPr>
        <w:footnoteRef/>
      </w:r>
      <w:r w:rsidRPr="005C3FDA">
        <w:t xml:space="preserve"> Available</w:t>
      </w:r>
      <w:r w:rsidRPr="00CF6322">
        <w:t xml:space="preserve"> at: </w:t>
      </w:r>
      <w:hyperlink r:id="rId27">
        <w:r w:rsidRPr="00CF6322">
          <w:rPr>
            <w:rStyle w:val="Hyperlink"/>
          </w:rPr>
          <w:t>www.health.gov.au/phi-6720-2021-private-health-insurance-premium-round-applications</w:t>
        </w:r>
      </w:hyperlink>
    </w:p>
  </w:footnote>
  <w:footnote w:id="60">
    <w:p w14:paraId="62E5426C" w14:textId="02706603" w:rsidR="001004D3" w:rsidRPr="00987895" w:rsidRDefault="001004D3" w:rsidP="001D1CF9">
      <w:pPr>
        <w:pStyle w:val="Footnotes"/>
      </w:pPr>
      <w:r>
        <w:rPr>
          <w:rStyle w:val="FootnoteReference"/>
        </w:rPr>
        <w:footnoteRef/>
      </w:r>
      <w:r>
        <w:t xml:space="preserve"> </w:t>
      </w:r>
      <w:r w:rsidRPr="00CF6322">
        <w:t xml:space="preserve">Source: </w:t>
      </w:r>
      <w:r w:rsidRPr="006E10D0">
        <w:rPr>
          <w:i/>
        </w:rPr>
        <w:t xml:space="preserve">2021–22 Health Portfolio Budget Statements </w:t>
      </w:r>
      <w:r w:rsidRPr="00CF6322">
        <w:t>p.</w:t>
      </w:r>
      <w:r w:rsidRPr="005C3FDA">
        <w:t>96</w:t>
      </w:r>
      <w:r w:rsidRPr="00CF6322">
        <w:t>.</w:t>
      </w:r>
    </w:p>
  </w:footnote>
  <w:footnote w:id="61">
    <w:p w14:paraId="562EF6DF" w14:textId="2E5D36BC" w:rsidR="001004D3" w:rsidRPr="008E0754" w:rsidRDefault="001004D3" w:rsidP="001D1CF9">
      <w:pPr>
        <w:pStyle w:val="Footnotes"/>
      </w:pPr>
      <w:r>
        <w:rPr>
          <w:rStyle w:val="FootnoteReference"/>
        </w:rPr>
        <w:footnoteRef/>
      </w:r>
      <w:r>
        <w:t xml:space="preserve"> </w:t>
      </w:r>
      <w:r w:rsidRPr="00CF6322">
        <w:t xml:space="preserve">Source: </w:t>
      </w:r>
      <w:r w:rsidRPr="006E10D0">
        <w:rPr>
          <w:i/>
        </w:rPr>
        <w:t xml:space="preserve">2021–22 Health Portfolio Budget Statements </w:t>
      </w:r>
      <w:r w:rsidRPr="00CF6322">
        <w:t>p.97.</w:t>
      </w:r>
    </w:p>
  </w:footnote>
  <w:footnote w:id="62">
    <w:p w14:paraId="7EF93B14" w14:textId="4919EA40" w:rsidR="001004D3" w:rsidRPr="00727660" w:rsidRDefault="001004D3" w:rsidP="001D1CF9">
      <w:pPr>
        <w:pStyle w:val="Footnotes"/>
      </w:pPr>
      <w:r>
        <w:rPr>
          <w:rStyle w:val="FootnoteReference"/>
        </w:rPr>
        <w:footnoteRef/>
      </w:r>
      <w:r>
        <w:t xml:space="preserve"> </w:t>
      </w:r>
      <w:r w:rsidRPr="00CF6322">
        <w:t xml:space="preserve">Source: </w:t>
      </w:r>
      <w:r w:rsidRPr="006E10D0">
        <w:rPr>
          <w:i/>
        </w:rPr>
        <w:t xml:space="preserve">2021–22 Health Portfolio Budget Statements </w:t>
      </w:r>
      <w:r w:rsidRPr="00CF6322">
        <w:t>p.98.</w:t>
      </w:r>
    </w:p>
  </w:footnote>
  <w:footnote w:id="63">
    <w:p w14:paraId="19D947F2" w14:textId="232F1F34" w:rsidR="001004D3" w:rsidRPr="005C3FDA" w:rsidRDefault="001004D3" w:rsidP="001D1CF9">
      <w:pPr>
        <w:pStyle w:val="Footnotes"/>
      </w:pPr>
      <w:r>
        <w:rPr>
          <w:rStyle w:val="FootnoteReference"/>
        </w:rPr>
        <w:footnoteRef/>
      </w:r>
      <w:r>
        <w:t xml:space="preserve"> </w:t>
      </w:r>
      <w:r w:rsidRPr="00CF6322">
        <w:t xml:space="preserve">Source: </w:t>
      </w:r>
      <w:r w:rsidRPr="006E10D0">
        <w:rPr>
          <w:i/>
        </w:rPr>
        <w:t xml:space="preserve">2021–22 Health Portfolio Budget Statements </w:t>
      </w:r>
      <w:r w:rsidRPr="005C3FDA">
        <w:t>p.104.</w:t>
      </w:r>
    </w:p>
  </w:footnote>
  <w:footnote w:id="64">
    <w:p w14:paraId="49CE1064" w14:textId="31D71436" w:rsidR="001004D3" w:rsidRPr="00C83512" w:rsidRDefault="001004D3" w:rsidP="001D1CF9">
      <w:pPr>
        <w:pStyle w:val="Footnotes"/>
        <w:rPr>
          <w:lang w:val="en-AU"/>
        </w:rPr>
      </w:pPr>
      <w:r w:rsidRPr="005C3FDA">
        <w:rPr>
          <w:rStyle w:val="FootnoteReference"/>
          <w:vertAlign w:val="baseline"/>
        </w:rPr>
        <w:footnoteRef/>
      </w:r>
      <w:r w:rsidRPr="005C3FDA">
        <w:t xml:space="preserve"> Source: </w:t>
      </w:r>
      <w:r w:rsidRPr="006E10D0">
        <w:rPr>
          <w:i/>
        </w:rPr>
        <w:t xml:space="preserve">2021–22 Health Portfolio Budget Statements </w:t>
      </w:r>
      <w:r w:rsidRPr="00CF6322">
        <w:t>p.104</w:t>
      </w:r>
      <w:r>
        <w:t>.</w:t>
      </w:r>
    </w:p>
  </w:footnote>
  <w:footnote w:id="65">
    <w:p w14:paraId="4C29DC6F" w14:textId="4A50157D" w:rsidR="001004D3" w:rsidRPr="005F65F2" w:rsidRDefault="001004D3" w:rsidP="001D1CF9">
      <w:pPr>
        <w:pStyle w:val="Footnotes"/>
        <w:rPr>
          <w:lang w:val="en-AU"/>
        </w:rPr>
      </w:pPr>
      <w:r>
        <w:rPr>
          <w:rStyle w:val="FootnoteReference"/>
        </w:rPr>
        <w:footnoteRef/>
      </w:r>
      <w:r>
        <w:t xml:space="preserve"> </w:t>
      </w:r>
      <w:r w:rsidRPr="00CF6322">
        <w:t xml:space="preserve">Source: </w:t>
      </w:r>
      <w:r w:rsidRPr="006E10D0">
        <w:rPr>
          <w:i/>
        </w:rPr>
        <w:t xml:space="preserve">2021–22 Health Portfolio Budget Statements </w:t>
      </w:r>
      <w:r w:rsidRPr="00CF6322">
        <w:t>p.</w:t>
      </w:r>
      <w:r w:rsidRPr="00A7769F">
        <w:t>106</w:t>
      </w:r>
      <w:r>
        <w:t>.</w:t>
      </w:r>
    </w:p>
  </w:footnote>
  <w:footnote w:id="66">
    <w:p w14:paraId="1708F0B7" w14:textId="5556E319" w:rsidR="001004D3" w:rsidRPr="00C404FB" w:rsidRDefault="001004D3" w:rsidP="001D1CF9">
      <w:pPr>
        <w:pStyle w:val="Footnotes"/>
        <w:rPr>
          <w:lang w:val="en-AU"/>
        </w:rPr>
      </w:pPr>
      <w:r>
        <w:rPr>
          <w:rStyle w:val="FootnoteReference"/>
        </w:rPr>
        <w:footnoteRef/>
      </w:r>
      <w:r>
        <w:t xml:space="preserve"> </w:t>
      </w:r>
      <w:r w:rsidRPr="00CF6322">
        <w:t xml:space="preserve">Source: </w:t>
      </w:r>
      <w:r w:rsidRPr="006E10D0">
        <w:rPr>
          <w:i/>
        </w:rPr>
        <w:t xml:space="preserve">2021–22 Health Portfolio Budget Statements </w:t>
      </w:r>
      <w:r w:rsidRPr="00CF6322">
        <w:t>p.106</w:t>
      </w:r>
      <w:r>
        <w:t>.</w:t>
      </w:r>
    </w:p>
  </w:footnote>
  <w:footnote w:id="67">
    <w:p w14:paraId="50659244" w14:textId="38D92FDA" w:rsidR="001004D3" w:rsidRPr="00C404FB" w:rsidRDefault="001004D3" w:rsidP="001D1CF9">
      <w:pPr>
        <w:pStyle w:val="Footnotes"/>
        <w:rPr>
          <w:lang w:val="en-AU"/>
        </w:rPr>
      </w:pPr>
      <w:r>
        <w:rPr>
          <w:rStyle w:val="FootnoteReference"/>
        </w:rPr>
        <w:footnoteRef/>
      </w:r>
      <w:r>
        <w:t xml:space="preserve"> </w:t>
      </w:r>
      <w:r w:rsidRPr="00CF6322">
        <w:t xml:space="preserve">Available at: </w:t>
      </w:r>
      <w:hyperlink r:id="rId28">
        <w:r w:rsidRPr="00CF6322">
          <w:rPr>
            <w:rStyle w:val="Hyperlink"/>
          </w:rPr>
          <w:t>www.health.gov.au/resources/publications/home-care-packages-program-data-reports</w:t>
        </w:r>
      </w:hyperlink>
    </w:p>
  </w:footnote>
  <w:footnote w:id="68">
    <w:p w14:paraId="5457E4CE" w14:textId="6BDB40EE" w:rsidR="001004D3" w:rsidRPr="00C404FB" w:rsidRDefault="001004D3" w:rsidP="001D1CF9">
      <w:pPr>
        <w:pStyle w:val="Footnotes"/>
        <w:rPr>
          <w:lang w:val="en-AU"/>
        </w:rPr>
      </w:pPr>
      <w:r>
        <w:rPr>
          <w:rStyle w:val="FootnoteReference"/>
        </w:rPr>
        <w:footnoteRef/>
      </w:r>
      <w:r>
        <w:t xml:space="preserve"> </w:t>
      </w:r>
      <w:r w:rsidRPr="00CF6322">
        <w:t xml:space="preserve">Source: </w:t>
      </w:r>
      <w:r w:rsidRPr="006E10D0">
        <w:rPr>
          <w:i/>
        </w:rPr>
        <w:t xml:space="preserve">2021–22 Health Portfolio Budget Statements </w:t>
      </w:r>
      <w:r w:rsidRPr="00CF6322">
        <w:t>p.106</w:t>
      </w:r>
      <w:r>
        <w:t>.</w:t>
      </w:r>
    </w:p>
  </w:footnote>
  <w:footnote w:id="69">
    <w:p w14:paraId="703D0813" w14:textId="32A0922A" w:rsidR="001004D3" w:rsidRPr="00A9158F" w:rsidRDefault="001004D3" w:rsidP="001D1CF9">
      <w:pPr>
        <w:pStyle w:val="Footnotes"/>
      </w:pPr>
      <w:r>
        <w:rPr>
          <w:rStyle w:val="FootnoteReference"/>
        </w:rPr>
        <w:footnoteRef/>
      </w:r>
      <w:r>
        <w:t xml:space="preserve"> </w:t>
      </w:r>
      <w:r w:rsidRPr="00CF6322">
        <w:t xml:space="preserve">Source: </w:t>
      </w:r>
      <w:r w:rsidRPr="006E10D0">
        <w:rPr>
          <w:i/>
        </w:rPr>
        <w:t xml:space="preserve">2021–22 Health Portfolio Budget Statements </w:t>
      </w:r>
      <w:r w:rsidRPr="00CF6322">
        <w:t>p.108.</w:t>
      </w:r>
    </w:p>
  </w:footnote>
  <w:footnote w:id="70">
    <w:p w14:paraId="6A298313" w14:textId="687DB407" w:rsidR="001004D3" w:rsidRPr="00ED716A" w:rsidRDefault="001004D3" w:rsidP="001D1CF9">
      <w:pPr>
        <w:pStyle w:val="Footnotes"/>
        <w:rPr>
          <w:lang w:val="en-AU"/>
        </w:rPr>
      </w:pPr>
      <w:r>
        <w:rPr>
          <w:rStyle w:val="FootnoteReference"/>
        </w:rPr>
        <w:footnoteRef/>
      </w:r>
      <w:r>
        <w:t xml:space="preserve"> </w:t>
      </w:r>
      <w:r w:rsidRPr="00CF6322">
        <w:t xml:space="preserve">Available at: </w:t>
      </w:r>
      <w:hyperlink r:id="rId29">
        <w:r w:rsidRPr="00CF6322">
          <w:rPr>
            <w:rStyle w:val="Hyperlink"/>
          </w:rPr>
          <w:t>www.clearinghouseforsport.gov.au/research/ausplay/results</w:t>
        </w:r>
      </w:hyperlink>
    </w:p>
  </w:footnote>
  <w:footnote w:id="71">
    <w:p w14:paraId="045C1D65" w14:textId="4FB20D6A" w:rsidR="001004D3" w:rsidRPr="00ED716A" w:rsidRDefault="001004D3" w:rsidP="001D1CF9">
      <w:pPr>
        <w:pStyle w:val="Footnotes"/>
      </w:pPr>
      <w:r>
        <w:rPr>
          <w:rStyle w:val="FootnoteReference"/>
        </w:rPr>
        <w:footnoteRef/>
      </w:r>
      <w:r>
        <w:t xml:space="preserve"> </w:t>
      </w:r>
      <w:proofErr w:type="spellStart"/>
      <w:r w:rsidRPr="00CF6322">
        <w:t>Fédération</w:t>
      </w:r>
      <w:proofErr w:type="spellEnd"/>
      <w:r w:rsidRPr="00CF6322">
        <w:t xml:space="preserve"> </w:t>
      </w:r>
      <w:proofErr w:type="spellStart"/>
      <w:r w:rsidRPr="00CF6322">
        <w:t>Internationale</w:t>
      </w:r>
      <w:proofErr w:type="spellEnd"/>
      <w:r w:rsidRPr="00CF6322">
        <w:t xml:space="preserve"> de Basketball Amateur (International Basketball Federation).</w:t>
      </w:r>
    </w:p>
  </w:footnote>
  <w:footnote w:id="72">
    <w:p w14:paraId="13958662" w14:textId="7CB9798A" w:rsidR="001004D3" w:rsidRPr="00ED716A" w:rsidRDefault="001004D3" w:rsidP="001D1CF9">
      <w:pPr>
        <w:pStyle w:val="Footnotes"/>
      </w:pPr>
      <w:r>
        <w:rPr>
          <w:rStyle w:val="FootnoteReference"/>
        </w:rPr>
        <w:footnoteRef/>
      </w:r>
      <w:r>
        <w:t xml:space="preserve"> </w:t>
      </w:r>
      <w:r w:rsidRPr="00CF6322">
        <w:t>International Cricket Council.</w:t>
      </w:r>
    </w:p>
  </w:footnote>
  <w:footnote w:id="73">
    <w:p w14:paraId="1540C8A8" w14:textId="0CC69B5A" w:rsidR="001004D3" w:rsidRPr="00ED716A" w:rsidRDefault="001004D3" w:rsidP="001D1CF9">
      <w:pPr>
        <w:pStyle w:val="Footnotes"/>
        <w:rPr>
          <w:lang w:val="en-AU"/>
        </w:rPr>
      </w:pPr>
      <w:r>
        <w:rPr>
          <w:rStyle w:val="FootnoteReference"/>
        </w:rPr>
        <w:footnoteRef/>
      </w:r>
      <w:r>
        <w:t xml:space="preserve"> </w:t>
      </w:r>
      <w:proofErr w:type="spellStart"/>
      <w:r w:rsidRPr="00CF6322">
        <w:t>Fédération</w:t>
      </w:r>
      <w:proofErr w:type="spellEnd"/>
      <w:r w:rsidRPr="00CF6322">
        <w:t xml:space="preserve"> </w:t>
      </w:r>
      <w:proofErr w:type="spellStart"/>
      <w:r w:rsidRPr="00CF6322">
        <w:t>Internationale</w:t>
      </w:r>
      <w:proofErr w:type="spellEnd"/>
      <w:r w:rsidRPr="00CF6322">
        <w:t xml:space="preserve"> de Football Association</w:t>
      </w:r>
    </w:p>
  </w:footnote>
  <w:footnote w:id="74">
    <w:p w14:paraId="2A156479" w14:textId="48E0CEA5" w:rsidR="001004D3" w:rsidRPr="00A37C57" w:rsidRDefault="001004D3" w:rsidP="001D1CF9">
      <w:pPr>
        <w:pStyle w:val="Footnotes"/>
      </w:pPr>
      <w:r>
        <w:rPr>
          <w:rStyle w:val="FootnoteReference"/>
        </w:rPr>
        <w:footnoteRef/>
      </w:r>
      <w:r>
        <w:t xml:space="preserve"> </w:t>
      </w:r>
      <w:r w:rsidRPr="00A37C57">
        <w:t xml:space="preserve">Available at: </w:t>
      </w:r>
      <w:hyperlink r:id="rId30">
        <w:r w:rsidRPr="00A37C57">
          <w:rPr>
            <w:rStyle w:val="Hyperlink"/>
            <w:color w:val="231F20"/>
            <w:u w:val="none"/>
          </w:rPr>
          <w:t>www.clearinghouseforsport.gov.au/research/ausplay/results</w:t>
        </w:r>
      </w:hyperlink>
    </w:p>
  </w:footnote>
  <w:footnote w:id="75">
    <w:p w14:paraId="5B7C2D79" w14:textId="25538313" w:rsidR="001004D3" w:rsidRPr="00117737" w:rsidRDefault="001004D3" w:rsidP="001D1CF9">
      <w:pPr>
        <w:pStyle w:val="Footnotes"/>
      </w:pPr>
      <w:r w:rsidRPr="00A37C57">
        <w:rPr>
          <w:rStyle w:val="FootnoteReference"/>
          <w:vertAlign w:val="baseline"/>
        </w:rPr>
        <w:footnoteRef/>
      </w:r>
      <w:r w:rsidRPr="00A37C57">
        <w:t xml:space="preserve"> Availa</w:t>
      </w:r>
      <w:r w:rsidRPr="00CF6322">
        <w:t xml:space="preserve">ble at: </w:t>
      </w:r>
      <w:hyperlink r:id="rId31">
        <w:r w:rsidRPr="00CF6322">
          <w:rPr>
            <w:rStyle w:val="Hyperlink"/>
          </w:rPr>
          <w:t>www.sportaus.gov.au/nationalsportplan/home</w:t>
        </w:r>
      </w:hyperlink>
    </w:p>
  </w:footnote>
  <w:footnote w:id="76">
    <w:p w14:paraId="4527AEA5" w14:textId="27247A52" w:rsidR="001004D3" w:rsidRPr="002A2BCF" w:rsidRDefault="001004D3" w:rsidP="001D1CF9">
      <w:pPr>
        <w:pStyle w:val="Footnotes"/>
      </w:pPr>
      <w:r>
        <w:rPr>
          <w:rStyle w:val="FootnoteReference"/>
        </w:rPr>
        <w:footnoteRef/>
      </w:r>
      <w:r>
        <w:t xml:space="preserve"> </w:t>
      </w:r>
      <w:r w:rsidRPr="00CF6322">
        <w:t xml:space="preserve">Source: </w:t>
      </w:r>
      <w:r w:rsidRPr="006E10D0">
        <w:rPr>
          <w:i/>
        </w:rPr>
        <w:t xml:space="preserve">2021–22 Health Portfolio Budget Statements </w:t>
      </w:r>
      <w:r w:rsidRPr="00CF6322">
        <w:t>p.113.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E81A3" w14:textId="73157AC2" w:rsidR="001004D3" w:rsidRDefault="001004D3" w:rsidP="001D1CF9">
    <w:pPr>
      <w:pStyle w:val="BodyTex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E81B1" w14:textId="4A41BBB9" w:rsidR="001004D3" w:rsidRDefault="001004D3" w:rsidP="001D1CF9">
    <w:pPr>
      <w:pStyle w:val="BodyTex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E81B7" w14:textId="175506B3" w:rsidR="001004D3" w:rsidRDefault="001004D3" w:rsidP="001D1CF9">
    <w:pPr>
      <w:pStyle w:val="BodyTex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E81BB" w14:textId="77777777" w:rsidR="001004D3" w:rsidRDefault="001004D3" w:rsidP="001D1CF9">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42379"/>
    <w:multiLevelType w:val="hybridMultilevel"/>
    <w:tmpl w:val="239211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001E93"/>
    <w:multiLevelType w:val="hybridMultilevel"/>
    <w:tmpl w:val="584CDF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6F686B"/>
    <w:multiLevelType w:val="hybridMultilevel"/>
    <w:tmpl w:val="44B666D2"/>
    <w:lvl w:ilvl="0" w:tplc="1D6CFD94">
      <w:numFmt w:val="bullet"/>
      <w:lvlText w:val="•"/>
      <w:lvlJc w:val="left"/>
      <w:pPr>
        <w:ind w:left="283" w:hanging="170"/>
      </w:pPr>
      <w:rPr>
        <w:rFonts w:ascii="Lora" w:eastAsia="Lora" w:hAnsi="Lora" w:cs="Lora" w:hint="default"/>
        <w:b w:val="0"/>
        <w:bCs w:val="0"/>
        <w:i w:val="0"/>
        <w:iCs w:val="0"/>
        <w:color w:val="FFFFFF"/>
        <w:w w:val="100"/>
        <w:sz w:val="17"/>
        <w:szCs w:val="17"/>
        <w:lang w:val="en-US" w:eastAsia="en-US" w:bidi="ar-SA"/>
      </w:rPr>
    </w:lvl>
    <w:lvl w:ilvl="1" w:tplc="D5A6F39A">
      <w:numFmt w:val="bullet"/>
      <w:lvlText w:val="•"/>
      <w:lvlJc w:val="left"/>
      <w:pPr>
        <w:ind w:left="592" w:hanging="170"/>
      </w:pPr>
      <w:rPr>
        <w:rFonts w:hint="default"/>
        <w:lang w:val="en-US" w:eastAsia="en-US" w:bidi="ar-SA"/>
      </w:rPr>
    </w:lvl>
    <w:lvl w:ilvl="2" w:tplc="EE862954">
      <w:numFmt w:val="bullet"/>
      <w:lvlText w:val="•"/>
      <w:lvlJc w:val="left"/>
      <w:pPr>
        <w:ind w:left="904" w:hanging="170"/>
      </w:pPr>
      <w:rPr>
        <w:rFonts w:hint="default"/>
        <w:lang w:val="en-US" w:eastAsia="en-US" w:bidi="ar-SA"/>
      </w:rPr>
    </w:lvl>
    <w:lvl w:ilvl="3" w:tplc="C30E6F2E">
      <w:numFmt w:val="bullet"/>
      <w:lvlText w:val="•"/>
      <w:lvlJc w:val="left"/>
      <w:pPr>
        <w:ind w:left="1216" w:hanging="170"/>
      </w:pPr>
      <w:rPr>
        <w:rFonts w:hint="default"/>
        <w:lang w:val="en-US" w:eastAsia="en-US" w:bidi="ar-SA"/>
      </w:rPr>
    </w:lvl>
    <w:lvl w:ilvl="4" w:tplc="BE4E358A">
      <w:numFmt w:val="bullet"/>
      <w:lvlText w:val="•"/>
      <w:lvlJc w:val="left"/>
      <w:pPr>
        <w:ind w:left="1528" w:hanging="170"/>
      </w:pPr>
      <w:rPr>
        <w:rFonts w:hint="default"/>
        <w:lang w:val="en-US" w:eastAsia="en-US" w:bidi="ar-SA"/>
      </w:rPr>
    </w:lvl>
    <w:lvl w:ilvl="5" w:tplc="3B60494E">
      <w:numFmt w:val="bullet"/>
      <w:lvlText w:val="•"/>
      <w:lvlJc w:val="left"/>
      <w:pPr>
        <w:ind w:left="1841" w:hanging="170"/>
      </w:pPr>
      <w:rPr>
        <w:rFonts w:hint="default"/>
        <w:lang w:val="en-US" w:eastAsia="en-US" w:bidi="ar-SA"/>
      </w:rPr>
    </w:lvl>
    <w:lvl w:ilvl="6" w:tplc="9F06435C">
      <w:numFmt w:val="bullet"/>
      <w:lvlText w:val="•"/>
      <w:lvlJc w:val="left"/>
      <w:pPr>
        <w:ind w:left="2153" w:hanging="170"/>
      </w:pPr>
      <w:rPr>
        <w:rFonts w:hint="default"/>
        <w:lang w:val="en-US" w:eastAsia="en-US" w:bidi="ar-SA"/>
      </w:rPr>
    </w:lvl>
    <w:lvl w:ilvl="7" w:tplc="727A50AC">
      <w:numFmt w:val="bullet"/>
      <w:lvlText w:val="•"/>
      <w:lvlJc w:val="left"/>
      <w:pPr>
        <w:ind w:left="2465" w:hanging="170"/>
      </w:pPr>
      <w:rPr>
        <w:rFonts w:hint="default"/>
        <w:lang w:val="en-US" w:eastAsia="en-US" w:bidi="ar-SA"/>
      </w:rPr>
    </w:lvl>
    <w:lvl w:ilvl="8" w:tplc="654C9C14">
      <w:numFmt w:val="bullet"/>
      <w:lvlText w:val="•"/>
      <w:lvlJc w:val="left"/>
      <w:pPr>
        <w:ind w:left="2777" w:hanging="170"/>
      </w:pPr>
      <w:rPr>
        <w:rFonts w:hint="default"/>
        <w:lang w:val="en-US" w:eastAsia="en-US" w:bidi="ar-SA"/>
      </w:rPr>
    </w:lvl>
  </w:abstractNum>
  <w:abstractNum w:abstractNumId="3" w15:restartNumberingAfterBreak="0">
    <w:nsid w:val="1DA871E4"/>
    <w:multiLevelType w:val="hybridMultilevel"/>
    <w:tmpl w:val="EEBE7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49676B"/>
    <w:multiLevelType w:val="multilevel"/>
    <w:tmpl w:val="FE5CC22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4AE650F"/>
    <w:multiLevelType w:val="hybridMultilevel"/>
    <w:tmpl w:val="7C8A2CA4"/>
    <w:lvl w:ilvl="0" w:tplc="D84EB86C">
      <w:numFmt w:val="bullet"/>
      <w:lvlText w:val="•"/>
      <w:lvlJc w:val="left"/>
      <w:pPr>
        <w:ind w:left="283" w:hanging="170"/>
      </w:pPr>
      <w:rPr>
        <w:rFonts w:ascii="Lora" w:eastAsia="Lora" w:hAnsi="Lora" w:cs="Lora" w:hint="default"/>
        <w:b w:val="0"/>
        <w:bCs w:val="0"/>
        <w:i w:val="0"/>
        <w:iCs w:val="0"/>
        <w:color w:val="FFFFFF"/>
        <w:w w:val="100"/>
        <w:sz w:val="17"/>
        <w:szCs w:val="17"/>
        <w:lang w:val="en-US" w:eastAsia="en-US" w:bidi="ar-SA"/>
      </w:rPr>
    </w:lvl>
    <w:lvl w:ilvl="1" w:tplc="A244B056">
      <w:numFmt w:val="bullet"/>
      <w:lvlText w:val="•"/>
      <w:lvlJc w:val="left"/>
      <w:pPr>
        <w:ind w:left="592" w:hanging="170"/>
      </w:pPr>
      <w:rPr>
        <w:rFonts w:hint="default"/>
        <w:lang w:val="en-US" w:eastAsia="en-US" w:bidi="ar-SA"/>
      </w:rPr>
    </w:lvl>
    <w:lvl w:ilvl="2" w:tplc="53C8B5F8">
      <w:numFmt w:val="bullet"/>
      <w:lvlText w:val="•"/>
      <w:lvlJc w:val="left"/>
      <w:pPr>
        <w:ind w:left="904" w:hanging="170"/>
      </w:pPr>
      <w:rPr>
        <w:rFonts w:hint="default"/>
        <w:lang w:val="en-US" w:eastAsia="en-US" w:bidi="ar-SA"/>
      </w:rPr>
    </w:lvl>
    <w:lvl w:ilvl="3" w:tplc="676625B4">
      <w:numFmt w:val="bullet"/>
      <w:lvlText w:val="•"/>
      <w:lvlJc w:val="left"/>
      <w:pPr>
        <w:ind w:left="1216" w:hanging="170"/>
      </w:pPr>
      <w:rPr>
        <w:rFonts w:hint="default"/>
        <w:lang w:val="en-US" w:eastAsia="en-US" w:bidi="ar-SA"/>
      </w:rPr>
    </w:lvl>
    <w:lvl w:ilvl="4" w:tplc="EB9EB674">
      <w:numFmt w:val="bullet"/>
      <w:lvlText w:val="•"/>
      <w:lvlJc w:val="left"/>
      <w:pPr>
        <w:ind w:left="1528" w:hanging="170"/>
      </w:pPr>
      <w:rPr>
        <w:rFonts w:hint="default"/>
        <w:lang w:val="en-US" w:eastAsia="en-US" w:bidi="ar-SA"/>
      </w:rPr>
    </w:lvl>
    <w:lvl w:ilvl="5" w:tplc="095C62DE">
      <w:numFmt w:val="bullet"/>
      <w:lvlText w:val="•"/>
      <w:lvlJc w:val="left"/>
      <w:pPr>
        <w:ind w:left="1841" w:hanging="170"/>
      </w:pPr>
      <w:rPr>
        <w:rFonts w:hint="default"/>
        <w:lang w:val="en-US" w:eastAsia="en-US" w:bidi="ar-SA"/>
      </w:rPr>
    </w:lvl>
    <w:lvl w:ilvl="6" w:tplc="6688D602">
      <w:numFmt w:val="bullet"/>
      <w:lvlText w:val="•"/>
      <w:lvlJc w:val="left"/>
      <w:pPr>
        <w:ind w:left="2153" w:hanging="170"/>
      </w:pPr>
      <w:rPr>
        <w:rFonts w:hint="default"/>
        <w:lang w:val="en-US" w:eastAsia="en-US" w:bidi="ar-SA"/>
      </w:rPr>
    </w:lvl>
    <w:lvl w:ilvl="7" w:tplc="B7F25AFE">
      <w:numFmt w:val="bullet"/>
      <w:lvlText w:val="•"/>
      <w:lvlJc w:val="left"/>
      <w:pPr>
        <w:ind w:left="2465" w:hanging="170"/>
      </w:pPr>
      <w:rPr>
        <w:rFonts w:hint="default"/>
        <w:lang w:val="en-US" w:eastAsia="en-US" w:bidi="ar-SA"/>
      </w:rPr>
    </w:lvl>
    <w:lvl w:ilvl="8" w:tplc="23FE0DDA">
      <w:numFmt w:val="bullet"/>
      <w:lvlText w:val="•"/>
      <w:lvlJc w:val="left"/>
      <w:pPr>
        <w:ind w:left="2777" w:hanging="170"/>
      </w:pPr>
      <w:rPr>
        <w:rFonts w:hint="default"/>
        <w:lang w:val="en-US" w:eastAsia="en-US" w:bidi="ar-SA"/>
      </w:rPr>
    </w:lvl>
  </w:abstractNum>
  <w:abstractNum w:abstractNumId="6" w15:restartNumberingAfterBreak="0">
    <w:nsid w:val="26542AC8"/>
    <w:multiLevelType w:val="hybridMultilevel"/>
    <w:tmpl w:val="E5688C7E"/>
    <w:lvl w:ilvl="0" w:tplc="4F7848F2">
      <w:numFmt w:val="bullet"/>
      <w:lvlText w:val="•"/>
      <w:lvlJc w:val="left"/>
      <w:pPr>
        <w:ind w:left="283" w:hanging="170"/>
      </w:pPr>
      <w:rPr>
        <w:rFonts w:ascii="Lora" w:eastAsia="Lora" w:hAnsi="Lora" w:cs="Lora" w:hint="default"/>
        <w:b w:val="0"/>
        <w:bCs w:val="0"/>
        <w:i w:val="0"/>
        <w:iCs w:val="0"/>
        <w:color w:val="FFFFFF"/>
        <w:w w:val="100"/>
        <w:sz w:val="17"/>
        <w:szCs w:val="17"/>
        <w:lang w:val="en-US" w:eastAsia="en-US" w:bidi="ar-SA"/>
      </w:rPr>
    </w:lvl>
    <w:lvl w:ilvl="1" w:tplc="B826212E">
      <w:numFmt w:val="bullet"/>
      <w:lvlText w:val="•"/>
      <w:lvlJc w:val="left"/>
      <w:pPr>
        <w:ind w:left="592" w:hanging="170"/>
      </w:pPr>
      <w:rPr>
        <w:rFonts w:hint="default"/>
        <w:lang w:val="en-US" w:eastAsia="en-US" w:bidi="ar-SA"/>
      </w:rPr>
    </w:lvl>
    <w:lvl w:ilvl="2" w:tplc="5F269272">
      <w:numFmt w:val="bullet"/>
      <w:lvlText w:val="•"/>
      <w:lvlJc w:val="left"/>
      <w:pPr>
        <w:ind w:left="904" w:hanging="170"/>
      </w:pPr>
      <w:rPr>
        <w:rFonts w:hint="default"/>
        <w:lang w:val="en-US" w:eastAsia="en-US" w:bidi="ar-SA"/>
      </w:rPr>
    </w:lvl>
    <w:lvl w:ilvl="3" w:tplc="8828DCCA">
      <w:numFmt w:val="bullet"/>
      <w:lvlText w:val="•"/>
      <w:lvlJc w:val="left"/>
      <w:pPr>
        <w:ind w:left="1216" w:hanging="170"/>
      </w:pPr>
      <w:rPr>
        <w:rFonts w:hint="default"/>
        <w:lang w:val="en-US" w:eastAsia="en-US" w:bidi="ar-SA"/>
      </w:rPr>
    </w:lvl>
    <w:lvl w:ilvl="4" w:tplc="B592404C">
      <w:numFmt w:val="bullet"/>
      <w:lvlText w:val="•"/>
      <w:lvlJc w:val="left"/>
      <w:pPr>
        <w:ind w:left="1528" w:hanging="170"/>
      </w:pPr>
      <w:rPr>
        <w:rFonts w:hint="default"/>
        <w:lang w:val="en-US" w:eastAsia="en-US" w:bidi="ar-SA"/>
      </w:rPr>
    </w:lvl>
    <w:lvl w:ilvl="5" w:tplc="FBFCB846">
      <w:numFmt w:val="bullet"/>
      <w:lvlText w:val="•"/>
      <w:lvlJc w:val="left"/>
      <w:pPr>
        <w:ind w:left="1841" w:hanging="170"/>
      </w:pPr>
      <w:rPr>
        <w:rFonts w:hint="default"/>
        <w:lang w:val="en-US" w:eastAsia="en-US" w:bidi="ar-SA"/>
      </w:rPr>
    </w:lvl>
    <w:lvl w:ilvl="6" w:tplc="DD42EF36">
      <w:numFmt w:val="bullet"/>
      <w:lvlText w:val="•"/>
      <w:lvlJc w:val="left"/>
      <w:pPr>
        <w:ind w:left="2153" w:hanging="170"/>
      </w:pPr>
      <w:rPr>
        <w:rFonts w:hint="default"/>
        <w:lang w:val="en-US" w:eastAsia="en-US" w:bidi="ar-SA"/>
      </w:rPr>
    </w:lvl>
    <w:lvl w:ilvl="7" w:tplc="7312D2B8">
      <w:numFmt w:val="bullet"/>
      <w:lvlText w:val="•"/>
      <w:lvlJc w:val="left"/>
      <w:pPr>
        <w:ind w:left="2465" w:hanging="170"/>
      </w:pPr>
      <w:rPr>
        <w:rFonts w:hint="default"/>
        <w:lang w:val="en-US" w:eastAsia="en-US" w:bidi="ar-SA"/>
      </w:rPr>
    </w:lvl>
    <w:lvl w:ilvl="8" w:tplc="67E63DB2">
      <w:numFmt w:val="bullet"/>
      <w:lvlText w:val="•"/>
      <w:lvlJc w:val="left"/>
      <w:pPr>
        <w:ind w:left="2777" w:hanging="170"/>
      </w:pPr>
      <w:rPr>
        <w:rFonts w:hint="default"/>
        <w:lang w:val="en-US" w:eastAsia="en-US" w:bidi="ar-SA"/>
      </w:rPr>
    </w:lvl>
  </w:abstractNum>
  <w:abstractNum w:abstractNumId="7" w15:restartNumberingAfterBreak="0">
    <w:nsid w:val="302E0AD6"/>
    <w:multiLevelType w:val="multilevel"/>
    <w:tmpl w:val="2392116C"/>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034824"/>
    <w:multiLevelType w:val="hybridMultilevel"/>
    <w:tmpl w:val="9B3A7942"/>
    <w:lvl w:ilvl="0" w:tplc="6B563500">
      <w:numFmt w:val="bullet"/>
      <w:lvlText w:val="•"/>
      <w:lvlJc w:val="left"/>
      <w:pPr>
        <w:ind w:left="283" w:hanging="170"/>
      </w:pPr>
      <w:rPr>
        <w:rFonts w:ascii="Lora" w:eastAsia="Lora" w:hAnsi="Lora" w:cs="Lora" w:hint="default"/>
        <w:b w:val="0"/>
        <w:bCs w:val="0"/>
        <w:i w:val="0"/>
        <w:iCs w:val="0"/>
        <w:color w:val="FFFFFF"/>
        <w:w w:val="100"/>
        <w:sz w:val="17"/>
        <w:szCs w:val="17"/>
        <w:lang w:val="en-US" w:eastAsia="en-US" w:bidi="ar-SA"/>
      </w:rPr>
    </w:lvl>
    <w:lvl w:ilvl="1" w:tplc="9B20B470">
      <w:numFmt w:val="bullet"/>
      <w:lvlText w:val="•"/>
      <w:lvlJc w:val="left"/>
      <w:pPr>
        <w:ind w:left="592" w:hanging="170"/>
      </w:pPr>
      <w:rPr>
        <w:rFonts w:hint="default"/>
        <w:lang w:val="en-US" w:eastAsia="en-US" w:bidi="ar-SA"/>
      </w:rPr>
    </w:lvl>
    <w:lvl w:ilvl="2" w:tplc="B3C03F54">
      <w:numFmt w:val="bullet"/>
      <w:lvlText w:val="•"/>
      <w:lvlJc w:val="left"/>
      <w:pPr>
        <w:ind w:left="904" w:hanging="170"/>
      </w:pPr>
      <w:rPr>
        <w:rFonts w:hint="default"/>
        <w:lang w:val="en-US" w:eastAsia="en-US" w:bidi="ar-SA"/>
      </w:rPr>
    </w:lvl>
    <w:lvl w:ilvl="3" w:tplc="EA24E93E">
      <w:numFmt w:val="bullet"/>
      <w:lvlText w:val="•"/>
      <w:lvlJc w:val="left"/>
      <w:pPr>
        <w:ind w:left="1216" w:hanging="170"/>
      </w:pPr>
      <w:rPr>
        <w:rFonts w:hint="default"/>
        <w:lang w:val="en-US" w:eastAsia="en-US" w:bidi="ar-SA"/>
      </w:rPr>
    </w:lvl>
    <w:lvl w:ilvl="4" w:tplc="8348C490">
      <w:numFmt w:val="bullet"/>
      <w:lvlText w:val="•"/>
      <w:lvlJc w:val="left"/>
      <w:pPr>
        <w:ind w:left="1528" w:hanging="170"/>
      </w:pPr>
      <w:rPr>
        <w:rFonts w:hint="default"/>
        <w:lang w:val="en-US" w:eastAsia="en-US" w:bidi="ar-SA"/>
      </w:rPr>
    </w:lvl>
    <w:lvl w:ilvl="5" w:tplc="408CC3AE">
      <w:numFmt w:val="bullet"/>
      <w:lvlText w:val="•"/>
      <w:lvlJc w:val="left"/>
      <w:pPr>
        <w:ind w:left="1840" w:hanging="170"/>
      </w:pPr>
      <w:rPr>
        <w:rFonts w:hint="default"/>
        <w:lang w:val="en-US" w:eastAsia="en-US" w:bidi="ar-SA"/>
      </w:rPr>
    </w:lvl>
    <w:lvl w:ilvl="6" w:tplc="5FBAECE4">
      <w:numFmt w:val="bullet"/>
      <w:lvlText w:val="•"/>
      <w:lvlJc w:val="left"/>
      <w:pPr>
        <w:ind w:left="2152" w:hanging="170"/>
      </w:pPr>
      <w:rPr>
        <w:rFonts w:hint="default"/>
        <w:lang w:val="en-US" w:eastAsia="en-US" w:bidi="ar-SA"/>
      </w:rPr>
    </w:lvl>
    <w:lvl w:ilvl="7" w:tplc="782A591A">
      <w:numFmt w:val="bullet"/>
      <w:lvlText w:val="•"/>
      <w:lvlJc w:val="left"/>
      <w:pPr>
        <w:ind w:left="2465" w:hanging="170"/>
      </w:pPr>
      <w:rPr>
        <w:rFonts w:hint="default"/>
        <w:lang w:val="en-US" w:eastAsia="en-US" w:bidi="ar-SA"/>
      </w:rPr>
    </w:lvl>
    <w:lvl w:ilvl="8" w:tplc="C7522BF0">
      <w:numFmt w:val="bullet"/>
      <w:lvlText w:val="•"/>
      <w:lvlJc w:val="left"/>
      <w:pPr>
        <w:ind w:left="2777" w:hanging="170"/>
      </w:pPr>
      <w:rPr>
        <w:rFonts w:hint="default"/>
        <w:lang w:val="en-US" w:eastAsia="en-US" w:bidi="ar-SA"/>
      </w:rPr>
    </w:lvl>
  </w:abstractNum>
  <w:abstractNum w:abstractNumId="9" w15:restartNumberingAfterBreak="0">
    <w:nsid w:val="32BC0D4D"/>
    <w:multiLevelType w:val="hybridMultilevel"/>
    <w:tmpl w:val="C61CC9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4E4259"/>
    <w:multiLevelType w:val="hybridMultilevel"/>
    <w:tmpl w:val="3BDA72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143453"/>
    <w:multiLevelType w:val="hybridMultilevel"/>
    <w:tmpl w:val="45624092"/>
    <w:lvl w:ilvl="0" w:tplc="85B2792E">
      <w:numFmt w:val="bullet"/>
      <w:lvlText w:val="•"/>
      <w:lvlJc w:val="left"/>
      <w:pPr>
        <w:ind w:left="283" w:hanging="170"/>
      </w:pPr>
      <w:rPr>
        <w:rFonts w:ascii="Lora" w:eastAsia="Lora" w:hAnsi="Lora" w:cs="Lora" w:hint="default"/>
        <w:b w:val="0"/>
        <w:bCs w:val="0"/>
        <w:i w:val="0"/>
        <w:iCs w:val="0"/>
        <w:color w:val="FFFFFF"/>
        <w:w w:val="100"/>
        <w:sz w:val="17"/>
        <w:szCs w:val="17"/>
        <w:lang w:val="en-US" w:eastAsia="en-US" w:bidi="ar-SA"/>
      </w:rPr>
    </w:lvl>
    <w:lvl w:ilvl="1" w:tplc="3D7ACD2E">
      <w:numFmt w:val="bullet"/>
      <w:lvlText w:val="•"/>
      <w:lvlJc w:val="left"/>
      <w:pPr>
        <w:ind w:left="631" w:hanging="170"/>
      </w:pPr>
      <w:rPr>
        <w:rFonts w:hint="default"/>
        <w:lang w:val="en-US" w:eastAsia="en-US" w:bidi="ar-SA"/>
      </w:rPr>
    </w:lvl>
    <w:lvl w:ilvl="2" w:tplc="D2C6A5B4">
      <w:numFmt w:val="bullet"/>
      <w:lvlText w:val="•"/>
      <w:lvlJc w:val="left"/>
      <w:pPr>
        <w:ind w:left="983" w:hanging="170"/>
      </w:pPr>
      <w:rPr>
        <w:rFonts w:hint="default"/>
        <w:lang w:val="en-US" w:eastAsia="en-US" w:bidi="ar-SA"/>
      </w:rPr>
    </w:lvl>
    <w:lvl w:ilvl="3" w:tplc="867CA2C2">
      <w:numFmt w:val="bullet"/>
      <w:lvlText w:val="•"/>
      <w:lvlJc w:val="left"/>
      <w:pPr>
        <w:ind w:left="1335" w:hanging="170"/>
      </w:pPr>
      <w:rPr>
        <w:rFonts w:hint="default"/>
        <w:lang w:val="en-US" w:eastAsia="en-US" w:bidi="ar-SA"/>
      </w:rPr>
    </w:lvl>
    <w:lvl w:ilvl="4" w:tplc="608EB92C">
      <w:numFmt w:val="bullet"/>
      <w:lvlText w:val="•"/>
      <w:lvlJc w:val="left"/>
      <w:pPr>
        <w:ind w:left="1687" w:hanging="170"/>
      </w:pPr>
      <w:rPr>
        <w:rFonts w:hint="default"/>
        <w:lang w:val="en-US" w:eastAsia="en-US" w:bidi="ar-SA"/>
      </w:rPr>
    </w:lvl>
    <w:lvl w:ilvl="5" w:tplc="4E92B100">
      <w:numFmt w:val="bullet"/>
      <w:lvlText w:val="•"/>
      <w:lvlJc w:val="left"/>
      <w:pPr>
        <w:ind w:left="2039" w:hanging="170"/>
      </w:pPr>
      <w:rPr>
        <w:rFonts w:hint="default"/>
        <w:lang w:val="en-US" w:eastAsia="en-US" w:bidi="ar-SA"/>
      </w:rPr>
    </w:lvl>
    <w:lvl w:ilvl="6" w:tplc="D1506B94">
      <w:numFmt w:val="bullet"/>
      <w:lvlText w:val="•"/>
      <w:lvlJc w:val="left"/>
      <w:pPr>
        <w:ind w:left="2390" w:hanging="170"/>
      </w:pPr>
      <w:rPr>
        <w:rFonts w:hint="default"/>
        <w:lang w:val="en-US" w:eastAsia="en-US" w:bidi="ar-SA"/>
      </w:rPr>
    </w:lvl>
    <w:lvl w:ilvl="7" w:tplc="A102666A">
      <w:numFmt w:val="bullet"/>
      <w:lvlText w:val="•"/>
      <w:lvlJc w:val="left"/>
      <w:pPr>
        <w:ind w:left="2742" w:hanging="170"/>
      </w:pPr>
      <w:rPr>
        <w:rFonts w:hint="default"/>
        <w:lang w:val="en-US" w:eastAsia="en-US" w:bidi="ar-SA"/>
      </w:rPr>
    </w:lvl>
    <w:lvl w:ilvl="8" w:tplc="780AB62E">
      <w:numFmt w:val="bullet"/>
      <w:lvlText w:val="•"/>
      <w:lvlJc w:val="left"/>
      <w:pPr>
        <w:ind w:left="3094" w:hanging="170"/>
      </w:pPr>
      <w:rPr>
        <w:rFonts w:hint="default"/>
        <w:lang w:val="en-US" w:eastAsia="en-US" w:bidi="ar-SA"/>
      </w:rPr>
    </w:lvl>
  </w:abstractNum>
  <w:abstractNum w:abstractNumId="12" w15:restartNumberingAfterBreak="0">
    <w:nsid w:val="40D4363E"/>
    <w:multiLevelType w:val="multilevel"/>
    <w:tmpl w:val="2392116C"/>
    <w:numStyleLink w:val="CurrentList2"/>
  </w:abstractNum>
  <w:abstractNum w:abstractNumId="13" w15:restartNumberingAfterBreak="0">
    <w:nsid w:val="416220EA"/>
    <w:multiLevelType w:val="hybridMultilevel"/>
    <w:tmpl w:val="AC70C102"/>
    <w:lvl w:ilvl="0" w:tplc="EA30E1E8">
      <w:numFmt w:val="bullet"/>
      <w:lvlText w:val="•"/>
      <w:lvlJc w:val="left"/>
      <w:pPr>
        <w:ind w:left="283" w:hanging="170"/>
      </w:pPr>
      <w:rPr>
        <w:rFonts w:ascii="Lora" w:eastAsia="Lora" w:hAnsi="Lora" w:cs="Lora" w:hint="default"/>
        <w:b w:val="0"/>
        <w:bCs w:val="0"/>
        <w:i w:val="0"/>
        <w:iCs w:val="0"/>
        <w:color w:val="FFFFFF"/>
        <w:w w:val="100"/>
        <w:sz w:val="17"/>
        <w:szCs w:val="17"/>
        <w:lang w:val="en-US" w:eastAsia="en-US" w:bidi="ar-SA"/>
      </w:rPr>
    </w:lvl>
    <w:lvl w:ilvl="1" w:tplc="47BC59FE">
      <w:numFmt w:val="bullet"/>
      <w:lvlText w:val="•"/>
      <w:lvlJc w:val="left"/>
      <w:pPr>
        <w:ind w:left="631" w:hanging="170"/>
      </w:pPr>
      <w:rPr>
        <w:rFonts w:hint="default"/>
        <w:lang w:val="en-US" w:eastAsia="en-US" w:bidi="ar-SA"/>
      </w:rPr>
    </w:lvl>
    <w:lvl w:ilvl="2" w:tplc="DFFE9CD6">
      <w:numFmt w:val="bullet"/>
      <w:lvlText w:val="•"/>
      <w:lvlJc w:val="left"/>
      <w:pPr>
        <w:ind w:left="983" w:hanging="170"/>
      </w:pPr>
      <w:rPr>
        <w:rFonts w:hint="default"/>
        <w:lang w:val="en-US" w:eastAsia="en-US" w:bidi="ar-SA"/>
      </w:rPr>
    </w:lvl>
    <w:lvl w:ilvl="3" w:tplc="3C38AD8E">
      <w:numFmt w:val="bullet"/>
      <w:lvlText w:val="•"/>
      <w:lvlJc w:val="left"/>
      <w:pPr>
        <w:ind w:left="1335" w:hanging="170"/>
      </w:pPr>
      <w:rPr>
        <w:rFonts w:hint="default"/>
        <w:lang w:val="en-US" w:eastAsia="en-US" w:bidi="ar-SA"/>
      </w:rPr>
    </w:lvl>
    <w:lvl w:ilvl="4" w:tplc="D4B01828">
      <w:numFmt w:val="bullet"/>
      <w:lvlText w:val="•"/>
      <w:lvlJc w:val="left"/>
      <w:pPr>
        <w:ind w:left="1687" w:hanging="170"/>
      </w:pPr>
      <w:rPr>
        <w:rFonts w:hint="default"/>
        <w:lang w:val="en-US" w:eastAsia="en-US" w:bidi="ar-SA"/>
      </w:rPr>
    </w:lvl>
    <w:lvl w:ilvl="5" w:tplc="3376B12C">
      <w:numFmt w:val="bullet"/>
      <w:lvlText w:val="•"/>
      <w:lvlJc w:val="left"/>
      <w:pPr>
        <w:ind w:left="2039" w:hanging="170"/>
      </w:pPr>
      <w:rPr>
        <w:rFonts w:hint="default"/>
        <w:lang w:val="en-US" w:eastAsia="en-US" w:bidi="ar-SA"/>
      </w:rPr>
    </w:lvl>
    <w:lvl w:ilvl="6" w:tplc="62A0F180">
      <w:numFmt w:val="bullet"/>
      <w:lvlText w:val="•"/>
      <w:lvlJc w:val="left"/>
      <w:pPr>
        <w:ind w:left="2390" w:hanging="170"/>
      </w:pPr>
      <w:rPr>
        <w:rFonts w:hint="default"/>
        <w:lang w:val="en-US" w:eastAsia="en-US" w:bidi="ar-SA"/>
      </w:rPr>
    </w:lvl>
    <w:lvl w:ilvl="7" w:tplc="54942F6E">
      <w:numFmt w:val="bullet"/>
      <w:lvlText w:val="•"/>
      <w:lvlJc w:val="left"/>
      <w:pPr>
        <w:ind w:left="2742" w:hanging="170"/>
      </w:pPr>
      <w:rPr>
        <w:rFonts w:hint="default"/>
        <w:lang w:val="en-US" w:eastAsia="en-US" w:bidi="ar-SA"/>
      </w:rPr>
    </w:lvl>
    <w:lvl w:ilvl="8" w:tplc="F484FC70">
      <w:numFmt w:val="bullet"/>
      <w:lvlText w:val="•"/>
      <w:lvlJc w:val="left"/>
      <w:pPr>
        <w:ind w:left="3094" w:hanging="170"/>
      </w:pPr>
      <w:rPr>
        <w:rFonts w:hint="default"/>
        <w:lang w:val="en-US" w:eastAsia="en-US" w:bidi="ar-SA"/>
      </w:rPr>
    </w:lvl>
  </w:abstractNum>
  <w:abstractNum w:abstractNumId="14" w15:restartNumberingAfterBreak="0">
    <w:nsid w:val="421C5D0E"/>
    <w:multiLevelType w:val="hybridMultilevel"/>
    <w:tmpl w:val="3A7406C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F62656"/>
    <w:multiLevelType w:val="hybridMultilevel"/>
    <w:tmpl w:val="DD42D552"/>
    <w:lvl w:ilvl="0" w:tplc="442A5DA4">
      <w:numFmt w:val="bullet"/>
      <w:lvlText w:val="•"/>
      <w:lvlJc w:val="left"/>
      <w:pPr>
        <w:ind w:left="283" w:hanging="170"/>
      </w:pPr>
      <w:rPr>
        <w:rFonts w:ascii="Lora" w:eastAsia="Lora" w:hAnsi="Lora" w:cs="Lora" w:hint="default"/>
        <w:b w:val="0"/>
        <w:bCs w:val="0"/>
        <w:i w:val="0"/>
        <w:iCs w:val="0"/>
        <w:color w:val="FFFFFF"/>
        <w:w w:val="100"/>
        <w:sz w:val="17"/>
        <w:szCs w:val="17"/>
        <w:lang w:val="en-US" w:eastAsia="en-US" w:bidi="ar-SA"/>
      </w:rPr>
    </w:lvl>
    <w:lvl w:ilvl="1" w:tplc="DE2CFEC2">
      <w:numFmt w:val="bullet"/>
      <w:lvlText w:val="•"/>
      <w:lvlJc w:val="left"/>
      <w:pPr>
        <w:ind w:left="631" w:hanging="170"/>
      </w:pPr>
      <w:rPr>
        <w:rFonts w:hint="default"/>
        <w:lang w:val="en-US" w:eastAsia="en-US" w:bidi="ar-SA"/>
      </w:rPr>
    </w:lvl>
    <w:lvl w:ilvl="2" w:tplc="FDDA4292">
      <w:numFmt w:val="bullet"/>
      <w:lvlText w:val="•"/>
      <w:lvlJc w:val="left"/>
      <w:pPr>
        <w:ind w:left="983" w:hanging="170"/>
      </w:pPr>
      <w:rPr>
        <w:rFonts w:hint="default"/>
        <w:lang w:val="en-US" w:eastAsia="en-US" w:bidi="ar-SA"/>
      </w:rPr>
    </w:lvl>
    <w:lvl w:ilvl="3" w:tplc="3BD0F396">
      <w:numFmt w:val="bullet"/>
      <w:lvlText w:val="•"/>
      <w:lvlJc w:val="left"/>
      <w:pPr>
        <w:ind w:left="1335" w:hanging="170"/>
      </w:pPr>
      <w:rPr>
        <w:rFonts w:hint="default"/>
        <w:lang w:val="en-US" w:eastAsia="en-US" w:bidi="ar-SA"/>
      </w:rPr>
    </w:lvl>
    <w:lvl w:ilvl="4" w:tplc="66203A18">
      <w:numFmt w:val="bullet"/>
      <w:lvlText w:val="•"/>
      <w:lvlJc w:val="left"/>
      <w:pPr>
        <w:ind w:left="1687" w:hanging="170"/>
      </w:pPr>
      <w:rPr>
        <w:rFonts w:hint="default"/>
        <w:lang w:val="en-US" w:eastAsia="en-US" w:bidi="ar-SA"/>
      </w:rPr>
    </w:lvl>
    <w:lvl w:ilvl="5" w:tplc="2FB49068">
      <w:numFmt w:val="bullet"/>
      <w:lvlText w:val="•"/>
      <w:lvlJc w:val="left"/>
      <w:pPr>
        <w:ind w:left="2039" w:hanging="170"/>
      </w:pPr>
      <w:rPr>
        <w:rFonts w:hint="default"/>
        <w:lang w:val="en-US" w:eastAsia="en-US" w:bidi="ar-SA"/>
      </w:rPr>
    </w:lvl>
    <w:lvl w:ilvl="6" w:tplc="843EBABC">
      <w:numFmt w:val="bullet"/>
      <w:lvlText w:val="•"/>
      <w:lvlJc w:val="left"/>
      <w:pPr>
        <w:ind w:left="2390" w:hanging="170"/>
      </w:pPr>
      <w:rPr>
        <w:rFonts w:hint="default"/>
        <w:lang w:val="en-US" w:eastAsia="en-US" w:bidi="ar-SA"/>
      </w:rPr>
    </w:lvl>
    <w:lvl w:ilvl="7" w:tplc="32F09A56">
      <w:numFmt w:val="bullet"/>
      <w:lvlText w:val="•"/>
      <w:lvlJc w:val="left"/>
      <w:pPr>
        <w:ind w:left="2742" w:hanging="170"/>
      </w:pPr>
      <w:rPr>
        <w:rFonts w:hint="default"/>
        <w:lang w:val="en-US" w:eastAsia="en-US" w:bidi="ar-SA"/>
      </w:rPr>
    </w:lvl>
    <w:lvl w:ilvl="8" w:tplc="4F643912">
      <w:numFmt w:val="bullet"/>
      <w:lvlText w:val="•"/>
      <w:lvlJc w:val="left"/>
      <w:pPr>
        <w:ind w:left="3094" w:hanging="170"/>
      </w:pPr>
      <w:rPr>
        <w:rFonts w:hint="default"/>
        <w:lang w:val="en-US" w:eastAsia="en-US" w:bidi="ar-SA"/>
      </w:rPr>
    </w:lvl>
  </w:abstractNum>
  <w:abstractNum w:abstractNumId="16" w15:restartNumberingAfterBreak="0">
    <w:nsid w:val="44DD1450"/>
    <w:multiLevelType w:val="hybridMultilevel"/>
    <w:tmpl w:val="D8B2D96E"/>
    <w:lvl w:ilvl="0" w:tplc="CC4035A8">
      <w:numFmt w:val="bullet"/>
      <w:lvlText w:val="•"/>
      <w:lvlJc w:val="left"/>
      <w:pPr>
        <w:ind w:left="313" w:hanging="170"/>
      </w:pPr>
      <w:rPr>
        <w:rFonts w:ascii="Lora" w:eastAsia="Lora" w:hAnsi="Lora" w:cs="Lora" w:hint="default"/>
        <w:b w:val="0"/>
        <w:bCs w:val="0"/>
        <w:i w:val="0"/>
        <w:iCs w:val="0"/>
        <w:color w:val="231F20"/>
        <w:w w:val="100"/>
        <w:sz w:val="17"/>
        <w:szCs w:val="17"/>
        <w:lang w:val="en-US" w:eastAsia="en-US" w:bidi="ar-SA"/>
      </w:rPr>
    </w:lvl>
    <w:lvl w:ilvl="1" w:tplc="C91CDF2C">
      <w:numFmt w:val="bullet"/>
      <w:lvlText w:val="•"/>
      <w:lvlJc w:val="left"/>
      <w:pPr>
        <w:ind w:left="628" w:hanging="170"/>
      </w:pPr>
      <w:rPr>
        <w:rFonts w:hint="default"/>
        <w:lang w:val="en-US" w:eastAsia="en-US" w:bidi="ar-SA"/>
      </w:rPr>
    </w:lvl>
    <w:lvl w:ilvl="2" w:tplc="20DABD56">
      <w:numFmt w:val="bullet"/>
      <w:lvlText w:val="•"/>
      <w:lvlJc w:val="left"/>
      <w:pPr>
        <w:ind w:left="936" w:hanging="170"/>
      </w:pPr>
      <w:rPr>
        <w:rFonts w:hint="default"/>
        <w:lang w:val="en-US" w:eastAsia="en-US" w:bidi="ar-SA"/>
      </w:rPr>
    </w:lvl>
    <w:lvl w:ilvl="3" w:tplc="46AED312">
      <w:numFmt w:val="bullet"/>
      <w:lvlText w:val="•"/>
      <w:lvlJc w:val="left"/>
      <w:pPr>
        <w:ind w:left="1244" w:hanging="170"/>
      </w:pPr>
      <w:rPr>
        <w:rFonts w:hint="default"/>
        <w:lang w:val="en-US" w:eastAsia="en-US" w:bidi="ar-SA"/>
      </w:rPr>
    </w:lvl>
    <w:lvl w:ilvl="4" w:tplc="DAB857F6">
      <w:numFmt w:val="bullet"/>
      <w:lvlText w:val="•"/>
      <w:lvlJc w:val="left"/>
      <w:pPr>
        <w:ind w:left="1552" w:hanging="170"/>
      </w:pPr>
      <w:rPr>
        <w:rFonts w:hint="default"/>
        <w:lang w:val="en-US" w:eastAsia="en-US" w:bidi="ar-SA"/>
      </w:rPr>
    </w:lvl>
    <w:lvl w:ilvl="5" w:tplc="015A39DE">
      <w:numFmt w:val="bullet"/>
      <w:lvlText w:val="•"/>
      <w:lvlJc w:val="left"/>
      <w:pPr>
        <w:ind w:left="1861" w:hanging="170"/>
      </w:pPr>
      <w:rPr>
        <w:rFonts w:hint="default"/>
        <w:lang w:val="en-US" w:eastAsia="en-US" w:bidi="ar-SA"/>
      </w:rPr>
    </w:lvl>
    <w:lvl w:ilvl="6" w:tplc="5C68714C">
      <w:numFmt w:val="bullet"/>
      <w:lvlText w:val="•"/>
      <w:lvlJc w:val="left"/>
      <w:pPr>
        <w:ind w:left="2169" w:hanging="170"/>
      </w:pPr>
      <w:rPr>
        <w:rFonts w:hint="default"/>
        <w:lang w:val="en-US" w:eastAsia="en-US" w:bidi="ar-SA"/>
      </w:rPr>
    </w:lvl>
    <w:lvl w:ilvl="7" w:tplc="0C8240CA">
      <w:numFmt w:val="bullet"/>
      <w:lvlText w:val="•"/>
      <w:lvlJc w:val="left"/>
      <w:pPr>
        <w:ind w:left="2477" w:hanging="170"/>
      </w:pPr>
      <w:rPr>
        <w:rFonts w:hint="default"/>
        <w:lang w:val="en-US" w:eastAsia="en-US" w:bidi="ar-SA"/>
      </w:rPr>
    </w:lvl>
    <w:lvl w:ilvl="8" w:tplc="D2687CC2">
      <w:numFmt w:val="bullet"/>
      <w:lvlText w:val="•"/>
      <w:lvlJc w:val="left"/>
      <w:pPr>
        <w:ind w:left="2785" w:hanging="170"/>
      </w:pPr>
      <w:rPr>
        <w:rFonts w:hint="default"/>
        <w:lang w:val="en-US" w:eastAsia="en-US" w:bidi="ar-SA"/>
      </w:rPr>
    </w:lvl>
  </w:abstractNum>
  <w:abstractNum w:abstractNumId="17" w15:restartNumberingAfterBreak="0">
    <w:nsid w:val="463A5028"/>
    <w:multiLevelType w:val="hybridMultilevel"/>
    <w:tmpl w:val="CA4A1FA2"/>
    <w:lvl w:ilvl="0" w:tplc="14820562">
      <w:numFmt w:val="bullet"/>
      <w:lvlText w:val="•"/>
      <w:lvlJc w:val="left"/>
      <w:pPr>
        <w:ind w:left="313" w:hanging="170"/>
      </w:pPr>
      <w:rPr>
        <w:rFonts w:ascii="Lora" w:eastAsia="Lora" w:hAnsi="Lora" w:cs="Lora" w:hint="default"/>
        <w:b w:val="0"/>
        <w:bCs w:val="0"/>
        <w:i w:val="0"/>
        <w:iCs w:val="0"/>
        <w:color w:val="231F20"/>
        <w:w w:val="100"/>
        <w:sz w:val="17"/>
        <w:szCs w:val="17"/>
        <w:lang w:val="en-US" w:eastAsia="en-US" w:bidi="ar-SA"/>
      </w:rPr>
    </w:lvl>
    <w:lvl w:ilvl="1" w:tplc="E13AF962">
      <w:numFmt w:val="bullet"/>
      <w:lvlText w:val="•"/>
      <w:lvlJc w:val="left"/>
      <w:pPr>
        <w:ind w:left="628" w:hanging="170"/>
      </w:pPr>
      <w:rPr>
        <w:rFonts w:hint="default"/>
        <w:lang w:val="en-US" w:eastAsia="en-US" w:bidi="ar-SA"/>
      </w:rPr>
    </w:lvl>
    <w:lvl w:ilvl="2" w:tplc="D5B40D8C">
      <w:numFmt w:val="bullet"/>
      <w:lvlText w:val="•"/>
      <w:lvlJc w:val="left"/>
      <w:pPr>
        <w:ind w:left="936" w:hanging="170"/>
      </w:pPr>
      <w:rPr>
        <w:rFonts w:hint="default"/>
        <w:lang w:val="en-US" w:eastAsia="en-US" w:bidi="ar-SA"/>
      </w:rPr>
    </w:lvl>
    <w:lvl w:ilvl="3" w:tplc="0EC2AD76">
      <w:numFmt w:val="bullet"/>
      <w:lvlText w:val="•"/>
      <w:lvlJc w:val="left"/>
      <w:pPr>
        <w:ind w:left="1244" w:hanging="170"/>
      </w:pPr>
      <w:rPr>
        <w:rFonts w:hint="default"/>
        <w:lang w:val="en-US" w:eastAsia="en-US" w:bidi="ar-SA"/>
      </w:rPr>
    </w:lvl>
    <w:lvl w:ilvl="4" w:tplc="1638C89C">
      <w:numFmt w:val="bullet"/>
      <w:lvlText w:val="•"/>
      <w:lvlJc w:val="left"/>
      <w:pPr>
        <w:ind w:left="1552" w:hanging="170"/>
      </w:pPr>
      <w:rPr>
        <w:rFonts w:hint="default"/>
        <w:lang w:val="en-US" w:eastAsia="en-US" w:bidi="ar-SA"/>
      </w:rPr>
    </w:lvl>
    <w:lvl w:ilvl="5" w:tplc="99C6BE58">
      <w:numFmt w:val="bullet"/>
      <w:lvlText w:val="•"/>
      <w:lvlJc w:val="left"/>
      <w:pPr>
        <w:ind w:left="1861" w:hanging="170"/>
      </w:pPr>
      <w:rPr>
        <w:rFonts w:hint="default"/>
        <w:lang w:val="en-US" w:eastAsia="en-US" w:bidi="ar-SA"/>
      </w:rPr>
    </w:lvl>
    <w:lvl w:ilvl="6" w:tplc="AE7089E8">
      <w:numFmt w:val="bullet"/>
      <w:lvlText w:val="•"/>
      <w:lvlJc w:val="left"/>
      <w:pPr>
        <w:ind w:left="2169" w:hanging="170"/>
      </w:pPr>
      <w:rPr>
        <w:rFonts w:hint="default"/>
        <w:lang w:val="en-US" w:eastAsia="en-US" w:bidi="ar-SA"/>
      </w:rPr>
    </w:lvl>
    <w:lvl w:ilvl="7" w:tplc="28521408">
      <w:numFmt w:val="bullet"/>
      <w:lvlText w:val="•"/>
      <w:lvlJc w:val="left"/>
      <w:pPr>
        <w:ind w:left="2477" w:hanging="170"/>
      </w:pPr>
      <w:rPr>
        <w:rFonts w:hint="default"/>
        <w:lang w:val="en-US" w:eastAsia="en-US" w:bidi="ar-SA"/>
      </w:rPr>
    </w:lvl>
    <w:lvl w:ilvl="8" w:tplc="D4F2C27E">
      <w:numFmt w:val="bullet"/>
      <w:lvlText w:val="•"/>
      <w:lvlJc w:val="left"/>
      <w:pPr>
        <w:ind w:left="2785" w:hanging="170"/>
      </w:pPr>
      <w:rPr>
        <w:rFonts w:hint="default"/>
        <w:lang w:val="en-US" w:eastAsia="en-US" w:bidi="ar-SA"/>
      </w:rPr>
    </w:lvl>
  </w:abstractNum>
  <w:abstractNum w:abstractNumId="18" w15:restartNumberingAfterBreak="0">
    <w:nsid w:val="559F7CD4"/>
    <w:multiLevelType w:val="hybridMultilevel"/>
    <w:tmpl w:val="60A63388"/>
    <w:lvl w:ilvl="0" w:tplc="6712A3AA">
      <w:numFmt w:val="bullet"/>
      <w:lvlText w:val="•"/>
      <w:lvlJc w:val="left"/>
      <w:pPr>
        <w:ind w:left="313" w:hanging="170"/>
      </w:pPr>
      <w:rPr>
        <w:rFonts w:ascii="Lora" w:eastAsia="Lora" w:hAnsi="Lora" w:cs="Lora" w:hint="default"/>
        <w:b w:val="0"/>
        <w:bCs w:val="0"/>
        <w:i w:val="0"/>
        <w:iCs w:val="0"/>
        <w:color w:val="231F20"/>
        <w:w w:val="100"/>
        <w:sz w:val="17"/>
        <w:szCs w:val="17"/>
        <w:lang w:val="en-US" w:eastAsia="en-US" w:bidi="ar-SA"/>
      </w:rPr>
    </w:lvl>
    <w:lvl w:ilvl="1" w:tplc="1834C32C">
      <w:numFmt w:val="bullet"/>
      <w:lvlText w:val="•"/>
      <w:lvlJc w:val="left"/>
      <w:pPr>
        <w:ind w:left="628" w:hanging="170"/>
      </w:pPr>
      <w:rPr>
        <w:rFonts w:hint="default"/>
        <w:lang w:val="en-US" w:eastAsia="en-US" w:bidi="ar-SA"/>
      </w:rPr>
    </w:lvl>
    <w:lvl w:ilvl="2" w:tplc="218C5B4E">
      <w:numFmt w:val="bullet"/>
      <w:lvlText w:val="•"/>
      <w:lvlJc w:val="left"/>
      <w:pPr>
        <w:ind w:left="936" w:hanging="170"/>
      </w:pPr>
      <w:rPr>
        <w:rFonts w:hint="default"/>
        <w:lang w:val="en-US" w:eastAsia="en-US" w:bidi="ar-SA"/>
      </w:rPr>
    </w:lvl>
    <w:lvl w:ilvl="3" w:tplc="4C9EA3EC">
      <w:numFmt w:val="bullet"/>
      <w:lvlText w:val="•"/>
      <w:lvlJc w:val="left"/>
      <w:pPr>
        <w:ind w:left="1244" w:hanging="170"/>
      </w:pPr>
      <w:rPr>
        <w:rFonts w:hint="default"/>
        <w:lang w:val="en-US" w:eastAsia="en-US" w:bidi="ar-SA"/>
      </w:rPr>
    </w:lvl>
    <w:lvl w:ilvl="4" w:tplc="40BA8548">
      <w:numFmt w:val="bullet"/>
      <w:lvlText w:val="•"/>
      <w:lvlJc w:val="left"/>
      <w:pPr>
        <w:ind w:left="1552" w:hanging="170"/>
      </w:pPr>
      <w:rPr>
        <w:rFonts w:hint="default"/>
        <w:lang w:val="en-US" w:eastAsia="en-US" w:bidi="ar-SA"/>
      </w:rPr>
    </w:lvl>
    <w:lvl w:ilvl="5" w:tplc="A948D1FA">
      <w:numFmt w:val="bullet"/>
      <w:lvlText w:val="•"/>
      <w:lvlJc w:val="left"/>
      <w:pPr>
        <w:ind w:left="1861" w:hanging="170"/>
      </w:pPr>
      <w:rPr>
        <w:rFonts w:hint="default"/>
        <w:lang w:val="en-US" w:eastAsia="en-US" w:bidi="ar-SA"/>
      </w:rPr>
    </w:lvl>
    <w:lvl w:ilvl="6" w:tplc="E6DAF048">
      <w:numFmt w:val="bullet"/>
      <w:lvlText w:val="•"/>
      <w:lvlJc w:val="left"/>
      <w:pPr>
        <w:ind w:left="2169" w:hanging="170"/>
      </w:pPr>
      <w:rPr>
        <w:rFonts w:hint="default"/>
        <w:lang w:val="en-US" w:eastAsia="en-US" w:bidi="ar-SA"/>
      </w:rPr>
    </w:lvl>
    <w:lvl w:ilvl="7" w:tplc="8D1CE1D6">
      <w:numFmt w:val="bullet"/>
      <w:lvlText w:val="•"/>
      <w:lvlJc w:val="left"/>
      <w:pPr>
        <w:ind w:left="2477" w:hanging="170"/>
      </w:pPr>
      <w:rPr>
        <w:rFonts w:hint="default"/>
        <w:lang w:val="en-US" w:eastAsia="en-US" w:bidi="ar-SA"/>
      </w:rPr>
    </w:lvl>
    <w:lvl w:ilvl="8" w:tplc="87C0307C">
      <w:numFmt w:val="bullet"/>
      <w:lvlText w:val="•"/>
      <w:lvlJc w:val="left"/>
      <w:pPr>
        <w:ind w:left="2785" w:hanging="170"/>
      </w:pPr>
      <w:rPr>
        <w:rFonts w:hint="default"/>
        <w:lang w:val="en-US" w:eastAsia="en-US" w:bidi="ar-SA"/>
      </w:rPr>
    </w:lvl>
  </w:abstractNum>
  <w:abstractNum w:abstractNumId="19" w15:restartNumberingAfterBreak="0">
    <w:nsid w:val="58A20995"/>
    <w:multiLevelType w:val="hybridMultilevel"/>
    <w:tmpl w:val="B7142100"/>
    <w:lvl w:ilvl="0" w:tplc="42784F92">
      <w:numFmt w:val="bullet"/>
      <w:lvlText w:val="•"/>
      <w:lvlJc w:val="left"/>
      <w:pPr>
        <w:ind w:left="283" w:hanging="170"/>
      </w:pPr>
      <w:rPr>
        <w:rFonts w:ascii="Lora" w:eastAsia="Lora" w:hAnsi="Lora" w:cs="Lora" w:hint="default"/>
        <w:b w:val="0"/>
        <w:bCs w:val="0"/>
        <w:i w:val="0"/>
        <w:iCs w:val="0"/>
        <w:color w:val="231F20"/>
        <w:w w:val="100"/>
        <w:sz w:val="17"/>
        <w:szCs w:val="17"/>
        <w:lang w:val="en-US" w:eastAsia="en-US" w:bidi="ar-SA"/>
      </w:rPr>
    </w:lvl>
    <w:lvl w:ilvl="1" w:tplc="057226BC">
      <w:numFmt w:val="bullet"/>
      <w:lvlText w:val="•"/>
      <w:lvlJc w:val="left"/>
      <w:pPr>
        <w:ind w:left="592" w:hanging="170"/>
      </w:pPr>
      <w:rPr>
        <w:rFonts w:hint="default"/>
        <w:lang w:val="en-US" w:eastAsia="en-US" w:bidi="ar-SA"/>
      </w:rPr>
    </w:lvl>
    <w:lvl w:ilvl="2" w:tplc="84F8C5FE">
      <w:numFmt w:val="bullet"/>
      <w:lvlText w:val="•"/>
      <w:lvlJc w:val="left"/>
      <w:pPr>
        <w:ind w:left="904" w:hanging="170"/>
      </w:pPr>
      <w:rPr>
        <w:rFonts w:hint="default"/>
        <w:lang w:val="en-US" w:eastAsia="en-US" w:bidi="ar-SA"/>
      </w:rPr>
    </w:lvl>
    <w:lvl w:ilvl="3" w:tplc="5D20F190">
      <w:numFmt w:val="bullet"/>
      <w:lvlText w:val="•"/>
      <w:lvlJc w:val="left"/>
      <w:pPr>
        <w:ind w:left="1216" w:hanging="170"/>
      </w:pPr>
      <w:rPr>
        <w:rFonts w:hint="default"/>
        <w:lang w:val="en-US" w:eastAsia="en-US" w:bidi="ar-SA"/>
      </w:rPr>
    </w:lvl>
    <w:lvl w:ilvl="4" w:tplc="A9D4C69E">
      <w:numFmt w:val="bullet"/>
      <w:lvlText w:val="•"/>
      <w:lvlJc w:val="left"/>
      <w:pPr>
        <w:ind w:left="1528" w:hanging="170"/>
      </w:pPr>
      <w:rPr>
        <w:rFonts w:hint="default"/>
        <w:lang w:val="en-US" w:eastAsia="en-US" w:bidi="ar-SA"/>
      </w:rPr>
    </w:lvl>
    <w:lvl w:ilvl="5" w:tplc="1728DB5E">
      <w:numFmt w:val="bullet"/>
      <w:lvlText w:val="•"/>
      <w:lvlJc w:val="left"/>
      <w:pPr>
        <w:ind w:left="1841" w:hanging="170"/>
      </w:pPr>
      <w:rPr>
        <w:rFonts w:hint="default"/>
        <w:lang w:val="en-US" w:eastAsia="en-US" w:bidi="ar-SA"/>
      </w:rPr>
    </w:lvl>
    <w:lvl w:ilvl="6" w:tplc="52EA5408">
      <w:numFmt w:val="bullet"/>
      <w:lvlText w:val="•"/>
      <w:lvlJc w:val="left"/>
      <w:pPr>
        <w:ind w:left="2153" w:hanging="170"/>
      </w:pPr>
      <w:rPr>
        <w:rFonts w:hint="default"/>
        <w:lang w:val="en-US" w:eastAsia="en-US" w:bidi="ar-SA"/>
      </w:rPr>
    </w:lvl>
    <w:lvl w:ilvl="7" w:tplc="0CA0B48E">
      <w:numFmt w:val="bullet"/>
      <w:lvlText w:val="•"/>
      <w:lvlJc w:val="left"/>
      <w:pPr>
        <w:ind w:left="2465" w:hanging="170"/>
      </w:pPr>
      <w:rPr>
        <w:rFonts w:hint="default"/>
        <w:lang w:val="en-US" w:eastAsia="en-US" w:bidi="ar-SA"/>
      </w:rPr>
    </w:lvl>
    <w:lvl w:ilvl="8" w:tplc="1980C7CE">
      <w:numFmt w:val="bullet"/>
      <w:lvlText w:val="•"/>
      <w:lvlJc w:val="left"/>
      <w:pPr>
        <w:ind w:left="2777" w:hanging="170"/>
      </w:pPr>
      <w:rPr>
        <w:rFonts w:hint="default"/>
        <w:lang w:val="en-US" w:eastAsia="en-US" w:bidi="ar-SA"/>
      </w:rPr>
    </w:lvl>
  </w:abstractNum>
  <w:abstractNum w:abstractNumId="20" w15:restartNumberingAfterBreak="0">
    <w:nsid w:val="5EB052C4"/>
    <w:multiLevelType w:val="hybridMultilevel"/>
    <w:tmpl w:val="DC74D9DC"/>
    <w:lvl w:ilvl="0" w:tplc="62500988">
      <w:numFmt w:val="bullet"/>
      <w:lvlText w:val="•"/>
      <w:lvlJc w:val="left"/>
      <w:pPr>
        <w:ind w:left="283" w:hanging="170"/>
      </w:pPr>
      <w:rPr>
        <w:rFonts w:ascii="Lora" w:eastAsia="Lora" w:hAnsi="Lora" w:cs="Lora" w:hint="default"/>
        <w:b w:val="0"/>
        <w:bCs w:val="0"/>
        <w:i w:val="0"/>
        <w:iCs w:val="0"/>
        <w:color w:val="231F20"/>
        <w:w w:val="100"/>
        <w:sz w:val="17"/>
        <w:szCs w:val="17"/>
        <w:lang w:val="en-US" w:eastAsia="en-US" w:bidi="ar-SA"/>
      </w:rPr>
    </w:lvl>
    <w:lvl w:ilvl="1" w:tplc="F2C40CF2">
      <w:numFmt w:val="bullet"/>
      <w:lvlText w:val="•"/>
      <w:lvlJc w:val="left"/>
      <w:pPr>
        <w:ind w:left="592" w:hanging="170"/>
      </w:pPr>
      <w:rPr>
        <w:rFonts w:hint="default"/>
        <w:lang w:val="en-US" w:eastAsia="en-US" w:bidi="ar-SA"/>
      </w:rPr>
    </w:lvl>
    <w:lvl w:ilvl="2" w:tplc="E4A89628">
      <w:numFmt w:val="bullet"/>
      <w:lvlText w:val="•"/>
      <w:lvlJc w:val="left"/>
      <w:pPr>
        <w:ind w:left="904" w:hanging="170"/>
      </w:pPr>
      <w:rPr>
        <w:rFonts w:hint="default"/>
        <w:lang w:val="en-US" w:eastAsia="en-US" w:bidi="ar-SA"/>
      </w:rPr>
    </w:lvl>
    <w:lvl w:ilvl="3" w:tplc="E918E57A">
      <w:numFmt w:val="bullet"/>
      <w:lvlText w:val="•"/>
      <w:lvlJc w:val="left"/>
      <w:pPr>
        <w:ind w:left="1216" w:hanging="170"/>
      </w:pPr>
      <w:rPr>
        <w:rFonts w:hint="default"/>
        <w:lang w:val="en-US" w:eastAsia="en-US" w:bidi="ar-SA"/>
      </w:rPr>
    </w:lvl>
    <w:lvl w:ilvl="4" w:tplc="2D70ADFE">
      <w:numFmt w:val="bullet"/>
      <w:lvlText w:val="•"/>
      <w:lvlJc w:val="left"/>
      <w:pPr>
        <w:ind w:left="1528" w:hanging="170"/>
      </w:pPr>
      <w:rPr>
        <w:rFonts w:hint="default"/>
        <w:lang w:val="en-US" w:eastAsia="en-US" w:bidi="ar-SA"/>
      </w:rPr>
    </w:lvl>
    <w:lvl w:ilvl="5" w:tplc="886E6FC4">
      <w:numFmt w:val="bullet"/>
      <w:lvlText w:val="•"/>
      <w:lvlJc w:val="left"/>
      <w:pPr>
        <w:ind w:left="1841" w:hanging="170"/>
      </w:pPr>
      <w:rPr>
        <w:rFonts w:hint="default"/>
        <w:lang w:val="en-US" w:eastAsia="en-US" w:bidi="ar-SA"/>
      </w:rPr>
    </w:lvl>
    <w:lvl w:ilvl="6" w:tplc="4FF0FC20">
      <w:numFmt w:val="bullet"/>
      <w:lvlText w:val="•"/>
      <w:lvlJc w:val="left"/>
      <w:pPr>
        <w:ind w:left="2153" w:hanging="170"/>
      </w:pPr>
      <w:rPr>
        <w:rFonts w:hint="default"/>
        <w:lang w:val="en-US" w:eastAsia="en-US" w:bidi="ar-SA"/>
      </w:rPr>
    </w:lvl>
    <w:lvl w:ilvl="7" w:tplc="03645C32">
      <w:numFmt w:val="bullet"/>
      <w:lvlText w:val="•"/>
      <w:lvlJc w:val="left"/>
      <w:pPr>
        <w:ind w:left="2465" w:hanging="170"/>
      </w:pPr>
      <w:rPr>
        <w:rFonts w:hint="default"/>
        <w:lang w:val="en-US" w:eastAsia="en-US" w:bidi="ar-SA"/>
      </w:rPr>
    </w:lvl>
    <w:lvl w:ilvl="8" w:tplc="4E5A6790">
      <w:numFmt w:val="bullet"/>
      <w:lvlText w:val="•"/>
      <w:lvlJc w:val="left"/>
      <w:pPr>
        <w:ind w:left="2777" w:hanging="170"/>
      </w:pPr>
      <w:rPr>
        <w:rFonts w:hint="default"/>
        <w:lang w:val="en-US" w:eastAsia="en-US" w:bidi="ar-SA"/>
      </w:rPr>
    </w:lvl>
  </w:abstractNum>
  <w:abstractNum w:abstractNumId="21" w15:restartNumberingAfterBreak="0">
    <w:nsid w:val="5F952FA9"/>
    <w:multiLevelType w:val="hybridMultilevel"/>
    <w:tmpl w:val="2766C51A"/>
    <w:lvl w:ilvl="0" w:tplc="FD846088">
      <w:numFmt w:val="bullet"/>
      <w:lvlText w:val="•"/>
      <w:lvlJc w:val="left"/>
      <w:pPr>
        <w:ind w:left="283" w:hanging="170"/>
      </w:pPr>
      <w:rPr>
        <w:rFonts w:ascii="Lora" w:eastAsia="Lora" w:hAnsi="Lora" w:cs="Lora" w:hint="default"/>
        <w:b w:val="0"/>
        <w:bCs w:val="0"/>
        <w:i w:val="0"/>
        <w:iCs w:val="0"/>
        <w:color w:val="FFFFFF"/>
        <w:w w:val="100"/>
        <w:sz w:val="17"/>
        <w:szCs w:val="17"/>
        <w:lang w:val="en-US" w:eastAsia="en-US" w:bidi="ar-SA"/>
      </w:rPr>
    </w:lvl>
    <w:lvl w:ilvl="1" w:tplc="C744F088">
      <w:numFmt w:val="bullet"/>
      <w:lvlText w:val="•"/>
      <w:lvlJc w:val="left"/>
      <w:pPr>
        <w:ind w:left="631" w:hanging="170"/>
      </w:pPr>
      <w:rPr>
        <w:rFonts w:hint="default"/>
        <w:lang w:val="en-US" w:eastAsia="en-US" w:bidi="ar-SA"/>
      </w:rPr>
    </w:lvl>
    <w:lvl w:ilvl="2" w:tplc="3BC67F84">
      <w:numFmt w:val="bullet"/>
      <w:lvlText w:val="•"/>
      <w:lvlJc w:val="left"/>
      <w:pPr>
        <w:ind w:left="983" w:hanging="170"/>
      </w:pPr>
      <w:rPr>
        <w:rFonts w:hint="default"/>
        <w:lang w:val="en-US" w:eastAsia="en-US" w:bidi="ar-SA"/>
      </w:rPr>
    </w:lvl>
    <w:lvl w:ilvl="3" w:tplc="71FEBC78">
      <w:numFmt w:val="bullet"/>
      <w:lvlText w:val="•"/>
      <w:lvlJc w:val="left"/>
      <w:pPr>
        <w:ind w:left="1335" w:hanging="170"/>
      </w:pPr>
      <w:rPr>
        <w:rFonts w:hint="default"/>
        <w:lang w:val="en-US" w:eastAsia="en-US" w:bidi="ar-SA"/>
      </w:rPr>
    </w:lvl>
    <w:lvl w:ilvl="4" w:tplc="BC00D830">
      <w:numFmt w:val="bullet"/>
      <w:lvlText w:val="•"/>
      <w:lvlJc w:val="left"/>
      <w:pPr>
        <w:ind w:left="1687" w:hanging="170"/>
      </w:pPr>
      <w:rPr>
        <w:rFonts w:hint="default"/>
        <w:lang w:val="en-US" w:eastAsia="en-US" w:bidi="ar-SA"/>
      </w:rPr>
    </w:lvl>
    <w:lvl w:ilvl="5" w:tplc="51BC2012">
      <w:numFmt w:val="bullet"/>
      <w:lvlText w:val="•"/>
      <w:lvlJc w:val="left"/>
      <w:pPr>
        <w:ind w:left="2039" w:hanging="170"/>
      </w:pPr>
      <w:rPr>
        <w:rFonts w:hint="default"/>
        <w:lang w:val="en-US" w:eastAsia="en-US" w:bidi="ar-SA"/>
      </w:rPr>
    </w:lvl>
    <w:lvl w:ilvl="6" w:tplc="9F9EF0C6">
      <w:numFmt w:val="bullet"/>
      <w:lvlText w:val="•"/>
      <w:lvlJc w:val="left"/>
      <w:pPr>
        <w:ind w:left="2390" w:hanging="170"/>
      </w:pPr>
      <w:rPr>
        <w:rFonts w:hint="default"/>
        <w:lang w:val="en-US" w:eastAsia="en-US" w:bidi="ar-SA"/>
      </w:rPr>
    </w:lvl>
    <w:lvl w:ilvl="7" w:tplc="A4EA4FCE">
      <w:numFmt w:val="bullet"/>
      <w:lvlText w:val="•"/>
      <w:lvlJc w:val="left"/>
      <w:pPr>
        <w:ind w:left="2742" w:hanging="170"/>
      </w:pPr>
      <w:rPr>
        <w:rFonts w:hint="default"/>
        <w:lang w:val="en-US" w:eastAsia="en-US" w:bidi="ar-SA"/>
      </w:rPr>
    </w:lvl>
    <w:lvl w:ilvl="8" w:tplc="E884C78A">
      <w:numFmt w:val="bullet"/>
      <w:lvlText w:val="•"/>
      <w:lvlJc w:val="left"/>
      <w:pPr>
        <w:ind w:left="3094" w:hanging="170"/>
      </w:pPr>
      <w:rPr>
        <w:rFonts w:hint="default"/>
        <w:lang w:val="en-US" w:eastAsia="en-US" w:bidi="ar-SA"/>
      </w:rPr>
    </w:lvl>
  </w:abstractNum>
  <w:abstractNum w:abstractNumId="22" w15:restartNumberingAfterBreak="0">
    <w:nsid w:val="63755118"/>
    <w:multiLevelType w:val="hybridMultilevel"/>
    <w:tmpl w:val="B08C8BE6"/>
    <w:lvl w:ilvl="0" w:tplc="8F9856FC">
      <w:numFmt w:val="bullet"/>
      <w:lvlText w:val="•"/>
      <w:lvlJc w:val="left"/>
      <w:pPr>
        <w:ind w:left="283" w:hanging="170"/>
      </w:pPr>
      <w:rPr>
        <w:rFonts w:ascii="Lora" w:eastAsia="Lora" w:hAnsi="Lora" w:cs="Lora" w:hint="default"/>
        <w:b w:val="0"/>
        <w:bCs w:val="0"/>
        <w:i w:val="0"/>
        <w:iCs w:val="0"/>
        <w:color w:val="231F20"/>
        <w:w w:val="100"/>
        <w:sz w:val="17"/>
        <w:szCs w:val="17"/>
        <w:lang w:val="en-US" w:eastAsia="en-US" w:bidi="ar-SA"/>
      </w:rPr>
    </w:lvl>
    <w:lvl w:ilvl="1" w:tplc="74EABC0E">
      <w:numFmt w:val="bullet"/>
      <w:lvlText w:val="•"/>
      <w:lvlJc w:val="left"/>
      <w:pPr>
        <w:ind w:left="592" w:hanging="170"/>
      </w:pPr>
      <w:rPr>
        <w:rFonts w:hint="default"/>
        <w:lang w:val="en-US" w:eastAsia="en-US" w:bidi="ar-SA"/>
      </w:rPr>
    </w:lvl>
    <w:lvl w:ilvl="2" w:tplc="D788065A">
      <w:numFmt w:val="bullet"/>
      <w:lvlText w:val="•"/>
      <w:lvlJc w:val="left"/>
      <w:pPr>
        <w:ind w:left="904" w:hanging="170"/>
      </w:pPr>
      <w:rPr>
        <w:rFonts w:hint="default"/>
        <w:lang w:val="en-US" w:eastAsia="en-US" w:bidi="ar-SA"/>
      </w:rPr>
    </w:lvl>
    <w:lvl w:ilvl="3" w:tplc="EB722692">
      <w:numFmt w:val="bullet"/>
      <w:lvlText w:val="•"/>
      <w:lvlJc w:val="left"/>
      <w:pPr>
        <w:ind w:left="1216" w:hanging="170"/>
      </w:pPr>
      <w:rPr>
        <w:rFonts w:hint="default"/>
        <w:lang w:val="en-US" w:eastAsia="en-US" w:bidi="ar-SA"/>
      </w:rPr>
    </w:lvl>
    <w:lvl w:ilvl="4" w:tplc="21CA95F2">
      <w:numFmt w:val="bullet"/>
      <w:lvlText w:val="•"/>
      <w:lvlJc w:val="left"/>
      <w:pPr>
        <w:ind w:left="1528" w:hanging="170"/>
      </w:pPr>
      <w:rPr>
        <w:rFonts w:hint="default"/>
        <w:lang w:val="en-US" w:eastAsia="en-US" w:bidi="ar-SA"/>
      </w:rPr>
    </w:lvl>
    <w:lvl w:ilvl="5" w:tplc="D8442270">
      <w:numFmt w:val="bullet"/>
      <w:lvlText w:val="•"/>
      <w:lvlJc w:val="left"/>
      <w:pPr>
        <w:ind w:left="1841" w:hanging="170"/>
      </w:pPr>
      <w:rPr>
        <w:rFonts w:hint="default"/>
        <w:lang w:val="en-US" w:eastAsia="en-US" w:bidi="ar-SA"/>
      </w:rPr>
    </w:lvl>
    <w:lvl w:ilvl="6" w:tplc="953E0FDE">
      <w:numFmt w:val="bullet"/>
      <w:lvlText w:val="•"/>
      <w:lvlJc w:val="left"/>
      <w:pPr>
        <w:ind w:left="2153" w:hanging="170"/>
      </w:pPr>
      <w:rPr>
        <w:rFonts w:hint="default"/>
        <w:lang w:val="en-US" w:eastAsia="en-US" w:bidi="ar-SA"/>
      </w:rPr>
    </w:lvl>
    <w:lvl w:ilvl="7" w:tplc="0AFEECFA">
      <w:numFmt w:val="bullet"/>
      <w:lvlText w:val="•"/>
      <w:lvlJc w:val="left"/>
      <w:pPr>
        <w:ind w:left="2465" w:hanging="170"/>
      </w:pPr>
      <w:rPr>
        <w:rFonts w:hint="default"/>
        <w:lang w:val="en-US" w:eastAsia="en-US" w:bidi="ar-SA"/>
      </w:rPr>
    </w:lvl>
    <w:lvl w:ilvl="8" w:tplc="F78412BA">
      <w:numFmt w:val="bullet"/>
      <w:lvlText w:val="•"/>
      <w:lvlJc w:val="left"/>
      <w:pPr>
        <w:ind w:left="2777" w:hanging="170"/>
      </w:pPr>
      <w:rPr>
        <w:rFonts w:hint="default"/>
        <w:lang w:val="en-US" w:eastAsia="en-US" w:bidi="ar-SA"/>
      </w:rPr>
    </w:lvl>
  </w:abstractNum>
  <w:abstractNum w:abstractNumId="23" w15:restartNumberingAfterBreak="0">
    <w:nsid w:val="65843FD2"/>
    <w:multiLevelType w:val="hybridMultilevel"/>
    <w:tmpl w:val="4D2A9D1A"/>
    <w:lvl w:ilvl="0" w:tplc="6AACBABC">
      <w:numFmt w:val="bullet"/>
      <w:lvlText w:val="•"/>
      <w:lvlJc w:val="left"/>
      <w:pPr>
        <w:ind w:left="283" w:hanging="170"/>
      </w:pPr>
      <w:rPr>
        <w:rFonts w:ascii="Lora" w:eastAsia="Lora" w:hAnsi="Lora" w:cs="Lora" w:hint="default"/>
        <w:b w:val="0"/>
        <w:bCs w:val="0"/>
        <w:i w:val="0"/>
        <w:iCs w:val="0"/>
        <w:color w:val="FFFFFF"/>
        <w:w w:val="100"/>
        <w:sz w:val="17"/>
        <w:szCs w:val="17"/>
        <w:lang w:val="en-US" w:eastAsia="en-US" w:bidi="ar-SA"/>
      </w:rPr>
    </w:lvl>
    <w:lvl w:ilvl="1" w:tplc="6F3273A0">
      <w:numFmt w:val="bullet"/>
      <w:lvlText w:val="•"/>
      <w:lvlJc w:val="left"/>
      <w:pPr>
        <w:ind w:left="592" w:hanging="170"/>
      </w:pPr>
      <w:rPr>
        <w:rFonts w:hint="default"/>
        <w:lang w:val="en-US" w:eastAsia="en-US" w:bidi="ar-SA"/>
      </w:rPr>
    </w:lvl>
    <w:lvl w:ilvl="2" w:tplc="25B4DAF6">
      <w:numFmt w:val="bullet"/>
      <w:lvlText w:val="•"/>
      <w:lvlJc w:val="left"/>
      <w:pPr>
        <w:ind w:left="904" w:hanging="170"/>
      </w:pPr>
      <w:rPr>
        <w:rFonts w:hint="default"/>
        <w:lang w:val="en-US" w:eastAsia="en-US" w:bidi="ar-SA"/>
      </w:rPr>
    </w:lvl>
    <w:lvl w:ilvl="3" w:tplc="C9E63B94">
      <w:numFmt w:val="bullet"/>
      <w:lvlText w:val="•"/>
      <w:lvlJc w:val="left"/>
      <w:pPr>
        <w:ind w:left="1216" w:hanging="170"/>
      </w:pPr>
      <w:rPr>
        <w:rFonts w:hint="default"/>
        <w:lang w:val="en-US" w:eastAsia="en-US" w:bidi="ar-SA"/>
      </w:rPr>
    </w:lvl>
    <w:lvl w:ilvl="4" w:tplc="EAC64650">
      <w:numFmt w:val="bullet"/>
      <w:lvlText w:val="•"/>
      <w:lvlJc w:val="left"/>
      <w:pPr>
        <w:ind w:left="1528" w:hanging="170"/>
      </w:pPr>
      <w:rPr>
        <w:rFonts w:hint="default"/>
        <w:lang w:val="en-US" w:eastAsia="en-US" w:bidi="ar-SA"/>
      </w:rPr>
    </w:lvl>
    <w:lvl w:ilvl="5" w:tplc="C6149754">
      <w:numFmt w:val="bullet"/>
      <w:lvlText w:val="•"/>
      <w:lvlJc w:val="left"/>
      <w:pPr>
        <w:ind w:left="1841" w:hanging="170"/>
      </w:pPr>
      <w:rPr>
        <w:rFonts w:hint="default"/>
        <w:lang w:val="en-US" w:eastAsia="en-US" w:bidi="ar-SA"/>
      </w:rPr>
    </w:lvl>
    <w:lvl w:ilvl="6" w:tplc="EEAE077C">
      <w:numFmt w:val="bullet"/>
      <w:lvlText w:val="•"/>
      <w:lvlJc w:val="left"/>
      <w:pPr>
        <w:ind w:left="2153" w:hanging="170"/>
      </w:pPr>
      <w:rPr>
        <w:rFonts w:hint="default"/>
        <w:lang w:val="en-US" w:eastAsia="en-US" w:bidi="ar-SA"/>
      </w:rPr>
    </w:lvl>
    <w:lvl w:ilvl="7" w:tplc="6FEAE03A">
      <w:numFmt w:val="bullet"/>
      <w:lvlText w:val="•"/>
      <w:lvlJc w:val="left"/>
      <w:pPr>
        <w:ind w:left="2465" w:hanging="170"/>
      </w:pPr>
      <w:rPr>
        <w:rFonts w:hint="default"/>
        <w:lang w:val="en-US" w:eastAsia="en-US" w:bidi="ar-SA"/>
      </w:rPr>
    </w:lvl>
    <w:lvl w:ilvl="8" w:tplc="A37410C0">
      <w:numFmt w:val="bullet"/>
      <w:lvlText w:val="•"/>
      <w:lvlJc w:val="left"/>
      <w:pPr>
        <w:ind w:left="2777" w:hanging="170"/>
      </w:pPr>
      <w:rPr>
        <w:rFonts w:hint="default"/>
        <w:lang w:val="en-US" w:eastAsia="en-US" w:bidi="ar-SA"/>
      </w:rPr>
    </w:lvl>
  </w:abstractNum>
  <w:abstractNum w:abstractNumId="24" w15:restartNumberingAfterBreak="0">
    <w:nsid w:val="703579D1"/>
    <w:multiLevelType w:val="hybridMultilevel"/>
    <w:tmpl w:val="4FD02F0E"/>
    <w:lvl w:ilvl="0" w:tplc="7576C72A">
      <w:numFmt w:val="bullet"/>
      <w:lvlText w:val="•"/>
      <w:lvlJc w:val="left"/>
      <w:pPr>
        <w:ind w:left="283" w:hanging="170"/>
      </w:pPr>
      <w:rPr>
        <w:rFonts w:ascii="Lora" w:eastAsia="Lora" w:hAnsi="Lora" w:cs="Lora" w:hint="default"/>
        <w:b w:val="0"/>
        <w:bCs w:val="0"/>
        <w:i w:val="0"/>
        <w:iCs w:val="0"/>
        <w:color w:val="231F20"/>
        <w:w w:val="100"/>
        <w:sz w:val="17"/>
        <w:szCs w:val="17"/>
        <w:lang w:val="en-US" w:eastAsia="en-US" w:bidi="ar-SA"/>
      </w:rPr>
    </w:lvl>
    <w:lvl w:ilvl="1" w:tplc="41085CBC">
      <w:numFmt w:val="bullet"/>
      <w:lvlText w:val="•"/>
      <w:lvlJc w:val="left"/>
      <w:pPr>
        <w:ind w:left="592" w:hanging="170"/>
      </w:pPr>
      <w:rPr>
        <w:rFonts w:hint="default"/>
        <w:lang w:val="en-US" w:eastAsia="en-US" w:bidi="ar-SA"/>
      </w:rPr>
    </w:lvl>
    <w:lvl w:ilvl="2" w:tplc="F68030D2">
      <w:numFmt w:val="bullet"/>
      <w:lvlText w:val="•"/>
      <w:lvlJc w:val="left"/>
      <w:pPr>
        <w:ind w:left="904" w:hanging="170"/>
      </w:pPr>
      <w:rPr>
        <w:rFonts w:hint="default"/>
        <w:lang w:val="en-US" w:eastAsia="en-US" w:bidi="ar-SA"/>
      </w:rPr>
    </w:lvl>
    <w:lvl w:ilvl="3" w:tplc="2F9CDA64">
      <w:numFmt w:val="bullet"/>
      <w:lvlText w:val="•"/>
      <w:lvlJc w:val="left"/>
      <w:pPr>
        <w:ind w:left="1216" w:hanging="170"/>
      </w:pPr>
      <w:rPr>
        <w:rFonts w:hint="default"/>
        <w:lang w:val="en-US" w:eastAsia="en-US" w:bidi="ar-SA"/>
      </w:rPr>
    </w:lvl>
    <w:lvl w:ilvl="4" w:tplc="E4F41F4A">
      <w:numFmt w:val="bullet"/>
      <w:lvlText w:val="•"/>
      <w:lvlJc w:val="left"/>
      <w:pPr>
        <w:ind w:left="1528" w:hanging="170"/>
      </w:pPr>
      <w:rPr>
        <w:rFonts w:hint="default"/>
        <w:lang w:val="en-US" w:eastAsia="en-US" w:bidi="ar-SA"/>
      </w:rPr>
    </w:lvl>
    <w:lvl w:ilvl="5" w:tplc="A5A671FA">
      <w:numFmt w:val="bullet"/>
      <w:lvlText w:val="•"/>
      <w:lvlJc w:val="left"/>
      <w:pPr>
        <w:ind w:left="1841" w:hanging="170"/>
      </w:pPr>
      <w:rPr>
        <w:rFonts w:hint="default"/>
        <w:lang w:val="en-US" w:eastAsia="en-US" w:bidi="ar-SA"/>
      </w:rPr>
    </w:lvl>
    <w:lvl w:ilvl="6" w:tplc="08FAA0FE">
      <w:numFmt w:val="bullet"/>
      <w:lvlText w:val="•"/>
      <w:lvlJc w:val="left"/>
      <w:pPr>
        <w:ind w:left="2153" w:hanging="170"/>
      </w:pPr>
      <w:rPr>
        <w:rFonts w:hint="default"/>
        <w:lang w:val="en-US" w:eastAsia="en-US" w:bidi="ar-SA"/>
      </w:rPr>
    </w:lvl>
    <w:lvl w:ilvl="7" w:tplc="9F807762">
      <w:numFmt w:val="bullet"/>
      <w:lvlText w:val="•"/>
      <w:lvlJc w:val="left"/>
      <w:pPr>
        <w:ind w:left="2465" w:hanging="170"/>
      </w:pPr>
      <w:rPr>
        <w:rFonts w:hint="default"/>
        <w:lang w:val="en-US" w:eastAsia="en-US" w:bidi="ar-SA"/>
      </w:rPr>
    </w:lvl>
    <w:lvl w:ilvl="8" w:tplc="612C2B92">
      <w:numFmt w:val="bullet"/>
      <w:lvlText w:val="•"/>
      <w:lvlJc w:val="left"/>
      <w:pPr>
        <w:ind w:left="2777" w:hanging="170"/>
      </w:pPr>
      <w:rPr>
        <w:rFonts w:hint="default"/>
        <w:lang w:val="en-US" w:eastAsia="en-US" w:bidi="ar-SA"/>
      </w:rPr>
    </w:lvl>
  </w:abstractNum>
  <w:abstractNum w:abstractNumId="25" w15:restartNumberingAfterBreak="0">
    <w:nsid w:val="72020B53"/>
    <w:multiLevelType w:val="hybridMultilevel"/>
    <w:tmpl w:val="76A2B08A"/>
    <w:lvl w:ilvl="0" w:tplc="552CF6B4">
      <w:start w:val="1"/>
      <w:numFmt w:val="bullet"/>
      <w:pStyle w:val="Bullets"/>
      <w:lvlText w:val=""/>
      <w:lvlJc w:val="left"/>
      <w:pPr>
        <w:ind w:left="45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F1E88"/>
    <w:multiLevelType w:val="hybridMultilevel"/>
    <w:tmpl w:val="F1526428"/>
    <w:lvl w:ilvl="0" w:tplc="DC6EE9AC">
      <w:numFmt w:val="bullet"/>
      <w:lvlText w:val="•"/>
      <w:lvlJc w:val="left"/>
      <w:pPr>
        <w:ind w:left="283" w:hanging="171"/>
      </w:pPr>
      <w:rPr>
        <w:rFonts w:ascii="Lora" w:eastAsia="Lora" w:hAnsi="Lora" w:cs="Lora" w:hint="default"/>
        <w:b w:val="0"/>
        <w:bCs w:val="0"/>
        <w:i w:val="0"/>
        <w:iCs w:val="0"/>
        <w:color w:val="FFFFFF"/>
        <w:w w:val="96"/>
        <w:sz w:val="17"/>
        <w:szCs w:val="17"/>
        <w:lang w:val="en-US" w:eastAsia="en-US" w:bidi="ar-SA"/>
      </w:rPr>
    </w:lvl>
    <w:lvl w:ilvl="1" w:tplc="0BEEEC1A">
      <w:numFmt w:val="bullet"/>
      <w:lvlText w:val="•"/>
      <w:lvlJc w:val="left"/>
      <w:pPr>
        <w:ind w:left="631" w:hanging="171"/>
      </w:pPr>
      <w:rPr>
        <w:rFonts w:hint="default"/>
        <w:lang w:val="en-US" w:eastAsia="en-US" w:bidi="ar-SA"/>
      </w:rPr>
    </w:lvl>
    <w:lvl w:ilvl="2" w:tplc="2A9C272A">
      <w:numFmt w:val="bullet"/>
      <w:lvlText w:val="•"/>
      <w:lvlJc w:val="left"/>
      <w:pPr>
        <w:ind w:left="983" w:hanging="171"/>
      </w:pPr>
      <w:rPr>
        <w:rFonts w:hint="default"/>
        <w:lang w:val="en-US" w:eastAsia="en-US" w:bidi="ar-SA"/>
      </w:rPr>
    </w:lvl>
    <w:lvl w:ilvl="3" w:tplc="BB24083E">
      <w:numFmt w:val="bullet"/>
      <w:lvlText w:val="•"/>
      <w:lvlJc w:val="left"/>
      <w:pPr>
        <w:ind w:left="1335" w:hanging="171"/>
      </w:pPr>
      <w:rPr>
        <w:rFonts w:hint="default"/>
        <w:lang w:val="en-US" w:eastAsia="en-US" w:bidi="ar-SA"/>
      </w:rPr>
    </w:lvl>
    <w:lvl w:ilvl="4" w:tplc="A7700CB4">
      <w:numFmt w:val="bullet"/>
      <w:lvlText w:val="•"/>
      <w:lvlJc w:val="left"/>
      <w:pPr>
        <w:ind w:left="1687" w:hanging="171"/>
      </w:pPr>
      <w:rPr>
        <w:rFonts w:hint="default"/>
        <w:lang w:val="en-US" w:eastAsia="en-US" w:bidi="ar-SA"/>
      </w:rPr>
    </w:lvl>
    <w:lvl w:ilvl="5" w:tplc="C5D28A1C">
      <w:numFmt w:val="bullet"/>
      <w:lvlText w:val="•"/>
      <w:lvlJc w:val="left"/>
      <w:pPr>
        <w:ind w:left="2039" w:hanging="171"/>
      </w:pPr>
      <w:rPr>
        <w:rFonts w:hint="default"/>
        <w:lang w:val="en-US" w:eastAsia="en-US" w:bidi="ar-SA"/>
      </w:rPr>
    </w:lvl>
    <w:lvl w:ilvl="6" w:tplc="C5CCADF2">
      <w:numFmt w:val="bullet"/>
      <w:lvlText w:val="•"/>
      <w:lvlJc w:val="left"/>
      <w:pPr>
        <w:ind w:left="2390" w:hanging="171"/>
      </w:pPr>
      <w:rPr>
        <w:rFonts w:hint="default"/>
        <w:lang w:val="en-US" w:eastAsia="en-US" w:bidi="ar-SA"/>
      </w:rPr>
    </w:lvl>
    <w:lvl w:ilvl="7" w:tplc="B0DC8616">
      <w:numFmt w:val="bullet"/>
      <w:lvlText w:val="•"/>
      <w:lvlJc w:val="left"/>
      <w:pPr>
        <w:ind w:left="2742" w:hanging="171"/>
      </w:pPr>
      <w:rPr>
        <w:rFonts w:hint="default"/>
        <w:lang w:val="en-US" w:eastAsia="en-US" w:bidi="ar-SA"/>
      </w:rPr>
    </w:lvl>
    <w:lvl w:ilvl="8" w:tplc="8F4E2358">
      <w:numFmt w:val="bullet"/>
      <w:lvlText w:val="•"/>
      <w:lvlJc w:val="left"/>
      <w:pPr>
        <w:ind w:left="3094" w:hanging="171"/>
      </w:pPr>
      <w:rPr>
        <w:rFonts w:hint="default"/>
        <w:lang w:val="en-US" w:eastAsia="en-US" w:bidi="ar-SA"/>
      </w:rPr>
    </w:lvl>
  </w:abstractNum>
  <w:abstractNum w:abstractNumId="27" w15:restartNumberingAfterBreak="0">
    <w:nsid w:val="766F4DDB"/>
    <w:multiLevelType w:val="hybridMultilevel"/>
    <w:tmpl w:val="3030153E"/>
    <w:lvl w:ilvl="0" w:tplc="45040944">
      <w:numFmt w:val="bullet"/>
      <w:lvlText w:val="•"/>
      <w:lvlJc w:val="left"/>
      <w:pPr>
        <w:ind w:left="283" w:hanging="170"/>
      </w:pPr>
      <w:rPr>
        <w:rFonts w:ascii="Lora" w:eastAsia="Lora" w:hAnsi="Lora" w:cs="Lora" w:hint="default"/>
        <w:b w:val="0"/>
        <w:bCs w:val="0"/>
        <w:i w:val="0"/>
        <w:iCs w:val="0"/>
        <w:color w:val="231F20"/>
        <w:w w:val="100"/>
        <w:sz w:val="17"/>
        <w:szCs w:val="17"/>
        <w:lang w:val="en-US" w:eastAsia="en-US" w:bidi="ar-SA"/>
      </w:rPr>
    </w:lvl>
    <w:lvl w:ilvl="1" w:tplc="E098DB06">
      <w:numFmt w:val="bullet"/>
      <w:lvlText w:val="•"/>
      <w:lvlJc w:val="left"/>
      <w:pPr>
        <w:ind w:left="592" w:hanging="170"/>
      </w:pPr>
      <w:rPr>
        <w:rFonts w:hint="default"/>
        <w:lang w:val="en-US" w:eastAsia="en-US" w:bidi="ar-SA"/>
      </w:rPr>
    </w:lvl>
    <w:lvl w:ilvl="2" w:tplc="305C945A">
      <w:numFmt w:val="bullet"/>
      <w:lvlText w:val="•"/>
      <w:lvlJc w:val="left"/>
      <w:pPr>
        <w:ind w:left="904" w:hanging="170"/>
      </w:pPr>
      <w:rPr>
        <w:rFonts w:hint="default"/>
        <w:lang w:val="en-US" w:eastAsia="en-US" w:bidi="ar-SA"/>
      </w:rPr>
    </w:lvl>
    <w:lvl w:ilvl="3" w:tplc="D158D816">
      <w:numFmt w:val="bullet"/>
      <w:lvlText w:val="•"/>
      <w:lvlJc w:val="left"/>
      <w:pPr>
        <w:ind w:left="1216" w:hanging="170"/>
      </w:pPr>
      <w:rPr>
        <w:rFonts w:hint="default"/>
        <w:lang w:val="en-US" w:eastAsia="en-US" w:bidi="ar-SA"/>
      </w:rPr>
    </w:lvl>
    <w:lvl w:ilvl="4" w:tplc="6A162E14">
      <w:numFmt w:val="bullet"/>
      <w:lvlText w:val="•"/>
      <w:lvlJc w:val="left"/>
      <w:pPr>
        <w:ind w:left="1528" w:hanging="170"/>
      </w:pPr>
      <w:rPr>
        <w:rFonts w:hint="default"/>
        <w:lang w:val="en-US" w:eastAsia="en-US" w:bidi="ar-SA"/>
      </w:rPr>
    </w:lvl>
    <w:lvl w:ilvl="5" w:tplc="0A189140">
      <w:numFmt w:val="bullet"/>
      <w:lvlText w:val="•"/>
      <w:lvlJc w:val="left"/>
      <w:pPr>
        <w:ind w:left="1841" w:hanging="170"/>
      </w:pPr>
      <w:rPr>
        <w:rFonts w:hint="default"/>
        <w:lang w:val="en-US" w:eastAsia="en-US" w:bidi="ar-SA"/>
      </w:rPr>
    </w:lvl>
    <w:lvl w:ilvl="6" w:tplc="D400BF8C">
      <w:numFmt w:val="bullet"/>
      <w:lvlText w:val="•"/>
      <w:lvlJc w:val="left"/>
      <w:pPr>
        <w:ind w:left="2153" w:hanging="170"/>
      </w:pPr>
      <w:rPr>
        <w:rFonts w:hint="default"/>
        <w:lang w:val="en-US" w:eastAsia="en-US" w:bidi="ar-SA"/>
      </w:rPr>
    </w:lvl>
    <w:lvl w:ilvl="7" w:tplc="EF38D3C6">
      <w:numFmt w:val="bullet"/>
      <w:lvlText w:val="•"/>
      <w:lvlJc w:val="left"/>
      <w:pPr>
        <w:ind w:left="2465" w:hanging="170"/>
      </w:pPr>
      <w:rPr>
        <w:rFonts w:hint="default"/>
        <w:lang w:val="en-US" w:eastAsia="en-US" w:bidi="ar-SA"/>
      </w:rPr>
    </w:lvl>
    <w:lvl w:ilvl="8" w:tplc="DC3C654E">
      <w:numFmt w:val="bullet"/>
      <w:lvlText w:val="•"/>
      <w:lvlJc w:val="left"/>
      <w:pPr>
        <w:ind w:left="2777" w:hanging="170"/>
      </w:pPr>
      <w:rPr>
        <w:rFonts w:hint="default"/>
        <w:lang w:val="en-US" w:eastAsia="en-US" w:bidi="ar-SA"/>
      </w:rPr>
    </w:lvl>
  </w:abstractNum>
  <w:abstractNum w:abstractNumId="28" w15:restartNumberingAfterBreak="0">
    <w:nsid w:val="79F73F46"/>
    <w:multiLevelType w:val="hybridMultilevel"/>
    <w:tmpl w:val="384417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1246BB"/>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A333E8D"/>
    <w:multiLevelType w:val="hybridMultilevel"/>
    <w:tmpl w:val="E93A193E"/>
    <w:lvl w:ilvl="0" w:tplc="BEE01B32">
      <w:numFmt w:val="bullet"/>
      <w:lvlText w:val="•"/>
      <w:lvlJc w:val="left"/>
      <w:pPr>
        <w:ind w:left="313" w:hanging="170"/>
      </w:pPr>
      <w:rPr>
        <w:rFonts w:ascii="Lora" w:eastAsia="Lora" w:hAnsi="Lora" w:cs="Lora" w:hint="default"/>
        <w:b w:val="0"/>
        <w:bCs w:val="0"/>
        <w:i w:val="0"/>
        <w:iCs w:val="0"/>
        <w:color w:val="231F20"/>
        <w:w w:val="100"/>
        <w:sz w:val="17"/>
        <w:szCs w:val="17"/>
        <w:lang w:val="en-US" w:eastAsia="en-US" w:bidi="ar-SA"/>
      </w:rPr>
    </w:lvl>
    <w:lvl w:ilvl="1" w:tplc="8BA4B016">
      <w:numFmt w:val="bullet"/>
      <w:lvlText w:val="•"/>
      <w:lvlJc w:val="left"/>
      <w:pPr>
        <w:ind w:left="628" w:hanging="170"/>
      </w:pPr>
      <w:rPr>
        <w:rFonts w:hint="default"/>
        <w:lang w:val="en-US" w:eastAsia="en-US" w:bidi="ar-SA"/>
      </w:rPr>
    </w:lvl>
    <w:lvl w:ilvl="2" w:tplc="D37E0D56">
      <w:numFmt w:val="bullet"/>
      <w:lvlText w:val="•"/>
      <w:lvlJc w:val="left"/>
      <w:pPr>
        <w:ind w:left="936" w:hanging="170"/>
      </w:pPr>
      <w:rPr>
        <w:rFonts w:hint="default"/>
        <w:lang w:val="en-US" w:eastAsia="en-US" w:bidi="ar-SA"/>
      </w:rPr>
    </w:lvl>
    <w:lvl w:ilvl="3" w:tplc="14A439D4">
      <w:numFmt w:val="bullet"/>
      <w:lvlText w:val="•"/>
      <w:lvlJc w:val="left"/>
      <w:pPr>
        <w:ind w:left="1244" w:hanging="170"/>
      </w:pPr>
      <w:rPr>
        <w:rFonts w:hint="default"/>
        <w:lang w:val="en-US" w:eastAsia="en-US" w:bidi="ar-SA"/>
      </w:rPr>
    </w:lvl>
    <w:lvl w:ilvl="4" w:tplc="DC1A72DA">
      <w:numFmt w:val="bullet"/>
      <w:lvlText w:val="•"/>
      <w:lvlJc w:val="left"/>
      <w:pPr>
        <w:ind w:left="1552" w:hanging="170"/>
      </w:pPr>
      <w:rPr>
        <w:rFonts w:hint="default"/>
        <w:lang w:val="en-US" w:eastAsia="en-US" w:bidi="ar-SA"/>
      </w:rPr>
    </w:lvl>
    <w:lvl w:ilvl="5" w:tplc="B280516E">
      <w:numFmt w:val="bullet"/>
      <w:lvlText w:val="•"/>
      <w:lvlJc w:val="left"/>
      <w:pPr>
        <w:ind w:left="1861" w:hanging="170"/>
      </w:pPr>
      <w:rPr>
        <w:rFonts w:hint="default"/>
        <w:lang w:val="en-US" w:eastAsia="en-US" w:bidi="ar-SA"/>
      </w:rPr>
    </w:lvl>
    <w:lvl w:ilvl="6" w:tplc="55A29EE0">
      <w:numFmt w:val="bullet"/>
      <w:lvlText w:val="•"/>
      <w:lvlJc w:val="left"/>
      <w:pPr>
        <w:ind w:left="2169" w:hanging="170"/>
      </w:pPr>
      <w:rPr>
        <w:rFonts w:hint="default"/>
        <w:lang w:val="en-US" w:eastAsia="en-US" w:bidi="ar-SA"/>
      </w:rPr>
    </w:lvl>
    <w:lvl w:ilvl="7" w:tplc="6CC647AC">
      <w:numFmt w:val="bullet"/>
      <w:lvlText w:val="•"/>
      <w:lvlJc w:val="left"/>
      <w:pPr>
        <w:ind w:left="2477" w:hanging="170"/>
      </w:pPr>
      <w:rPr>
        <w:rFonts w:hint="default"/>
        <w:lang w:val="en-US" w:eastAsia="en-US" w:bidi="ar-SA"/>
      </w:rPr>
    </w:lvl>
    <w:lvl w:ilvl="8" w:tplc="20BC1002">
      <w:numFmt w:val="bullet"/>
      <w:lvlText w:val="•"/>
      <w:lvlJc w:val="left"/>
      <w:pPr>
        <w:ind w:left="2785" w:hanging="170"/>
      </w:pPr>
      <w:rPr>
        <w:rFonts w:hint="default"/>
        <w:lang w:val="en-US" w:eastAsia="en-US" w:bidi="ar-SA"/>
      </w:rPr>
    </w:lvl>
  </w:abstractNum>
  <w:abstractNum w:abstractNumId="31" w15:restartNumberingAfterBreak="0">
    <w:nsid w:val="7C191485"/>
    <w:multiLevelType w:val="hybridMultilevel"/>
    <w:tmpl w:val="C9288F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16"/>
  </w:num>
  <w:num w:numId="3">
    <w:abstractNumId w:val="17"/>
  </w:num>
  <w:num w:numId="4">
    <w:abstractNumId w:val="30"/>
  </w:num>
  <w:num w:numId="5">
    <w:abstractNumId w:val="8"/>
  </w:num>
  <w:num w:numId="6">
    <w:abstractNumId w:val="27"/>
  </w:num>
  <w:num w:numId="7">
    <w:abstractNumId w:val="24"/>
  </w:num>
  <w:num w:numId="8">
    <w:abstractNumId w:val="22"/>
  </w:num>
  <w:num w:numId="9">
    <w:abstractNumId w:val="19"/>
  </w:num>
  <w:num w:numId="10">
    <w:abstractNumId w:val="20"/>
  </w:num>
  <w:num w:numId="11">
    <w:abstractNumId w:val="15"/>
  </w:num>
  <w:num w:numId="12">
    <w:abstractNumId w:val="21"/>
  </w:num>
  <w:num w:numId="13">
    <w:abstractNumId w:val="11"/>
  </w:num>
  <w:num w:numId="14">
    <w:abstractNumId w:val="13"/>
  </w:num>
  <w:num w:numId="15">
    <w:abstractNumId w:val="26"/>
  </w:num>
  <w:num w:numId="16">
    <w:abstractNumId w:val="6"/>
  </w:num>
  <w:num w:numId="17">
    <w:abstractNumId w:val="2"/>
  </w:num>
  <w:num w:numId="18">
    <w:abstractNumId w:val="5"/>
  </w:num>
  <w:num w:numId="19">
    <w:abstractNumId w:val="23"/>
  </w:num>
  <w:num w:numId="20">
    <w:abstractNumId w:val="25"/>
  </w:num>
  <w:num w:numId="21">
    <w:abstractNumId w:val="29"/>
  </w:num>
  <w:num w:numId="22">
    <w:abstractNumId w:val="28"/>
  </w:num>
  <w:num w:numId="23">
    <w:abstractNumId w:val="0"/>
  </w:num>
  <w:num w:numId="24">
    <w:abstractNumId w:val="0"/>
    <w:lvlOverride w:ilvl="0">
      <w:lvl w:ilvl="0" w:tplc="08090017">
        <w:start w:val="1"/>
        <w:numFmt w:val="lowerLetter"/>
        <w:lvlText w:val="%1)"/>
        <w:lvlJc w:val="left"/>
        <w:pPr>
          <w:ind w:left="720" w:hanging="360"/>
        </w:pPr>
        <w:rPr>
          <w:rFonts w:hint="default"/>
        </w:rPr>
      </w:lvl>
    </w:lvlOverride>
    <w:lvlOverride w:ilvl="1">
      <w:lvl w:ilvl="1" w:tplc="08090019">
        <w:start w:val="1"/>
        <w:numFmt w:val="lowerRoman"/>
        <w:lvlText w:val="%2."/>
        <w:lvlJc w:val="left"/>
        <w:pPr>
          <w:ind w:left="1440" w:hanging="360"/>
        </w:pPr>
        <w:rPr>
          <w:rFonts w:hint="default"/>
        </w:rPr>
      </w:lvl>
    </w:lvlOverride>
    <w:lvlOverride w:ilvl="2">
      <w:lvl w:ilvl="2" w:tplc="0809001B">
        <w:start w:val="1"/>
        <w:numFmt w:val="lowerRoman"/>
        <w:lvlText w:val="%3."/>
        <w:lvlJc w:val="right"/>
        <w:pPr>
          <w:ind w:left="2160" w:hanging="180"/>
        </w:pPr>
        <w:rPr>
          <w:rFonts w:hint="default"/>
        </w:rPr>
      </w:lvl>
    </w:lvlOverride>
    <w:lvlOverride w:ilvl="3">
      <w:lvl w:ilvl="3" w:tplc="0809000F">
        <w:start w:val="1"/>
        <w:numFmt w:val="decimal"/>
        <w:lvlText w:val="%4."/>
        <w:lvlJc w:val="left"/>
        <w:pPr>
          <w:ind w:left="2880" w:hanging="360"/>
        </w:pPr>
        <w:rPr>
          <w:rFonts w:hint="default"/>
        </w:rPr>
      </w:lvl>
    </w:lvlOverride>
    <w:lvlOverride w:ilvl="4">
      <w:lvl w:ilvl="4" w:tplc="08090019">
        <w:start w:val="1"/>
        <w:numFmt w:val="lowerLetter"/>
        <w:lvlText w:val="%5."/>
        <w:lvlJc w:val="left"/>
        <w:pPr>
          <w:ind w:left="3600" w:hanging="360"/>
        </w:pPr>
        <w:rPr>
          <w:rFonts w:hint="default"/>
        </w:rPr>
      </w:lvl>
    </w:lvlOverride>
    <w:lvlOverride w:ilvl="5">
      <w:lvl w:ilvl="5" w:tplc="0809001B">
        <w:start w:val="1"/>
        <w:numFmt w:val="lowerRoman"/>
        <w:lvlText w:val="%6."/>
        <w:lvlJc w:val="right"/>
        <w:pPr>
          <w:ind w:left="4320" w:hanging="180"/>
        </w:pPr>
        <w:rPr>
          <w:rFonts w:hint="default"/>
        </w:rPr>
      </w:lvl>
    </w:lvlOverride>
    <w:lvlOverride w:ilvl="6">
      <w:lvl w:ilvl="6" w:tplc="0809000F">
        <w:start w:val="1"/>
        <w:numFmt w:val="decimal"/>
        <w:lvlText w:val="%7."/>
        <w:lvlJc w:val="left"/>
        <w:pPr>
          <w:ind w:left="5040" w:hanging="360"/>
        </w:pPr>
        <w:rPr>
          <w:rFonts w:hint="default"/>
        </w:rPr>
      </w:lvl>
    </w:lvlOverride>
    <w:lvlOverride w:ilvl="7">
      <w:lvl w:ilvl="7" w:tplc="08090019">
        <w:start w:val="1"/>
        <w:numFmt w:val="lowerLetter"/>
        <w:lvlText w:val="%8."/>
        <w:lvlJc w:val="left"/>
        <w:pPr>
          <w:ind w:left="5760" w:hanging="360"/>
        </w:pPr>
        <w:rPr>
          <w:rFonts w:hint="default"/>
        </w:rPr>
      </w:lvl>
    </w:lvlOverride>
    <w:lvlOverride w:ilvl="8">
      <w:lvl w:ilvl="8" w:tplc="0809001B">
        <w:start w:val="1"/>
        <w:numFmt w:val="lowerRoman"/>
        <w:lvlText w:val="%9."/>
        <w:lvlJc w:val="right"/>
        <w:pPr>
          <w:ind w:left="6480" w:hanging="180"/>
        </w:pPr>
        <w:rPr>
          <w:rFonts w:hint="default"/>
        </w:rPr>
      </w:lvl>
    </w:lvlOverride>
  </w:num>
  <w:num w:numId="25">
    <w:abstractNumId w:val="7"/>
  </w:num>
  <w:num w:numId="26">
    <w:abstractNumId w:val="12"/>
  </w:num>
  <w:num w:numId="27">
    <w:abstractNumId w:val="4"/>
  </w:num>
  <w:num w:numId="28">
    <w:abstractNumId w:val="3"/>
  </w:num>
  <w:num w:numId="29">
    <w:abstractNumId w:val="10"/>
  </w:num>
  <w:num w:numId="30">
    <w:abstractNumId w:val="9"/>
  </w:num>
  <w:num w:numId="31">
    <w:abstractNumId w:val="31"/>
  </w:num>
  <w:num w:numId="32">
    <w:abstractNumId w:val="14"/>
  </w:num>
  <w:num w:numId="33">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64"/>
    <w:rsid w:val="00003555"/>
    <w:rsid w:val="00027615"/>
    <w:rsid w:val="00041BDA"/>
    <w:rsid w:val="00044916"/>
    <w:rsid w:val="00053B57"/>
    <w:rsid w:val="00065895"/>
    <w:rsid w:val="00065911"/>
    <w:rsid w:val="00081070"/>
    <w:rsid w:val="000842F6"/>
    <w:rsid w:val="00087BEB"/>
    <w:rsid w:val="000A3307"/>
    <w:rsid w:val="000B0941"/>
    <w:rsid w:val="000C4CA9"/>
    <w:rsid w:val="000D5B4C"/>
    <w:rsid w:val="000E18E9"/>
    <w:rsid w:val="000F4B5E"/>
    <w:rsid w:val="000F72D7"/>
    <w:rsid w:val="000F74F5"/>
    <w:rsid w:val="001004D3"/>
    <w:rsid w:val="00117737"/>
    <w:rsid w:val="00133EEF"/>
    <w:rsid w:val="0015531E"/>
    <w:rsid w:val="0016376A"/>
    <w:rsid w:val="00187D79"/>
    <w:rsid w:val="001A69EB"/>
    <w:rsid w:val="001B12B1"/>
    <w:rsid w:val="001D1CF9"/>
    <w:rsid w:val="001E128C"/>
    <w:rsid w:val="001E4017"/>
    <w:rsid w:val="00202747"/>
    <w:rsid w:val="00212914"/>
    <w:rsid w:val="002355FA"/>
    <w:rsid w:val="00242B4B"/>
    <w:rsid w:val="00254A74"/>
    <w:rsid w:val="00260705"/>
    <w:rsid w:val="002965C7"/>
    <w:rsid w:val="002A2BCF"/>
    <w:rsid w:val="002F2887"/>
    <w:rsid w:val="003061EA"/>
    <w:rsid w:val="00313977"/>
    <w:rsid w:val="00342549"/>
    <w:rsid w:val="0035741B"/>
    <w:rsid w:val="0036290B"/>
    <w:rsid w:val="00372286"/>
    <w:rsid w:val="003748A2"/>
    <w:rsid w:val="003862F9"/>
    <w:rsid w:val="00391A40"/>
    <w:rsid w:val="003C6E6D"/>
    <w:rsid w:val="003E2D7B"/>
    <w:rsid w:val="0040702C"/>
    <w:rsid w:val="00431F8C"/>
    <w:rsid w:val="00431FE8"/>
    <w:rsid w:val="00443F57"/>
    <w:rsid w:val="004526F8"/>
    <w:rsid w:val="00477636"/>
    <w:rsid w:val="0048045B"/>
    <w:rsid w:val="00487738"/>
    <w:rsid w:val="004A16A7"/>
    <w:rsid w:val="004A3DE3"/>
    <w:rsid w:val="004A70F8"/>
    <w:rsid w:val="004B0B3C"/>
    <w:rsid w:val="004C1C51"/>
    <w:rsid w:val="004C6AAF"/>
    <w:rsid w:val="004D3CB6"/>
    <w:rsid w:val="004E6095"/>
    <w:rsid w:val="004F4E02"/>
    <w:rsid w:val="004F71BD"/>
    <w:rsid w:val="004F7BDF"/>
    <w:rsid w:val="0050143F"/>
    <w:rsid w:val="00533B10"/>
    <w:rsid w:val="005435F9"/>
    <w:rsid w:val="00545AAA"/>
    <w:rsid w:val="0055327B"/>
    <w:rsid w:val="00563408"/>
    <w:rsid w:val="00581F29"/>
    <w:rsid w:val="005952CC"/>
    <w:rsid w:val="005A4585"/>
    <w:rsid w:val="005C3FDA"/>
    <w:rsid w:val="005D1C61"/>
    <w:rsid w:val="005D23DB"/>
    <w:rsid w:val="005D3222"/>
    <w:rsid w:val="005D46F8"/>
    <w:rsid w:val="005E2F4B"/>
    <w:rsid w:val="005E4A5C"/>
    <w:rsid w:val="005F65F2"/>
    <w:rsid w:val="00603167"/>
    <w:rsid w:val="00604888"/>
    <w:rsid w:val="00607578"/>
    <w:rsid w:val="00610D4E"/>
    <w:rsid w:val="00614078"/>
    <w:rsid w:val="00621073"/>
    <w:rsid w:val="0062143E"/>
    <w:rsid w:val="00621452"/>
    <w:rsid w:val="0063618E"/>
    <w:rsid w:val="00642A16"/>
    <w:rsid w:val="00677610"/>
    <w:rsid w:val="00681068"/>
    <w:rsid w:val="006D2CDC"/>
    <w:rsid w:val="006D2D9F"/>
    <w:rsid w:val="006E09E9"/>
    <w:rsid w:val="006E10D0"/>
    <w:rsid w:val="006E1A17"/>
    <w:rsid w:val="007065BF"/>
    <w:rsid w:val="0070733A"/>
    <w:rsid w:val="00713E38"/>
    <w:rsid w:val="00727660"/>
    <w:rsid w:val="00736A38"/>
    <w:rsid w:val="007F12DC"/>
    <w:rsid w:val="00804351"/>
    <w:rsid w:val="00810E5E"/>
    <w:rsid w:val="008555FD"/>
    <w:rsid w:val="00890F0A"/>
    <w:rsid w:val="008A6742"/>
    <w:rsid w:val="008C02B5"/>
    <w:rsid w:val="008D467B"/>
    <w:rsid w:val="008E0754"/>
    <w:rsid w:val="008E1AEF"/>
    <w:rsid w:val="008F22ED"/>
    <w:rsid w:val="00902D05"/>
    <w:rsid w:val="0091268D"/>
    <w:rsid w:val="0092103D"/>
    <w:rsid w:val="00924768"/>
    <w:rsid w:val="00932235"/>
    <w:rsid w:val="00953805"/>
    <w:rsid w:val="00987895"/>
    <w:rsid w:val="0099166C"/>
    <w:rsid w:val="009C48F9"/>
    <w:rsid w:val="009D07ED"/>
    <w:rsid w:val="009D2002"/>
    <w:rsid w:val="009E48CE"/>
    <w:rsid w:val="00A00981"/>
    <w:rsid w:val="00A11D75"/>
    <w:rsid w:val="00A12C30"/>
    <w:rsid w:val="00A37C57"/>
    <w:rsid w:val="00A4033E"/>
    <w:rsid w:val="00A65137"/>
    <w:rsid w:val="00A750C2"/>
    <w:rsid w:val="00A7769F"/>
    <w:rsid w:val="00A9158F"/>
    <w:rsid w:val="00AA64E9"/>
    <w:rsid w:val="00AA7870"/>
    <w:rsid w:val="00AB3CC6"/>
    <w:rsid w:val="00AC7101"/>
    <w:rsid w:val="00AD1B19"/>
    <w:rsid w:val="00AD2017"/>
    <w:rsid w:val="00AD6006"/>
    <w:rsid w:val="00B1052A"/>
    <w:rsid w:val="00B13845"/>
    <w:rsid w:val="00B1625C"/>
    <w:rsid w:val="00B20583"/>
    <w:rsid w:val="00BA72C6"/>
    <w:rsid w:val="00BC0168"/>
    <w:rsid w:val="00BF0B65"/>
    <w:rsid w:val="00C240B4"/>
    <w:rsid w:val="00C27C96"/>
    <w:rsid w:val="00C404FB"/>
    <w:rsid w:val="00C52FCF"/>
    <w:rsid w:val="00C53817"/>
    <w:rsid w:val="00C652BF"/>
    <w:rsid w:val="00C8140A"/>
    <w:rsid w:val="00C83512"/>
    <w:rsid w:val="00C9372A"/>
    <w:rsid w:val="00CA1C4B"/>
    <w:rsid w:val="00CC07CD"/>
    <w:rsid w:val="00CC7B75"/>
    <w:rsid w:val="00CD7853"/>
    <w:rsid w:val="00CF4E87"/>
    <w:rsid w:val="00CF6322"/>
    <w:rsid w:val="00D00F14"/>
    <w:rsid w:val="00D02B17"/>
    <w:rsid w:val="00D100BA"/>
    <w:rsid w:val="00D4567A"/>
    <w:rsid w:val="00D54C5E"/>
    <w:rsid w:val="00D57D83"/>
    <w:rsid w:val="00D64977"/>
    <w:rsid w:val="00D76C5A"/>
    <w:rsid w:val="00D86BB0"/>
    <w:rsid w:val="00DA1533"/>
    <w:rsid w:val="00DA574C"/>
    <w:rsid w:val="00DC39AA"/>
    <w:rsid w:val="00DD2F20"/>
    <w:rsid w:val="00DD303D"/>
    <w:rsid w:val="00DE629B"/>
    <w:rsid w:val="00DF35EE"/>
    <w:rsid w:val="00E072ED"/>
    <w:rsid w:val="00E104A6"/>
    <w:rsid w:val="00E20564"/>
    <w:rsid w:val="00E218DC"/>
    <w:rsid w:val="00E26861"/>
    <w:rsid w:val="00E5337C"/>
    <w:rsid w:val="00E61C4E"/>
    <w:rsid w:val="00E66F70"/>
    <w:rsid w:val="00E776A7"/>
    <w:rsid w:val="00E84419"/>
    <w:rsid w:val="00E90764"/>
    <w:rsid w:val="00E96388"/>
    <w:rsid w:val="00EB3A3C"/>
    <w:rsid w:val="00EB554A"/>
    <w:rsid w:val="00ED716A"/>
    <w:rsid w:val="00EE180E"/>
    <w:rsid w:val="00EF3E5B"/>
    <w:rsid w:val="00F1209B"/>
    <w:rsid w:val="00F20581"/>
    <w:rsid w:val="00F20B7D"/>
    <w:rsid w:val="00F2740A"/>
    <w:rsid w:val="00F31B1E"/>
    <w:rsid w:val="00F334EC"/>
    <w:rsid w:val="00F33F9D"/>
    <w:rsid w:val="00F435DE"/>
    <w:rsid w:val="00F61166"/>
    <w:rsid w:val="00F97577"/>
    <w:rsid w:val="00FA6C8A"/>
    <w:rsid w:val="00FC6643"/>
    <w:rsid w:val="00FD6FE7"/>
    <w:rsid w:val="00FE2D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E6FEB"/>
  <w15:docId w15:val="{408DCA59-8D10-534C-8846-EC50AEDE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NeueLTStd-Lt" w:eastAsia="HelveticaNeueLTStd-Lt" w:hAnsi="HelveticaNeueLTStd-Lt" w:cs="HelveticaNeueLTStd-Lt"/>
    </w:rPr>
  </w:style>
  <w:style w:type="paragraph" w:styleId="Heading1">
    <w:name w:val="heading 1"/>
    <w:basedOn w:val="Normal"/>
    <w:uiPriority w:val="9"/>
    <w:qFormat/>
    <w:rsid w:val="001004D3"/>
    <w:pPr>
      <w:spacing w:before="1080"/>
      <w:outlineLvl w:val="0"/>
    </w:pPr>
    <w:rPr>
      <w:rFonts w:ascii="Helvetica" w:eastAsia="HelveticaNeueLTStd-Md" w:hAnsi="Helvetica" w:cs="HelveticaNeueLTStd-Md"/>
      <w:sz w:val="60"/>
      <w:szCs w:val="60"/>
    </w:rPr>
  </w:style>
  <w:style w:type="paragraph" w:styleId="Heading2">
    <w:name w:val="heading 2"/>
    <w:basedOn w:val="Normal"/>
    <w:uiPriority w:val="9"/>
    <w:unhideWhenUsed/>
    <w:qFormat/>
    <w:rsid w:val="001D1CF9"/>
    <w:pPr>
      <w:spacing w:before="240" w:after="240" w:line="733" w:lineRule="exact"/>
      <w:outlineLvl w:val="1"/>
    </w:pPr>
    <w:rPr>
      <w:rFonts w:ascii="Helvetica" w:eastAsia="HelveticaNeueLTStd-Md" w:hAnsi="Helvetica" w:cs="HelveticaNeueLTStd-Md"/>
      <w:sz w:val="56"/>
      <w:szCs w:val="56"/>
    </w:rPr>
  </w:style>
  <w:style w:type="paragraph" w:styleId="Heading3">
    <w:name w:val="heading 3"/>
    <w:basedOn w:val="Normal"/>
    <w:uiPriority w:val="9"/>
    <w:unhideWhenUsed/>
    <w:qFormat/>
    <w:rsid w:val="001D1CF9"/>
    <w:pPr>
      <w:spacing w:before="240" w:after="120"/>
      <w:outlineLvl w:val="2"/>
    </w:pPr>
    <w:rPr>
      <w:rFonts w:ascii="Helvetica" w:eastAsia="Roc Grotesk" w:hAnsi="Helvetica" w:cs="Roc Grotesk"/>
      <w:b/>
      <w:bCs/>
      <w:sz w:val="36"/>
      <w:szCs w:val="36"/>
    </w:rPr>
  </w:style>
  <w:style w:type="paragraph" w:styleId="Heading4">
    <w:name w:val="heading 4"/>
    <w:basedOn w:val="Normal"/>
    <w:uiPriority w:val="9"/>
    <w:unhideWhenUsed/>
    <w:qFormat/>
    <w:rsid w:val="00545AAA"/>
    <w:pPr>
      <w:spacing w:before="120"/>
      <w:outlineLvl w:val="3"/>
    </w:pPr>
    <w:rPr>
      <w:rFonts w:ascii="Helvetica" w:eastAsia="HelveticaNeueLT Std" w:hAnsi="Helvetica" w:cs="HelveticaNeueLT Std"/>
      <w:b/>
      <w:bCs/>
      <w:sz w:val="29"/>
      <w:szCs w:val="29"/>
    </w:rPr>
  </w:style>
  <w:style w:type="paragraph" w:styleId="Heading5">
    <w:name w:val="heading 5"/>
    <w:basedOn w:val="Normal"/>
    <w:uiPriority w:val="9"/>
    <w:unhideWhenUsed/>
    <w:qFormat/>
    <w:rsid w:val="001D1CF9"/>
    <w:pPr>
      <w:spacing w:before="120" w:after="60"/>
      <w:outlineLvl w:val="4"/>
    </w:pPr>
    <w:rPr>
      <w:rFonts w:ascii="Helvetica Light" w:hAnsi="Helvetica Light"/>
      <w:sz w:val="28"/>
      <w:szCs w:val="28"/>
    </w:rPr>
  </w:style>
  <w:style w:type="paragraph" w:styleId="Heading6">
    <w:name w:val="heading 6"/>
    <w:basedOn w:val="BodyText"/>
    <w:autoRedefine/>
    <w:uiPriority w:val="9"/>
    <w:unhideWhenUsed/>
    <w:qFormat/>
    <w:rsid w:val="001D1CF9"/>
    <w:pPr>
      <w:spacing w:before="120" w:after="0"/>
      <w:ind w:right="301"/>
      <w:outlineLvl w:val="5"/>
    </w:pPr>
    <w:rPr>
      <w:b/>
      <w:sz w:val="22"/>
      <w:szCs w:val="26"/>
    </w:rPr>
  </w:style>
  <w:style w:type="paragraph" w:styleId="Heading7">
    <w:name w:val="heading 7"/>
    <w:basedOn w:val="Normal"/>
    <w:uiPriority w:val="1"/>
    <w:qFormat/>
    <w:pPr>
      <w:spacing w:line="318" w:lineRule="exact"/>
      <w:ind w:left="168"/>
      <w:outlineLvl w:val="6"/>
    </w:pPr>
    <w:rPr>
      <w:rFonts w:ascii="HelveticaNeueLT Std" w:eastAsia="HelveticaNeueLT Std" w:hAnsi="HelveticaNeueLT Std" w:cs="HelveticaNeueLT Std"/>
      <w:b/>
      <w:bCs/>
      <w:sz w:val="24"/>
      <w:szCs w:val="24"/>
    </w:rPr>
  </w:style>
  <w:style w:type="paragraph" w:styleId="Heading8">
    <w:name w:val="heading 8"/>
    <w:basedOn w:val="Normal"/>
    <w:uiPriority w:val="1"/>
    <w:qFormat/>
    <w:pPr>
      <w:spacing w:before="198"/>
      <w:ind w:left="793"/>
      <w:outlineLvl w:val="7"/>
    </w:pPr>
    <w:rPr>
      <w:rFonts w:ascii="HelveticaNeueLTStd-Md" w:eastAsia="HelveticaNeueLTStd-Md" w:hAnsi="HelveticaNeueLTStd-Md" w:cs="HelveticaNeueLTStd-Md"/>
    </w:rPr>
  </w:style>
  <w:style w:type="paragraph" w:styleId="Heading9">
    <w:name w:val="heading 9"/>
    <w:basedOn w:val="Normal"/>
    <w:uiPriority w:val="1"/>
    <w:qFormat/>
    <w:pPr>
      <w:ind w:left="984"/>
      <w:outlineLvl w:val="8"/>
    </w:pPr>
    <w:rPr>
      <w:rFonts w:ascii="HelveticaNeueLTStd-Roman" w:eastAsia="HelveticaNeueLTStd-Roman" w:hAnsi="HelveticaNeueLTStd-Roman" w:cs="HelveticaNeueLTStd-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utoRedefine/>
    <w:uiPriority w:val="1"/>
    <w:qFormat/>
    <w:rsid w:val="00FA6C8A"/>
    <w:pPr>
      <w:spacing w:before="152" w:after="60" w:line="274" w:lineRule="auto"/>
      <w:ind w:right="303"/>
    </w:pPr>
    <w:rPr>
      <w:rFonts w:ascii="Helvetica" w:eastAsia="HelveticaNeueLTStd-Lt" w:hAnsi="Helvetica" w:cs="HelveticaNeueLTStd-Lt"/>
      <w:color w:val="231F20"/>
      <w:sz w:val="19"/>
      <w:szCs w:val="19"/>
    </w:rPr>
  </w:style>
  <w:style w:type="paragraph" w:styleId="Footer">
    <w:name w:val="footer"/>
    <w:basedOn w:val="Normal"/>
    <w:link w:val="FooterChar"/>
    <w:uiPriority w:val="99"/>
    <w:unhideWhenUsed/>
    <w:rsid w:val="001D1CF9"/>
    <w:pPr>
      <w:tabs>
        <w:tab w:val="center" w:pos="4513"/>
        <w:tab w:val="right" w:pos="9026"/>
      </w:tabs>
    </w:pPr>
  </w:style>
  <w:style w:type="character" w:customStyle="1" w:styleId="FooterChar">
    <w:name w:val="Footer Char"/>
    <w:basedOn w:val="DefaultParagraphFont"/>
    <w:link w:val="Footer"/>
    <w:uiPriority w:val="99"/>
    <w:rsid w:val="001D1CF9"/>
    <w:rPr>
      <w:rFonts w:ascii="HelveticaNeueLTStd-Lt" w:eastAsia="HelveticaNeueLTStd-Lt" w:hAnsi="HelveticaNeueLTStd-Lt" w:cs="HelveticaNeueLTStd-Lt"/>
    </w:rPr>
  </w:style>
  <w:style w:type="paragraph" w:styleId="Header">
    <w:name w:val="header"/>
    <w:basedOn w:val="Normal"/>
    <w:link w:val="HeaderChar"/>
    <w:uiPriority w:val="99"/>
    <w:unhideWhenUsed/>
    <w:rsid w:val="0035741B"/>
    <w:pPr>
      <w:tabs>
        <w:tab w:val="center" w:pos="4513"/>
        <w:tab w:val="right" w:pos="9026"/>
      </w:tabs>
    </w:pPr>
  </w:style>
  <w:style w:type="character" w:customStyle="1" w:styleId="HeaderChar">
    <w:name w:val="Header Char"/>
    <w:basedOn w:val="DefaultParagraphFont"/>
    <w:link w:val="Header"/>
    <w:uiPriority w:val="99"/>
    <w:rsid w:val="0035741B"/>
    <w:rPr>
      <w:rFonts w:ascii="HelveticaNeueLTStd-Lt" w:eastAsia="HelveticaNeueLTStd-Lt" w:hAnsi="HelveticaNeueLTStd-Lt" w:cs="HelveticaNeueLTStd-Lt"/>
    </w:rPr>
  </w:style>
  <w:style w:type="paragraph" w:styleId="BalloonText">
    <w:name w:val="Balloon Text"/>
    <w:basedOn w:val="Normal"/>
    <w:link w:val="BalloonTextChar"/>
    <w:uiPriority w:val="99"/>
    <w:semiHidden/>
    <w:unhideWhenUsed/>
    <w:rsid w:val="00F120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09B"/>
    <w:rPr>
      <w:rFonts w:ascii="Segoe UI" w:eastAsia="HelveticaNeueLTStd-Lt" w:hAnsi="Segoe UI" w:cs="Segoe UI"/>
      <w:sz w:val="18"/>
      <w:szCs w:val="18"/>
    </w:rPr>
  </w:style>
  <w:style w:type="paragraph" w:styleId="TOCHeading">
    <w:name w:val="TOC Heading"/>
    <w:basedOn w:val="Heading1"/>
    <w:next w:val="Normal"/>
    <w:uiPriority w:val="39"/>
    <w:unhideWhenUsed/>
    <w:qFormat/>
    <w:rsid w:val="00242B4B"/>
    <w:pPr>
      <w:keepNext/>
      <w:keepLines/>
      <w:widowControl/>
      <w:autoSpaceDE/>
      <w:autoSpaceDN/>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rsid w:val="00242B4B"/>
    <w:pPr>
      <w:widowControl/>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242B4B"/>
    <w:pPr>
      <w:widowControl/>
      <w:autoSpaceDE/>
      <w:autoSpaceDN/>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242B4B"/>
    <w:pPr>
      <w:widowControl/>
      <w:autoSpaceDE/>
      <w:autoSpaceDN/>
      <w:spacing w:after="100" w:line="259" w:lineRule="auto"/>
      <w:ind w:left="440"/>
    </w:pPr>
    <w:rPr>
      <w:rFonts w:asciiTheme="minorHAnsi" w:eastAsiaTheme="minorEastAsia" w:hAnsiTheme="minorHAnsi" w:cs="Times New Roman"/>
    </w:rPr>
  </w:style>
  <w:style w:type="paragraph" w:styleId="Revision">
    <w:name w:val="Revision"/>
    <w:hidden/>
    <w:uiPriority w:val="99"/>
    <w:semiHidden/>
    <w:rsid w:val="001A69EB"/>
    <w:pPr>
      <w:widowControl/>
      <w:autoSpaceDE/>
      <w:autoSpaceDN/>
    </w:pPr>
    <w:rPr>
      <w:rFonts w:ascii="HelveticaNeueLTStd-Lt" w:eastAsia="HelveticaNeueLTStd-Lt" w:hAnsi="HelveticaNeueLTStd-Lt" w:cs="HelveticaNeueLTStd-Lt"/>
    </w:rPr>
  </w:style>
  <w:style w:type="character" w:styleId="Hyperlink">
    <w:name w:val="Hyperlink"/>
    <w:basedOn w:val="DefaultParagraphFont"/>
    <w:uiPriority w:val="99"/>
    <w:unhideWhenUsed/>
    <w:rsid w:val="00CF6322"/>
    <w:rPr>
      <w:color w:val="0000FF" w:themeColor="hyperlink"/>
      <w:u w:val="single"/>
    </w:rPr>
  </w:style>
  <w:style w:type="paragraph" w:styleId="FootnoteText">
    <w:name w:val="footnote text"/>
    <w:basedOn w:val="Normal"/>
    <w:link w:val="FootnoteTextChar"/>
    <w:uiPriority w:val="99"/>
    <w:semiHidden/>
    <w:unhideWhenUsed/>
    <w:rsid w:val="00B13845"/>
    <w:rPr>
      <w:sz w:val="20"/>
      <w:szCs w:val="20"/>
    </w:rPr>
  </w:style>
  <w:style w:type="character" w:customStyle="1" w:styleId="FootnoteTextChar">
    <w:name w:val="Footnote Text Char"/>
    <w:basedOn w:val="DefaultParagraphFont"/>
    <w:link w:val="FootnoteText"/>
    <w:uiPriority w:val="99"/>
    <w:semiHidden/>
    <w:rsid w:val="00B13845"/>
    <w:rPr>
      <w:rFonts w:ascii="HelveticaNeueLTStd-Lt" w:eastAsia="HelveticaNeueLTStd-Lt" w:hAnsi="HelveticaNeueLTStd-Lt" w:cs="HelveticaNeueLTStd-Lt"/>
      <w:sz w:val="20"/>
      <w:szCs w:val="20"/>
    </w:rPr>
  </w:style>
  <w:style w:type="character" w:styleId="FootnoteReference">
    <w:name w:val="footnote reference"/>
    <w:basedOn w:val="DefaultParagraphFont"/>
    <w:uiPriority w:val="99"/>
    <w:semiHidden/>
    <w:unhideWhenUsed/>
    <w:rsid w:val="00B13845"/>
    <w:rPr>
      <w:vertAlign w:val="superscript"/>
    </w:rPr>
  </w:style>
  <w:style w:type="paragraph" w:customStyle="1" w:styleId="OutcomelabelTextstyles">
    <w:name w:val="Outcome label (Text styles)"/>
    <w:basedOn w:val="Normal"/>
    <w:uiPriority w:val="99"/>
    <w:rsid w:val="00B13845"/>
    <w:pPr>
      <w:widowControl/>
      <w:suppressAutoHyphens/>
      <w:adjustRightInd w:val="0"/>
      <w:spacing w:before="283" w:line="440" w:lineRule="atLeast"/>
      <w:jc w:val="center"/>
      <w:textAlignment w:val="center"/>
    </w:pPr>
    <w:rPr>
      <w:rFonts w:ascii="HelveticaNeueLT Std Lt" w:eastAsiaTheme="minorHAnsi" w:hAnsi="HelveticaNeueLT Std Lt" w:cs="HelveticaNeueLT Std Lt"/>
      <w:color w:val="153A6E"/>
      <w:sz w:val="36"/>
      <w:szCs w:val="36"/>
    </w:rPr>
  </w:style>
  <w:style w:type="paragraph" w:customStyle="1" w:styleId="Heading2Headings">
    <w:name w:val="Heading 2 (Headings)"/>
    <w:basedOn w:val="Normal"/>
    <w:next w:val="Normal"/>
    <w:uiPriority w:val="99"/>
    <w:rsid w:val="00B13845"/>
    <w:pPr>
      <w:widowControl/>
      <w:adjustRightInd w:val="0"/>
      <w:spacing w:before="227" w:after="113" w:line="300" w:lineRule="atLeast"/>
      <w:textAlignment w:val="center"/>
    </w:pPr>
    <w:rPr>
      <w:rFonts w:ascii="HelveticaNeueLT Std" w:eastAsiaTheme="minorHAnsi" w:hAnsi="HelveticaNeueLT Std" w:cs="HelveticaNeueLT Std"/>
      <w:b/>
      <w:bCs/>
      <w:color w:val="1D3B6E"/>
      <w:sz w:val="29"/>
      <w:szCs w:val="29"/>
    </w:rPr>
  </w:style>
  <w:style w:type="paragraph" w:customStyle="1" w:styleId="OC-OVERVIEW-lineOutcomes">
    <w:name w:val="OC-OVERVIEW-line (Outcomes)"/>
    <w:basedOn w:val="Normal"/>
    <w:uiPriority w:val="99"/>
    <w:rsid w:val="00B13845"/>
    <w:pPr>
      <w:widowControl/>
      <w:pBdr>
        <w:top w:val="single" w:sz="16" w:space="5" w:color="auto"/>
      </w:pBdr>
      <w:suppressAutoHyphens/>
      <w:adjustRightInd w:val="0"/>
      <w:spacing w:before="170" w:line="260" w:lineRule="atLeast"/>
      <w:ind w:left="397"/>
      <w:jc w:val="right"/>
      <w:textAlignment w:val="center"/>
    </w:pPr>
    <w:rPr>
      <w:rFonts w:ascii="HelveticaNeueLT Std" w:eastAsiaTheme="minorHAnsi" w:hAnsi="HelveticaNeueLT Std" w:cs="HelveticaNeueLT Std"/>
      <w:b/>
      <w:bCs/>
      <w:color w:val="153A6E"/>
      <w:sz w:val="28"/>
      <w:szCs w:val="28"/>
    </w:rPr>
  </w:style>
  <w:style w:type="paragraph" w:customStyle="1" w:styleId="OC-OVERVIEWSectionNameHeadings">
    <w:name w:val="OC-OVERVIEW Section Name (Headings)"/>
    <w:basedOn w:val="Normal"/>
    <w:uiPriority w:val="99"/>
    <w:rsid w:val="00B13845"/>
    <w:pPr>
      <w:widowControl/>
      <w:suppressAutoHyphens/>
      <w:adjustRightInd w:val="0"/>
      <w:spacing w:after="170" w:line="250" w:lineRule="atLeast"/>
      <w:ind w:left="397"/>
      <w:jc w:val="right"/>
      <w:textAlignment w:val="center"/>
    </w:pPr>
    <w:rPr>
      <w:rFonts w:ascii="HelveticaNeueLT Std" w:eastAsiaTheme="minorHAnsi" w:hAnsi="HelveticaNeueLT Std" w:cs="HelveticaNeueLT Std"/>
      <w:b/>
      <w:bCs/>
      <w:color w:val="000000"/>
      <w:sz w:val="19"/>
      <w:szCs w:val="19"/>
    </w:rPr>
  </w:style>
  <w:style w:type="paragraph" w:customStyle="1" w:styleId="NoParagraphStyle">
    <w:name w:val="[No Paragraph Style]"/>
    <w:rsid w:val="00B1052A"/>
    <w:pPr>
      <w:widowControl/>
      <w:adjustRightInd w:val="0"/>
      <w:spacing w:line="288" w:lineRule="auto"/>
      <w:textAlignment w:val="center"/>
    </w:pPr>
    <w:rPr>
      <w:rFonts w:ascii="MinionPro-Regular" w:hAnsi="MinionPro-Regular" w:cs="MinionPro-Regular"/>
      <w:color w:val="000000"/>
      <w:sz w:val="24"/>
      <w:szCs w:val="24"/>
    </w:rPr>
  </w:style>
  <w:style w:type="paragraph" w:customStyle="1" w:styleId="IntroTextstyles">
    <w:name w:val="Intro (Text styles)"/>
    <w:basedOn w:val="NoParagraphStyle"/>
    <w:uiPriority w:val="99"/>
    <w:rsid w:val="00B1052A"/>
    <w:pPr>
      <w:suppressAutoHyphens/>
      <w:spacing w:before="57" w:after="170" w:line="300" w:lineRule="atLeast"/>
    </w:pPr>
    <w:rPr>
      <w:rFonts w:ascii="HelveticaNeueLT Std Lt" w:hAnsi="HelveticaNeueLT Std Lt" w:cs="HelveticaNeueLT Std Lt"/>
    </w:rPr>
  </w:style>
  <w:style w:type="paragraph" w:customStyle="1" w:styleId="BodyTextstyles">
    <w:name w:val="Body (Text styles)"/>
    <w:basedOn w:val="NoParagraphStyle"/>
    <w:uiPriority w:val="99"/>
    <w:rsid w:val="00B1052A"/>
    <w:pPr>
      <w:suppressAutoHyphens/>
      <w:spacing w:after="170" w:line="250" w:lineRule="atLeast"/>
    </w:pPr>
    <w:rPr>
      <w:rFonts w:ascii="HelveticaNeueLT Std Lt" w:hAnsi="HelveticaNeueLT Std Lt" w:cs="HelveticaNeueLT Std Lt"/>
      <w:sz w:val="19"/>
      <w:szCs w:val="19"/>
    </w:rPr>
  </w:style>
  <w:style w:type="paragraph" w:customStyle="1" w:styleId="Bullets">
    <w:name w:val="Bullets"/>
    <w:basedOn w:val="BodyTextstyles"/>
    <w:next w:val="NoParagraphStyle"/>
    <w:autoRedefine/>
    <w:qFormat/>
    <w:rsid w:val="001D1CF9"/>
    <w:pPr>
      <w:numPr>
        <w:numId w:val="20"/>
      </w:numPr>
      <w:spacing w:after="60"/>
    </w:pPr>
    <w:rPr>
      <w:rFonts w:ascii="Helvetica" w:hAnsi="Helvetica"/>
    </w:rPr>
  </w:style>
  <w:style w:type="paragraph" w:customStyle="1" w:styleId="Corp-Divs">
    <w:name w:val="Corp-Divs"/>
    <w:basedOn w:val="NoParagraphStyle"/>
    <w:uiPriority w:val="99"/>
    <w:rsid w:val="00B1052A"/>
    <w:pPr>
      <w:pBdr>
        <w:bottom w:val="single" w:sz="12" w:space="8" w:color="000000"/>
      </w:pBdr>
      <w:suppressAutoHyphens/>
      <w:spacing w:after="283" w:line="220" w:lineRule="atLeast"/>
      <w:ind w:left="170" w:right="170"/>
    </w:pPr>
    <w:rPr>
      <w:rFonts w:ascii="HelveticaNeueLT Std" w:hAnsi="HelveticaNeueLT Std" w:cs="HelveticaNeueLT Std"/>
      <w:b/>
      <w:bCs/>
      <w:sz w:val="18"/>
      <w:szCs w:val="18"/>
    </w:rPr>
  </w:style>
  <w:style w:type="numbering" w:customStyle="1" w:styleId="CurrentList1">
    <w:name w:val="Current List1"/>
    <w:uiPriority w:val="99"/>
    <w:rsid w:val="00B1052A"/>
    <w:pPr>
      <w:numPr>
        <w:numId w:val="21"/>
      </w:numPr>
    </w:pPr>
  </w:style>
  <w:style w:type="paragraph" w:customStyle="1" w:styleId="Partners-labelsInfographics">
    <w:name w:val="Partners-labels (Infographics)"/>
    <w:basedOn w:val="Heading2Headings"/>
    <w:uiPriority w:val="99"/>
    <w:rsid w:val="008555FD"/>
    <w:pPr>
      <w:suppressAutoHyphens/>
      <w:spacing w:before="0" w:after="0" w:line="280" w:lineRule="atLeast"/>
    </w:pPr>
    <w:rPr>
      <w:color w:val="FFFFFF"/>
      <w:sz w:val="24"/>
      <w:szCs w:val="24"/>
    </w:rPr>
  </w:style>
  <w:style w:type="table" w:styleId="TableGrid">
    <w:name w:val="Table Grid"/>
    <w:basedOn w:val="TableNormal"/>
    <w:uiPriority w:val="39"/>
    <w:rsid w:val="002F2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styles">
    <w:name w:val="Table body (Text styles)"/>
    <w:basedOn w:val="NoParagraphStyle"/>
    <w:uiPriority w:val="99"/>
    <w:rsid w:val="008D467B"/>
    <w:pPr>
      <w:suppressAutoHyphens/>
      <w:spacing w:after="57" w:line="240" w:lineRule="atLeast"/>
    </w:pPr>
    <w:rPr>
      <w:rFonts w:ascii="HelveticaNeueLT Std Lt" w:hAnsi="HelveticaNeueLT Std Lt" w:cs="HelveticaNeueLT Std Lt"/>
      <w:sz w:val="19"/>
      <w:szCs w:val="19"/>
    </w:rPr>
  </w:style>
  <w:style w:type="paragraph" w:customStyle="1" w:styleId="Bulletlevel1Textstyles">
    <w:name w:val="Bullet level 1 (Text styles)"/>
    <w:basedOn w:val="BodyTextstyles"/>
    <w:uiPriority w:val="99"/>
    <w:rsid w:val="008D467B"/>
    <w:pPr>
      <w:spacing w:after="57"/>
      <w:ind w:left="170" w:hanging="170"/>
    </w:pPr>
  </w:style>
  <w:style w:type="character" w:customStyle="1" w:styleId="Bold">
    <w:name w:val="Bold"/>
    <w:uiPriority w:val="99"/>
    <w:rsid w:val="00431FE8"/>
    <w:rPr>
      <w:rFonts w:ascii="HelveticaNeueLT Std" w:hAnsi="HelveticaNeueLT Std" w:cs="HelveticaNeueLT Std"/>
      <w:b/>
      <w:bCs/>
    </w:rPr>
  </w:style>
  <w:style w:type="character" w:styleId="Strong">
    <w:name w:val="Strong"/>
    <w:uiPriority w:val="22"/>
    <w:qFormat/>
    <w:rsid w:val="00431FE8"/>
    <w:rPr>
      <w:b/>
      <w:bCs/>
    </w:rPr>
  </w:style>
  <w:style w:type="paragraph" w:customStyle="1" w:styleId="OC1SnapshotbulletTextstyles">
    <w:name w:val="OC1 Snapshot bullet (Text styles)"/>
    <w:basedOn w:val="Bulletlevel1Textstyles"/>
    <w:uiPriority w:val="99"/>
    <w:rsid w:val="00041BDA"/>
    <w:pPr>
      <w:tabs>
        <w:tab w:val="left" w:pos="0"/>
        <w:tab w:val="left" w:pos="283"/>
      </w:tabs>
      <w:spacing w:after="113" w:line="280" w:lineRule="atLeast"/>
      <w:ind w:left="227" w:hanging="227"/>
    </w:pPr>
    <w:rPr>
      <w:rFonts w:ascii="HelveticaNeueLT Std" w:hAnsi="HelveticaNeueLT Std" w:cs="HelveticaNeueLT Std"/>
      <w:color w:val="FFFFFF"/>
      <w:sz w:val="21"/>
      <w:szCs w:val="21"/>
    </w:rPr>
  </w:style>
  <w:style w:type="paragraph" w:customStyle="1" w:styleId="OC-Heading2Headings">
    <w:name w:val="OC-Heading 2 (Headings)"/>
    <w:basedOn w:val="Heading2Headings"/>
    <w:uiPriority w:val="99"/>
    <w:rsid w:val="00041BDA"/>
    <w:pPr>
      <w:pBdr>
        <w:top w:val="single" w:sz="24" w:space="19" w:color="auto"/>
      </w:pBdr>
      <w:suppressAutoHyphens/>
      <w:spacing w:before="567" w:after="170" w:line="360" w:lineRule="atLeast"/>
      <w:ind w:left="624"/>
    </w:pPr>
    <w:rPr>
      <w:rFonts w:ascii="HelveticaNeueLT Std Lt" w:hAnsi="HelveticaNeueLT Std Lt" w:cs="HelveticaNeueLT Std Lt"/>
      <w:color w:val="AA176D"/>
      <w:sz w:val="32"/>
      <w:szCs w:val="32"/>
    </w:rPr>
  </w:style>
  <w:style w:type="character" w:customStyle="1" w:styleId="Navy-OC1Colours">
    <w:name w:val="Navy-OC1 (Colours)"/>
    <w:basedOn w:val="DefaultParagraphFont"/>
    <w:uiPriority w:val="99"/>
    <w:rsid w:val="00041BDA"/>
    <w:rPr>
      <w:color w:val="153A6E"/>
    </w:rPr>
  </w:style>
  <w:style w:type="numbering" w:customStyle="1" w:styleId="CurrentList2">
    <w:name w:val="Current List2"/>
    <w:uiPriority w:val="99"/>
    <w:rsid w:val="00603167"/>
    <w:pPr>
      <w:numPr>
        <w:numId w:val="25"/>
      </w:numPr>
    </w:pPr>
  </w:style>
  <w:style w:type="character" w:customStyle="1" w:styleId="Teal-OCColours">
    <w:name w:val="Teal-OC (Colours)"/>
    <w:uiPriority w:val="99"/>
    <w:rsid w:val="00902D05"/>
    <w:rPr>
      <w:color w:val="008A96"/>
    </w:rPr>
  </w:style>
  <w:style w:type="paragraph" w:customStyle="1" w:styleId="TimelineTitleLGETimeline">
    <w:name w:val="Timeline Title LGE (Timeline)"/>
    <w:basedOn w:val="Normal"/>
    <w:uiPriority w:val="99"/>
    <w:rsid w:val="00C652BF"/>
    <w:pPr>
      <w:keepNext/>
      <w:keepLines/>
      <w:widowControl/>
      <w:tabs>
        <w:tab w:val="left" w:pos="6780"/>
      </w:tabs>
      <w:suppressAutoHyphens/>
      <w:adjustRightInd w:val="0"/>
      <w:spacing w:after="340" w:line="760" w:lineRule="atLeast"/>
      <w:textAlignment w:val="center"/>
    </w:pPr>
    <w:rPr>
      <w:rFonts w:ascii="Roc Grotesk" w:eastAsiaTheme="minorHAnsi" w:hAnsi="Roc Grotesk" w:cs="Roc Grotesk"/>
      <w:b/>
      <w:bCs/>
      <w:color w:val="000000"/>
      <w:sz w:val="72"/>
      <w:szCs w:val="72"/>
      <w:u w:color="E8E8DD"/>
      <w:lang w:val="en-GB"/>
    </w:rPr>
  </w:style>
  <w:style w:type="paragraph" w:customStyle="1" w:styleId="TimelineHeaderTimeline">
    <w:name w:val="Timeline Header (Timeline)"/>
    <w:basedOn w:val="Normal"/>
    <w:uiPriority w:val="99"/>
    <w:rsid w:val="00C652BF"/>
    <w:pPr>
      <w:keepNext/>
      <w:keepLines/>
      <w:widowControl/>
      <w:tabs>
        <w:tab w:val="left" w:pos="6780"/>
      </w:tabs>
      <w:suppressAutoHyphens/>
      <w:adjustRightInd w:val="0"/>
      <w:spacing w:after="113" w:line="260" w:lineRule="atLeast"/>
      <w:ind w:left="170"/>
      <w:textAlignment w:val="center"/>
    </w:pPr>
    <w:rPr>
      <w:rFonts w:ascii="Roc Grotesk" w:eastAsiaTheme="minorHAnsi" w:hAnsi="Roc Grotesk" w:cs="Roc Grotesk"/>
      <w:b/>
      <w:bCs/>
      <w:color w:val="000000"/>
      <w:sz w:val="28"/>
      <w:szCs w:val="28"/>
      <w:lang w:val="en-GB"/>
    </w:rPr>
  </w:style>
  <w:style w:type="paragraph" w:customStyle="1" w:styleId="TIMELINESUPERSMALLTimeline">
    <w:name w:val="TIMELINE SUPER SMALL (Timeline)"/>
    <w:basedOn w:val="Normal"/>
    <w:uiPriority w:val="99"/>
    <w:rsid w:val="00C652BF"/>
    <w:pPr>
      <w:keepLines/>
      <w:widowControl/>
      <w:tabs>
        <w:tab w:val="left" w:pos="6780"/>
      </w:tabs>
      <w:suppressAutoHyphens/>
      <w:adjustRightInd w:val="0"/>
      <w:spacing w:after="57" w:line="200" w:lineRule="atLeast"/>
      <w:ind w:left="170" w:hanging="170"/>
      <w:textAlignment w:val="center"/>
    </w:pPr>
    <w:rPr>
      <w:rFonts w:ascii="Lora" w:eastAsiaTheme="minorHAnsi" w:hAnsi="Lora" w:cstheme="minorBidi"/>
      <w:color w:val="FFFFFF"/>
      <w:sz w:val="17"/>
      <w:szCs w:val="17"/>
      <w:lang w:val="en-GB"/>
    </w:rPr>
  </w:style>
  <w:style w:type="paragraph" w:customStyle="1" w:styleId="TIMELINESUPERSMALLblkTimeline">
    <w:name w:val="TIMELINE SUPER SMALL blk (Timeline)"/>
    <w:basedOn w:val="Normal"/>
    <w:uiPriority w:val="99"/>
    <w:rsid w:val="00065895"/>
    <w:pPr>
      <w:keepLines/>
      <w:widowControl/>
      <w:tabs>
        <w:tab w:val="left" w:pos="6780"/>
      </w:tabs>
      <w:suppressAutoHyphens/>
      <w:adjustRightInd w:val="0"/>
      <w:spacing w:after="85" w:line="200" w:lineRule="atLeast"/>
      <w:ind w:left="170" w:hanging="170"/>
      <w:textAlignment w:val="center"/>
    </w:pPr>
    <w:rPr>
      <w:rFonts w:ascii="Lora" w:eastAsiaTheme="minorHAnsi" w:hAnsi="Lora" w:cstheme="minorBidi"/>
      <w:color w:val="000000"/>
      <w:sz w:val="17"/>
      <w:szCs w:val="17"/>
      <w:lang w:val="en-GB"/>
    </w:rPr>
  </w:style>
  <w:style w:type="paragraph" w:customStyle="1" w:styleId="Footnotes">
    <w:name w:val="Footnotes"/>
    <w:basedOn w:val="BodyText"/>
    <w:autoRedefine/>
    <w:qFormat/>
    <w:rsid w:val="003061EA"/>
    <w:pPr>
      <w:spacing w:before="60" w:after="0" w:line="240" w:lineRule="auto"/>
      <w:ind w:right="301"/>
    </w:pPr>
    <w:rPr>
      <w:sz w:val="16"/>
    </w:rPr>
  </w:style>
  <w:style w:type="character" w:customStyle="1" w:styleId="UnresolvedMention">
    <w:name w:val="Unresolved Mention"/>
    <w:basedOn w:val="DefaultParagraphFont"/>
    <w:uiPriority w:val="99"/>
    <w:semiHidden/>
    <w:unhideWhenUsed/>
    <w:rsid w:val="00B16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hwd.health.gov.au/resources/information/nhwds.html" TargetMode="External"/><Relationship Id="rId13" Type="http://schemas.openxmlformats.org/officeDocument/2006/relationships/hyperlink" Target="http://www.aihw.gov.au/reports-data/health-welfare-services/cancer-screening/reports" TargetMode="External"/><Relationship Id="rId18" Type="http://schemas.openxmlformats.org/officeDocument/2006/relationships/hyperlink" Target="http://www.industrialchemicals.gov.au/" TargetMode="External"/><Relationship Id="rId26" Type="http://schemas.openxmlformats.org/officeDocument/2006/relationships/hyperlink" Target="http://www.pbs.gov.au/info/industry/listing/elements/pbac-meetings" TargetMode="External"/><Relationship Id="rId3" Type="http://schemas.openxmlformats.org/officeDocument/2006/relationships/hyperlink" Target="http://www.federalfinancialrelations.gov.au/content/national_agreements.aspx" TargetMode="External"/><Relationship Id="rId21" Type="http://schemas.openxmlformats.org/officeDocument/2006/relationships/hyperlink" Target="http://www.health.gov.au/initiatives-and-programs/covid-19-vaccines/australias-covid-19-vaccine-rollout" TargetMode="External"/><Relationship Id="rId7" Type="http://schemas.openxmlformats.org/officeDocument/2006/relationships/hyperlink" Target="http://www1.health.gov.au/internet/main/publishing.nsf/Content/Medicare+Statistics-1" TargetMode="External"/><Relationship Id="rId12" Type="http://schemas.openxmlformats.org/officeDocument/2006/relationships/hyperlink" Target="http://www.aihw.gov.au/about-our-data/our-data-collections/national-drug-strategy-household-survey/2019-ndshs" TargetMode="External"/><Relationship Id="rId17" Type="http://schemas.openxmlformats.org/officeDocument/2006/relationships/hyperlink" Target="http://www.comlaw.gov.au/Current/C2004C04256" TargetMode="External"/><Relationship Id="rId25" Type="http://schemas.openxmlformats.org/officeDocument/2006/relationships/hyperlink" Target="http://www.pbs.gov.au/medicinestatus/home.html" TargetMode="External"/><Relationship Id="rId2" Type="http://schemas.openxmlformats.org/officeDocument/2006/relationships/hyperlink" Target="http://www.pc.gov.au/research/ongoing/report-on-government-services/2020/health/public-hospitals" TargetMode="External"/><Relationship Id="rId16" Type="http://schemas.openxmlformats.org/officeDocument/2006/relationships/hyperlink" Target="http://www.legislation.gov.au/Details/F2021C00400" TargetMode="External"/><Relationship Id="rId20" Type="http://schemas.openxmlformats.org/officeDocument/2006/relationships/hyperlink" Target="http://www.ncirs.org.au/" TargetMode="External"/><Relationship Id="rId29" Type="http://schemas.openxmlformats.org/officeDocument/2006/relationships/hyperlink" Target="http://www.clearinghouseforsport.gov.au/research/ausplay/results" TargetMode="External"/><Relationship Id="rId1" Type="http://schemas.openxmlformats.org/officeDocument/2006/relationships/hyperlink" Target="http://www.health.gov.au/about-us/corporate-reporting/annual-reports" TargetMode="External"/><Relationship Id="rId6" Type="http://schemas.openxmlformats.org/officeDocument/2006/relationships/hyperlink" Target="http://www.aihw.gov.au/about-our-data/our-data-collections/national-perinatal-data-collection" TargetMode="External"/><Relationship Id="rId11" Type="http://schemas.openxmlformats.org/officeDocument/2006/relationships/hyperlink" Target="http://www.aihw.gov.au/reports/alcohol/measuring-risky-drinking-aus-alcohol-guidelines/contents/measuring-risky-drinking" TargetMode="External"/><Relationship Id="rId24" Type="http://schemas.openxmlformats.org/officeDocument/2006/relationships/hyperlink" Target="http://www.hearing.com.au/About-Hearing-Australia/Corporate-Publications-(1)/Annual-Reports" TargetMode="External"/><Relationship Id="rId5" Type="http://schemas.openxmlformats.org/officeDocument/2006/relationships/hyperlink" Target="http://www.health.gov.au/resources/publications/national-aboriginal-and-torres-strait-islander-health-plan-2013-2023" TargetMode="External"/><Relationship Id="rId15" Type="http://schemas.openxmlformats.org/officeDocument/2006/relationships/hyperlink" Target="http://www.tga.gov.au/publication/health-products-regulation-group-regulatory-science-strategy-2020-2025" TargetMode="External"/><Relationship Id="rId23" Type="http://schemas.openxmlformats.org/officeDocument/2006/relationships/hyperlink" Target="http://www.hearingservices.gov.au/" TargetMode="External"/><Relationship Id="rId28" Type="http://schemas.openxmlformats.org/officeDocument/2006/relationships/hyperlink" Target="http://www.health.gov.au/resources/publications/home-care-packages-program-data-reports" TargetMode="External"/><Relationship Id="rId10" Type="http://schemas.openxmlformats.org/officeDocument/2006/relationships/hyperlink" Target="http://www.aihw.gov.au/about-our-data/our-data-collections/national-drug-strategy-household-survey/2019-ndshs" TargetMode="External"/><Relationship Id="rId19" Type="http://schemas.openxmlformats.org/officeDocument/2006/relationships/hyperlink" Target="http://www.health.gov.au/health-topics/immunisation/childhood-immunisation-coverage" TargetMode="External"/><Relationship Id="rId31" Type="http://schemas.openxmlformats.org/officeDocument/2006/relationships/hyperlink" Target="http://www.sportaus.gov.au/nationalsportplan/home" TargetMode="External"/><Relationship Id="rId4" Type="http://schemas.openxmlformats.org/officeDocument/2006/relationships/hyperlink" Target="http://www.health.gov.au/resources/collections/national-mental-health-workforce-strategy" TargetMode="External"/><Relationship Id="rId9" Type="http://schemas.openxmlformats.org/officeDocument/2006/relationships/hyperlink" Target="http://www.abs.gov.au/statistics/health/health-conditions-and-risks/national-health-survey-first-results/latest-release" TargetMode="External"/><Relationship Id="rId14" Type="http://schemas.openxmlformats.org/officeDocument/2006/relationships/hyperlink" Target="http://www.aihw.gov.au/reports/primary-health-care/disparities-in-potentially-preventable-hospitalisations-exploring-the-data/contents/exploring-the-potentially-" TargetMode="External"/><Relationship Id="rId22" Type="http://schemas.openxmlformats.org/officeDocument/2006/relationships/hyperlink" Target="http://www.health.gov.au/resources/collections/mbs-review-final-taskforce-reports-findings-and-recommendations" TargetMode="External"/><Relationship Id="rId27" Type="http://schemas.openxmlformats.org/officeDocument/2006/relationships/hyperlink" Target="http://www.health.gov.au/phi-6720-2021-private-health-insurance-premium-round-applications" TargetMode="External"/><Relationship Id="rId30" Type="http://schemas.openxmlformats.org/officeDocument/2006/relationships/hyperlink" Target="http://www.clearinghouseforsport.gov.au/research/ausplay/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14" ma:contentTypeDescription="Create a new document." ma:contentTypeScope="" ma:versionID="2feff9cad94a37fc578a6ee90c03765b">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cc58c0ec5d1e855e0eed02dd8a604173"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1499F-DD37-4C21-82C1-A29A6B7AB92E}">
  <ds:schemaRefs>
    <ds:schemaRef ds:uri="http://schemas.microsoft.com/sharepoint/v3/contenttype/forms"/>
  </ds:schemaRefs>
</ds:datastoreItem>
</file>

<file path=customXml/itemProps2.xml><?xml version="1.0" encoding="utf-8"?>
<ds:datastoreItem xmlns:ds="http://schemas.openxmlformats.org/officeDocument/2006/customXml" ds:itemID="{92486A61-5355-49E9-A101-DEF1E01A8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12BBB-FBCE-4B24-94CA-BCD6D86E9C3B}">
  <ds:schemaRefs>
    <ds:schemaRef ds:uri="66b98d56-25b7-479b-bf58-c8a0702ccf2c"/>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microsoft.com/office/2006/metadata/properties"/>
    <ds:schemaRef ds:uri="3e9090f6-0245-48e3-bd19-46cc0b4d31f0"/>
    <ds:schemaRef ds:uri="http://www.w3.org/XML/1998/namespace"/>
  </ds:schemaRefs>
</ds:datastoreItem>
</file>

<file path=customXml/itemProps4.xml><?xml version="1.0" encoding="utf-8"?>
<ds:datastoreItem xmlns:ds="http://schemas.openxmlformats.org/officeDocument/2006/customXml" ds:itemID="{542EA3EE-6D06-46FC-8A73-10EFA406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87</Pages>
  <Words>28906</Words>
  <Characters>164768</Characters>
  <Application>Microsoft Office Word</Application>
  <DocSecurity>0</DocSecurity>
  <Lines>1373</Lines>
  <Paragraphs>386</Paragraphs>
  <ScaleCrop>false</ScaleCrop>
  <HeadingPairs>
    <vt:vector size="2" baseType="variant">
      <vt:variant>
        <vt:lpstr>Title</vt:lpstr>
      </vt:variant>
      <vt:variant>
        <vt:i4>1</vt:i4>
      </vt:variant>
    </vt:vector>
  </HeadingPairs>
  <TitlesOfParts>
    <vt:vector size="1" baseType="lpstr">
      <vt:lpstr>Australian Government Department of Health Corporate Plan 2021-22</vt:lpstr>
    </vt:vector>
  </TitlesOfParts>
  <Company/>
  <LinksUpToDate>false</LinksUpToDate>
  <CharactersWithSpaces>193288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Department of Health Corporate Plan 2021-22</dc:title>
  <dc:subject>Welcome to the Department of Health’s 2021–22 Corporate Plan. As our primary planning document, the Corporate Plan outlines how we will, with our partners, support the Government to lead and shape Australia’s health and aged care system and sporting outcomes through evidence-based policy, well targeted programs, and best practice regulation.</dc:subject>
  <dc:creator>Department of Health</dc:creator>
  <cp:lastModifiedBy>FAIRHALL, Brad</cp:lastModifiedBy>
  <cp:revision>21</cp:revision>
  <dcterms:created xsi:type="dcterms:W3CDTF">2021-09-20T05:12:00Z</dcterms:created>
  <dcterms:modified xsi:type="dcterms:W3CDTF">2021-09-21T00:53:00Z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Adobe InDesign 16.3 (Macintosh)</vt:lpwstr>
  </property>
  <property fmtid="{D5CDD505-2E9C-101B-9397-08002B2CF9AE}" pid="4" name="LastSaved">
    <vt:filetime>2021-09-03T00:00:00Z</vt:filetime>
  </property>
  <property fmtid="{D5CDD505-2E9C-101B-9397-08002B2CF9AE}" pid="5" name="ContentTypeId">
    <vt:lpwstr>0x010100AA3B0B12D2F0A044930B7F0ED9CD8462</vt:lpwstr>
  </property>
</Properties>
</file>