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1BD2" w14:textId="77777777" w:rsidR="005160F3" w:rsidRPr="00A31567" w:rsidRDefault="005160F3" w:rsidP="005160F3">
      <w:pPr>
        <w:pStyle w:val="Heading1"/>
        <w:sectPr w:rsidR="005160F3" w:rsidRPr="00A31567" w:rsidSect="005160F3">
          <w:headerReference w:type="default" r:id="rId12"/>
          <w:footerReference w:type="default" r:id="rId13"/>
          <w:headerReference w:type="first" r:id="rId14"/>
          <w:footerReference w:type="first" r:id="rId15"/>
          <w:type w:val="continuous"/>
          <w:pgSz w:w="11906" w:h="16838"/>
          <w:pgMar w:top="1960" w:right="1418" w:bottom="1418" w:left="1418" w:header="851" w:footer="709" w:gutter="0"/>
          <w:cols w:space="708"/>
          <w:titlePg/>
          <w:docGrid w:linePitch="360"/>
        </w:sectPr>
      </w:pPr>
    </w:p>
    <w:p w14:paraId="03D214F6" w14:textId="77777777" w:rsidR="00C1303E" w:rsidRDefault="00C1303E" w:rsidP="00C1303E">
      <w:pPr>
        <w:pStyle w:val="Heading1"/>
      </w:pPr>
      <w:r w:rsidRPr="00333481">
        <w:t>Guide for general practitioners to inform shared decision making with patients around risk of severe illness related to COVID-19</w:t>
      </w:r>
    </w:p>
    <w:p w14:paraId="2D7AD9C1" w14:textId="77777777" w:rsidR="00C1303E" w:rsidRPr="00333481" w:rsidRDefault="00C1303E" w:rsidP="00C1303E">
      <w:r w:rsidRPr="00333481">
        <w:t xml:space="preserve">This document is intended as a guide for general practitioners (GPs) to inform discussions with patients around individual risk related to COVID-19. </w:t>
      </w:r>
    </w:p>
    <w:p w14:paraId="5D007BAB" w14:textId="77777777" w:rsidR="00C1303E" w:rsidRPr="00333481" w:rsidRDefault="00C1303E" w:rsidP="00C1303E">
      <w:r w:rsidRPr="00333481">
        <w:t>When a patient presents with concerns about their risk for severe COVID-19 illness you can help them develop a COVID-19 action plan that considers their wishes and priorities and helps them manage their risk and maintain a lifestyle that has quality and meaning. This process could include the following:</w:t>
      </w:r>
    </w:p>
    <w:p w14:paraId="76953A4E" w14:textId="77777777" w:rsidR="00C1303E" w:rsidRPr="00333481" w:rsidRDefault="00C1303E" w:rsidP="00C1303E">
      <w:pPr>
        <w:pStyle w:val="ListParagraph"/>
        <w:numPr>
          <w:ilvl w:val="0"/>
          <w:numId w:val="22"/>
        </w:numPr>
        <w:spacing w:before="0" w:after="120" w:line="240" w:lineRule="auto"/>
      </w:pPr>
      <w:r w:rsidRPr="00333481">
        <w:t xml:space="preserve">Considering the factors that may affect their risk of severe </w:t>
      </w:r>
      <w:r w:rsidRPr="00333481">
        <w:br/>
        <w:t>COVID-19 illness.</w:t>
      </w:r>
    </w:p>
    <w:p w14:paraId="55EAA923" w14:textId="77777777" w:rsidR="00C1303E" w:rsidRPr="00333481" w:rsidRDefault="00C1303E" w:rsidP="00C1303E">
      <w:pPr>
        <w:pStyle w:val="ListParagraph"/>
        <w:numPr>
          <w:ilvl w:val="0"/>
          <w:numId w:val="22"/>
        </w:numPr>
        <w:spacing w:before="0" w:after="120" w:line="240" w:lineRule="auto"/>
      </w:pPr>
      <w:r w:rsidRPr="00333481">
        <w:t>Helping the person define their risk.</w:t>
      </w:r>
    </w:p>
    <w:p w14:paraId="266785A6" w14:textId="77777777" w:rsidR="00C1303E" w:rsidRPr="00333481" w:rsidRDefault="00C1303E" w:rsidP="00C1303E">
      <w:pPr>
        <w:pStyle w:val="ListParagraph"/>
        <w:numPr>
          <w:ilvl w:val="0"/>
          <w:numId w:val="22"/>
        </w:numPr>
        <w:spacing w:before="0" w:after="120" w:line="240" w:lineRule="auto"/>
      </w:pPr>
      <w:r w:rsidRPr="00333481">
        <w:t>Helping the person understanding how personal risk is impacted by:</w:t>
      </w:r>
    </w:p>
    <w:p w14:paraId="6C7EF44A" w14:textId="77777777" w:rsidR="00C1303E" w:rsidRPr="00333481" w:rsidRDefault="00C1303E" w:rsidP="00C1303E">
      <w:pPr>
        <w:pStyle w:val="ListParagraph"/>
        <w:numPr>
          <w:ilvl w:val="1"/>
          <w:numId w:val="22"/>
        </w:numPr>
        <w:spacing w:before="0" w:after="120" w:line="240" w:lineRule="auto"/>
      </w:pPr>
      <w:r w:rsidRPr="00333481">
        <w:t>the epidemiological context;</w:t>
      </w:r>
    </w:p>
    <w:p w14:paraId="5D6EA38E" w14:textId="77777777" w:rsidR="00C1303E" w:rsidRPr="00333481" w:rsidRDefault="00C1303E" w:rsidP="00C1303E">
      <w:pPr>
        <w:pStyle w:val="ListParagraph"/>
        <w:numPr>
          <w:ilvl w:val="1"/>
          <w:numId w:val="22"/>
        </w:numPr>
        <w:spacing w:before="0" w:after="120" w:line="240" w:lineRule="auto"/>
      </w:pPr>
      <w:r w:rsidRPr="00333481">
        <w:t>their activities and interactions; and</w:t>
      </w:r>
    </w:p>
    <w:p w14:paraId="78857558" w14:textId="77777777" w:rsidR="00C1303E" w:rsidRPr="00333481" w:rsidRDefault="00C1303E" w:rsidP="00C1303E">
      <w:pPr>
        <w:pStyle w:val="ListParagraph"/>
        <w:numPr>
          <w:ilvl w:val="1"/>
          <w:numId w:val="22"/>
        </w:numPr>
        <w:spacing w:before="0" w:after="120" w:line="240" w:lineRule="auto"/>
      </w:pPr>
      <w:r w:rsidRPr="00333481">
        <w:t>personal actions (COVID-19 vaccination, physical distancing and hygiene measures).</w:t>
      </w:r>
    </w:p>
    <w:p w14:paraId="32F3AD5A" w14:textId="77777777" w:rsidR="00C1303E" w:rsidRPr="00333481" w:rsidRDefault="00C1303E" w:rsidP="00C1303E">
      <w:pPr>
        <w:pStyle w:val="ListParagraph"/>
        <w:numPr>
          <w:ilvl w:val="0"/>
          <w:numId w:val="22"/>
        </w:numPr>
        <w:spacing w:before="0" w:after="120" w:line="240" w:lineRule="auto"/>
        <w:rPr>
          <w:bCs/>
        </w:rPr>
      </w:pPr>
      <w:r w:rsidRPr="00333481">
        <w:t>Helping the person develop their own risk management strategy.</w:t>
      </w:r>
    </w:p>
    <w:p w14:paraId="494E1D40" w14:textId="77777777" w:rsidR="00C1303E" w:rsidRPr="00333481" w:rsidRDefault="00C1303E" w:rsidP="00C1303E">
      <w:pPr>
        <w:pStyle w:val="Heading2"/>
      </w:pPr>
      <w:r w:rsidRPr="00333481">
        <w:t>Severe COVID-19 illness</w:t>
      </w:r>
    </w:p>
    <w:p w14:paraId="54C50BFF" w14:textId="77777777" w:rsidR="00C1303E" w:rsidRPr="00333481" w:rsidRDefault="00C1303E" w:rsidP="00C1303E">
      <w:r w:rsidRPr="00333481">
        <w:t>COVID-19 is caused by the novel beta-coronavirus, severe acute respiratory syndrome coronavirus 2 (SARS-CoV-2).[1] The majority of people infected develop a mild illness while a minority develop severe illness. Higher disease severity, as indicated by hospitalisation, admission to ICU, and death, has been associated with increased age and comorbidities.[2]</w:t>
      </w:r>
    </w:p>
    <w:p w14:paraId="266A171F" w14:textId="77777777" w:rsidR="00C1303E" w:rsidRPr="00333481" w:rsidRDefault="00C1303E" w:rsidP="00C1303E">
      <w:r w:rsidRPr="00333481">
        <w:t xml:space="preserve">In Australia, current epidemiological data suggests that 13% of the total cases of COVID-19 notified are admitted to hospital. However, the rate of hospitalisation varies for different subgroups of the population. For example, the rate of COVID-19 hospitalisation in unvaccinated older individuals or those with comorbidities is approximately 30%-40%, while for children and adolescents it is less than 2%. The 13% ‘headline’ hospitalisation rate seen in Australia is lower than for many other </w:t>
      </w:r>
      <w:r w:rsidRPr="00333481">
        <w:lastRenderedPageBreak/>
        <w:t>countries, with 16% of Canadian cases and 36% of cases in the EU/EEA hospitalised</w:t>
      </w:r>
      <w:r>
        <w:t>.</w:t>
      </w:r>
      <w:r w:rsidRPr="00333481">
        <w:t xml:space="preserve">[4]  </w:t>
      </w:r>
    </w:p>
    <w:p w14:paraId="4F05BFCD" w14:textId="77777777" w:rsidR="00C1303E" w:rsidRPr="00333481" w:rsidRDefault="00C1303E" w:rsidP="00C1303E">
      <w:r w:rsidRPr="00333481">
        <w:t xml:space="preserve">Case fatality rates (CFR) show some variation worldwide. The global average CFR is 2.1%, which is similar to the rate in the UK of 2.0% and the US of 1.7%.[3] In Australia, the CFR is 2.7%.[2] </w:t>
      </w:r>
    </w:p>
    <w:p w14:paraId="2A9BF683" w14:textId="77777777" w:rsidR="00C1303E" w:rsidRPr="00333481" w:rsidRDefault="00C1303E" w:rsidP="00C1303E">
      <w:pPr>
        <w:pStyle w:val="Heading2"/>
      </w:pPr>
      <w:r w:rsidRPr="00333481">
        <w:t>Vaccination</w:t>
      </w:r>
    </w:p>
    <w:p w14:paraId="3C4CCDAA" w14:textId="77777777" w:rsidR="00C1303E" w:rsidRPr="00333481" w:rsidRDefault="00C1303E" w:rsidP="00C1303E">
      <w:r w:rsidRPr="00333481">
        <w:t xml:space="preserve">Real world studies have shown that COVID-19 vaccines available in Australia are up to 97% effective against hospitalisation from COVID-19.[6, 7] This protection against COVID-19 hospitalisation afforded by COVID-19 vaccination has also been demonstrated in older adults. Studies in the UK have reported effectiveness against COVID-19 hospitalisation after dose 1 of either Vaxzevria (COVID-19 Vaccine AstraZeneca) or Comirnaty (Pfizer COVID-19 vaccine) of 81% (95% CI 65-90) in people aged ≥80 years.[8, 9] </w:t>
      </w:r>
    </w:p>
    <w:p w14:paraId="697AD6EF" w14:textId="77777777" w:rsidR="00C1303E" w:rsidRPr="00333481" w:rsidRDefault="00C1303E" w:rsidP="00C1303E">
      <w:r w:rsidRPr="00333481">
        <w:t>There is currently limited evidence regarding the effectiveness of COVID-19 vaccines for people who are immunocompromised. One preprint study examined both Comirnaty and Vaxzevria and found the estimated vaccine effectivness in a general immunocompromised population in the UK against medically attended PCR-confirmed COVID-19 was 73.0% (95% CI 33.9-89.0) after 2 doses of Comirnaty and 74.6% (95% CI 18.7-92.1) after 2 doses of Vaxzevria.[10] Evidence from a retrospective, multicentre cohort study from Israel indicates that comorbidities were more common in COVID-19 hospitalised patients with vaccine breakthrough infections compared with the proportion of comorbidities seen in large case series on unvaccinated hospitalised patients.[11] However, there is still limited evidence regarding whether COVID-19 vaccines are less effective in patients with comorbidities than in patients with no comorbidities.</w:t>
      </w:r>
    </w:p>
    <w:p w14:paraId="28948969" w14:textId="77777777" w:rsidR="00C1303E" w:rsidRPr="00333481" w:rsidRDefault="00C1303E" w:rsidP="00625905">
      <w:pPr>
        <w:pStyle w:val="Heading2"/>
      </w:pPr>
      <w:r w:rsidRPr="00333481">
        <w:t>What factors are important when assessing individual risk of severe COVID-19 illness?</w:t>
      </w:r>
    </w:p>
    <w:p w14:paraId="65683AEA" w14:textId="77777777" w:rsidR="00C1303E" w:rsidRPr="00333481" w:rsidRDefault="00C1303E" w:rsidP="00625905">
      <w:pPr>
        <w:pStyle w:val="Heading3"/>
      </w:pPr>
      <w:r w:rsidRPr="00333481">
        <w:t xml:space="preserve">Age </w:t>
      </w:r>
    </w:p>
    <w:p w14:paraId="6AA8FE91" w14:textId="7D044978" w:rsidR="009476D0" w:rsidRDefault="00C1303E" w:rsidP="00C1303E">
      <w:r w:rsidRPr="00333481">
        <w:t>Increasing age is the single most important factor for risk of severe COVID-19 disease. Both Australian and international data show that higher disease severity is associated with older age.[2, 12] The table below includes data from a large UK cohort study that looked at the risk of death in patients with COVID-19, among different age groups.</w:t>
      </w:r>
    </w:p>
    <w:p w14:paraId="28837004" w14:textId="77777777" w:rsidR="009476D0" w:rsidRDefault="009476D0">
      <w:pPr>
        <w:spacing w:before="0" w:line="259" w:lineRule="auto"/>
      </w:pPr>
      <w:r>
        <w:br w:type="page"/>
      </w:r>
    </w:p>
    <w:p w14:paraId="4209CB77" w14:textId="2FD3AD05" w:rsidR="00C1303E" w:rsidRPr="0014527B" w:rsidRDefault="00C1303E" w:rsidP="0014527B">
      <w:pPr>
        <w:pStyle w:val="TableTitle"/>
      </w:pPr>
      <w:r w:rsidRPr="0014527B">
        <w:t>Hazard Ratios for in hospital COVID-19 death</w:t>
      </w:r>
      <w:r w:rsidRPr="0014527B" w:rsidDel="000C7FC4">
        <w:t xml:space="preserve"> </w:t>
      </w:r>
      <w:r w:rsidRPr="0014527B">
        <w:t>[4]</w:t>
      </w:r>
    </w:p>
    <w:tbl>
      <w:tblPr>
        <w:tblStyle w:val="TableGrid"/>
        <w:tblW w:w="0" w:type="auto"/>
        <w:tblLook w:val="04A0" w:firstRow="1" w:lastRow="0" w:firstColumn="1" w:lastColumn="0" w:noHBand="0" w:noVBand="1"/>
        <w:tblDescription w:val="Table presenting hazard ratios for in-hospital COVID-19 death"/>
      </w:tblPr>
      <w:tblGrid>
        <w:gridCol w:w="1700"/>
        <w:gridCol w:w="1135"/>
        <w:gridCol w:w="6191"/>
      </w:tblGrid>
      <w:tr w:rsidR="00F47192" w:rsidRPr="00333481" w14:paraId="473582C9" w14:textId="6DC1252B" w:rsidTr="00AE6D81">
        <w:trPr>
          <w:tblHeader/>
        </w:trPr>
        <w:tc>
          <w:tcPr>
            <w:tcW w:w="1700" w:type="dxa"/>
            <w:tcBorders>
              <w:top w:val="single" w:sz="18" w:space="0" w:color="auto"/>
              <w:left w:val="nil"/>
              <w:bottom w:val="single" w:sz="18" w:space="0" w:color="auto"/>
              <w:right w:val="single" w:sz="4" w:space="0" w:color="auto"/>
            </w:tcBorders>
            <w:hideMark/>
          </w:tcPr>
          <w:p w14:paraId="01308BF4" w14:textId="77777777" w:rsidR="00F47192" w:rsidRPr="00333481" w:rsidRDefault="00F47192" w:rsidP="00A03F5A">
            <w:pPr>
              <w:rPr>
                <w:b/>
                <w:bCs/>
              </w:rPr>
            </w:pPr>
            <w:r w:rsidRPr="00333481">
              <w:rPr>
                <w:b/>
                <w:bCs/>
              </w:rPr>
              <w:t>Age (years)</w:t>
            </w:r>
          </w:p>
        </w:tc>
        <w:tc>
          <w:tcPr>
            <w:tcW w:w="7326" w:type="dxa"/>
            <w:gridSpan w:val="2"/>
            <w:tcBorders>
              <w:top w:val="single" w:sz="18" w:space="0" w:color="auto"/>
              <w:left w:val="single" w:sz="4" w:space="0" w:color="auto"/>
              <w:bottom w:val="single" w:sz="18" w:space="0" w:color="auto"/>
              <w:right w:val="nil"/>
            </w:tcBorders>
            <w:hideMark/>
          </w:tcPr>
          <w:p w14:paraId="25BBC9A6" w14:textId="6AB26F97" w:rsidR="00F47192" w:rsidRPr="00333481" w:rsidRDefault="00F47192" w:rsidP="00A03F5A">
            <w:pPr>
              <w:rPr>
                <w:b/>
                <w:bCs/>
              </w:rPr>
            </w:pPr>
            <w:r w:rsidRPr="00333481">
              <w:rPr>
                <w:b/>
                <w:bCs/>
              </w:rPr>
              <w:t xml:space="preserve">Increased risk (adjusted hazard ratio) </w:t>
            </w:r>
          </w:p>
        </w:tc>
      </w:tr>
      <w:tr w:rsidR="00F47192" w:rsidRPr="00333481" w14:paraId="200E1644" w14:textId="4E13A77B" w:rsidTr="00F47192">
        <w:tc>
          <w:tcPr>
            <w:tcW w:w="1700" w:type="dxa"/>
            <w:tcBorders>
              <w:top w:val="single" w:sz="18" w:space="0" w:color="auto"/>
              <w:left w:val="nil"/>
              <w:bottom w:val="nil"/>
              <w:right w:val="single" w:sz="4" w:space="0" w:color="auto"/>
            </w:tcBorders>
            <w:hideMark/>
          </w:tcPr>
          <w:p w14:paraId="6AE73ED8" w14:textId="77777777" w:rsidR="00F47192" w:rsidRPr="00333481" w:rsidRDefault="00F47192" w:rsidP="00A03F5A">
            <w:pPr>
              <w:rPr>
                <w:bCs/>
              </w:rPr>
            </w:pPr>
            <w:r w:rsidRPr="00333481">
              <w:rPr>
                <w:bCs/>
              </w:rPr>
              <w:t>50-59</w:t>
            </w:r>
          </w:p>
        </w:tc>
        <w:tc>
          <w:tcPr>
            <w:tcW w:w="1135" w:type="dxa"/>
            <w:tcBorders>
              <w:top w:val="single" w:sz="18" w:space="0" w:color="auto"/>
              <w:left w:val="single" w:sz="4" w:space="0" w:color="auto"/>
              <w:bottom w:val="nil"/>
              <w:right w:val="nil"/>
            </w:tcBorders>
            <w:hideMark/>
          </w:tcPr>
          <w:p w14:paraId="4462DEE7" w14:textId="7A133544" w:rsidR="00F47192" w:rsidRPr="00333481" w:rsidRDefault="00F47192" w:rsidP="00A03F5A">
            <w:pPr>
              <w:rPr>
                <w:bCs/>
              </w:rPr>
            </w:pPr>
            <w:r w:rsidRPr="00333481">
              <w:rPr>
                <w:bCs/>
              </w:rPr>
              <w:t xml:space="preserve">1.0          </w:t>
            </w:r>
          </w:p>
        </w:tc>
        <w:tc>
          <w:tcPr>
            <w:tcW w:w="6191" w:type="dxa"/>
            <w:tcBorders>
              <w:top w:val="single" w:sz="18" w:space="0" w:color="auto"/>
              <w:left w:val="nil"/>
              <w:bottom w:val="nil"/>
              <w:right w:val="nil"/>
            </w:tcBorders>
          </w:tcPr>
          <w:p w14:paraId="630D062E" w14:textId="2C8E1E22" w:rsidR="00F47192" w:rsidRPr="00333481" w:rsidRDefault="00F47192" w:rsidP="00A03F5A">
            <w:pPr>
              <w:rPr>
                <w:bCs/>
              </w:rPr>
            </w:pPr>
            <w:r w:rsidRPr="00333481">
              <w:rPr>
                <w:bCs/>
              </w:rPr>
              <w:t>(reference group)</w:t>
            </w:r>
          </w:p>
        </w:tc>
      </w:tr>
      <w:tr w:rsidR="00F47192" w:rsidRPr="00333481" w14:paraId="52CA0C1D" w14:textId="185AAFB5" w:rsidTr="00F47192">
        <w:tc>
          <w:tcPr>
            <w:tcW w:w="1700" w:type="dxa"/>
            <w:tcBorders>
              <w:top w:val="nil"/>
              <w:left w:val="nil"/>
              <w:bottom w:val="nil"/>
              <w:right w:val="single" w:sz="4" w:space="0" w:color="auto"/>
            </w:tcBorders>
            <w:hideMark/>
          </w:tcPr>
          <w:p w14:paraId="5778FA14" w14:textId="77777777" w:rsidR="00F47192" w:rsidRPr="00333481" w:rsidRDefault="00F47192" w:rsidP="00A03F5A">
            <w:pPr>
              <w:rPr>
                <w:bCs/>
              </w:rPr>
            </w:pPr>
            <w:r w:rsidRPr="00333481">
              <w:rPr>
                <w:bCs/>
              </w:rPr>
              <w:t>60-69</w:t>
            </w:r>
          </w:p>
        </w:tc>
        <w:tc>
          <w:tcPr>
            <w:tcW w:w="1135" w:type="dxa"/>
            <w:tcBorders>
              <w:top w:val="nil"/>
              <w:left w:val="single" w:sz="4" w:space="0" w:color="auto"/>
              <w:bottom w:val="nil"/>
              <w:right w:val="nil"/>
            </w:tcBorders>
            <w:hideMark/>
          </w:tcPr>
          <w:p w14:paraId="571EC720" w14:textId="63FB6125" w:rsidR="00F47192" w:rsidRPr="00333481" w:rsidRDefault="00F47192" w:rsidP="00A03F5A">
            <w:pPr>
              <w:rPr>
                <w:bCs/>
              </w:rPr>
            </w:pPr>
            <w:r w:rsidRPr="00333481">
              <w:rPr>
                <w:bCs/>
              </w:rPr>
              <w:t xml:space="preserve">x 2.09     </w:t>
            </w:r>
          </w:p>
        </w:tc>
        <w:tc>
          <w:tcPr>
            <w:tcW w:w="6191" w:type="dxa"/>
            <w:tcBorders>
              <w:top w:val="nil"/>
              <w:left w:val="nil"/>
              <w:bottom w:val="nil"/>
              <w:right w:val="nil"/>
            </w:tcBorders>
          </w:tcPr>
          <w:p w14:paraId="6A1383F9" w14:textId="3DCABFBA" w:rsidR="00F47192" w:rsidRPr="00333481" w:rsidRDefault="00F47192" w:rsidP="00A03F5A">
            <w:pPr>
              <w:rPr>
                <w:bCs/>
              </w:rPr>
            </w:pPr>
            <w:r w:rsidRPr="00333481">
              <w:rPr>
                <w:bCs/>
              </w:rPr>
              <w:t>(1.84 - 2.38)</w:t>
            </w:r>
          </w:p>
        </w:tc>
      </w:tr>
      <w:tr w:rsidR="00F47192" w:rsidRPr="00333481" w14:paraId="522F67A6" w14:textId="3465B340" w:rsidTr="00F47192">
        <w:tc>
          <w:tcPr>
            <w:tcW w:w="1700" w:type="dxa"/>
            <w:tcBorders>
              <w:top w:val="nil"/>
              <w:left w:val="nil"/>
              <w:bottom w:val="nil"/>
              <w:right w:val="single" w:sz="4" w:space="0" w:color="auto"/>
            </w:tcBorders>
            <w:hideMark/>
          </w:tcPr>
          <w:p w14:paraId="2C3F872F" w14:textId="77777777" w:rsidR="00F47192" w:rsidRPr="00333481" w:rsidRDefault="00F47192" w:rsidP="00A03F5A">
            <w:pPr>
              <w:rPr>
                <w:bCs/>
              </w:rPr>
            </w:pPr>
            <w:r w:rsidRPr="00333481">
              <w:rPr>
                <w:bCs/>
              </w:rPr>
              <w:t>70-79</w:t>
            </w:r>
          </w:p>
          <w:p w14:paraId="1C31D6F7" w14:textId="477C33C2" w:rsidR="00F47192" w:rsidRPr="00333481" w:rsidRDefault="00F47192" w:rsidP="00A03F5A">
            <w:pPr>
              <w:rPr>
                <w:bCs/>
              </w:rPr>
            </w:pPr>
          </w:p>
        </w:tc>
        <w:tc>
          <w:tcPr>
            <w:tcW w:w="1135" w:type="dxa"/>
            <w:tcBorders>
              <w:top w:val="nil"/>
              <w:left w:val="single" w:sz="4" w:space="0" w:color="auto"/>
              <w:bottom w:val="nil"/>
              <w:right w:val="nil"/>
            </w:tcBorders>
            <w:hideMark/>
          </w:tcPr>
          <w:p w14:paraId="3F1080BF" w14:textId="0B69C6B2" w:rsidR="00F47192" w:rsidRPr="00333481" w:rsidRDefault="00F47192" w:rsidP="00A03F5A">
            <w:pPr>
              <w:rPr>
                <w:bCs/>
              </w:rPr>
            </w:pPr>
            <w:r w:rsidRPr="00333481">
              <w:rPr>
                <w:bCs/>
              </w:rPr>
              <w:t xml:space="preserve">x 4.77     </w:t>
            </w:r>
          </w:p>
          <w:p w14:paraId="7727F002" w14:textId="4057D13C" w:rsidR="00F47192" w:rsidRPr="00333481" w:rsidRDefault="00F47192" w:rsidP="00A03F5A">
            <w:pPr>
              <w:rPr>
                <w:bCs/>
              </w:rPr>
            </w:pPr>
          </w:p>
        </w:tc>
        <w:tc>
          <w:tcPr>
            <w:tcW w:w="6191" w:type="dxa"/>
            <w:tcBorders>
              <w:top w:val="nil"/>
              <w:left w:val="nil"/>
              <w:bottom w:val="nil"/>
              <w:right w:val="nil"/>
            </w:tcBorders>
          </w:tcPr>
          <w:p w14:paraId="3C9A7F5C" w14:textId="73F8637E" w:rsidR="00F47192" w:rsidRPr="00333481" w:rsidRDefault="00F47192" w:rsidP="00A03F5A">
            <w:pPr>
              <w:rPr>
                <w:bCs/>
              </w:rPr>
            </w:pPr>
            <w:r w:rsidRPr="00333481">
              <w:rPr>
                <w:bCs/>
              </w:rPr>
              <w:t>(4.23 -5.38)</w:t>
            </w:r>
          </w:p>
        </w:tc>
      </w:tr>
      <w:tr w:rsidR="00F47192" w:rsidRPr="00333481" w14:paraId="654ABA8D" w14:textId="77777777" w:rsidTr="00F47192">
        <w:tc>
          <w:tcPr>
            <w:tcW w:w="1700" w:type="dxa"/>
            <w:tcBorders>
              <w:top w:val="nil"/>
              <w:left w:val="nil"/>
              <w:bottom w:val="single" w:sz="18" w:space="0" w:color="auto"/>
              <w:right w:val="single" w:sz="4" w:space="0" w:color="auto"/>
            </w:tcBorders>
          </w:tcPr>
          <w:p w14:paraId="32DE18D5" w14:textId="02DA7BB6" w:rsidR="00F47192" w:rsidRPr="00333481" w:rsidRDefault="00F47192" w:rsidP="00A03F5A">
            <w:pPr>
              <w:rPr>
                <w:bCs/>
              </w:rPr>
            </w:pPr>
            <w:r w:rsidRPr="00333481">
              <w:rPr>
                <w:bCs/>
              </w:rPr>
              <w:t>Over 80</w:t>
            </w:r>
          </w:p>
        </w:tc>
        <w:tc>
          <w:tcPr>
            <w:tcW w:w="1135" w:type="dxa"/>
            <w:tcBorders>
              <w:top w:val="nil"/>
              <w:left w:val="single" w:sz="4" w:space="0" w:color="auto"/>
              <w:bottom w:val="single" w:sz="18" w:space="0" w:color="auto"/>
              <w:right w:val="nil"/>
            </w:tcBorders>
          </w:tcPr>
          <w:p w14:paraId="0D6B6C4A" w14:textId="0402C23E" w:rsidR="00F47192" w:rsidRPr="00333481" w:rsidRDefault="00F47192" w:rsidP="00A03F5A">
            <w:pPr>
              <w:rPr>
                <w:bCs/>
              </w:rPr>
            </w:pPr>
            <w:r w:rsidRPr="00333481">
              <w:rPr>
                <w:bCs/>
              </w:rPr>
              <w:t xml:space="preserve">x 12.64   </w:t>
            </w:r>
          </w:p>
        </w:tc>
        <w:tc>
          <w:tcPr>
            <w:tcW w:w="6191" w:type="dxa"/>
            <w:tcBorders>
              <w:top w:val="nil"/>
              <w:left w:val="nil"/>
              <w:bottom w:val="single" w:sz="18" w:space="0" w:color="auto"/>
              <w:right w:val="nil"/>
            </w:tcBorders>
          </w:tcPr>
          <w:p w14:paraId="6D25FC3E" w14:textId="7EE39FF1" w:rsidR="00F47192" w:rsidRPr="00333481" w:rsidRDefault="00F47192" w:rsidP="00A03F5A">
            <w:pPr>
              <w:rPr>
                <w:bCs/>
              </w:rPr>
            </w:pPr>
            <w:r w:rsidRPr="00333481">
              <w:rPr>
                <w:bCs/>
              </w:rPr>
              <w:t>(11.19 – 14.28)</w:t>
            </w:r>
          </w:p>
        </w:tc>
      </w:tr>
    </w:tbl>
    <w:p w14:paraId="69A93DFC" w14:textId="77777777" w:rsidR="00557D62" w:rsidRPr="00333481" w:rsidRDefault="00557D62" w:rsidP="00557D62">
      <w:r w:rsidRPr="00333481">
        <w:t xml:space="preserve">A hazard ratio above one, such as 2.0, equates to 2.0 times higher risk compared </w:t>
      </w:r>
      <w:r w:rsidRPr="00333481">
        <w:br/>
        <w:t>to baseline.</w:t>
      </w:r>
    </w:p>
    <w:p w14:paraId="1CBBE4BC" w14:textId="77777777" w:rsidR="00557D62" w:rsidRPr="00625905" w:rsidRDefault="00557D62" w:rsidP="00625905">
      <w:pPr>
        <w:pStyle w:val="Heading3"/>
      </w:pPr>
      <w:r w:rsidRPr="00333481">
        <w:t>Co-morbidities and other issues</w:t>
      </w:r>
    </w:p>
    <w:p w14:paraId="6F42C142" w14:textId="77777777" w:rsidR="00557D62" w:rsidRPr="00333481" w:rsidRDefault="00557D62" w:rsidP="00557D62">
      <w:r w:rsidRPr="00333481">
        <w:t xml:space="preserve">While age is the factor most strongly associated with risk of severe COVID-19 illness, many chronic conditions appear to increase risk.[2, 4, 12] In some studies male gender has been shown to increase risk.[4, 12] Data from the UK also found that poverty was an independent risk factor not explained by co-morbidity or other risk factors.[4] The increased risk association with socioeconomic deprivation has been supported by data from France.[12] </w:t>
      </w:r>
    </w:p>
    <w:p w14:paraId="6EFCED52" w14:textId="77777777" w:rsidR="00557D62" w:rsidRPr="00333481" w:rsidRDefault="00557D62" w:rsidP="00557D62">
      <w:pPr>
        <w:rPr>
          <w:lang w:val="en"/>
        </w:rPr>
      </w:pPr>
      <w:r w:rsidRPr="00333481">
        <w:rPr>
          <w:lang w:val="en"/>
        </w:rPr>
        <w:t>First Nations peoples are thought to be at higher risk in public health emergencies. Aboriginal and Torres Strait Islander peoples may be at increased risk of severe disease and should be considered a priority population when assessing potential risk related to COVID-19.</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Description w:val="Table showing increased risk for specific co-morbidities"/>
      </w:tblPr>
      <w:tblGrid>
        <w:gridCol w:w="4962"/>
        <w:gridCol w:w="4054"/>
      </w:tblGrid>
      <w:tr w:rsidR="00557D62" w:rsidRPr="00333481" w14:paraId="3D84DF7E" w14:textId="77777777" w:rsidTr="00557D62">
        <w:trPr>
          <w:tblHeader/>
        </w:trPr>
        <w:tc>
          <w:tcPr>
            <w:tcW w:w="4962" w:type="dxa"/>
            <w:tcBorders>
              <w:top w:val="single" w:sz="18" w:space="0" w:color="auto"/>
              <w:bottom w:val="single" w:sz="18" w:space="0" w:color="auto"/>
            </w:tcBorders>
          </w:tcPr>
          <w:p w14:paraId="782955CD" w14:textId="77777777" w:rsidR="00557D62" w:rsidRPr="00333481" w:rsidRDefault="00557D62" w:rsidP="00A03F5A">
            <w:pPr>
              <w:spacing w:after="0"/>
              <w:rPr>
                <w:b/>
                <w:bCs/>
              </w:rPr>
            </w:pPr>
            <w:r w:rsidRPr="00333481">
              <w:rPr>
                <w:b/>
                <w:bCs/>
              </w:rPr>
              <w:t xml:space="preserve">Condition  </w:t>
            </w:r>
          </w:p>
        </w:tc>
        <w:tc>
          <w:tcPr>
            <w:tcW w:w="4054" w:type="dxa"/>
            <w:tcBorders>
              <w:top w:val="single" w:sz="18" w:space="0" w:color="auto"/>
              <w:bottom w:val="single" w:sz="18" w:space="0" w:color="auto"/>
            </w:tcBorders>
          </w:tcPr>
          <w:p w14:paraId="64CD92C8" w14:textId="77777777" w:rsidR="00557D62" w:rsidRPr="00333481" w:rsidRDefault="00557D62" w:rsidP="00A03F5A">
            <w:pPr>
              <w:spacing w:after="0"/>
              <w:rPr>
                <w:b/>
                <w:bCs/>
              </w:rPr>
            </w:pPr>
            <w:r w:rsidRPr="00333481">
              <w:rPr>
                <w:b/>
                <w:bCs/>
              </w:rPr>
              <w:t>Increased risk (95% confidence intervals) [4]</w:t>
            </w:r>
          </w:p>
        </w:tc>
      </w:tr>
      <w:tr w:rsidR="00557D62" w:rsidRPr="00333481" w14:paraId="685568DE" w14:textId="77777777" w:rsidTr="00A03F5A">
        <w:tc>
          <w:tcPr>
            <w:tcW w:w="4962" w:type="dxa"/>
            <w:tcBorders>
              <w:top w:val="single" w:sz="18" w:space="0" w:color="auto"/>
            </w:tcBorders>
          </w:tcPr>
          <w:p w14:paraId="2D7EC0A3" w14:textId="77777777" w:rsidR="00557D62" w:rsidRPr="00333481" w:rsidRDefault="00557D62" w:rsidP="00A03F5A">
            <w:pPr>
              <w:spacing w:after="0"/>
              <w:rPr>
                <w:bCs/>
              </w:rPr>
            </w:pPr>
            <w:r w:rsidRPr="00333481">
              <w:rPr>
                <w:bCs/>
              </w:rPr>
              <w:t>No co-morbidities</w:t>
            </w:r>
          </w:p>
          <w:p w14:paraId="72B0FB36" w14:textId="77777777" w:rsidR="00557D62" w:rsidRPr="00333481" w:rsidRDefault="00557D62" w:rsidP="00A03F5A">
            <w:pPr>
              <w:spacing w:after="0"/>
              <w:rPr>
                <w:bCs/>
              </w:rPr>
            </w:pPr>
            <w:r w:rsidRPr="00333481">
              <w:rPr>
                <w:bCs/>
              </w:rPr>
              <w:t>Chronic heart disease</w:t>
            </w:r>
          </w:p>
          <w:p w14:paraId="0AA24A32" w14:textId="77777777" w:rsidR="00557D62" w:rsidRPr="00333481" w:rsidRDefault="00557D62" w:rsidP="00A03F5A">
            <w:pPr>
              <w:spacing w:after="0"/>
              <w:rPr>
                <w:bCs/>
              </w:rPr>
            </w:pPr>
            <w:r w:rsidRPr="00333481">
              <w:rPr>
                <w:bCs/>
              </w:rPr>
              <w:t>Rheumatoid/Lupus/Psoriasis</w:t>
            </w:r>
          </w:p>
          <w:p w14:paraId="0F051225" w14:textId="77777777" w:rsidR="00557D62" w:rsidRPr="00333481" w:rsidRDefault="00557D62" w:rsidP="00A03F5A">
            <w:pPr>
              <w:spacing w:after="0"/>
              <w:rPr>
                <w:bCs/>
              </w:rPr>
            </w:pPr>
            <w:r w:rsidRPr="00333481">
              <w:rPr>
                <w:bCs/>
              </w:rPr>
              <w:t>Controlled diabetes (HbA1c&lt;58mmol/mol)</w:t>
            </w:r>
          </w:p>
          <w:p w14:paraId="5095CED6" w14:textId="77777777" w:rsidR="00557D62" w:rsidRPr="00333481" w:rsidRDefault="00557D62" w:rsidP="00A03F5A">
            <w:pPr>
              <w:spacing w:after="0"/>
              <w:rPr>
                <w:bCs/>
              </w:rPr>
            </w:pPr>
            <w:r w:rsidRPr="00333481">
              <w:rPr>
                <w:bCs/>
              </w:rPr>
              <w:t>(vs none)</w:t>
            </w:r>
          </w:p>
          <w:p w14:paraId="1E2CC6D4" w14:textId="77777777" w:rsidR="00557D62" w:rsidRPr="00333481" w:rsidRDefault="00557D62" w:rsidP="00A03F5A">
            <w:pPr>
              <w:spacing w:after="0"/>
              <w:rPr>
                <w:bCs/>
              </w:rPr>
            </w:pPr>
            <w:r w:rsidRPr="00333481">
              <w:rPr>
                <w:bCs/>
              </w:rPr>
              <w:t>Non-haematological cancer (&lt;12mths) (vs none)</w:t>
            </w:r>
          </w:p>
          <w:p w14:paraId="36D479C0" w14:textId="77777777" w:rsidR="00557D62" w:rsidRPr="00333481" w:rsidRDefault="00557D62" w:rsidP="00A03F5A">
            <w:pPr>
              <w:spacing w:after="0"/>
              <w:rPr>
                <w:bCs/>
              </w:rPr>
            </w:pPr>
            <w:r w:rsidRPr="00333481">
              <w:rPr>
                <w:bCs/>
              </w:rPr>
              <w:t>Liver disease</w:t>
            </w:r>
          </w:p>
          <w:p w14:paraId="104F8036" w14:textId="77777777" w:rsidR="00557D62" w:rsidRPr="00333481" w:rsidRDefault="00557D62" w:rsidP="00A03F5A">
            <w:pPr>
              <w:spacing w:after="0"/>
              <w:rPr>
                <w:bCs/>
              </w:rPr>
            </w:pPr>
            <w:r w:rsidRPr="00333481">
              <w:rPr>
                <w:bCs/>
              </w:rPr>
              <w:t>Other immunosuppressive condition</w:t>
            </w:r>
          </w:p>
          <w:p w14:paraId="54F659B4" w14:textId="77777777" w:rsidR="00557D62" w:rsidRPr="00333481" w:rsidRDefault="00557D62" w:rsidP="00A03F5A">
            <w:pPr>
              <w:spacing w:after="0"/>
              <w:rPr>
                <w:bCs/>
              </w:rPr>
            </w:pPr>
            <w:r w:rsidRPr="00333481">
              <w:rPr>
                <w:bCs/>
              </w:rPr>
              <w:t>Kidney disease</w:t>
            </w:r>
          </w:p>
          <w:p w14:paraId="09DC302D" w14:textId="77777777" w:rsidR="00557D62" w:rsidRPr="00333481" w:rsidRDefault="00557D62" w:rsidP="00A03F5A">
            <w:pPr>
              <w:spacing w:after="0"/>
              <w:rPr>
                <w:bCs/>
              </w:rPr>
            </w:pPr>
            <w:r w:rsidRPr="00333481">
              <w:rPr>
                <w:bCs/>
              </w:rPr>
              <w:t>Respiratory disease (excluding asthma)</w:t>
            </w:r>
          </w:p>
          <w:p w14:paraId="5F30E365" w14:textId="77777777" w:rsidR="00557D62" w:rsidRPr="00333481" w:rsidRDefault="00557D62" w:rsidP="00A03F5A">
            <w:pPr>
              <w:spacing w:after="0"/>
              <w:rPr>
                <w:bCs/>
              </w:rPr>
            </w:pPr>
            <w:r w:rsidRPr="00333481">
              <w:rPr>
                <w:bCs/>
              </w:rPr>
              <w:t>Stroke/dementia</w:t>
            </w:r>
          </w:p>
          <w:p w14:paraId="71908A9B" w14:textId="77777777" w:rsidR="00557D62" w:rsidRPr="00333481" w:rsidRDefault="00557D62" w:rsidP="00A03F5A">
            <w:pPr>
              <w:spacing w:after="0"/>
              <w:rPr>
                <w:bCs/>
              </w:rPr>
            </w:pPr>
            <w:r w:rsidRPr="00333481">
              <w:rPr>
                <w:bCs/>
              </w:rPr>
              <w:t xml:space="preserve">Obesity Class III (≥40 kg/m </w:t>
            </w:r>
            <w:r w:rsidRPr="00333481">
              <w:rPr>
                <w:bCs/>
                <w:vertAlign w:val="superscript"/>
              </w:rPr>
              <w:t>2</w:t>
            </w:r>
            <w:r w:rsidRPr="00333481">
              <w:rPr>
                <w:bCs/>
              </w:rPr>
              <w:t>) (vs none)</w:t>
            </w:r>
          </w:p>
        </w:tc>
        <w:tc>
          <w:tcPr>
            <w:tcW w:w="4054" w:type="dxa"/>
            <w:tcBorders>
              <w:top w:val="single" w:sz="18" w:space="0" w:color="auto"/>
            </w:tcBorders>
          </w:tcPr>
          <w:p w14:paraId="5122523F" w14:textId="77777777" w:rsidR="00557D62" w:rsidRPr="00333481" w:rsidRDefault="00557D62" w:rsidP="00A03F5A">
            <w:pPr>
              <w:spacing w:after="0"/>
              <w:rPr>
                <w:bCs/>
              </w:rPr>
            </w:pPr>
            <w:r w:rsidRPr="00333481">
              <w:rPr>
                <w:bCs/>
              </w:rPr>
              <w:t>1.00     (reference group)</w:t>
            </w:r>
          </w:p>
          <w:p w14:paraId="2CBA1121" w14:textId="77777777" w:rsidR="00557D62" w:rsidRPr="00333481" w:rsidRDefault="00557D62" w:rsidP="00A03F5A">
            <w:pPr>
              <w:spacing w:after="0"/>
              <w:rPr>
                <w:bCs/>
              </w:rPr>
            </w:pPr>
            <w:r w:rsidRPr="00333481">
              <w:rPr>
                <w:bCs/>
              </w:rPr>
              <w:t>1.27     (1.20 – 1.35)</w:t>
            </w:r>
          </w:p>
          <w:p w14:paraId="792FFB72" w14:textId="77777777" w:rsidR="00557D62" w:rsidRPr="00333481" w:rsidRDefault="00557D62" w:rsidP="00A03F5A">
            <w:pPr>
              <w:spacing w:after="0"/>
              <w:rPr>
                <w:bCs/>
              </w:rPr>
            </w:pPr>
            <w:r w:rsidRPr="00333481">
              <w:rPr>
                <w:bCs/>
              </w:rPr>
              <w:t>1.23     (1.12 – 1.35)</w:t>
            </w:r>
          </w:p>
          <w:p w14:paraId="40CE4A29" w14:textId="77777777" w:rsidR="00557D62" w:rsidRPr="00333481" w:rsidRDefault="00557D62" w:rsidP="00A03F5A">
            <w:pPr>
              <w:spacing w:after="0"/>
              <w:rPr>
                <w:bCs/>
              </w:rPr>
            </w:pPr>
            <w:r w:rsidRPr="00333481">
              <w:rPr>
                <w:bCs/>
              </w:rPr>
              <w:t>1.50     (1.40 – 1.60)</w:t>
            </w:r>
          </w:p>
          <w:p w14:paraId="44FFE993" w14:textId="77777777" w:rsidR="00557D62" w:rsidRPr="00333481" w:rsidRDefault="00557D62" w:rsidP="00A03F5A">
            <w:pPr>
              <w:spacing w:after="0"/>
              <w:rPr>
                <w:bCs/>
              </w:rPr>
            </w:pPr>
          </w:p>
          <w:p w14:paraId="28B08EB6" w14:textId="77777777" w:rsidR="00557D62" w:rsidRPr="00333481" w:rsidRDefault="00557D62" w:rsidP="00A03F5A">
            <w:pPr>
              <w:spacing w:after="0"/>
              <w:rPr>
                <w:bCs/>
              </w:rPr>
            </w:pPr>
            <w:r w:rsidRPr="00333481">
              <w:rPr>
                <w:bCs/>
              </w:rPr>
              <w:t>1.56     (1.26 – 1.89)</w:t>
            </w:r>
          </w:p>
          <w:p w14:paraId="185F9B96" w14:textId="77777777" w:rsidR="00557D62" w:rsidRPr="00333481" w:rsidRDefault="00557D62" w:rsidP="00A03F5A">
            <w:pPr>
              <w:spacing w:after="0"/>
              <w:rPr>
                <w:bCs/>
              </w:rPr>
            </w:pPr>
          </w:p>
          <w:p w14:paraId="26E07733" w14:textId="77777777" w:rsidR="00557D62" w:rsidRPr="00333481" w:rsidRDefault="00557D62" w:rsidP="00A03F5A">
            <w:pPr>
              <w:spacing w:after="0"/>
              <w:rPr>
                <w:bCs/>
              </w:rPr>
            </w:pPr>
            <w:r w:rsidRPr="00333481">
              <w:rPr>
                <w:bCs/>
              </w:rPr>
              <w:t>1.61     (1.33 – 1.95)</w:t>
            </w:r>
          </w:p>
          <w:p w14:paraId="0C49B1BA" w14:textId="77777777" w:rsidR="00557D62" w:rsidRPr="00333481" w:rsidRDefault="00557D62" w:rsidP="00A03F5A">
            <w:pPr>
              <w:spacing w:after="0"/>
              <w:rPr>
                <w:bCs/>
              </w:rPr>
            </w:pPr>
            <w:r w:rsidRPr="00333481">
              <w:rPr>
                <w:bCs/>
              </w:rPr>
              <w:t>1.69     (1.21 – 2.34)</w:t>
            </w:r>
          </w:p>
          <w:p w14:paraId="0233EA04" w14:textId="77777777" w:rsidR="00557D62" w:rsidRPr="00333481" w:rsidRDefault="00557D62" w:rsidP="00A03F5A">
            <w:pPr>
              <w:spacing w:after="0"/>
              <w:rPr>
                <w:bCs/>
              </w:rPr>
            </w:pPr>
            <w:r w:rsidRPr="00333481">
              <w:rPr>
                <w:bCs/>
              </w:rPr>
              <w:t>1.72     (1.62 – 1.83)</w:t>
            </w:r>
          </w:p>
          <w:p w14:paraId="1CA54CD5" w14:textId="77777777" w:rsidR="00557D62" w:rsidRPr="00333481" w:rsidRDefault="00557D62" w:rsidP="00A03F5A">
            <w:pPr>
              <w:spacing w:after="0"/>
              <w:rPr>
                <w:bCs/>
              </w:rPr>
            </w:pPr>
            <w:r w:rsidRPr="00333481">
              <w:rPr>
                <w:bCs/>
              </w:rPr>
              <w:t>1.78     (1.67 – 1.90)</w:t>
            </w:r>
          </w:p>
          <w:p w14:paraId="0C8155C2" w14:textId="77777777" w:rsidR="00557D62" w:rsidRPr="00333481" w:rsidRDefault="00557D62" w:rsidP="00A03F5A">
            <w:pPr>
              <w:spacing w:after="0"/>
              <w:rPr>
                <w:bCs/>
              </w:rPr>
            </w:pPr>
            <w:r w:rsidRPr="00333481">
              <w:rPr>
                <w:bCs/>
              </w:rPr>
              <w:t>1.79     (1.79 – 1.93)</w:t>
            </w:r>
          </w:p>
          <w:p w14:paraId="58C3BDCE" w14:textId="77777777" w:rsidR="00557D62" w:rsidRPr="00333481" w:rsidRDefault="00557D62" w:rsidP="00A03F5A">
            <w:pPr>
              <w:spacing w:after="0"/>
              <w:rPr>
                <w:bCs/>
              </w:rPr>
            </w:pPr>
            <w:r w:rsidRPr="00333481">
              <w:rPr>
                <w:bCs/>
              </w:rPr>
              <w:t>2.27     (1.99 – 2.58)</w:t>
            </w:r>
          </w:p>
        </w:tc>
      </w:tr>
      <w:tr w:rsidR="00557D62" w:rsidRPr="00333481" w14:paraId="3B2B6362" w14:textId="77777777" w:rsidTr="00A03F5A">
        <w:tc>
          <w:tcPr>
            <w:tcW w:w="4962" w:type="dxa"/>
          </w:tcPr>
          <w:p w14:paraId="2FA4EF1B" w14:textId="77777777" w:rsidR="00557D62" w:rsidRPr="00333481" w:rsidRDefault="00557D62" w:rsidP="00A03F5A">
            <w:pPr>
              <w:spacing w:after="0"/>
              <w:rPr>
                <w:bCs/>
              </w:rPr>
            </w:pPr>
            <w:r w:rsidRPr="00333481">
              <w:rPr>
                <w:bCs/>
              </w:rPr>
              <w:t>Uncontrolled diabetes (HbA1c≥58mmol/mol)</w:t>
            </w:r>
          </w:p>
          <w:p w14:paraId="6575AC35" w14:textId="77777777" w:rsidR="00557D62" w:rsidRPr="00333481" w:rsidRDefault="00557D62" w:rsidP="00A03F5A">
            <w:pPr>
              <w:spacing w:after="0"/>
              <w:rPr>
                <w:bCs/>
              </w:rPr>
            </w:pPr>
            <w:r w:rsidRPr="00333481">
              <w:rPr>
                <w:bCs/>
              </w:rPr>
              <w:t>(vs none)</w:t>
            </w:r>
          </w:p>
          <w:p w14:paraId="6E5C5F71" w14:textId="77777777" w:rsidR="00557D62" w:rsidRPr="00333481" w:rsidRDefault="00557D62" w:rsidP="00A03F5A">
            <w:pPr>
              <w:spacing w:after="0"/>
              <w:rPr>
                <w:bCs/>
              </w:rPr>
            </w:pPr>
            <w:r w:rsidRPr="00333481">
              <w:rPr>
                <w:bCs/>
              </w:rPr>
              <w:t>Haematological malignancy (vs none)</w:t>
            </w:r>
          </w:p>
          <w:p w14:paraId="68C66B5C" w14:textId="77777777" w:rsidR="00557D62" w:rsidRPr="00333481" w:rsidRDefault="00557D62" w:rsidP="00A03F5A">
            <w:pPr>
              <w:spacing w:after="0"/>
              <w:rPr>
                <w:bCs/>
              </w:rPr>
            </w:pPr>
            <w:r w:rsidRPr="00333481">
              <w:rPr>
                <w:bCs/>
              </w:rPr>
              <w:t xml:space="preserve">      Diagnosed 1-4.9 years ago   </w:t>
            </w:r>
          </w:p>
          <w:p w14:paraId="1F118543" w14:textId="77777777" w:rsidR="00557D62" w:rsidRPr="00333481" w:rsidRDefault="00557D62" w:rsidP="00A03F5A">
            <w:pPr>
              <w:spacing w:after="0"/>
              <w:rPr>
                <w:bCs/>
              </w:rPr>
            </w:pPr>
            <w:r w:rsidRPr="00333481">
              <w:rPr>
                <w:bCs/>
              </w:rPr>
              <w:t xml:space="preserve">      Diagnosed &lt; 1 year ago</w:t>
            </w:r>
          </w:p>
          <w:p w14:paraId="7E3210D6" w14:textId="77777777" w:rsidR="00557D62" w:rsidRPr="00333481" w:rsidRDefault="00557D62" w:rsidP="00A03F5A">
            <w:pPr>
              <w:spacing w:after="0"/>
              <w:rPr>
                <w:bCs/>
              </w:rPr>
            </w:pPr>
            <w:r w:rsidRPr="00333481">
              <w:rPr>
                <w:bCs/>
              </w:rPr>
              <w:t xml:space="preserve"> Organ transplant</w:t>
            </w:r>
          </w:p>
        </w:tc>
        <w:tc>
          <w:tcPr>
            <w:tcW w:w="4054" w:type="dxa"/>
          </w:tcPr>
          <w:p w14:paraId="61BCD61B" w14:textId="77777777" w:rsidR="00557D62" w:rsidRPr="00333481" w:rsidRDefault="00557D62" w:rsidP="00A03F5A">
            <w:pPr>
              <w:spacing w:after="0"/>
              <w:rPr>
                <w:bCs/>
              </w:rPr>
            </w:pPr>
            <w:r w:rsidRPr="00333481">
              <w:rPr>
                <w:bCs/>
              </w:rPr>
              <w:t>2.36     (2.18 – 2.56)</w:t>
            </w:r>
          </w:p>
          <w:p w14:paraId="246EA719" w14:textId="77777777" w:rsidR="00557D62" w:rsidRPr="00333481" w:rsidRDefault="00557D62" w:rsidP="00A03F5A">
            <w:pPr>
              <w:spacing w:after="0"/>
              <w:rPr>
                <w:bCs/>
              </w:rPr>
            </w:pPr>
          </w:p>
          <w:p w14:paraId="440D2307" w14:textId="77777777" w:rsidR="00557D62" w:rsidRPr="00333481" w:rsidRDefault="00557D62" w:rsidP="00A03F5A">
            <w:pPr>
              <w:spacing w:after="0"/>
              <w:rPr>
                <w:bCs/>
              </w:rPr>
            </w:pPr>
          </w:p>
          <w:p w14:paraId="47059F2E" w14:textId="77777777" w:rsidR="00557D62" w:rsidRPr="00333481" w:rsidRDefault="00557D62" w:rsidP="00A03F5A">
            <w:pPr>
              <w:spacing w:after="0"/>
              <w:rPr>
                <w:bCs/>
              </w:rPr>
            </w:pPr>
            <w:r w:rsidRPr="00333481">
              <w:rPr>
                <w:bCs/>
              </w:rPr>
              <w:t>3.12     (2.50 – 3.89)</w:t>
            </w:r>
          </w:p>
          <w:p w14:paraId="3DB8872C" w14:textId="77777777" w:rsidR="00557D62" w:rsidRPr="00333481" w:rsidRDefault="00557D62" w:rsidP="00A03F5A">
            <w:pPr>
              <w:spacing w:after="0"/>
              <w:rPr>
                <w:bCs/>
              </w:rPr>
            </w:pPr>
            <w:r w:rsidRPr="00333481">
              <w:rPr>
                <w:bCs/>
              </w:rPr>
              <w:t>3.52     (2.41 – 5.14)</w:t>
            </w:r>
          </w:p>
          <w:p w14:paraId="6B266631" w14:textId="77777777" w:rsidR="00557D62" w:rsidRPr="00333481" w:rsidRDefault="00557D62" w:rsidP="00A03F5A">
            <w:pPr>
              <w:spacing w:after="0"/>
              <w:rPr>
                <w:bCs/>
              </w:rPr>
            </w:pPr>
            <w:r w:rsidRPr="00333481">
              <w:rPr>
                <w:bCs/>
              </w:rPr>
              <w:t>4.27     (3.20 – 5.70)</w:t>
            </w:r>
          </w:p>
        </w:tc>
      </w:tr>
    </w:tbl>
    <w:p w14:paraId="6154E67C" w14:textId="77777777" w:rsidR="00557D62" w:rsidRDefault="00557D62" w:rsidP="00557D62">
      <w:r w:rsidRPr="00333481">
        <w:t>Risk appears to increase with the number of comorbid conditions. The proportion of COVID-19 cases who reported one or more comorbid conditions increased with the level of care required, with 76% of ventilated cases reporting comorbid conditions.[5]</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Description w:val="Table showing increased risk by number of comorbidities"/>
      </w:tblPr>
      <w:tblGrid>
        <w:gridCol w:w="3828"/>
        <w:gridCol w:w="5188"/>
      </w:tblGrid>
      <w:tr w:rsidR="00557D62" w:rsidRPr="00333481" w14:paraId="2C9F88F0" w14:textId="77777777" w:rsidTr="00A03F5A">
        <w:tc>
          <w:tcPr>
            <w:tcW w:w="3828" w:type="dxa"/>
            <w:tcBorders>
              <w:top w:val="single" w:sz="18" w:space="0" w:color="auto"/>
              <w:bottom w:val="single" w:sz="18" w:space="0" w:color="auto"/>
            </w:tcBorders>
          </w:tcPr>
          <w:p w14:paraId="556F8A99" w14:textId="77777777" w:rsidR="00557D62" w:rsidRPr="00333481" w:rsidRDefault="00557D62" w:rsidP="00A03F5A">
            <w:pPr>
              <w:rPr>
                <w:b/>
                <w:bCs/>
              </w:rPr>
            </w:pPr>
            <w:r w:rsidRPr="00333481">
              <w:rPr>
                <w:b/>
                <w:bCs/>
              </w:rPr>
              <w:t xml:space="preserve">Condition (see list below) </w:t>
            </w:r>
          </w:p>
        </w:tc>
        <w:tc>
          <w:tcPr>
            <w:tcW w:w="5188" w:type="dxa"/>
            <w:tcBorders>
              <w:top w:val="single" w:sz="18" w:space="0" w:color="auto"/>
              <w:bottom w:val="single" w:sz="18" w:space="0" w:color="auto"/>
            </w:tcBorders>
          </w:tcPr>
          <w:p w14:paraId="3324FA35" w14:textId="77777777" w:rsidR="00557D62" w:rsidRPr="00333481" w:rsidRDefault="00557D62" w:rsidP="00A03F5A">
            <w:pPr>
              <w:rPr>
                <w:b/>
                <w:bCs/>
              </w:rPr>
            </w:pPr>
            <w:r w:rsidRPr="00333481">
              <w:rPr>
                <w:b/>
                <w:bCs/>
              </w:rPr>
              <w:t>Increased risk of (95% confidence intervals) [5]</w:t>
            </w:r>
          </w:p>
        </w:tc>
      </w:tr>
      <w:tr w:rsidR="00557D62" w:rsidRPr="00333481" w14:paraId="0B9DC687" w14:textId="77777777" w:rsidTr="00A03F5A">
        <w:tc>
          <w:tcPr>
            <w:tcW w:w="3828" w:type="dxa"/>
            <w:tcBorders>
              <w:top w:val="single" w:sz="18" w:space="0" w:color="auto"/>
            </w:tcBorders>
          </w:tcPr>
          <w:p w14:paraId="7F55362D" w14:textId="77777777" w:rsidR="00557D62" w:rsidRPr="00333481" w:rsidRDefault="00557D62" w:rsidP="00A03F5A">
            <w:pPr>
              <w:rPr>
                <w:bCs/>
              </w:rPr>
            </w:pPr>
            <w:r w:rsidRPr="00333481">
              <w:rPr>
                <w:bCs/>
              </w:rPr>
              <w:t xml:space="preserve">No co-morbidities </w:t>
            </w:r>
          </w:p>
        </w:tc>
        <w:tc>
          <w:tcPr>
            <w:tcW w:w="5188" w:type="dxa"/>
            <w:tcBorders>
              <w:top w:val="single" w:sz="18" w:space="0" w:color="auto"/>
            </w:tcBorders>
          </w:tcPr>
          <w:p w14:paraId="030C5822" w14:textId="77777777" w:rsidR="00557D62" w:rsidRPr="00333481" w:rsidRDefault="00557D62" w:rsidP="00A03F5A">
            <w:pPr>
              <w:rPr>
                <w:bCs/>
              </w:rPr>
            </w:pPr>
            <w:r w:rsidRPr="00333481">
              <w:rPr>
                <w:bCs/>
              </w:rPr>
              <w:t xml:space="preserve">1.0      (reference group) </w:t>
            </w:r>
          </w:p>
        </w:tc>
      </w:tr>
      <w:tr w:rsidR="00557D62" w:rsidRPr="00333481" w14:paraId="23291254" w14:textId="77777777" w:rsidTr="00A03F5A">
        <w:tc>
          <w:tcPr>
            <w:tcW w:w="3828" w:type="dxa"/>
          </w:tcPr>
          <w:p w14:paraId="3ED5E909" w14:textId="77777777" w:rsidR="00557D62" w:rsidRPr="00333481" w:rsidRDefault="00557D62" w:rsidP="00A03F5A">
            <w:pPr>
              <w:rPr>
                <w:bCs/>
              </w:rPr>
            </w:pPr>
            <w:r w:rsidRPr="00333481">
              <w:rPr>
                <w:bCs/>
              </w:rPr>
              <w:t xml:space="preserve">One chronic condition </w:t>
            </w:r>
          </w:p>
        </w:tc>
        <w:tc>
          <w:tcPr>
            <w:tcW w:w="5188" w:type="dxa"/>
          </w:tcPr>
          <w:p w14:paraId="2F59CD63" w14:textId="77777777" w:rsidR="00557D62" w:rsidRPr="00333481" w:rsidRDefault="00557D62" w:rsidP="00A03F5A">
            <w:pPr>
              <w:rPr>
                <w:bCs/>
              </w:rPr>
            </w:pPr>
            <w:r w:rsidRPr="00333481">
              <w:rPr>
                <w:bCs/>
              </w:rPr>
              <w:t>1.8      (1.16 – 2.77)</w:t>
            </w:r>
          </w:p>
        </w:tc>
      </w:tr>
      <w:tr w:rsidR="00557D62" w:rsidRPr="00333481" w14:paraId="1A37FADF" w14:textId="77777777" w:rsidTr="00A03F5A">
        <w:tc>
          <w:tcPr>
            <w:tcW w:w="3828" w:type="dxa"/>
          </w:tcPr>
          <w:p w14:paraId="79B0DF4D" w14:textId="77777777" w:rsidR="00557D62" w:rsidRPr="00333481" w:rsidRDefault="00557D62" w:rsidP="00A03F5A">
            <w:pPr>
              <w:rPr>
                <w:bCs/>
              </w:rPr>
            </w:pPr>
            <w:r w:rsidRPr="00333481">
              <w:rPr>
                <w:bCs/>
              </w:rPr>
              <w:t>Two or more chronic conditions</w:t>
            </w:r>
          </w:p>
        </w:tc>
        <w:tc>
          <w:tcPr>
            <w:tcW w:w="5188" w:type="dxa"/>
          </w:tcPr>
          <w:p w14:paraId="1173956C" w14:textId="77777777" w:rsidR="00557D62" w:rsidRPr="00333481" w:rsidRDefault="00557D62" w:rsidP="00A03F5A">
            <w:pPr>
              <w:rPr>
                <w:bCs/>
              </w:rPr>
            </w:pPr>
            <w:r w:rsidRPr="00333481">
              <w:rPr>
                <w:bCs/>
              </w:rPr>
              <w:t>2.6      (1.61 – 4.17)</w:t>
            </w:r>
          </w:p>
        </w:tc>
      </w:tr>
    </w:tbl>
    <w:p w14:paraId="44E205AD" w14:textId="77777777" w:rsidR="00557D62" w:rsidRPr="00333481" w:rsidRDefault="00557D62" w:rsidP="00557D62">
      <w:pPr>
        <w:rPr>
          <w:i/>
        </w:rPr>
      </w:pPr>
      <w:r w:rsidRPr="00333481">
        <w:t>Factors that do not appear to increase risk, or where the evidence is mixed or absent, include mild to moderate asthma, and controlled hypertension. There is a lack of reliable studies showing increased risk for these as independent factors, although there is variation across different countries. While it is considered likely that smoking increases risk, there is currently no robust data around this risk factor, but it may be a good time to raise smoking cessation.</w:t>
      </w:r>
    </w:p>
    <w:p w14:paraId="2E00864E" w14:textId="77777777" w:rsidR="00557D62" w:rsidRPr="00333481" w:rsidRDefault="00557D62" w:rsidP="00557D62">
      <w:r w:rsidRPr="00333481">
        <w:t xml:space="preserve">Pregnant people with COVID-19 have a higher risk of certain complications compared to non-pregnant people of the same age with COVID-19, including about a 5 times higher risk of COVID-19 hospitalisation and a 2-3 higher risk of needing intensive care admission.[13, 14] COVID-19 during pregnancy also increases the risk of complications for the newborn, including premature birth and needing admission to a neonatal intensive care unit.[14] </w:t>
      </w:r>
    </w:p>
    <w:p w14:paraId="652D2A9C" w14:textId="77777777" w:rsidR="00557D62" w:rsidRPr="00333481" w:rsidRDefault="00557D62" w:rsidP="00557D62">
      <w:r w:rsidRPr="00333481">
        <w:t xml:space="preserve">Consider your patient’s age and their condition/s and treatment to better define </w:t>
      </w:r>
      <w:r w:rsidRPr="00333481">
        <w:br/>
        <w:t>their risk.</w:t>
      </w:r>
    </w:p>
    <w:p w14:paraId="10C89F6E" w14:textId="77777777" w:rsidR="00557D62" w:rsidRPr="00333481" w:rsidRDefault="00557D62" w:rsidP="00557D62">
      <w:pPr>
        <w:pStyle w:val="Heading3"/>
      </w:pPr>
      <w:r w:rsidRPr="00333481">
        <w:t>My patient has factors that increase their risk of severe COVID-19 illness. How do I help them make decisions to manage their risk?</w:t>
      </w:r>
    </w:p>
    <w:p w14:paraId="7B9902FE" w14:textId="77777777" w:rsidR="00557D62" w:rsidRPr="00333481" w:rsidRDefault="00557D62" w:rsidP="00557D62">
      <w:r w:rsidRPr="00333481">
        <w:t xml:space="preserve">When your patient has factors that increase their risk of severe illness, you can help them characterise their personal risk and contextualise how this risk is modified by the local epidemiology, COVID-19 vaccination status of the individual and vaccination rates in the community and the activities they wish to undertake in the community. </w:t>
      </w:r>
    </w:p>
    <w:p w14:paraId="3814C7C7" w14:textId="77777777" w:rsidR="00557D62" w:rsidRPr="00333481" w:rsidRDefault="00557D62" w:rsidP="00557D62">
      <w:r w:rsidRPr="00333481">
        <w:t>Together you can develop a COVID-19 action plan that considers the patients’ wishes and priorities and helps your patient manage risk and maintain a lifestyle that has quality and meaning. Encourage the patient to explore the benefits and advantages versus the risks and disadvantages of any choices that are open to them.</w:t>
      </w:r>
    </w:p>
    <w:p w14:paraId="104100BA" w14:textId="77777777" w:rsidR="00557D62" w:rsidRPr="00333481" w:rsidRDefault="00557D62" w:rsidP="00557D62">
      <w:r w:rsidRPr="00333481">
        <w:t>It is important to develop a COVID-19 action plan and review it regularly, with consideration of the epidemiological context.</w:t>
      </w:r>
    </w:p>
    <w:p w14:paraId="28C59479" w14:textId="77777777" w:rsidR="00557D62" w:rsidRPr="00333481" w:rsidRDefault="00557D62" w:rsidP="00557D62">
      <w:pPr>
        <w:pStyle w:val="Heading2"/>
      </w:pPr>
      <w:r w:rsidRPr="00333481">
        <w:t>Epidemiology: the case numbers</w:t>
      </w:r>
    </w:p>
    <w:p w14:paraId="3EDDA293" w14:textId="77777777" w:rsidR="00557D62" w:rsidRPr="00333481" w:rsidRDefault="00557D62" w:rsidP="00557D62">
      <w:r w:rsidRPr="00333481">
        <w:t xml:space="preserve">The number of cases of COVID-19 in the local community is the most important determinant of your patient’s risk of exposure. Another consideration is the predominant variant of SARS-CoV-2. For example, the predominant variant may be more transmissible and may cause more severe disease than previous variants. These are important considerations in the assessment of risk. Those at increased risk need to stay up to date on cases in their community through their state or territory health department. If they are travelling, they should be aware of transmission rates at their destination. </w:t>
      </w:r>
      <w:r w:rsidRPr="00333481">
        <w:rPr>
          <w:lang w:val="en"/>
        </w:rPr>
        <w:t xml:space="preserve">Further information on geographically localised areas with elevated risk of local transmission of COVID-19 can be found </w:t>
      </w:r>
      <w:hyperlink r:id="rId16" w:history="1">
        <w:r w:rsidRPr="00333481">
          <w:rPr>
            <w:rStyle w:val="Hyperlink"/>
            <w:lang w:val="en"/>
          </w:rPr>
          <w:t>here.</w:t>
        </w:r>
      </w:hyperlink>
    </w:p>
    <w:p w14:paraId="57B2B938" w14:textId="77777777" w:rsidR="00557D62" w:rsidRPr="00333481" w:rsidRDefault="00557D62" w:rsidP="00557D62">
      <w:r w:rsidRPr="00333481">
        <w:t>Plans and risk strategies should change in response to changes in cases numbers in the area. You may wish to consider a COVID-19 action plan for your patient, so that if case numbers increase, activities and actions are modified to suit the change in exposure risk.</w:t>
      </w:r>
    </w:p>
    <w:p w14:paraId="7E786EAF" w14:textId="77777777" w:rsidR="00557D62" w:rsidRPr="00333481" w:rsidRDefault="00557D62" w:rsidP="00557D62">
      <w:r w:rsidRPr="00333481">
        <w:t xml:space="preserve">Even if cases remain low in your area you should advise your patients to protect their health by getting vaccinated against COVID-19, maintaining physical distancing, practising good respiratory and hand hygiene, downloading the COVIDSafe app, using QR check-in codes, getting the influenza vaccination, and staying at home and getting tested for COVID-19 if they have even mild cold or flu-like symptoms. </w:t>
      </w:r>
    </w:p>
    <w:p w14:paraId="6D3B2B81" w14:textId="77777777" w:rsidR="00557D62" w:rsidRPr="00333481" w:rsidRDefault="00557D62" w:rsidP="00557D62">
      <w:pPr>
        <w:pStyle w:val="Heading2"/>
      </w:pPr>
      <w:r w:rsidRPr="00333481">
        <w:t>Activities and settings</w:t>
      </w:r>
    </w:p>
    <w:p w14:paraId="1200DE7D" w14:textId="77777777" w:rsidR="00557D62" w:rsidRPr="00333481" w:rsidRDefault="00557D62" w:rsidP="00557D62">
      <w:pPr>
        <w:rPr>
          <w:b/>
          <w:lang w:val="en"/>
        </w:rPr>
      </w:pPr>
      <w:r w:rsidRPr="00333481">
        <w:rPr>
          <w:lang w:val="en"/>
        </w:rPr>
        <w:t>It is important to remind your patients that regardless of the level of risk, if there are few cases in the community, they are unlikely to be exposed and the actual risk of severe COVID-19 is low.</w:t>
      </w:r>
    </w:p>
    <w:p w14:paraId="4664272B" w14:textId="77777777" w:rsidR="00557D62" w:rsidRPr="00333481" w:rsidRDefault="00557D62" w:rsidP="00557D62">
      <w:r w:rsidRPr="00333481">
        <w:t>However, when there are COVID-19 cases in the community, some types of activities, events and settings appear to increase the chance of contracting COVID-19.  These include activities that:</w:t>
      </w:r>
    </w:p>
    <w:p w14:paraId="0B3F7A96" w14:textId="77777777" w:rsidR="00557D62" w:rsidRPr="00333481" w:rsidRDefault="00557D62" w:rsidP="00557D62">
      <w:pPr>
        <w:numPr>
          <w:ilvl w:val="0"/>
          <w:numId w:val="24"/>
        </w:numPr>
        <w:spacing w:before="0" w:after="0" w:line="240" w:lineRule="auto"/>
      </w:pPr>
      <w:r w:rsidRPr="00333481">
        <w:t>are in closed or indoor environments;</w:t>
      </w:r>
    </w:p>
    <w:p w14:paraId="1D4E776E" w14:textId="77777777" w:rsidR="00557D62" w:rsidRPr="00333481" w:rsidRDefault="00557D62" w:rsidP="00557D62">
      <w:pPr>
        <w:numPr>
          <w:ilvl w:val="0"/>
          <w:numId w:val="24"/>
        </w:numPr>
        <w:spacing w:before="0" w:after="0" w:line="240" w:lineRule="auto"/>
      </w:pPr>
      <w:r w:rsidRPr="00333481">
        <w:t xml:space="preserve">have large numbers of people in close contact over an extended period </w:t>
      </w:r>
      <w:r w:rsidRPr="00333481">
        <w:br/>
        <w:t>(e.g.</w:t>
      </w:r>
      <w:r w:rsidRPr="00333481" w:rsidDel="00CD7416">
        <w:t xml:space="preserve"> </w:t>
      </w:r>
      <w:r w:rsidRPr="00333481">
        <w:t>public transport at peak hour, weddings, protests or other large gatherings);</w:t>
      </w:r>
    </w:p>
    <w:p w14:paraId="66486D82" w14:textId="77777777" w:rsidR="00557D62" w:rsidRPr="00333481" w:rsidRDefault="00557D62" w:rsidP="00557D62">
      <w:pPr>
        <w:numPr>
          <w:ilvl w:val="0"/>
          <w:numId w:val="24"/>
        </w:numPr>
        <w:spacing w:before="0" w:after="0" w:line="240" w:lineRule="auto"/>
      </w:pPr>
      <w:r w:rsidRPr="00333481">
        <w:t>require physical activity and close contact (e.g. dancing or contact sport);</w:t>
      </w:r>
    </w:p>
    <w:p w14:paraId="039DF710" w14:textId="77777777" w:rsidR="00557D62" w:rsidRPr="00333481" w:rsidRDefault="00557D62" w:rsidP="00557D62">
      <w:pPr>
        <w:numPr>
          <w:ilvl w:val="0"/>
          <w:numId w:val="24"/>
        </w:numPr>
        <w:spacing w:before="0" w:after="0" w:line="240" w:lineRule="auto"/>
      </w:pPr>
      <w:r w:rsidRPr="00333481">
        <w:t>require vocalising in an indoor environment (e.g. choirs or singing in church);</w:t>
      </w:r>
    </w:p>
    <w:p w14:paraId="5E1BC454" w14:textId="77777777" w:rsidR="00557D62" w:rsidRPr="00333481" w:rsidRDefault="00557D62" w:rsidP="00557D62">
      <w:pPr>
        <w:numPr>
          <w:ilvl w:val="0"/>
          <w:numId w:val="24"/>
        </w:numPr>
        <w:spacing w:before="0" w:after="0" w:line="240" w:lineRule="auto"/>
      </w:pPr>
      <w:r w:rsidRPr="00333481">
        <w:t>require sharing objects with others (e.g. utensils at a buffet);</w:t>
      </w:r>
    </w:p>
    <w:p w14:paraId="6A47A819" w14:textId="77777777" w:rsidR="00557D62" w:rsidRPr="00333481" w:rsidRDefault="00557D62" w:rsidP="00557D62">
      <w:pPr>
        <w:numPr>
          <w:ilvl w:val="0"/>
          <w:numId w:val="24"/>
        </w:numPr>
        <w:spacing w:before="0" w:after="0" w:line="240" w:lineRule="auto"/>
      </w:pPr>
      <w:r w:rsidRPr="00333481">
        <w:t>require sharing accommodation or amenities with others (e.g. cruise ships);</w:t>
      </w:r>
    </w:p>
    <w:p w14:paraId="5A08C243" w14:textId="77777777" w:rsidR="00557D62" w:rsidRPr="00333481" w:rsidRDefault="00557D62" w:rsidP="00557D62">
      <w:pPr>
        <w:numPr>
          <w:ilvl w:val="0"/>
          <w:numId w:val="24"/>
        </w:numPr>
        <w:spacing w:before="0" w:after="0" w:line="240" w:lineRule="auto"/>
      </w:pPr>
      <w:r w:rsidRPr="00333481">
        <w:t>are longer (the risk for exposure and transmission increases with time).</w:t>
      </w:r>
    </w:p>
    <w:p w14:paraId="41E33384" w14:textId="77777777" w:rsidR="00557D62" w:rsidRPr="00333481" w:rsidRDefault="00557D62" w:rsidP="00557D62">
      <w:pPr>
        <w:rPr>
          <w:lang w:val="en"/>
        </w:rPr>
      </w:pPr>
      <w:r w:rsidRPr="00333481">
        <w:rPr>
          <w:lang w:val="en"/>
        </w:rPr>
        <w:t>Even if local numbers of COVID-19 cases are low in your area, travel to an area with higher case numbers, or attendance at an event with groups or participants from other locations with higher case numbers, is likely to increase risk of exposure to COVID-19.</w:t>
      </w:r>
    </w:p>
    <w:p w14:paraId="443C2A71" w14:textId="77777777" w:rsidR="00557D62" w:rsidRPr="00333481" w:rsidRDefault="00557D62" w:rsidP="00557D62">
      <w:r w:rsidRPr="00333481">
        <w:t xml:space="preserve">People need to consider all of their activities and the associated risks. Activities should be considered, modified, substituted (e.g. ride share rather than public transport) or avoided in a higher risk epidemiological environment. </w:t>
      </w:r>
    </w:p>
    <w:p w14:paraId="53350292" w14:textId="77777777" w:rsidR="00557D62" w:rsidRPr="00333481" w:rsidRDefault="00557D62" w:rsidP="00557D62">
      <w:r w:rsidRPr="00333481">
        <w:t>At all times people at higher risk should maintain physical distancing, practise good respiratory and hand hygiene, use the COVIDSafe app, use QR check-in codes, and stay at home and get tested for COVID-19 if they have even mild cold or flu-like symptoms. People should be up to date with their vaccinations and should be aware of any public health advice or restrictions.</w:t>
      </w:r>
    </w:p>
    <w:p w14:paraId="33B08CDB" w14:textId="77777777" w:rsidR="00557D62" w:rsidRPr="00333481" w:rsidRDefault="00557D62" w:rsidP="00557D62">
      <w:pPr>
        <w:rPr>
          <w:b/>
        </w:rPr>
      </w:pPr>
      <w:r w:rsidRPr="00333481">
        <w:t xml:space="preserve">In situations that cannot be avoided (e.g. travelling to work on public transport) and where physical distancing cannot be maintained, people at risk could consider wearing a mask. See </w:t>
      </w:r>
      <w:hyperlink r:id="rId17" w:history="1">
        <w:r w:rsidRPr="00333481">
          <w:rPr>
            <w:rStyle w:val="Hyperlink"/>
          </w:rPr>
          <w:t>Masks | Australian Government Department of Health</w:t>
        </w:r>
      </w:hyperlink>
      <w:r w:rsidRPr="00333481">
        <w:t xml:space="preserve">. </w:t>
      </w:r>
    </w:p>
    <w:p w14:paraId="17188407" w14:textId="77777777" w:rsidR="00557D62" w:rsidRPr="00333481" w:rsidRDefault="00557D62" w:rsidP="00557D62">
      <w:pPr>
        <w:pStyle w:val="Heading2"/>
      </w:pPr>
      <w:r w:rsidRPr="00333481">
        <w:t>Work and volunteer settings</w:t>
      </w:r>
    </w:p>
    <w:p w14:paraId="228DCB8C" w14:textId="77777777" w:rsidR="00557D62" w:rsidRPr="00333481" w:rsidRDefault="00557D62" w:rsidP="00557D62">
      <w:pPr>
        <w:rPr>
          <w:lang w:val="en"/>
        </w:rPr>
      </w:pPr>
      <w:r w:rsidRPr="00333481">
        <w:rPr>
          <w:lang w:val="en"/>
        </w:rPr>
        <w:t xml:space="preserve">It is important to remind patients that regardless of their individual level of risk, risk of exposure relates to the number of cases in the community and attributes of their work and workplace. </w:t>
      </w:r>
    </w:p>
    <w:p w14:paraId="34C68CE2" w14:textId="77777777" w:rsidR="00557D62" w:rsidRPr="00333481" w:rsidRDefault="00557D62" w:rsidP="00557D62">
      <w:r w:rsidRPr="00333481">
        <w:t>When there are cases in the community, employees may be higher risk of exposure in some workplaces may also pose an increased the risk of contracting COVID-19, either through:</w:t>
      </w:r>
    </w:p>
    <w:p w14:paraId="40177778" w14:textId="77777777" w:rsidR="00557D62" w:rsidRPr="00333481" w:rsidRDefault="00557D62" w:rsidP="00557D62">
      <w:pPr>
        <w:pStyle w:val="ListParagraph"/>
        <w:numPr>
          <w:ilvl w:val="0"/>
          <w:numId w:val="25"/>
        </w:numPr>
        <w:spacing w:before="0" w:after="120" w:line="240" w:lineRule="auto"/>
      </w:pPr>
      <w:r w:rsidRPr="00333481">
        <w:t>potential exposure to infected people, such as in health or aged care settings; and/or</w:t>
      </w:r>
    </w:p>
    <w:p w14:paraId="5F4F075D" w14:textId="77777777" w:rsidR="00557D62" w:rsidRPr="00333481" w:rsidRDefault="00557D62" w:rsidP="00557D62">
      <w:pPr>
        <w:pStyle w:val="ListParagraph"/>
        <w:numPr>
          <w:ilvl w:val="0"/>
          <w:numId w:val="25"/>
        </w:numPr>
        <w:spacing w:before="0" w:after="120" w:line="240" w:lineRule="auto"/>
      </w:pPr>
      <w:r w:rsidRPr="00333481">
        <w:t xml:space="preserve">working conditions where physical distancing is difficult to maintain </w:t>
      </w:r>
      <w:r w:rsidRPr="00333481">
        <w:br/>
        <w:t>(e.g. working in the disability or aged care sector); and/or</w:t>
      </w:r>
    </w:p>
    <w:p w14:paraId="75DA73A4" w14:textId="77777777" w:rsidR="00557D62" w:rsidRPr="00333481" w:rsidRDefault="00557D62" w:rsidP="00557D62">
      <w:pPr>
        <w:pStyle w:val="ListParagraph"/>
        <w:numPr>
          <w:ilvl w:val="0"/>
          <w:numId w:val="25"/>
        </w:numPr>
        <w:spacing w:before="0" w:after="120" w:line="240" w:lineRule="auto"/>
      </w:pPr>
      <w:r w:rsidRPr="00333481">
        <w:t>work with multiple face-to-face interactions with others; and/or</w:t>
      </w:r>
    </w:p>
    <w:p w14:paraId="58935A41" w14:textId="77777777" w:rsidR="00557D62" w:rsidRPr="00333481" w:rsidRDefault="00557D62" w:rsidP="00557D62">
      <w:pPr>
        <w:pStyle w:val="ListParagraph"/>
        <w:numPr>
          <w:ilvl w:val="0"/>
          <w:numId w:val="25"/>
        </w:numPr>
        <w:spacing w:before="0" w:after="120" w:line="240" w:lineRule="auto"/>
      </w:pPr>
      <w:r w:rsidRPr="00333481">
        <w:t xml:space="preserve">working in a setting associated with increased transmission of the virus </w:t>
      </w:r>
      <w:r w:rsidRPr="00333481">
        <w:br/>
        <w:t>(e.g. meat processing).</w:t>
      </w:r>
    </w:p>
    <w:p w14:paraId="27FA5D3C" w14:textId="77777777" w:rsidR="00557D62" w:rsidRPr="00333481" w:rsidRDefault="00557D62" w:rsidP="00557D62">
      <w:pPr>
        <w:rPr>
          <w:i/>
          <w:u w:val="single"/>
        </w:rPr>
      </w:pPr>
      <w:r w:rsidRPr="00333481">
        <w:t xml:space="preserve">Workplaces need to develop a COVIDSafe risk mitigation strategy in accordance with the approved code of practice </w:t>
      </w:r>
      <w:hyperlink r:id="rId18" w:history="1">
        <w:r w:rsidRPr="00333481">
          <w:rPr>
            <w:rStyle w:val="Hyperlink"/>
            <w:i/>
          </w:rPr>
          <w:t>How to manage work health and safety risks (2018).</w:t>
        </w:r>
      </w:hyperlink>
      <w:r w:rsidRPr="00333481">
        <w:rPr>
          <w:i/>
          <w:u w:val="single"/>
        </w:rPr>
        <w:t xml:space="preserve"> </w:t>
      </w:r>
    </w:p>
    <w:p w14:paraId="4AD796AC" w14:textId="77777777" w:rsidR="00557D62" w:rsidRPr="00333481" w:rsidRDefault="00557D62" w:rsidP="00557D62">
      <w:r w:rsidRPr="00333481">
        <w:rPr>
          <w:lang w:val="en"/>
        </w:rPr>
        <w:t xml:space="preserve">People at increased risk of severe COVID-19 illness can still work or volunteer, particularly if vaccinated . It is important to discuss this with those </w:t>
      </w:r>
      <w:r w:rsidRPr="00333481">
        <w:t>at higher risk of severe COVID-19 illness and help inform a risk assessment for their workplace, including a COVID-19 action plan. This may involve consultation with their employer and should involve consideration of:</w:t>
      </w:r>
    </w:p>
    <w:p w14:paraId="4BBC1016" w14:textId="77777777" w:rsidR="00557D62" w:rsidRPr="00333481" w:rsidRDefault="00557D62" w:rsidP="00557D62">
      <w:pPr>
        <w:pStyle w:val="ListParagraph"/>
        <w:numPr>
          <w:ilvl w:val="0"/>
          <w:numId w:val="26"/>
        </w:numPr>
        <w:spacing w:before="0" w:after="120" w:line="240" w:lineRule="auto"/>
        <w:rPr>
          <w:lang w:val="en"/>
        </w:rPr>
      </w:pPr>
      <w:r w:rsidRPr="00333481">
        <w:rPr>
          <w:lang w:val="en"/>
        </w:rPr>
        <w:t xml:space="preserve">the individual, their clinical situation and assessed risk of severe </w:t>
      </w:r>
      <w:r w:rsidRPr="00333481">
        <w:rPr>
          <w:lang w:val="en"/>
        </w:rPr>
        <w:br/>
        <w:t>COVID-19 illness;</w:t>
      </w:r>
    </w:p>
    <w:p w14:paraId="08C20066" w14:textId="77777777" w:rsidR="00557D62" w:rsidRPr="00333481" w:rsidRDefault="00557D62" w:rsidP="00557D62">
      <w:pPr>
        <w:pStyle w:val="ListParagraph"/>
        <w:numPr>
          <w:ilvl w:val="0"/>
          <w:numId w:val="26"/>
        </w:numPr>
        <w:spacing w:before="0" w:after="120" w:line="240" w:lineRule="auto"/>
        <w:rPr>
          <w:lang w:val="en"/>
        </w:rPr>
      </w:pPr>
      <w:r w:rsidRPr="00333481">
        <w:rPr>
          <w:lang w:val="en"/>
        </w:rPr>
        <w:t>the work and level of risk associated with their normal role;</w:t>
      </w:r>
    </w:p>
    <w:p w14:paraId="15960BD2" w14:textId="77777777" w:rsidR="00557D62" w:rsidRPr="00333481" w:rsidRDefault="00557D62" w:rsidP="00557D62">
      <w:pPr>
        <w:pStyle w:val="ListParagraph"/>
        <w:numPr>
          <w:ilvl w:val="0"/>
          <w:numId w:val="26"/>
        </w:numPr>
        <w:spacing w:before="0" w:after="120" w:line="240" w:lineRule="auto"/>
        <w:rPr>
          <w:lang w:val="en"/>
        </w:rPr>
      </w:pPr>
      <w:r w:rsidRPr="00333481">
        <w:rPr>
          <w:lang w:val="en"/>
        </w:rPr>
        <w:t>their workplace, is there a higher risk of exposure (see above for activities and settings with higher risk);</w:t>
      </w:r>
    </w:p>
    <w:p w14:paraId="385024B2" w14:textId="77777777" w:rsidR="00557D62" w:rsidRPr="00333481" w:rsidRDefault="00557D62" w:rsidP="00557D62">
      <w:pPr>
        <w:pStyle w:val="ListParagraph"/>
        <w:numPr>
          <w:ilvl w:val="0"/>
          <w:numId w:val="26"/>
        </w:numPr>
        <w:spacing w:before="0" w:after="120" w:line="240" w:lineRule="auto"/>
        <w:rPr>
          <w:lang w:val="en"/>
        </w:rPr>
      </w:pPr>
      <w:r w:rsidRPr="00333481">
        <w:rPr>
          <w:lang w:val="en"/>
        </w:rPr>
        <w:t>their workplace, is there a higher risk of transmission (e.g. health care facilities, meat or food processing, other roles with close physical contact);</w:t>
      </w:r>
    </w:p>
    <w:p w14:paraId="759C9D59" w14:textId="77777777" w:rsidR="00557D62" w:rsidRPr="00333481" w:rsidRDefault="00557D62" w:rsidP="00557D62">
      <w:pPr>
        <w:pStyle w:val="ListParagraph"/>
        <w:numPr>
          <w:ilvl w:val="0"/>
          <w:numId w:val="26"/>
        </w:numPr>
        <w:spacing w:before="0" w:after="120" w:line="240" w:lineRule="auto"/>
        <w:rPr>
          <w:lang w:val="en"/>
        </w:rPr>
      </w:pPr>
      <w:r w:rsidRPr="00333481">
        <w:rPr>
          <w:lang w:val="en"/>
        </w:rPr>
        <w:t>the COVID-19 controls in place and the degree to which risk is mitigated; and</w:t>
      </w:r>
    </w:p>
    <w:p w14:paraId="144D53A0" w14:textId="77777777" w:rsidR="00557D62" w:rsidRPr="00333481" w:rsidRDefault="00557D62" w:rsidP="00557D62">
      <w:pPr>
        <w:pStyle w:val="ListParagraph"/>
        <w:numPr>
          <w:ilvl w:val="0"/>
          <w:numId w:val="26"/>
        </w:numPr>
        <w:spacing w:before="0" w:after="120" w:line="240" w:lineRule="auto"/>
        <w:rPr>
          <w:lang w:val="en"/>
        </w:rPr>
      </w:pPr>
      <w:r w:rsidRPr="00333481">
        <w:rPr>
          <w:lang w:val="en"/>
        </w:rPr>
        <w:t>additional COVID-19 controls that could be used to protect this worker.</w:t>
      </w:r>
    </w:p>
    <w:p w14:paraId="758DD100" w14:textId="77777777" w:rsidR="00557D62" w:rsidRPr="00333481" w:rsidRDefault="00557D62" w:rsidP="00557D62">
      <w:r w:rsidRPr="00333481">
        <w:t>People and workplaces need to consider risk related to their work activities and appropriate controls applied particularly in a higher risk epidemiological environment.</w:t>
      </w:r>
    </w:p>
    <w:p w14:paraId="5C97EFD3" w14:textId="77777777" w:rsidR="00557D62" w:rsidRPr="00333481" w:rsidRDefault="00557D62" w:rsidP="00557D62">
      <w:pPr>
        <w:rPr>
          <w:lang w:val="en"/>
        </w:rPr>
      </w:pPr>
      <w:r w:rsidRPr="00333481">
        <w:t>If there is uncertainty about the degree of risk, appropriate mitigations or other complexity, referral for assessment by an occupational physician may be appropriate.</w:t>
      </w:r>
    </w:p>
    <w:p w14:paraId="4BD8512F" w14:textId="77777777" w:rsidR="00557D62" w:rsidRPr="00333481" w:rsidRDefault="00557D62" w:rsidP="0014527B">
      <w:pPr>
        <w:pStyle w:val="Heading2"/>
        <w:rPr>
          <w:lang w:val="en"/>
        </w:rPr>
      </w:pPr>
      <w:r w:rsidRPr="00333481">
        <w:rPr>
          <w:lang w:val="en"/>
        </w:rPr>
        <w:br w:type="page"/>
        <w:t>References</w:t>
      </w:r>
    </w:p>
    <w:p w14:paraId="44AF689E" w14:textId="77777777" w:rsidR="00557D62" w:rsidRPr="00333481" w:rsidRDefault="00557D62" w:rsidP="00557D62">
      <w:pPr>
        <w:numPr>
          <w:ilvl w:val="0"/>
          <w:numId w:val="23"/>
        </w:numPr>
        <w:spacing w:before="0" w:after="0" w:line="240" w:lineRule="auto"/>
        <w:rPr>
          <w:sz w:val="20"/>
          <w:szCs w:val="20"/>
        </w:rPr>
      </w:pPr>
      <w:r w:rsidRPr="00333481">
        <w:rPr>
          <w:sz w:val="20"/>
          <w:szCs w:val="20"/>
        </w:rPr>
        <w:t xml:space="preserve">Xie, M, Chen Q, Insight into 2019 novel coronavirus — An updated interim review and lessons from SARS-CoV and MERS-CoV International Journal of Infectious Diseases, ISSN: 1201-9712, Vol: 94, Page: 119-124. https:/doi.org/ 10.1016/j.ijid.2020.03.071 </w:t>
      </w:r>
    </w:p>
    <w:p w14:paraId="184D487F" w14:textId="77777777" w:rsidR="00557D62" w:rsidRPr="00333481" w:rsidRDefault="00557D62" w:rsidP="00557D62">
      <w:pPr>
        <w:numPr>
          <w:ilvl w:val="0"/>
          <w:numId w:val="23"/>
        </w:numPr>
        <w:spacing w:before="0" w:after="0" w:line="240" w:lineRule="auto"/>
        <w:rPr>
          <w:sz w:val="20"/>
          <w:szCs w:val="20"/>
        </w:rPr>
      </w:pPr>
      <w:r w:rsidRPr="00333481">
        <w:rPr>
          <w:sz w:val="20"/>
          <w:szCs w:val="20"/>
        </w:rPr>
        <w:t>COVID-19 National Incident Room Surveillance Team. Surveillance summary. COVID-19 Australia: Epidemiology Report 47: Reporting period ending 1 August 2021. https://doi.org/10.33321/cdi.2021.45.41</w:t>
      </w:r>
    </w:p>
    <w:p w14:paraId="67E2F478" w14:textId="77777777" w:rsidR="00557D62" w:rsidRPr="00333481" w:rsidRDefault="00557D62" w:rsidP="00557D62">
      <w:pPr>
        <w:numPr>
          <w:ilvl w:val="0"/>
          <w:numId w:val="23"/>
        </w:numPr>
        <w:spacing w:before="0" w:after="0" w:line="240" w:lineRule="auto"/>
        <w:rPr>
          <w:sz w:val="20"/>
          <w:szCs w:val="20"/>
        </w:rPr>
      </w:pPr>
      <w:r w:rsidRPr="00333481">
        <w:rPr>
          <w:sz w:val="20"/>
          <w:szCs w:val="20"/>
        </w:rPr>
        <w:t>Case fatality rate of ongoing COVID-19 pandemic. Our World in Data. Accessed 24 August 2021. https://ourworldindata.org/explorers/coronavirus-data-explorer?zoomToSelection=true&amp;time=2020-03-01..latest&amp;facet=none&amp;hideControls=true&amp;Metric=Case+fatality+rate&amp;Interval=Cumulative&amp;Relative+to+Population=false&amp;Align+outbreaks=true&amp;country=USA~OWID_WRL~CHN~AUS~GBR</w:t>
      </w:r>
    </w:p>
    <w:p w14:paraId="08C9929D" w14:textId="77777777" w:rsidR="00557D62" w:rsidRPr="00333481" w:rsidRDefault="00557D62" w:rsidP="00557D62">
      <w:pPr>
        <w:numPr>
          <w:ilvl w:val="0"/>
          <w:numId w:val="23"/>
        </w:numPr>
        <w:spacing w:before="0" w:after="0" w:line="240" w:lineRule="auto"/>
        <w:rPr>
          <w:sz w:val="20"/>
          <w:szCs w:val="20"/>
        </w:rPr>
      </w:pPr>
      <w:r w:rsidRPr="00333481">
        <w:rPr>
          <w:sz w:val="20"/>
          <w:szCs w:val="20"/>
        </w:rPr>
        <w:t xml:space="preserve">Williamson et al: OpenSAFELY: factors associated with COVID-19-related hospital death in the linked electronic health records of 17 million adult NHS patients. </w:t>
      </w:r>
      <w:hyperlink r:id="rId19" w:history="1">
        <w:r w:rsidRPr="00333481">
          <w:rPr>
            <w:rStyle w:val="Hyperlink"/>
            <w:sz w:val="20"/>
            <w:szCs w:val="20"/>
          </w:rPr>
          <w:t>https://doi.org/10.1101/2020.05.06.20092999</w:t>
        </w:r>
      </w:hyperlink>
      <w:r w:rsidRPr="00333481">
        <w:rPr>
          <w:sz w:val="20"/>
          <w:szCs w:val="20"/>
        </w:rPr>
        <w:t xml:space="preserve"> </w:t>
      </w:r>
    </w:p>
    <w:p w14:paraId="380A3D8B" w14:textId="77777777" w:rsidR="00557D62" w:rsidRPr="00333481" w:rsidRDefault="00557D62" w:rsidP="00557D62">
      <w:pPr>
        <w:numPr>
          <w:ilvl w:val="0"/>
          <w:numId w:val="23"/>
        </w:numPr>
        <w:spacing w:before="0" w:after="0" w:line="240" w:lineRule="auto"/>
        <w:rPr>
          <w:sz w:val="20"/>
          <w:szCs w:val="20"/>
        </w:rPr>
      </w:pPr>
      <w:r w:rsidRPr="00333481">
        <w:rPr>
          <w:sz w:val="20"/>
          <w:szCs w:val="20"/>
        </w:rPr>
        <w:t xml:space="preserve">Guan W-jie, Liang W-hua, Zhao Y, et al. Comorbidity and its impact on 1590 patients with Covid-19 in China: A Nationwide Analysis. Eur Respir J 2020. </w:t>
      </w:r>
      <w:hyperlink r:id="rId20" w:history="1">
        <w:r w:rsidRPr="00333481">
          <w:rPr>
            <w:rStyle w:val="Hyperlink"/>
            <w:sz w:val="20"/>
            <w:szCs w:val="20"/>
          </w:rPr>
          <w:t>https://doi.org/10.1183/13993003.00547-2020</w:t>
        </w:r>
      </w:hyperlink>
    </w:p>
    <w:p w14:paraId="7BE7D349" w14:textId="77777777" w:rsidR="00557D62" w:rsidRPr="00333481" w:rsidRDefault="00557D62" w:rsidP="00557D62">
      <w:pPr>
        <w:numPr>
          <w:ilvl w:val="0"/>
          <w:numId w:val="23"/>
        </w:numPr>
        <w:spacing w:before="0" w:after="0" w:line="240" w:lineRule="auto"/>
        <w:rPr>
          <w:sz w:val="20"/>
          <w:szCs w:val="20"/>
        </w:rPr>
      </w:pPr>
      <w:r w:rsidRPr="00333481">
        <w:rPr>
          <w:sz w:val="20"/>
          <w:szCs w:val="20"/>
        </w:rPr>
        <w:t>Chung H, He S, Nasreen S, et al. Effectiveness of BNT162b2 and mRNA-1273 COVID-19 vaccines against symptomatic SARS-CoV-2 infection and severe COVID-19 outcomes in Ontario, Canada: a test-negative design study. 2021. Available from: https://doi.org/10.1101/2021.05.24.21257744 (Accessed 24 August 2021).</w:t>
      </w:r>
    </w:p>
    <w:p w14:paraId="07A196E7" w14:textId="77777777" w:rsidR="00557D62" w:rsidRPr="00333481" w:rsidRDefault="00557D62" w:rsidP="00557D62">
      <w:pPr>
        <w:numPr>
          <w:ilvl w:val="0"/>
          <w:numId w:val="23"/>
        </w:numPr>
        <w:spacing w:before="0" w:after="0" w:line="240" w:lineRule="auto"/>
        <w:rPr>
          <w:sz w:val="20"/>
          <w:szCs w:val="20"/>
        </w:rPr>
      </w:pPr>
      <w:r w:rsidRPr="00333481">
        <w:rPr>
          <w:sz w:val="20"/>
          <w:szCs w:val="20"/>
        </w:rPr>
        <w:t>Stowe J, Andrews NJ, Gower C, et al. Effectiveness of COVID-19 vaccines against hospital admission with the Delta (B.1.617.2) variant. 2021. Available from: https://media.tghn.org/articles/Effectiveness_of_COVID19_vaccines_against_hospital_admission_with_the_Delta_B._G6gnnqJ.pdf (Accessed 24 August 2021).</w:t>
      </w:r>
    </w:p>
    <w:p w14:paraId="5D26C74D" w14:textId="77777777" w:rsidR="00557D62" w:rsidRPr="00333481" w:rsidRDefault="00557D62" w:rsidP="00557D62">
      <w:pPr>
        <w:numPr>
          <w:ilvl w:val="0"/>
          <w:numId w:val="23"/>
        </w:numPr>
        <w:spacing w:before="0" w:after="0" w:line="240" w:lineRule="auto"/>
        <w:rPr>
          <w:sz w:val="20"/>
          <w:szCs w:val="20"/>
        </w:rPr>
      </w:pPr>
      <w:r w:rsidRPr="00333481">
        <w:rPr>
          <w:sz w:val="20"/>
          <w:szCs w:val="20"/>
        </w:rPr>
        <w:t>Pritchard E, Matthews PC, Stoesser N, et al. Impact of vaccination on SARS-CoV-2 cases in the community: a population-based study using the UK’s COVID-19 Infection Survey. 2021. Available from: https://doi.org/10.1101/2021.04.22.21255913 (Accessed 24 August 2021).</w:t>
      </w:r>
    </w:p>
    <w:p w14:paraId="33B8B555" w14:textId="77777777" w:rsidR="00557D62" w:rsidRPr="00333481" w:rsidRDefault="00557D62" w:rsidP="00557D62">
      <w:pPr>
        <w:numPr>
          <w:ilvl w:val="0"/>
          <w:numId w:val="23"/>
        </w:numPr>
        <w:spacing w:before="0" w:after="0" w:line="240" w:lineRule="auto"/>
        <w:rPr>
          <w:sz w:val="20"/>
          <w:szCs w:val="20"/>
        </w:rPr>
      </w:pPr>
      <w:r w:rsidRPr="00333481">
        <w:rPr>
          <w:sz w:val="20"/>
          <w:szCs w:val="20"/>
        </w:rPr>
        <w:t>Vasileiou E, Simpson CR, Shi T, et al. Interim findings from first-dose mass COVID-19 vaccination roll-out and COVID-19 hospital admissions in Scotland: a national prospective cohort study. Lancet. 2021 May 1;397(10285):1646-1657. doi: 10.1016/S0140-6736(21)00677-2. Epub 2021 Apr 23. PMID: 33901420; PMCID: PMC8064669.</w:t>
      </w:r>
    </w:p>
    <w:p w14:paraId="501147FB" w14:textId="77777777" w:rsidR="00557D62" w:rsidRPr="00333481" w:rsidRDefault="00557D62" w:rsidP="00557D62">
      <w:pPr>
        <w:numPr>
          <w:ilvl w:val="0"/>
          <w:numId w:val="23"/>
        </w:numPr>
        <w:spacing w:before="0" w:after="0" w:line="240" w:lineRule="auto"/>
        <w:rPr>
          <w:sz w:val="20"/>
          <w:szCs w:val="20"/>
        </w:rPr>
      </w:pPr>
      <w:r w:rsidRPr="00333481">
        <w:rPr>
          <w:sz w:val="20"/>
          <w:szCs w:val="20"/>
        </w:rPr>
        <w:t>Whitaker HJ, Tsang RSM, Byford R, et al. Pfizer-BioNTech and Oxford AstraZeneca COVID-19 vaccine effectiveness and immune response among individuals in clinical risk groups. 2021. Available from: https://khub.net/documents/135939561/430986542/RCGP+VE+riskgroups+paper.pdf/a6b54cd9-419d-9b63- e2bf-5dc796f5a91f (Accessed 24 August 2021).</w:t>
      </w:r>
    </w:p>
    <w:p w14:paraId="42035AAD" w14:textId="77777777" w:rsidR="00557D62" w:rsidRPr="00333481" w:rsidRDefault="00557D62" w:rsidP="00557D62">
      <w:pPr>
        <w:numPr>
          <w:ilvl w:val="0"/>
          <w:numId w:val="23"/>
        </w:numPr>
        <w:spacing w:before="0" w:after="0" w:line="240" w:lineRule="auto"/>
        <w:rPr>
          <w:sz w:val="20"/>
          <w:szCs w:val="20"/>
        </w:rPr>
      </w:pPr>
      <w:r w:rsidRPr="00333481">
        <w:rPr>
          <w:sz w:val="20"/>
          <w:szCs w:val="20"/>
        </w:rPr>
        <w:t>Brosh--Nissimov T, Orenbuch-Harroch E, Chowers M, et al. BNT162b2 vaccine breakthrough: clinical characteristics of 152 fully vaccinated hospitalized COVID-19 patients in Israel. Clin Microbiol Infect. 2021 Jul 7:S1198-743X(21)00367-0. doi: 10.1016/j.cmi.2021.06.036. Epub ahead of print. PMID: 34245907; PMCID: PMC8261136.</w:t>
      </w:r>
    </w:p>
    <w:p w14:paraId="15BA674E" w14:textId="77777777" w:rsidR="00557D62" w:rsidRPr="00333481" w:rsidRDefault="00557D62" w:rsidP="00557D62">
      <w:pPr>
        <w:numPr>
          <w:ilvl w:val="0"/>
          <w:numId w:val="23"/>
        </w:numPr>
        <w:spacing w:before="0" w:after="0" w:line="240" w:lineRule="auto"/>
        <w:rPr>
          <w:sz w:val="20"/>
          <w:szCs w:val="20"/>
        </w:rPr>
      </w:pPr>
      <w:r w:rsidRPr="00333481">
        <w:rPr>
          <w:sz w:val="20"/>
          <w:szCs w:val="20"/>
        </w:rPr>
        <w:t>Semenzato L, Botton J, Drouin J, et al. Chronic diseases, health conditions and risk of COVID-19-related hospitalization and in-hospital mortality during the first wave of the epidemic in France: a cohort study of 66 million people. Lancet Reg Health Eur. 2021 Sep;8:100158. doi: 10.1016/j.lanepe.2021.100158. Epub 2021 Jul 16. PMID: 34308411; PMCID: PMC8282330.</w:t>
      </w:r>
    </w:p>
    <w:p w14:paraId="2B19E79D" w14:textId="77777777" w:rsidR="00557D62" w:rsidRPr="00333481" w:rsidRDefault="00557D62" w:rsidP="00557D62">
      <w:pPr>
        <w:numPr>
          <w:ilvl w:val="0"/>
          <w:numId w:val="23"/>
        </w:numPr>
        <w:spacing w:before="0" w:after="0" w:line="240" w:lineRule="auto"/>
        <w:rPr>
          <w:sz w:val="20"/>
          <w:szCs w:val="20"/>
        </w:rPr>
      </w:pPr>
      <w:r w:rsidRPr="00333481">
        <w:rPr>
          <w:sz w:val="20"/>
          <w:szCs w:val="20"/>
        </w:rPr>
        <w:t>Magnus MC, Oakley L, Gjessing HK, et al. Pregnancy and risk of COVID-19. medRxiv. March 2021:2021.03.22.21254090. doi:10.1101/2021.03.22.21254090</w:t>
      </w:r>
    </w:p>
    <w:p w14:paraId="1BD7486E" w14:textId="77777777" w:rsidR="00557D62" w:rsidRPr="00333481" w:rsidRDefault="00557D62" w:rsidP="00557D62">
      <w:pPr>
        <w:numPr>
          <w:ilvl w:val="0"/>
          <w:numId w:val="23"/>
        </w:numPr>
        <w:spacing w:before="0" w:after="0" w:line="240" w:lineRule="auto"/>
        <w:rPr>
          <w:sz w:val="20"/>
          <w:szCs w:val="20"/>
        </w:rPr>
      </w:pPr>
      <w:r w:rsidRPr="00333481">
        <w:rPr>
          <w:sz w:val="20"/>
          <w:szCs w:val="20"/>
        </w:rPr>
        <w:t>Allotey J, Stallings E, Bonet M, et al. Clinical manifestations, risk factors, and maternal and perinatal outcomes of coronavirus disease 2019 in pregnancy: Living systematic review and meta-analysis. BMJ. 2020;370:3320. doi:10.1136/bmj.m3320</w:t>
      </w:r>
    </w:p>
    <w:p w14:paraId="2D0267FF" w14:textId="77777777" w:rsidR="00557D62" w:rsidRDefault="00557D62" w:rsidP="00557D62"/>
    <w:p w14:paraId="505C78C7" w14:textId="77777777" w:rsidR="00557D62" w:rsidRPr="008611BA" w:rsidRDefault="00557D62" w:rsidP="00557D62">
      <w:pPr>
        <w:spacing w:after="200"/>
      </w:pPr>
    </w:p>
    <w:p w14:paraId="06924DA7" w14:textId="77777777" w:rsidR="00557D62" w:rsidRDefault="00557D62" w:rsidP="00557D62"/>
    <w:p w14:paraId="4E7A28E4" w14:textId="5E83DDF7" w:rsidR="00672BB2" w:rsidRPr="00672BB2" w:rsidRDefault="00672BB2" w:rsidP="0013232B"/>
    <w:sectPr w:rsidR="00672BB2" w:rsidRPr="00672BB2" w:rsidSect="0013232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01AA" w14:textId="77777777" w:rsidR="00807F38" w:rsidRDefault="00807F38">
      <w:pPr>
        <w:spacing w:after="0" w:line="240" w:lineRule="auto"/>
      </w:pPr>
      <w:r>
        <w:separator/>
      </w:r>
    </w:p>
  </w:endnote>
  <w:endnote w:type="continuationSeparator" w:id="0">
    <w:p w14:paraId="3F083D39" w14:textId="77777777" w:rsidR="00807F38" w:rsidRDefault="0080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742D" w14:textId="77777777" w:rsidR="005160F3" w:rsidRPr="009E383D" w:rsidRDefault="00807F38" w:rsidP="009E383D">
    <w:pPr>
      <w:pStyle w:val="Footer"/>
      <w:tabs>
        <w:tab w:val="clear" w:pos="4513"/>
      </w:tabs>
      <w:spacing w:after="0" w:line="240" w:lineRule="auto"/>
    </w:pPr>
    <w:sdt>
      <w:sdtPr>
        <w:id w:val="-1211114061"/>
        <w:docPartObj>
          <w:docPartGallery w:val="Page Numbers (Bottom of Page)"/>
          <w:docPartUnique/>
        </w:docPartObj>
      </w:sdtPr>
      <w:sdtEndPr/>
      <w:sdtContent>
        <w:r w:rsidR="005160F3">
          <w:tab/>
        </w:r>
        <w:r w:rsidR="005160F3" w:rsidRPr="003D033A">
          <w:fldChar w:fldCharType="begin"/>
        </w:r>
        <w:r w:rsidR="005160F3" w:rsidRPr="003D033A">
          <w:instrText xml:space="preserve"> PAGE   \* MERGEFORMAT </w:instrText>
        </w:r>
        <w:r w:rsidR="005160F3" w:rsidRPr="003D033A">
          <w:fldChar w:fldCharType="separate"/>
        </w:r>
        <w:r w:rsidR="006F5FDF">
          <w:rPr>
            <w:noProof/>
          </w:rPr>
          <w:t>2</w:t>
        </w:r>
        <w:r w:rsidR="005160F3"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DC4F" w14:textId="77777777" w:rsidR="005160F3" w:rsidRPr="00DE3355" w:rsidRDefault="00807F38" w:rsidP="00E77337">
    <w:pPr>
      <w:pStyle w:val="Footer"/>
      <w:tabs>
        <w:tab w:val="clear" w:pos="4513"/>
      </w:tabs>
      <w:spacing w:after="0" w:line="240" w:lineRule="auto"/>
    </w:pPr>
    <w:sdt>
      <w:sdtPr>
        <w:id w:val="-2019995032"/>
        <w:docPartObj>
          <w:docPartGallery w:val="Page Numbers (Bottom of Page)"/>
          <w:docPartUnique/>
        </w:docPartObj>
      </w:sdtPr>
      <w:sdtEndPr/>
      <w:sdtContent>
        <w:r w:rsidR="005160F3">
          <w:tab/>
        </w:r>
        <w:r w:rsidR="005160F3" w:rsidRPr="003D033A">
          <w:fldChar w:fldCharType="begin"/>
        </w:r>
        <w:r w:rsidR="005160F3" w:rsidRPr="003D033A">
          <w:instrText xml:space="preserve"> PAGE   \* MERGEFORMAT </w:instrText>
        </w:r>
        <w:r w:rsidR="005160F3" w:rsidRPr="003D033A">
          <w:fldChar w:fldCharType="separate"/>
        </w:r>
        <w:r w:rsidR="00907141">
          <w:rPr>
            <w:noProof/>
          </w:rPr>
          <w:t>1</w:t>
        </w:r>
        <w:r w:rsidR="005160F3"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67FC" w14:textId="77777777" w:rsidR="00807F38" w:rsidRDefault="00807F38">
      <w:pPr>
        <w:spacing w:after="0" w:line="240" w:lineRule="auto"/>
      </w:pPr>
      <w:r>
        <w:separator/>
      </w:r>
    </w:p>
  </w:footnote>
  <w:footnote w:type="continuationSeparator" w:id="0">
    <w:p w14:paraId="07EE6430" w14:textId="77777777" w:rsidR="00807F38" w:rsidRDefault="0080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B80C" w14:textId="77777777" w:rsidR="005160F3" w:rsidRDefault="005160F3"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F73E" w14:textId="77777777" w:rsidR="005160F3" w:rsidRDefault="005160F3" w:rsidP="00A31567">
    <w:pPr>
      <w:pStyle w:val="Header"/>
      <w:tabs>
        <w:tab w:val="clear" w:pos="4513"/>
        <w:tab w:val="clear" w:pos="9026"/>
        <w:tab w:val="left" w:pos="3281"/>
        <w:tab w:val="left" w:pos="6908"/>
      </w:tabs>
    </w:pPr>
    <w:r w:rsidRPr="00A31567">
      <w:rPr>
        <w:noProof/>
        <w:lang w:eastAsia="en-AU"/>
      </w:rPr>
      <w:drawing>
        <wp:anchor distT="0" distB="0" distL="114300" distR="114300" simplePos="0" relativeHeight="251665920" behindDoc="0" locked="1" layoutInCell="1" allowOverlap="1" wp14:anchorId="786002B2" wp14:editId="16545782">
          <wp:simplePos x="0" y="0"/>
          <wp:positionH relativeFrom="page">
            <wp:posOffset>443230</wp:posOffset>
          </wp:positionH>
          <wp:positionV relativeFrom="page">
            <wp:posOffset>558800</wp:posOffset>
          </wp:positionV>
          <wp:extent cx="2887345" cy="700405"/>
          <wp:effectExtent l="0" t="0" r="8255" b="10795"/>
          <wp:wrapNone/>
          <wp:docPr id="6" name="Picture 6"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1">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r>
      <w:rPr>
        <w:noProof/>
        <w:lang w:eastAsia="en-AU"/>
      </w:rPr>
      <w:drawing>
        <wp:anchor distT="0" distB="0" distL="114300" distR="114300" simplePos="0" relativeHeight="251664896" behindDoc="0" locked="1" layoutInCell="1" allowOverlap="1" wp14:anchorId="3CADDEFC" wp14:editId="75502B55">
          <wp:simplePos x="0" y="0"/>
          <wp:positionH relativeFrom="rightMargin">
            <wp:posOffset>-1800225</wp:posOffset>
          </wp:positionH>
          <wp:positionV relativeFrom="page">
            <wp:posOffset>673100</wp:posOffset>
          </wp:positionV>
          <wp:extent cx="2207260" cy="397510"/>
          <wp:effectExtent l="0" t="0" r="2540" b="8890"/>
          <wp:wrapTopAndBottom/>
          <wp:docPr id="5" name="Picture 5" descr="Be CovidSafe black bullet icon&#10;" title="Be Covid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2">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3872" behindDoc="1" locked="1" layoutInCell="1" allowOverlap="1" wp14:anchorId="1F9B4827" wp14:editId="232BC5C7">
              <wp:simplePos x="0" y="0"/>
              <wp:positionH relativeFrom="page">
                <wp:posOffset>180340</wp:posOffset>
              </wp:positionH>
              <wp:positionV relativeFrom="page">
                <wp:posOffset>180340</wp:posOffset>
              </wp:positionV>
              <wp:extent cx="7200000" cy="1440000"/>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200000" cy="1440000"/>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9F820" id="Rectangle 4" o:spid="_x0000_s1026" alt="Title: Be CovidSafe Green - Description: Header-Green box" style="position:absolute;margin-left:14.2pt;margin-top:14.2pt;width:566.95pt;height:113.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" fillcolor="#008a23" stroked="f">
              <w10:wrap anchorx="page" anchory="page"/>
              <w10:anchorlock/>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multilevel"/>
    <w:tmpl w:val="03311526"/>
    <w:lvl w:ilvl="0">
      <w:start w:val="1"/>
      <w:numFmt w:val="decimal"/>
      <w:pStyle w:val="Tablelistnumb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2704A"/>
    <w:multiLevelType w:val="hybridMultilevel"/>
    <w:tmpl w:val="31CE28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728A3"/>
    <w:multiLevelType w:val="hybridMultilevel"/>
    <w:tmpl w:val="5F38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46D37"/>
    <w:multiLevelType w:val="hybridMultilevel"/>
    <w:tmpl w:val="26E4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24585"/>
    <w:multiLevelType w:val="hybridMultilevel"/>
    <w:tmpl w:val="72827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multilevel"/>
    <w:tmpl w:val="13363506"/>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1E9"/>
    <w:multiLevelType w:val="hybridMultilevel"/>
    <w:tmpl w:val="18E2E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CD50FD"/>
    <w:multiLevelType w:val="multilevel"/>
    <w:tmpl w:val="34CD50FD"/>
    <w:lvl w:ilvl="0">
      <w:start w:val="1"/>
      <w:numFmt w:val="bullet"/>
      <w:pStyle w:val="ListNumber2"/>
      <w:lvlText w:val=""/>
      <w:lvlJc w:val="left"/>
      <w:pPr>
        <w:ind w:left="64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F2CAB"/>
    <w:multiLevelType w:val="hybridMultilevel"/>
    <w:tmpl w:val="A2203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D7468"/>
    <w:multiLevelType w:val="hybridMultilevel"/>
    <w:tmpl w:val="0BE6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D735C"/>
    <w:multiLevelType w:val="hybridMultilevel"/>
    <w:tmpl w:val="AC76D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E23EF1"/>
    <w:multiLevelType w:val="hybridMultilevel"/>
    <w:tmpl w:val="22D6D368"/>
    <w:lvl w:ilvl="0" w:tplc="CBBC965E">
      <w:start w:val="23"/>
      <w:numFmt w:val="bullet"/>
      <w:pStyle w:val="ListParagraph"/>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0409D"/>
    <w:multiLevelType w:val="multilevel"/>
    <w:tmpl w:val="51E0409D"/>
    <w:lvl w:ilvl="0">
      <w:start w:val="1"/>
      <w:numFmt w:val="bullet"/>
      <w:pStyle w:val="ListNumber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BF62DD2"/>
    <w:multiLevelType w:val="hybridMultilevel"/>
    <w:tmpl w:val="06D6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4101CA"/>
    <w:multiLevelType w:val="hybridMultilevel"/>
    <w:tmpl w:val="75AA7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DA3553"/>
    <w:multiLevelType w:val="hybridMultilevel"/>
    <w:tmpl w:val="E04E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70496"/>
    <w:multiLevelType w:val="hybridMultilevel"/>
    <w:tmpl w:val="32348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F8287E"/>
    <w:multiLevelType w:val="multilevel"/>
    <w:tmpl w:val="6CF8287E"/>
    <w:lvl w:ilvl="0">
      <w:start w:val="1"/>
      <w:numFmt w:val="bullet"/>
      <w:pStyle w:val="Table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BD6244"/>
    <w:multiLevelType w:val="hybridMultilevel"/>
    <w:tmpl w:val="C95EB2B8"/>
    <w:lvl w:ilvl="0" w:tplc="B4862B1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26022D7"/>
    <w:multiLevelType w:val="hybridMultilevel"/>
    <w:tmpl w:val="A5121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2507A"/>
    <w:multiLevelType w:val="hybridMultilevel"/>
    <w:tmpl w:val="3F60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A6066C"/>
    <w:multiLevelType w:val="hybridMultilevel"/>
    <w:tmpl w:val="39A0F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16"/>
    <w:multiLevelType w:val="multilevel"/>
    <w:tmpl w:val="7E391716"/>
    <w:lvl w:ilvl="0">
      <w:start w:val="1"/>
      <w:numFmt w:val="bullet"/>
      <w:pStyle w:val="ListBullet2"/>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23"/>
  </w:num>
  <w:num w:numId="3">
    <w:abstractNumId w:val="7"/>
  </w:num>
  <w:num w:numId="4">
    <w:abstractNumId w:val="13"/>
  </w:num>
  <w:num w:numId="5">
    <w:abstractNumId w:val="18"/>
  </w:num>
  <w:num w:numId="6">
    <w:abstractNumId w:val="0"/>
  </w:num>
  <w:num w:numId="7">
    <w:abstractNumId w:val="12"/>
  </w:num>
  <w:num w:numId="8">
    <w:abstractNumId w:val="6"/>
  </w:num>
  <w:num w:numId="9">
    <w:abstractNumId w:val="20"/>
  </w:num>
  <w:num w:numId="10">
    <w:abstractNumId w:val="19"/>
  </w:num>
  <w:num w:numId="11">
    <w:abstractNumId w:val="12"/>
  </w:num>
  <w:num w:numId="12">
    <w:abstractNumId w:val="12"/>
  </w:num>
  <w:num w:numId="13">
    <w:abstractNumId w:val="8"/>
  </w:num>
  <w:num w:numId="14">
    <w:abstractNumId w:val="10"/>
  </w:num>
  <w:num w:numId="15">
    <w:abstractNumId w:val="15"/>
  </w:num>
  <w:num w:numId="16">
    <w:abstractNumId w:val="3"/>
  </w:num>
  <w:num w:numId="17">
    <w:abstractNumId w:val="21"/>
  </w:num>
  <w:num w:numId="18">
    <w:abstractNumId w:val="11"/>
  </w:num>
  <w:num w:numId="19">
    <w:abstractNumId w:val="2"/>
  </w:num>
  <w:num w:numId="20">
    <w:abstractNumId w:val="9"/>
  </w:num>
  <w:num w:numId="21">
    <w:abstractNumId w:val="4"/>
  </w:num>
  <w:num w:numId="22">
    <w:abstractNumId w:val="22"/>
  </w:num>
  <w:num w:numId="23">
    <w:abstractNumId w:val="1"/>
  </w:num>
  <w:num w:numId="24">
    <w:abstractNumId w:val="16"/>
  </w:num>
  <w:num w:numId="25">
    <w:abstractNumId w:val="14"/>
  </w:num>
  <w:num w:numId="2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F3"/>
    <w:rsid w:val="00001E81"/>
    <w:rsid w:val="00003743"/>
    <w:rsid w:val="000047B4"/>
    <w:rsid w:val="00005712"/>
    <w:rsid w:val="00007FD8"/>
    <w:rsid w:val="000112BE"/>
    <w:rsid w:val="000117F8"/>
    <w:rsid w:val="0001460F"/>
    <w:rsid w:val="000206D1"/>
    <w:rsid w:val="00021C4F"/>
    <w:rsid w:val="00022223"/>
    <w:rsid w:val="00022629"/>
    <w:rsid w:val="00026139"/>
    <w:rsid w:val="000265AD"/>
    <w:rsid w:val="0002666D"/>
    <w:rsid w:val="00026694"/>
    <w:rsid w:val="00027601"/>
    <w:rsid w:val="0002776D"/>
    <w:rsid w:val="00031C26"/>
    <w:rsid w:val="00032749"/>
    <w:rsid w:val="00033321"/>
    <w:rsid w:val="000338E5"/>
    <w:rsid w:val="00033ECC"/>
    <w:rsid w:val="0003422F"/>
    <w:rsid w:val="000444AB"/>
    <w:rsid w:val="00046FCA"/>
    <w:rsid w:val="00046FF0"/>
    <w:rsid w:val="0004791D"/>
    <w:rsid w:val="00050176"/>
    <w:rsid w:val="0005403C"/>
    <w:rsid w:val="00061DED"/>
    <w:rsid w:val="00067456"/>
    <w:rsid w:val="00067E62"/>
    <w:rsid w:val="00071506"/>
    <w:rsid w:val="0007154F"/>
    <w:rsid w:val="000723C0"/>
    <w:rsid w:val="00074073"/>
    <w:rsid w:val="00075E8A"/>
    <w:rsid w:val="00081AB1"/>
    <w:rsid w:val="00081CA0"/>
    <w:rsid w:val="00083312"/>
    <w:rsid w:val="00090316"/>
    <w:rsid w:val="000903F6"/>
    <w:rsid w:val="00093981"/>
    <w:rsid w:val="00093C5C"/>
    <w:rsid w:val="000A1ACE"/>
    <w:rsid w:val="000A3ECB"/>
    <w:rsid w:val="000A5D3E"/>
    <w:rsid w:val="000B067A"/>
    <w:rsid w:val="000B0BC4"/>
    <w:rsid w:val="000B1540"/>
    <w:rsid w:val="000B1E53"/>
    <w:rsid w:val="000B33FD"/>
    <w:rsid w:val="000B4ABA"/>
    <w:rsid w:val="000B7DDD"/>
    <w:rsid w:val="000C060A"/>
    <w:rsid w:val="000C4B16"/>
    <w:rsid w:val="000C50C3"/>
    <w:rsid w:val="000C5E14"/>
    <w:rsid w:val="000D19D8"/>
    <w:rsid w:val="000D21F6"/>
    <w:rsid w:val="000D2E39"/>
    <w:rsid w:val="000D4500"/>
    <w:rsid w:val="000D7AEA"/>
    <w:rsid w:val="000D7D73"/>
    <w:rsid w:val="000E2C66"/>
    <w:rsid w:val="000E3B28"/>
    <w:rsid w:val="000E3CF8"/>
    <w:rsid w:val="000E419F"/>
    <w:rsid w:val="000F123C"/>
    <w:rsid w:val="000F2FED"/>
    <w:rsid w:val="000F32EC"/>
    <w:rsid w:val="000F514E"/>
    <w:rsid w:val="000F734F"/>
    <w:rsid w:val="00103244"/>
    <w:rsid w:val="0010584F"/>
    <w:rsid w:val="0010616D"/>
    <w:rsid w:val="00106DBF"/>
    <w:rsid w:val="00110478"/>
    <w:rsid w:val="0011711B"/>
    <w:rsid w:val="00117F8A"/>
    <w:rsid w:val="00120A5F"/>
    <w:rsid w:val="00121B9B"/>
    <w:rsid w:val="00122ADC"/>
    <w:rsid w:val="00130F59"/>
    <w:rsid w:val="0013232B"/>
    <w:rsid w:val="00133D32"/>
    <w:rsid w:val="00133EC0"/>
    <w:rsid w:val="00136849"/>
    <w:rsid w:val="00141CE5"/>
    <w:rsid w:val="00144908"/>
    <w:rsid w:val="0014527B"/>
    <w:rsid w:val="00153779"/>
    <w:rsid w:val="001571C7"/>
    <w:rsid w:val="0015787C"/>
    <w:rsid w:val="00160F77"/>
    <w:rsid w:val="00161094"/>
    <w:rsid w:val="00164287"/>
    <w:rsid w:val="00166B74"/>
    <w:rsid w:val="00170938"/>
    <w:rsid w:val="00174784"/>
    <w:rsid w:val="0017665C"/>
    <w:rsid w:val="0017757A"/>
    <w:rsid w:val="001776AA"/>
    <w:rsid w:val="00177AD2"/>
    <w:rsid w:val="00177CA0"/>
    <w:rsid w:val="001815A8"/>
    <w:rsid w:val="00181CF3"/>
    <w:rsid w:val="001840FA"/>
    <w:rsid w:val="00187F7A"/>
    <w:rsid w:val="00190079"/>
    <w:rsid w:val="001907D3"/>
    <w:rsid w:val="001928FC"/>
    <w:rsid w:val="0019622E"/>
    <w:rsid w:val="001966A7"/>
    <w:rsid w:val="001A047A"/>
    <w:rsid w:val="001A3655"/>
    <w:rsid w:val="001A4165"/>
    <w:rsid w:val="001A4627"/>
    <w:rsid w:val="001A485D"/>
    <w:rsid w:val="001A4979"/>
    <w:rsid w:val="001A4DF9"/>
    <w:rsid w:val="001B15D3"/>
    <w:rsid w:val="001B3443"/>
    <w:rsid w:val="001B3B43"/>
    <w:rsid w:val="001B7E19"/>
    <w:rsid w:val="001C0326"/>
    <w:rsid w:val="001C07F6"/>
    <w:rsid w:val="001C192F"/>
    <w:rsid w:val="001C198A"/>
    <w:rsid w:val="001C2148"/>
    <w:rsid w:val="001C3C42"/>
    <w:rsid w:val="001D4406"/>
    <w:rsid w:val="001D599E"/>
    <w:rsid w:val="001D7869"/>
    <w:rsid w:val="001E0B57"/>
    <w:rsid w:val="001E2EFC"/>
    <w:rsid w:val="001F30C2"/>
    <w:rsid w:val="001F6102"/>
    <w:rsid w:val="001F6C85"/>
    <w:rsid w:val="00202603"/>
    <w:rsid w:val="002026CD"/>
    <w:rsid w:val="002033FC"/>
    <w:rsid w:val="00203F75"/>
    <w:rsid w:val="002044BB"/>
    <w:rsid w:val="00207FC1"/>
    <w:rsid w:val="00210B09"/>
    <w:rsid w:val="00210C9E"/>
    <w:rsid w:val="00211840"/>
    <w:rsid w:val="00212039"/>
    <w:rsid w:val="00213911"/>
    <w:rsid w:val="00216A91"/>
    <w:rsid w:val="00216F44"/>
    <w:rsid w:val="00220E5F"/>
    <w:rsid w:val="002212B5"/>
    <w:rsid w:val="00221BDC"/>
    <w:rsid w:val="00226668"/>
    <w:rsid w:val="00232C86"/>
    <w:rsid w:val="00233809"/>
    <w:rsid w:val="00236C90"/>
    <w:rsid w:val="00240046"/>
    <w:rsid w:val="002420B6"/>
    <w:rsid w:val="0024499F"/>
    <w:rsid w:val="0024797F"/>
    <w:rsid w:val="0025119E"/>
    <w:rsid w:val="00251269"/>
    <w:rsid w:val="00251DB1"/>
    <w:rsid w:val="002535C0"/>
    <w:rsid w:val="002537D2"/>
    <w:rsid w:val="00257983"/>
    <w:rsid w:val="002579FE"/>
    <w:rsid w:val="00261183"/>
    <w:rsid w:val="0026311C"/>
    <w:rsid w:val="0026668C"/>
    <w:rsid w:val="00266AC1"/>
    <w:rsid w:val="00267F62"/>
    <w:rsid w:val="0027178C"/>
    <w:rsid w:val="002719FA"/>
    <w:rsid w:val="00272668"/>
    <w:rsid w:val="0027330B"/>
    <w:rsid w:val="002803AD"/>
    <w:rsid w:val="00280568"/>
    <w:rsid w:val="00282052"/>
    <w:rsid w:val="0028519E"/>
    <w:rsid w:val="002856A5"/>
    <w:rsid w:val="002872ED"/>
    <w:rsid w:val="002905C2"/>
    <w:rsid w:val="00295AF2"/>
    <w:rsid w:val="00295C91"/>
    <w:rsid w:val="00297151"/>
    <w:rsid w:val="002B06D7"/>
    <w:rsid w:val="002B1F72"/>
    <w:rsid w:val="002B20E6"/>
    <w:rsid w:val="002B42A3"/>
    <w:rsid w:val="002B4DE5"/>
    <w:rsid w:val="002B58B1"/>
    <w:rsid w:val="002B61AC"/>
    <w:rsid w:val="002C0CDD"/>
    <w:rsid w:val="002C38C4"/>
    <w:rsid w:val="002C5052"/>
    <w:rsid w:val="002C607D"/>
    <w:rsid w:val="002D030E"/>
    <w:rsid w:val="002D68BB"/>
    <w:rsid w:val="002E0C2E"/>
    <w:rsid w:val="002E1A1D"/>
    <w:rsid w:val="002E2277"/>
    <w:rsid w:val="002E4081"/>
    <w:rsid w:val="002E4AA3"/>
    <w:rsid w:val="002E50D7"/>
    <w:rsid w:val="002E5B78"/>
    <w:rsid w:val="002E5C5B"/>
    <w:rsid w:val="002F3619"/>
    <w:rsid w:val="002F3AE3"/>
    <w:rsid w:val="002F5ADF"/>
    <w:rsid w:val="00300630"/>
    <w:rsid w:val="00302631"/>
    <w:rsid w:val="0030464B"/>
    <w:rsid w:val="00305DA7"/>
    <w:rsid w:val="0030786C"/>
    <w:rsid w:val="003133C8"/>
    <w:rsid w:val="0031784E"/>
    <w:rsid w:val="00321B0B"/>
    <w:rsid w:val="003233DE"/>
    <w:rsid w:val="0032466B"/>
    <w:rsid w:val="003266BB"/>
    <w:rsid w:val="003300DA"/>
    <w:rsid w:val="00331A96"/>
    <w:rsid w:val="003330EB"/>
    <w:rsid w:val="0033381B"/>
    <w:rsid w:val="00334A58"/>
    <w:rsid w:val="00334AD4"/>
    <w:rsid w:val="00336189"/>
    <w:rsid w:val="00336DC0"/>
    <w:rsid w:val="003415FD"/>
    <w:rsid w:val="00341869"/>
    <w:rsid w:val="003429F0"/>
    <w:rsid w:val="00342E6A"/>
    <w:rsid w:val="00342EA3"/>
    <w:rsid w:val="00343399"/>
    <w:rsid w:val="00343F01"/>
    <w:rsid w:val="00345A82"/>
    <w:rsid w:val="00350122"/>
    <w:rsid w:val="0035097A"/>
    <w:rsid w:val="003540A4"/>
    <w:rsid w:val="00357BCC"/>
    <w:rsid w:val="00360E4E"/>
    <w:rsid w:val="003648C9"/>
    <w:rsid w:val="00365228"/>
    <w:rsid w:val="00367075"/>
    <w:rsid w:val="00370AAA"/>
    <w:rsid w:val="00373E7B"/>
    <w:rsid w:val="00375F77"/>
    <w:rsid w:val="003805FE"/>
    <w:rsid w:val="00381BBE"/>
    <w:rsid w:val="00382903"/>
    <w:rsid w:val="00383A0E"/>
    <w:rsid w:val="003846FF"/>
    <w:rsid w:val="003857D4"/>
    <w:rsid w:val="00385AD4"/>
    <w:rsid w:val="00387378"/>
    <w:rsid w:val="003875A4"/>
    <w:rsid w:val="00387924"/>
    <w:rsid w:val="0039384D"/>
    <w:rsid w:val="003947C2"/>
    <w:rsid w:val="00394FCB"/>
    <w:rsid w:val="00395C23"/>
    <w:rsid w:val="00397A8B"/>
    <w:rsid w:val="003A1BD2"/>
    <w:rsid w:val="003A2AB1"/>
    <w:rsid w:val="003A2E4F"/>
    <w:rsid w:val="003A30C9"/>
    <w:rsid w:val="003A4438"/>
    <w:rsid w:val="003A5013"/>
    <w:rsid w:val="003A5078"/>
    <w:rsid w:val="003A5B23"/>
    <w:rsid w:val="003A6058"/>
    <w:rsid w:val="003A62DD"/>
    <w:rsid w:val="003A775A"/>
    <w:rsid w:val="003B0516"/>
    <w:rsid w:val="003B1958"/>
    <w:rsid w:val="003B213A"/>
    <w:rsid w:val="003B43AD"/>
    <w:rsid w:val="003B4EE5"/>
    <w:rsid w:val="003B5250"/>
    <w:rsid w:val="003B62C7"/>
    <w:rsid w:val="003C0FEC"/>
    <w:rsid w:val="003C2AC8"/>
    <w:rsid w:val="003C37A5"/>
    <w:rsid w:val="003C37F0"/>
    <w:rsid w:val="003C51E9"/>
    <w:rsid w:val="003C53A5"/>
    <w:rsid w:val="003C7673"/>
    <w:rsid w:val="003D033A"/>
    <w:rsid w:val="003D17F9"/>
    <w:rsid w:val="003D1DB9"/>
    <w:rsid w:val="003D2D88"/>
    <w:rsid w:val="003D41EA"/>
    <w:rsid w:val="003D4778"/>
    <w:rsid w:val="003D4850"/>
    <w:rsid w:val="003D535A"/>
    <w:rsid w:val="003D56AC"/>
    <w:rsid w:val="003E16A1"/>
    <w:rsid w:val="003E5265"/>
    <w:rsid w:val="003E6DF5"/>
    <w:rsid w:val="003F0955"/>
    <w:rsid w:val="003F3D1A"/>
    <w:rsid w:val="003F5F4D"/>
    <w:rsid w:val="003F646F"/>
    <w:rsid w:val="003F7ADD"/>
    <w:rsid w:val="00400F00"/>
    <w:rsid w:val="0040194E"/>
    <w:rsid w:val="004046D7"/>
    <w:rsid w:val="00404F8B"/>
    <w:rsid w:val="00405256"/>
    <w:rsid w:val="00410031"/>
    <w:rsid w:val="00411355"/>
    <w:rsid w:val="004135AC"/>
    <w:rsid w:val="00415C81"/>
    <w:rsid w:val="00431FEA"/>
    <w:rsid w:val="00432378"/>
    <w:rsid w:val="00437B27"/>
    <w:rsid w:val="00440D65"/>
    <w:rsid w:val="00441B3B"/>
    <w:rsid w:val="004435E6"/>
    <w:rsid w:val="00446C50"/>
    <w:rsid w:val="00447385"/>
    <w:rsid w:val="00447E31"/>
    <w:rsid w:val="00453923"/>
    <w:rsid w:val="00454B9B"/>
    <w:rsid w:val="00457487"/>
    <w:rsid w:val="00457858"/>
    <w:rsid w:val="00460B0B"/>
    <w:rsid w:val="00461023"/>
    <w:rsid w:val="00462FAC"/>
    <w:rsid w:val="00464631"/>
    <w:rsid w:val="00464B79"/>
    <w:rsid w:val="00467BBF"/>
    <w:rsid w:val="00470CB1"/>
    <w:rsid w:val="00472362"/>
    <w:rsid w:val="00480262"/>
    <w:rsid w:val="00483AC1"/>
    <w:rsid w:val="0048593C"/>
    <w:rsid w:val="004867E2"/>
    <w:rsid w:val="00490001"/>
    <w:rsid w:val="004929A9"/>
    <w:rsid w:val="0049482D"/>
    <w:rsid w:val="004A1A49"/>
    <w:rsid w:val="004A3EA0"/>
    <w:rsid w:val="004A61A3"/>
    <w:rsid w:val="004A78D9"/>
    <w:rsid w:val="004B53A5"/>
    <w:rsid w:val="004C1B2F"/>
    <w:rsid w:val="004C66D2"/>
    <w:rsid w:val="004C6BCF"/>
    <w:rsid w:val="004D329A"/>
    <w:rsid w:val="004D540A"/>
    <w:rsid w:val="004D58BF"/>
    <w:rsid w:val="004D7AD0"/>
    <w:rsid w:val="004E3AF2"/>
    <w:rsid w:val="004E4335"/>
    <w:rsid w:val="004F0573"/>
    <w:rsid w:val="004F13EE"/>
    <w:rsid w:val="004F189F"/>
    <w:rsid w:val="004F1A47"/>
    <w:rsid w:val="004F2022"/>
    <w:rsid w:val="004F6BC0"/>
    <w:rsid w:val="004F7C05"/>
    <w:rsid w:val="00501C94"/>
    <w:rsid w:val="00506432"/>
    <w:rsid w:val="00506EFE"/>
    <w:rsid w:val="005128FC"/>
    <w:rsid w:val="005160F3"/>
    <w:rsid w:val="0052051D"/>
    <w:rsid w:val="00520916"/>
    <w:rsid w:val="00526A7C"/>
    <w:rsid w:val="00527AC7"/>
    <w:rsid w:val="005316BD"/>
    <w:rsid w:val="005327FF"/>
    <w:rsid w:val="0053630D"/>
    <w:rsid w:val="00542935"/>
    <w:rsid w:val="005438CB"/>
    <w:rsid w:val="00543FBA"/>
    <w:rsid w:val="00545EE6"/>
    <w:rsid w:val="00547FB2"/>
    <w:rsid w:val="00551207"/>
    <w:rsid w:val="00552127"/>
    <w:rsid w:val="005545ED"/>
    <w:rsid w:val="005550E7"/>
    <w:rsid w:val="005564FB"/>
    <w:rsid w:val="005572C7"/>
    <w:rsid w:val="00557D62"/>
    <w:rsid w:val="005641CC"/>
    <w:rsid w:val="005650ED"/>
    <w:rsid w:val="005733F6"/>
    <w:rsid w:val="00575754"/>
    <w:rsid w:val="00581CF2"/>
    <w:rsid w:val="00581FBA"/>
    <w:rsid w:val="0058313A"/>
    <w:rsid w:val="00584419"/>
    <w:rsid w:val="00586F0C"/>
    <w:rsid w:val="00591E20"/>
    <w:rsid w:val="00592194"/>
    <w:rsid w:val="00593BC2"/>
    <w:rsid w:val="005940E6"/>
    <w:rsid w:val="00595408"/>
    <w:rsid w:val="005957F2"/>
    <w:rsid w:val="00595E84"/>
    <w:rsid w:val="005A0C59"/>
    <w:rsid w:val="005A48EB"/>
    <w:rsid w:val="005A6CFB"/>
    <w:rsid w:val="005A7256"/>
    <w:rsid w:val="005C5AEB"/>
    <w:rsid w:val="005C6CBE"/>
    <w:rsid w:val="005D7EC2"/>
    <w:rsid w:val="005E0A3F"/>
    <w:rsid w:val="005E1CE7"/>
    <w:rsid w:val="005E6883"/>
    <w:rsid w:val="005E772F"/>
    <w:rsid w:val="005F4C2A"/>
    <w:rsid w:val="005F4ECA"/>
    <w:rsid w:val="0060005F"/>
    <w:rsid w:val="00600393"/>
    <w:rsid w:val="00602DD0"/>
    <w:rsid w:val="006041BE"/>
    <w:rsid w:val="006043C7"/>
    <w:rsid w:val="00604680"/>
    <w:rsid w:val="00606E4F"/>
    <w:rsid w:val="00615E8A"/>
    <w:rsid w:val="0061781E"/>
    <w:rsid w:val="00622D50"/>
    <w:rsid w:val="00624B52"/>
    <w:rsid w:val="00624C0D"/>
    <w:rsid w:val="00625905"/>
    <w:rsid w:val="00630052"/>
    <w:rsid w:val="00630794"/>
    <w:rsid w:val="00630B45"/>
    <w:rsid w:val="00631DF4"/>
    <w:rsid w:val="00633BB5"/>
    <w:rsid w:val="00634175"/>
    <w:rsid w:val="0063576B"/>
    <w:rsid w:val="0063584D"/>
    <w:rsid w:val="006408AC"/>
    <w:rsid w:val="006505B8"/>
    <w:rsid w:val="006511B6"/>
    <w:rsid w:val="00655B88"/>
    <w:rsid w:val="00657EF4"/>
    <w:rsid w:val="00657FF8"/>
    <w:rsid w:val="0066145C"/>
    <w:rsid w:val="00663B58"/>
    <w:rsid w:val="00663D0D"/>
    <w:rsid w:val="00663DA2"/>
    <w:rsid w:val="00666526"/>
    <w:rsid w:val="0066712B"/>
    <w:rsid w:val="00670D99"/>
    <w:rsid w:val="00670E2B"/>
    <w:rsid w:val="00672BB2"/>
    <w:rsid w:val="0067313E"/>
    <w:rsid w:val="006734BB"/>
    <w:rsid w:val="0067361A"/>
    <w:rsid w:val="00673BF1"/>
    <w:rsid w:val="0067560E"/>
    <w:rsid w:val="00675787"/>
    <w:rsid w:val="0067697A"/>
    <w:rsid w:val="00676B09"/>
    <w:rsid w:val="00681AF4"/>
    <w:rsid w:val="006821EB"/>
    <w:rsid w:val="00683D16"/>
    <w:rsid w:val="0068755C"/>
    <w:rsid w:val="00691A1C"/>
    <w:rsid w:val="00692D79"/>
    <w:rsid w:val="006A0EEB"/>
    <w:rsid w:val="006B07BF"/>
    <w:rsid w:val="006B2286"/>
    <w:rsid w:val="006B2C4F"/>
    <w:rsid w:val="006B56BB"/>
    <w:rsid w:val="006C19CD"/>
    <w:rsid w:val="006C77A8"/>
    <w:rsid w:val="006C7928"/>
    <w:rsid w:val="006D2643"/>
    <w:rsid w:val="006D4098"/>
    <w:rsid w:val="006D7681"/>
    <w:rsid w:val="006D7B2E"/>
    <w:rsid w:val="006E02EA"/>
    <w:rsid w:val="006E0696"/>
    <w:rsid w:val="006E0968"/>
    <w:rsid w:val="006E2AF6"/>
    <w:rsid w:val="006E4FB9"/>
    <w:rsid w:val="006E5EA2"/>
    <w:rsid w:val="006F5FDF"/>
    <w:rsid w:val="00701275"/>
    <w:rsid w:val="00706432"/>
    <w:rsid w:val="00707F56"/>
    <w:rsid w:val="00713558"/>
    <w:rsid w:val="007162C5"/>
    <w:rsid w:val="00720892"/>
    <w:rsid w:val="00720D08"/>
    <w:rsid w:val="007263B9"/>
    <w:rsid w:val="007267E2"/>
    <w:rsid w:val="007304F9"/>
    <w:rsid w:val="00730C36"/>
    <w:rsid w:val="00732007"/>
    <w:rsid w:val="007334F8"/>
    <w:rsid w:val="007339CD"/>
    <w:rsid w:val="007359D8"/>
    <w:rsid w:val="007362D4"/>
    <w:rsid w:val="007452BE"/>
    <w:rsid w:val="0076672A"/>
    <w:rsid w:val="00771D9E"/>
    <w:rsid w:val="00773006"/>
    <w:rsid w:val="0077523B"/>
    <w:rsid w:val="00775E45"/>
    <w:rsid w:val="00776113"/>
    <w:rsid w:val="00776E74"/>
    <w:rsid w:val="00777058"/>
    <w:rsid w:val="00780581"/>
    <w:rsid w:val="00783AA4"/>
    <w:rsid w:val="00783C80"/>
    <w:rsid w:val="00785169"/>
    <w:rsid w:val="007954AB"/>
    <w:rsid w:val="0079574E"/>
    <w:rsid w:val="00796493"/>
    <w:rsid w:val="007A142E"/>
    <w:rsid w:val="007A14C5"/>
    <w:rsid w:val="007A4A10"/>
    <w:rsid w:val="007B1760"/>
    <w:rsid w:val="007C1FDC"/>
    <w:rsid w:val="007C5A2E"/>
    <w:rsid w:val="007C6D9C"/>
    <w:rsid w:val="007C7DDB"/>
    <w:rsid w:val="007D186C"/>
    <w:rsid w:val="007D1E99"/>
    <w:rsid w:val="007D2153"/>
    <w:rsid w:val="007D2CC7"/>
    <w:rsid w:val="007D673D"/>
    <w:rsid w:val="007E12FB"/>
    <w:rsid w:val="007E4D09"/>
    <w:rsid w:val="007E639A"/>
    <w:rsid w:val="007F2220"/>
    <w:rsid w:val="007F2723"/>
    <w:rsid w:val="007F2AFB"/>
    <w:rsid w:val="007F4B3E"/>
    <w:rsid w:val="007F4BDC"/>
    <w:rsid w:val="00807A86"/>
    <w:rsid w:val="00807F38"/>
    <w:rsid w:val="00811B06"/>
    <w:rsid w:val="008127AF"/>
    <w:rsid w:val="00812B46"/>
    <w:rsid w:val="00815137"/>
    <w:rsid w:val="00815309"/>
    <w:rsid w:val="00815700"/>
    <w:rsid w:val="00816470"/>
    <w:rsid w:val="008231E0"/>
    <w:rsid w:val="008264EB"/>
    <w:rsid w:val="00826B8F"/>
    <w:rsid w:val="00831E8A"/>
    <w:rsid w:val="00835844"/>
    <w:rsid w:val="00835C76"/>
    <w:rsid w:val="00837486"/>
    <w:rsid w:val="008376E2"/>
    <w:rsid w:val="00843049"/>
    <w:rsid w:val="00845E67"/>
    <w:rsid w:val="008476CC"/>
    <w:rsid w:val="00847A05"/>
    <w:rsid w:val="0085209B"/>
    <w:rsid w:val="00855078"/>
    <w:rsid w:val="00856B66"/>
    <w:rsid w:val="0086017A"/>
    <w:rsid w:val="008601AC"/>
    <w:rsid w:val="00861A5F"/>
    <w:rsid w:val="008644AD"/>
    <w:rsid w:val="00865735"/>
    <w:rsid w:val="00865DDB"/>
    <w:rsid w:val="00867538"/>
    <w:rsid w:val="008731F5"/>
    <w:rsid w:val="008734C6"/>
    <w:rsid w:val="00873D90"/>
    <w:rsid w:val="00873FC8"/>
    <w:rsid w:val="0087429B"/>
    <w:rsid w:val="00877BCA"/>
    <w:rsid w:val="00884C63"/>
    <w:rsid w:val="00885908"/>
    <w:rsid w:val="008864B7"/>
    <w:rsid w:val="0088752B"/>
    <w:rsid w:val="00891E05"/>
    <w:rsid w:val="008943D5"/>
    <w:rsid w:val="00895906"/>
    <w:rsid w:val="0089677E"/>
    <w:rsid w:val="008A1B4B"/>
    <w:rsid w:val="008A1BEA"/>
    <w:rsid w:val="008A7438"/>
    <w:rsid w:val="008B1334"/>
    <w:rsid w:val="008B180F"/>
    <w:rsid w:val="008B25C7"/>
    <w:rsid w:val="008B5C2A"/>
    <w:rsid w:val="008C0278"/>
    <w:rsid w:val="008C24E9"/>
    <w:rsid w:val="008D0533"/>
    <w:rsid w:val="008D088A"/>
    <w:rsid w:val="008D42CB"/>
    <w:rsid w:val="008D48C9"/>
    <w:rsid w:val="008D6381"/>
    <w:rsid w:val="008D7665"/>
    <w:rsid w:val="008E0C77"/>
    <w:rsid w:val="008E45D3"/>
    <w:rsid w:val="008E4B78"/>
    <w:rsid w:val="008E625F"/>
    <w:rsid w:val="008F264D"/>
    <w:rsid w:val="008F3C1C"/>
    <w:rsid w:val="0090266B"/>
    <w:rsid w:val="009040E9"/>
    <w:rsid w:val="009062AC"/>
    <w:rsid w:val="00907141"/>
    <w:rsid w:val="009074E1"/>
    <w:rsid w:val="009112F7"/>
    <w:rsid w:val="00911A85"/>
    <w:rsid w:val="009122AF"/>
    <w:rsid w:val="00912D54"/>
    <w:rsid w:val="0091389F"/>
    <w:rsid w:val="00914198"/>
    <w:rsid w:val="009144E6"/>
    <w:rsid w:val="00916A89"/>
    <w:rsid w:val="00916B24"/>
    <w:rsid w:val="0091743A"/>
    <w:rsid w:val="009208F7"/>
    <w:rsid w:val="00921649"/>
    <w:rsid w:val="00922517"/>
    <w:rsid w:val="00922722"/>
    <w:rsid w:val="00922F0D"/>
    <w:rsid w:val="009258B7"/>
    <w:rsid w:val="009261E6"/>
    <w:rsid w:val="009268E1"/>
    <w:rsid w:val="009272B8"/>
    <w:rsid w:val="009344DE"/>
    <w:rsid w:val="009344E5"/>
    <w:rsid w:val="00937170"/>
    <w:rsid w:val="0094051A"/>
    <w:rsid w:val="00942121"/>
    <w:rsid w:val="009439D0"/>
    <w:rsid w:val="00945E7F"/>
    <w:rsid w:val="0094728A"/>
    <w:rsid w:val="009476D0"/>
    <w:rsid w:val="0095226C"/>
    <w:rsid w:val="00952FB5"/>
    <w:rsid w:val="009553A5"/>
    <w:rsid w:val="009557C1"/>
    <w:rsid w:val="00960D6E"/>
    <w:rsid w:val="00966656"/>
    <w:rsid w:val="009677B9"/>
    <w:rsid w:val="009746F8"/>
    <w:rsid w:val="00974B59"/>
    <w:rsid w:val="00976997"/>
    <w:rsid w:val="00977773"/>
    <w:rsid w:val="0098340B"/>
    <w:rsid w:val="00986830"/>
    <w:rsid w:val="009924C3"/>
    <w:rsid w:val="00993102"/>
    <w:rsid w:val="00995DE3"/>
    <w:rsid w:val="009961FB"/>
    <w:rsid w:val="009A1454"/>
    <w:rsid w:val="009A20A2"/>
    <w:rsid w:val="009A2128"/>
    <w:rsid w:val="009A25C6"/>
    <w:rsid w:val="009A7B2F"/>
    <w:rsid w:val="009B0399"/>
    <w:rsid w:val="009B0410"/>
    <w:rsid w:val="009B098E"/>
    <w:rsid w:val="009B1570"/>
    <w:rsid w:val="009B2162"/>
    <w:rsid w:val="009B44AB"/>
    <w:rsid w:val="009B69BD"/>
    <w:rsid w:val="009B71BB"/>
    <w:rsid w:val="009C217F"/>
    <w:rsid w:val="009C3571"/>
    <w:rsid w:val="009C5875"/>
    <w:rsid w:val="009C5C09"/>
    <w:rsid w:val="009C6F10"/>
    <w:rsid w:val="009D0D96"/>
    <w:rsid w:val="009D148F"/>
    <w:rsid w:val="009D1B65"/>
    <w:rsid w:val="009D3D70"/>
    <w:rsid w:val="009E1BEE"/>
    <w:rsid w:val="009E383D"/>
    <w:rsid w:val="009E6F7E"/>
    <w:rsid w:val="009E7A57"/>
    <w:rsid w:val="009F261B"/>
    <w:rsid w:val="009F2E7B"/>
    <w:rsid w:val="009F3AA7"/>
    <w:rsid w:val="009F3EE1"/>
    <w:rsid w:val="009F4803"/>
    <w:rsid w:val="009F4F6A"/>
    <w:rsid w:val="009F64B3"/>
    <w:rsid w:val="009F7329"/>
    <w:rsid w:val="00A04611"/>
    <w:rsid w:val="00A06900"/>
    <w:rsid w:val="00A13EB5"/>
    <w:rsid w:val="00A167A6"/>
    <w:rsid w:val="00A16E36"/>
    <w:rsid w:val="00A1753F"/>
    <w:rsid w:val="00A24961"/>
    <w:rsid w:val="00A24B10"/>
    <w:rsid w:val="00A277EF"/>
    <w:rsid w:val="00A30E9B"/>
    <w:rsid w:val="00A31567"/>
    <w:rsid w:val="00A31D0D"/>
    <w:rsid w:val="00A36A88"/>
    <w:rsid w:val="00A424DC"/>
    <w:rsid w:val="00A4512D"/>
    <w:rsid w:val="00A50110"/>
    <w:rsid w:val="00A50244"/>
    <w:rsid w:val="00A50CDB"/>
    <w:rsid w:val="00A51696"/>
    <w:rsid w:val="00A55CDE"/>
    <w:rsid w:val="00A62092"/>
    <w:rsid w:val="00A627D7"/>
    <w:rsid w:val="00A65611"/>
    <w:rsid w:val="00A65621"/>
    <w:rsid w:val="00A656C7"/>
    <w:rsid w:val="00A66C03"/>
    <w:rsid w:val="00A705AF"/>
    <w:rsid w:val="00A717C0"/>
    <w:rsid w:val="00A72454"/>
    <w:rsid w:val="00A73A33"/>
    <w:rsid w:val="00A77696"/>
    <w:rsid w:val="00A80557"/>
    <w:rsid w:val="00A81D33"/>
    <w:rsid w:val="00A81D97"/>
    <w:rsid w:val="00A8341C"/>
    <w:rsid w:val="00A87AAC"/>
    <w:rsid w:val="00A925AE"/>
    <w:rsid w:val="00A930AE"/>
    <w:rsid w:val="00A942C0"/>
    <w:rsid w:val="00AA1A95"/>
    <w:rsid w:val="00AA260F"/>
    <w:rsid w:val="00AA4FE4"/>
    <w:rsid w:val="00AB1EE7"/>
    <w:rsid w:val="00AB4B37"/>
    <w:rsid w:val="00AB4DDE"/>
    <w:rsid w:val="00AB4EEB"/>
    <w:rsid w:val="00AB5762"/>
    <w:rsid w:val="00AB7036"/>
    <w:rsid w:val="00AC2679"/>
    <w:rsid w:val="00AC4BE4"/>
    <w:rsid w:val="00AD05E6"/>
    <w:rsid w:val="00AD0D3F"/>
    <w:rsid w:val="00AD3970"/>
    <w:rsid w:val="00AE1D7D"/>
    <w:rsid w:val="00AE2A8B"/>
    <w:rsid w:val="00AE2B13"/>
    <w:rsid w:val="00AE3F64"/>
    <w:rsid w:val="00AE597A"/>
    <w:rsid w:val="00AE7A7C"/>
    <w:rsid w:val="00AF07EF"/>
    <w:rsid w:val="00AF735E"/>
    <w:rsid w:val="00AF7386"/>
    <w:rsid w:val="00AF7934"/>
    <w:rsid w:val="00B00704"/>
    <w:rsid w:val="00B00B81"/>
    <w:rsid w:val="00B04580"/>
    <w:rsid w:val="00B04B09"/>
    <w:rsid w:val="00B0501B"/>
    <w:rsid w:val="00B069ED"/>
    <w:rsid w:val="00B100A9"/>
    <w:rsid w:val="00B1018F"/>
    <w:rsid w:val="00B13215"/>
    <w:rsid w:val="00B13A6F"/>
    <w:rsid w:val="00B14765"/>
    <w:rsid w:val="00B149A9"/>
    <w:rsid w:val="00B15707"/>
    <w:rsid w:val="00B16A51"/>
    <w:rsid w:val="00B20FC0"/>
    <w:rsid w:val="00B243DF"/>
    <w:rsid w:val="00B2459D"/>
    <w:rsid w:val="00B2479A"/>
    <w:rsid w:val="00B255BC"/>
    <w:rsid w:val="00B25F73"/>
    <w:rsid w:val="00B32222"/>
    <w:rsid w:val="00B326E7"/>
    <w:rsid w:val="00B3618D"/>
    <w:rsid w:val="00B36233"/>
    <w:rsid w:val="00B40F93"/>
    <w:rsid w:val="00B42851"/>
    <w:rsid w:val="00B437D8"/>
    <w:rsid w:val="00B45AC7"/>
    <w:rsid w:val="00B47764"/>
    <w:rsid w:val="00B50185"/>
    <w:rsid w:val="00B52198"/>
    <w:rsid w:val="00B535E5"/>
    <w:rsid w:val="00B5372F"/>
    <w:rsid w:val="00B550BD"/>
    <w:rsid w:val="00B558CA"/>
    <w:rsid w:val="00B60D4F"/>
    <w:rsid w:val="00B61129"/>
    <w:rsid w:val="00B67E7F"/>
    <w:rsid w:val="00B70C94"/>
    <w:rsid w:val="00B72E2F"/>
    <w:rsid w:val="00B77475"/>
    <w:rsid w:val="00B77CCB"/>
    <w:rsid w:val="00B8358E"/>
    <w:rsid w:val="00B839B2"/>
    <w:rsid w:val="00B900B0"/>
    <w:rsid w:val="00B94252"/>
    <w:rsid w:val="00B951EE"/>
    <w:rsid w:val="00B9715A"/>
    <w:rsid w:val="00BA13FB"/>
    <w:rsid w:val="00BA14BE"/>
    <w:rsid w:val="00BA2732"/>
    <w:rsid w:val="00BA293D"/>
    <w:rsid w:val="00BA482A"/>
    <w:rsid w:val="00BA49BC"/>
    <w:rsid w:val="00BA56B7"/>
    <w:rsid w:val="00BA7A1E"/>
    <w:rsid w:val="00BB225E"/>
    <w:rsid w:val="00BB2F6C"/>
    <w:rsid w:val="00BB33A5"/>
    <w:rsid w:val="00BB3875"/>
    <w:rsid w:val="00BB562A"/>
    <w:rsid w:val="00BB5860"/>
    <w:rsid w:val="00BB6AAD"/>
    <w:rsid w:val="00BC0264"/>
    <w:rsid w:val="00BC284D"/>
    <w:rsid w:val="00BC30AB"/>
    <w:rsid w:val="00BC39B2"/>
    <w:rsid w:val="00BC4A19"/>
    <w:rsid w:val="00BC4E6D"/>
    <w:rsid w:val="00BC563F"/>
    <w:rsid w:val="00BC58E2"/>
    <w:rsid w:val="00BC6815"/>
    <w:rsid w:val="00BD0617"/>
    <w:rsid w:val="00BD2E9B"/>
    <w:rsid w:val="00BD43BF"/>
    <w:rsid w:val="00BD60CB"/>
    <w:rsid w:val="00BD7FB2"/>
    <w:rsid w:val="00BE1C44"/>
    <w:rsid w:val="00BF0570"/>
    <w:rsid w:val="00BF2FA6"/>
    <w:rsid w:val="00BF35DB"/>
    <w:rsid w:val="00BF5C5E"/>
    <w:rsid w:val="00BF7F41"/>
    <w:rsid w:val="00C00930"/>
    <w:rsid w:val="00C060AD"/>
    <w:rsid w:val="00C113BF"/>
    <w:rsid w:val="00C12548"/>
    <w:rsid w:val="00C12DA5"/>
    <w:rsid w:val="00C1303E"/>
    <w:rsid w:val="00C2176E"/>
    <w:rsid w:val="00C23430"/>
    <w:rsid w:val="00C249B9"/>
    <w:rsid w:val="00C27D67"/>
    <w:rsid w:val="00C32D61"/>
    <w:rsid w:val="00C32E13"/>
    <w:rsid w:val="00C367F9"/>
    <w:rsid w:val="00C372DB"/>
    <w:rsid w:val="00C45489"/>
    <w:rsid w:val="00C4631F"/>
    <w:rsid w:val="00C47CDE"/>
    <w:rsid w:val="00C47FEE"/>
    <w:rsid w:val="00C50E16"/>
    <w:rsid w:val="00C52C96"/>
    <w:rsid w:val="00C55258"/>
    <w:rsid w:val="00C673F0"/>
    <w:rsid w:val="00C7091E"/>
    <w:rsid w:val="00C70D13"/>
    <w:rsid w:val="00C74A9E"/>
    <w:rsid w:val="00C7698B"/>
    <w:rsid w:val="00C82EEB"/>
    <w:rsid w:val="00C83211"/>
    <w:rsid w:val="00C86EDF"/>
    <w:rsid w:val="00C9560C"/>
    <w:rsid w:val="00C9650D"/>
    <w:rsid w:val="00C971DC"/>
    <w:rsid w:val="00CA0261"/>
    <w:rsid w:val="00CA16B7"/>
    <w:rsid w:val="00CA5797"/>
    <w:rsid w:val="00CA62AE"/>
    <w:rsid w:val="00CA7CE0"/>
    <w:rsid w:val="00CB3B0F"/>
    <w:rsid w:val="00CB5B1A"/>
    <w:rsid w:val="00CB774F"/>
    <w:rsid w:val="00CC220B"/>
    <w:rsid w:val="00CC53F9"/>
    <w:rsid w:val="00CC5C43"/>
    <w:rsid w:val="00CD02AE"/>
    <w:rsid w:val="00CD088F"/>
    <w:rsid w:val="00CD0BD0"/>
    <w:rsid w:val="00CD0D58"/>
    <w:rsid w:val="00CD2A4F"/>
    <w:rsid w:val="00CD465E"/>
    <w:rsid w:val="00CD594E"/>
    <w:rsid w:val="00CD7AC3"/>
    <w:rsid w:val="00CE03CA"/>
    <w:rsid w:val="00CE0A14"/>
    <w:rsid w:val="00CE22F1"/>
    <w:rsid w:val="00CE2BED"/>
    <w:rsid w:val="00CE416C"/>
    <w:rsid w:val="00CE41DB"/>
    <w:rsid w:val="00CE50F2"/>
    <w:rsid w:val="00CE6502"/>
    <w:rsid w:val="00CE7663"/>
    <w:rsid w:val="00CF3ADD"/>
    <w:rsid w:val="00CF4F65"/>
    <w:rsid w:val="00CF7D3C"/>
    <w:rsid w:val="00D00347"/>
    <w:rsid w:val="00D01F09"/>
    <w:rsid w:val="00D04D30"/>
    <w:rsid w:val="00D07CC3"/>
    <w:rsid w:val="00D11DD3"/>
    <w:rsid w:val="00D13F0B"/>
    <w:rsid w:val="00D147EB"/>
    <w:rsid w:val="00D17A4A"/>
    <w:rsid w:val="00D25886"/>
    <w:rsid w:val="00D34667"/>
    <w:rsid w:val="00D35A63"/>
    <w:rsid w:val="00D3620D"/>
    <w:rsid w:val="00D401E1"/>
    <w:rsid w:val="00D408B4"/>
    <w:rsid w:val="00D445EC"/>
    <w:rsid w:val="00D472A7"/>
    <w:rsid w:val="00D47B33"/>
    <w:rsid w:val="00D47D50"/>
    <w:rsid w:val="00D50ABE"/>
    <w:rsid w:val="00D524C8"/>
    <w:rsid w:val="00D56FBA"/>
    <w:rsid w:val="00D5725F"/>
    <w:rsid w:val="00D57373"/>
    <w:rsid w:val="00D61400"/>
    <w:rsid w:val="00D65325"/>
    <w:rsid w:val="00D67877"/>
    <w:rsid w:val="00D70E24"/>
    <w:rsid w:val="00D72B61"/>
    <w:rsid w:val="00D734F3"/>
    <w:rsid w:val="00D8530F"/>
    <w:rsid w:val="00D85FE2"/>
    <w:rsid w:val="00D8617D"/>
    <w:rsid w:val="00D97FC7"/>
    <w:rsid w:val="00DA3D1D"/>
    <w:rsid w:val="00DA42C0"/>
    <w:rsid w:val="00DA690A"/>
    <w:rsid w:val="00DA77A4"/>
    <w:rsid w:val="00DB14D8"/>
    <w:rsid w:val="00DB5D51"/>
    <w:rsid w:val="00DB6286"/>
    <w:rsid w:val="00DB645F"/>
    <w:rsid w:val="00DB76E9"/>
    <w:rsid w:val="00DC0A67"/>
    <w:rsid w:val="00DC12E8"/>
    <w:rsid w:val="00DC1D5E"/>
    <w:rsid w:val="00DC2198"/>
    <w:rsid w:val="00DC3667"/>
    <w:rsid w:val="00DC5220"/>
    <w:rsid w:val="00DD2061"/>
    <w:rsid w:val="00DD67CA"/>
    <w:rsid w:val="00DD7DAB"/>
    <w:rsid w:val="00DE2471"/>
    <w:rsid w:val="00DE3355"/>
    <w:rsid w:val="00DE3BD9"/>
    <w:rsid w:val="00DF0C60"/>
    <w:rsid w:val="00DF486F"/>
    <w:rsid w:val="00DF5B5B"/>
    <w:rsid w:val="00DF6789"/>
    <w:rsid w:val="00DF6F30"/>
    <w:rsid w:val="00DF7619"/>
    <w:rsid w:val="00E00A36"/>
    <w:rsid w:val="00E042D8"/>
    <w:rsid w:val="00E07EE7"/>
    <w:rsid w:val="00E07F30"/>
    <w:rsid w:val="00E100B6"/>
    <w:rsid w:val="00E1103B"/>
    <w:rsid w:val="00E127F2"/>
    <w:rsid w:val="00E16E7A"/>
    <w:rsid w:val="00E17A8C"/>
    <w:rsid w:val="00E17B44"/>
    <w:rsid w:val="00E17EF3"/>
    <w:rsid w:val="00E2071A"/>
    <w:rsid w:val="00E20F27"/>
    <w:rsid w:val="00E22443"/>
    <w:rsid w:val="00E27FEA"/>
    <w:rsid w:val="00E3447E"/>
    <w:rsid w:val="00E35647"/>
    <w:rsid w:val="00E35C8E"/>
    <w:rsid w:val="00E3742E"/>
    <w:rsid w:val="00E3782F"/>
    <w:rsid w:val="00E4086F"/>
    <w:rsid w:val="00E43B3C"/>
    <w:rsid w:val="00E43C49"/>
    <w:rsid w:val="00E43F31"/>
    <w:rsid w:val="00E45ABC"/>
    <w:rsid w:val="00E46344"/>
    <w:rsid w:val="00E4679A"/>
    <w:rsid w:val="00E46ED5"/>
    <w:rsid w:val="00E4730D"/>
    <w:rsid w:val="00E50188"/>
    <w:rsid w:val="00E50BB3"/>
    <w:rsid w:val="00E515CB"/>
    <w:rsid w:val="00E517E5"/>
    <w:rsid w:val="00E52260"/>
    <w:rsid w:val="00E5330F"/>
    <w:rsid w:val="00E61AB3"/>
    <w:rsid w:val="00E639B6"/>
    <w:rsid w:val="00E63D7E"/>
    <w:rsid w:val="00E6434B"/>
    <w:rsid w:val="00E6463D"/>
    <w:rsid w:val="00E659AC"/>
    <w:rsid w:val="00E72C59"/>
    <w:rsid w:val="00E72E9B"/>
    <w:rsid w:val="00E77337"/>
    <w:rsid w:val="00E81BA3"/>
    <w:rsid w:val="00E838F1"/>
    <w:rsid w:val="00E850C3"/>
    <w:rsid w:val="00E857C2"/>
    <w:rsid w:val="00E86710"/>
    <w:rsid w:val="00E87DF2"/>
    <w:rsid w:val="00E90BB8"/>
    <w:rsid w:val="00E90D39"/>
    <w:rsid w:val="00E9462E"/>
    <w:rsid w:val="00EA3412"/>
    <w:rsid w:val="00EA470E"/>
    <w:rsid w:val="00EA47A7"/>
    <w:rsid w:val="00EA57EB"/>
    <w:rsid w:val="00EA6E3A"/>
    <w:rsid w:val="00EB3226"/>
    <w:rsid w:val="00EB48E4"/>
    <w:rsid w:val="00EC213A"/>
    <w:rsid w:val="00EC43E9"/>
    <w:rsid w:val="00EC7744"/>
    <w:rsid w:val="00EC7AA9"/>
    <w:rsid w:val="00ED0DAD"/>
    <w:rsid w:val="00ED0F46"/>
    <w:rsid w:val="00ED2373"/>
    <w:rsid w:val="00ED2963"/>
    <w:rsid w:val="00ED3228"/>
    <w:rsid w:val="00ED69EF"/>
    <w:rsid w:val="00EE0186"/>
    <w:rsid w:val="00EE21D4"/>
    <w:rsid w:val="00EE3E8A"/>
    <w:rsid w:val="00EE41DD"/>
    <w:rsid w:val="00EE6646"/>
    <w:rsid w:val="00EE67F3"/>
    <w:rsid w:val="00EF0D5C"/>
    <w:rsid w:val="00EF58B8"/>
    <w:rsid w:val="00EF689C"/>
    <w:rsid w:val="00EF6ECA"/>
    <w:rsid w:val="00F02336"/>
    <w:rsid w:val="00F024E1"/>
    <w:rsid w:val="00F06C10"/>
    <w:rsid w:val="00F1096F"/>
    <w:rsid w:val="00F12589"/>
    <w:rsid w:val="00F12595"/>
    <w:rsid w:val="00F134D9"/>
    <w:rsid w:val="00F1403D"/>
    <w:rsid w:val="00F1463F"/>
    <w:rsid w:val="00F15CC1"/>
    <w:rsid w:val="00F21302"/>
    <w:rsid w:val="00F2288B"/>
    <w:rsid w:val="00F321DE"/>
    <w:rsid w:val="00F32399"/>
    <w:rsid w:val="00F33777"/>
    <w:rsid w:val="00F40648"/>
    <w:rsid w:val="00F47192"/>
    <w:rsid w:val="00F47385"/>
    <w:rsid w:val="00F47DA2"/>
    <w:rsid w:val="00F51422"/>
    <w:rsid w:val="00F519FC"/>
    <w:rsid w:val="00F51C91"/>
    <w:rsid w:val="00F5262B"/>
    <w:rsid w:val="00F54FCF"/>
    <w:rsid w:val="00F56C62"/>
    <w:rsid w:val="00F6239D"/>
    <w:rsid w:val="00F65785"/>
    <w:rsid w:val="00F715D2"/>
    <w:rsid w:val="00F7274F"/>
    <w:rsid w:val="00F74E84"/>
    <w:rsid w:val="00F7604A"/>
    <w:rsid w:val="00F763CC"/>
    <w:rsid w:val="00F76D56"/>
    <w:rsid w:val="00F76FA8"/>
    <w:rsid w:val="00F770A4"/>
    <w:rsid w:val="00F81318"/>
    <w:rsid w:val="00F8199C"/>
    <w:rsid w:val="00F82837"/>
    <w:rsid w:val="00F82DA7"/>
    <w:rsid w:val="00F845D2"/>
    <w:rsid w:val="00F851F1"/>
    <w:rsid w:val="00F9026F"/>
    <w:rsid w:val="00F93F08"/>
    <w:rsid w:val="00F94CED"/>
    <w:rsid w:val="00FA02BB"/>
    <w:rsid w:val="00FA2CEE"/>
    <w:rsid w:val="00FA318C"/>
    <w:rsid w:val="00FA59CA"/>
    <w:rsid w:val="00FA7E81"/>
    <w:rsid w:val="00FB2EC8"/>
    <w:rsid w:val="00FB301F"/>
    <w:rsid w:val="00FB6BB4"/>
    <w:rsid w:val="00FB6F92"/>
    <w:rsid w:val="00FB7BB2"/>
    <w:rsid w:val="00FC026E"/>
    <w:rsid w:val="00FC3168"/>
    <w:rsid w:val="00FC40DF"/>
    <w:rsid w:val="00FC45D3"/>
    <w:rsid w:val="00FC5124"/>
    <w:rsid w:val="00FC72BC"/>
    <w:rsid w:val="00FD25E9"/>
    <w:rsid w:val="00FD3143"/>
    <w:rsid w:val="00FD3793"/>
    <w:rsid w:val="00FD4731"/>
    <w:rsid w:val="00FD6768"/>
    <w:rsid w:val="00FE755A"/>
    <w:rsid w:val="00FF0AB0"/>
    <w:rsid w:val="00FF28AC"/>
    <w:rsid w:val="00FF7F62"/>
    <w:rsid w:val="066F1D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448BD"/>
  <w15:docId w15:val="{E9EB27DA-4BC5-436B-A507-22B6968C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zh-TW" w:bidi="th-TH"/>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qFormat="1"/>
    <w:lsdException w:name="Table Columns 1" w:locked="1" w:semiHidden="1" w:unhideWhenUsed="1"/>
    <w:lsdException w:name="Table Columns 2" w:locked="1" w:semiHidden="1" w:unhideWhenUsed="1" w:qFormat="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232B"/>
    <w:pPr>
      <w:spacing w:before="120" w:line="276" w:lineRule="auto"/>
    </w:pPr>
    <w:rPr>
      <w:rFonts w:ascii="Arial" w:eastAsia="Times New Roman" w:hAnsi="Arial"/>
      <w:sz w:val="24"/>
      <w:szCs w:val="24"/>
      <w:lang w:val="en-AU" w:eastAsia="en-US" w:bidi="ar-SA"/>
    </w:rPr>
  </w:style>
  <w:style w:type="paragraph" w:styleId="Heading1">
    <w:name w:val="heading 1"/>
    <w:basedOn w:val="Normal"/>
    <w:next w:val="Normal"/>
    <w:link w:val="Heading1Char"/>
    <w:qFormat/>
    <w:rsid w:val="00A31567"/>
    <w:pPr>
      <w:keepNext/>
      <w:spacing w:before="240" w:after="60"/>
      <w:outlineLvl w:val="0"/>
    </w:pPr>
    <w:rPr>
      <w:rFonts w:cs="Arial"/>
      <w:bCs/>
      <w:color w:val="008A23"/>
      <w:kern w:val="28"/>
      <w:sz w:val="48"/>
      <w:szCs w:val="48"/>
    </w:rPr>
  </w:style>
  <w:style w:type="paragraph" w:styleId="Heading2">
    <w:name w:val="heading 2"/>
    <w:next w:val="Paragraphtext"/>
    <w:qFormat/>
    <w:rsid w:val="00A31567"/>
    <w:pPr>
      <w:keepNext/>
      <w:spacing w:before="240" w:after="60"/>
      <w:outlineLvl w:val="1"/>
    </w:pPr>
    <w:rPr>
      <w:rFonts w:ascii="Arial" w:eastAsia="Times New Roman" w:hAnsi="Arial" w:cs="Arial"/>
      <w:bCs/>
      <w:iCs/>
      <w:color w:val="008A23"/>
      <w:sz w:val="32"/>
      <w:szCs w:val="28"/>
      <w:lang w:val="en-AU" w:eastAsia="en-US" w:bidi="ar-SA"/>
    </w:rPr>
  </w:style>
  <w:style w:type="paragraph" w:styleId="Heading3">
    <w:name w:val="heading 3"/>
    <w:next w:val="Normal"/>
    <w:qFormat/>
    <w:rsid w:val="00A31567"/>
    <w:pPr>
      <w:keepNext/>
      <w:spacing w:before="180" w:after="60"/>
      <w:outlineLvl w:val="2"/>
    </w:pPr>
    <w:rPr>
      <w:rFonts w:ascii="Arial" w:eastAsia="Times New Roman" w:hAnsi="Arial" w:cs="Arial"/>
      <w:bCs/>
      <w:color w:val="008A23"/>
      <w:sz w:val="28"/>
      <w:szCs w:val="26"/>
      <w:lang w:val="en-AU" w:eastAsia="en-US" w:bidi="ar-SA"/>
    </w:rPr>
  </w:style>
  <w:style w:type="paragraph" w:styleId="Heading4">
    <w:name w:val="heading 4"/>
    <w:basedOn w:val="Heading3"/>
    <w:next w:val="Normal"/>
    <w:qFormat/>
    <w:rsid w:val="0014527B"/>
    <w:pPr>
      <w:outlineLvl w:val="3"/>
    </w:pPr>
    <w:rPr>
      <w:sz w:val="24"/>
      <w:szCs w:val="24"/>
    </w:rPr>
  </w:style>
  <w:style w:type="paragraph" w:styleId="Heading5">
    <w:name w:val="heading 5"/>
    <w:basedOn w:val="Normal"/>
    <w:next w:val="Normal"/>
    <w:qFormat/>
    <w:pPr>
      <w:keepNext/>
      <w:spacing w:before="240" w:after="60"/>
      <w:outlineLvl w:val="4"/>
    </w:pPr>
    <w:rPr>
      <w:b/>
      <w:bCs/>
      <w:iCs/>
      <w:szCs w:val="26"/>
    </w:rPr>
  </w:style>
  <w:style w:type="paragraph" w:styleId="Heading6">
    <w:name w:val="heading 6"/>
    <w:basedOn w:val="Normal"/>
    <w:next w:val="Normal"/>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pPr>
      <w:spacing w:after="60"/>
    </w:pPr>
    <w:rPr>
      <w:color w:val="000000" w:themeColor="text1"/>
      <w:sz w:val="21"/>
    </w:rPr>
  </w:style>
  <w:style w:type="paragraph" w:styleId="BalloonText">
    <w:name w:val="Balloon Text"/>
    <w:basedOn w:val="Normal"/>
    <w:link w:val="BalloonTextChar"/>
    <w:semiHidden/>
    <w:unhideWhenUsed/>
    <w:qFormat/>
    <w:rPr>
      <w:rFonts w:ascii="Tahoma" w:hAnsi="Tahoma" w:cs="Tahoma"/>
      <w:sz w:val="16"/>
      <w:szCs w:val="16"/>
    </w:rPr>
  </w:style>
  <w:style w:type="paragraph" w:styleId="BodyText">
    <w:name w:val="Body Text"/>
    <w:basedOn w:val="Normal"/>
    <w:link w:val="BodyTextChar"/>
    <w:unhideWhenUsed/>
    <w:qFormat/>
    <w:rsid w:val="00CB3B0F"/>
    <w:pPr>
      <w:spacing w:after="120"/>
    </w:p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iPriority w:val="99"/>
    <w:qFormat/>
    <w:pPr>
      <w:tabs>
        <w:tab w:val="center" w:pos="4513"/>
        <w:tab w:val="right" w:pos="9026"/>
      </w:tabs>
    </w:pPr>
    <w:rPr>
      <w:sz w:val="20"/>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qFormat/>
    <w:pPr>
      <w:tabs>
        <w:tab w:val="center" w:pos="4513"/>
        <w:tab w:val="right" w:pos="9026"/>
      </w:tabs>
    </w:pPr>
  </w:style>
  <w:style w:type="paragraph" w:styleId="ListBullet">
    <w:name w:val="List Bullet"/>
    <w:basedOn w:val="Normal"/>
    <w:qFormat/>
    <w:pPr>
      <w:numPr>
        <w:numId w:val="1"/>
      </w:numPr>
      <w:spacing w:before="60" w:after="60"/>
    </w:pPr>
    <w:rPr>
      <w:color w:val="000000" w:themeColor="text1"/>
      <w:sz w:val="21"/>
    </w:rPr>
  </w:style>
  <w:style w:type="paragraph" w:styleId="ListBullet2">
    <w:name w:val="List Bullet 2"/>
    <w:basedOn w:val="ListNumber2"/>
    <w:qFormat/>
    <w:pPr>
      <w:numPr>
        <w:numId w:val="2"/>
      </w:numPr>
      <w:ind w:left="568" w:hanging="284"/>
    </w:pPr>
  </w:style>
  <w:style w:type="paragraph" w:styleId="ListNumber2">
    <w:name w:val="List Number 2"/>
    <w:basedOn w:val="ListBullet"/>
    <w:qFormat/>
    <w:pPr>
      <w:numPr>
        <w:numId w:val="3"/>
      </w:numPr>
    </w:pPr>
  </w:style>
  <w:style w:type="paragraph" w:styleId="ListNumber3">
    <w:name w:val="List Number 3"/>
    <w:basedOn w:val="ListNumber2"/>
    <w:pPr>
      <w:numPr>
        <w:numId w:val="4"/>
      </w:numPr>
      <w:tabs>
        <w:tab w:val="left" w:pos="1440"/>
      </w:tabs>
      <w:ind w:left="924" w:hanging="357"/>
    </w:pPr>
    <w:rPr>
      <w:rFonts w:eastAsia="Cambria"/>
      <w:color w:val="auto"/>
      <w:szCs w:val="22"/>
      <w:lang w:val="en-US"/>
    </w:rPr>
  </w:style>
  <w:style w:type="paragraph" w:styleId="Subtitle">
    <w:name w:val="Subtitle"/>
    <w:next w:val="Normal"/>
    <w:link w:val="SubtitleChar"/>
    <w:qFormat/>
    <w:pPr>
      <w:spacing w:before="120" w:after="60"/>
    </w:pPr>
    <w:rPr>
      <w:rFonts w:ascii="Arial" w:eastAsiaTheme="majorEastAsia" w:hAnsi="Arial" w:cstheme="majorBidi"/>
      <w:iCs/>
      <w:color w:val="006341"/>
      <w:spacing w:val="15"/>
      <w:sz w:val="40"/>
      <w:szCs w:val="24"/>
      <w:lang w:val="en-AU" w:eastAsia="en-US" w:bidi="ar-SA"/>
    </w:rPr>
  </w:style>
  <w:style w:type="paragraph" w:styleId="Title">
    <w:name w:val="Title"/>
    <w:basedOn w:val="Normal"/>
    <w:next w:val="Paragraphtext"/>
    <w:link w:val="TitleChar"/>
    <w:qFormat/>
    <w:pPr>
      <w:spacing w:before="1080" w:after="120"/>
      <w:contextualSpacing/>
    </w:pPr>
    <w:rPr>
      <w:rFonts w:eastAsiaTheme="majorEastAsia" w:cstheme="majorBidi"/>
      <w:color w:val="006341"/>
      <w:kern w:val="28"/>
      <w:sz w:val="48"/>
      <w:szCs w:val="52"/>
    </w:rPr>
  </w:style>
  <w:style w:type="character" w:styleId="CommentReference">
    <w:name w:val="annotation reference"/>
    <w:basedOn w:val="DefaultParagraphFont"/>
    <w:semiHidden/>
    <w:unhideWhenUsed/>
    <w:qFormat/>
    <w:rPr>
      <w:sz w:val="16"/>
      <w:szCs w:val="16"/>
    </w:rPr>
  </w:style>
  <w:style w:type="character" w:styleId="Emphasis">
    <w:name w:val="Emphasis"/>
    <w:basedOn w:val="DefaultParagraphFont"/>
    <w:qFormat/>
    <w:rPr>
      <w:i/>
      <w:i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Pr>
      <w:color w:val="0000FF" w:themeColor="hyperlink"/>
      <w:u w:val="single"/>
    </w:rPr>
  </w:style>
  <w:style w:type="character" w:styleId="Strong">
    <w:name w:val="Strong"/>
    <w:basedOn w:val="DefaultParagraphFont"/>
    <w:qFormat/>
    <w:rPr>
      <w:b/>
      <w:bCs/>
    </w:rPr>
  </w:style>
  <w:style w:type="table" w:styleId="TableClassic4">
    <w:name w:val="Table Classic 4"/>
    <w:basedOn w:val="TableNormal"/>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3">
    <w:name w:val="Table Colorful 3"/>
    <w:basedOn w:val="TableNormal"/>
    <w:qFormat/>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locked/>
    <w:rPr>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locked/>
    <w:pPr>
      <w:spacing w:before="120" w:line="240" w:lineRule="exact"/>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locked/>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qFormat/>
    <w:lock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SubtitleChar">
    <w:name w:val="Subtitle Char"/>
    <w:basedOn w:val="DefaultParagraphFont"/>
    <w:link w:val="Subtitle"/>
    <w:qFormat/>
    <w:rPr>
      <w:rFonts w:ascii="Arial" w:eastAsiaTheme="majorEastAsia" w:hAnsi="Arial" w:cstheme="majorBidi"/>
      <w:iCs/>
      <w:color w:val="006341"/>
      <w:spacing w:val="15"/>
      <w:sz w:val="40"/>
      <w:szCs w:val="24"/>
      <w:lang w:eastAsia="en-US"/>
    </w:rPr>
  </w:style>
  <w:style w:type="character" w:customStyle="1" w:styleId="TitleChar">
    <w:name w:val="Title Char"/>
    <w:basedOn w:val="DefaultParagraphFont"/>
    <w:link w:val="Title"/>
    <w:qFormat/>
    <w:rPr>
      <w:rFonts w:ascii="Arial" w:eastAsiaTheme="majorEastAsia" w:hAnsi="Arial" w:cstheme="majorBidi"/>
      <w:color w:val="006341"/>
      <w:kern w:val="28"/>
      <w:sz w:val="48"/>
      <w:szCs w:val="52"/>
      <w:lang w:eastAsia="en-US"/>
    </w:rPr>
  </w:style>
  <w:style w:type="paragraph" w:customStyle="1" w:styleId="Boxheading">
    <w:name w:val="Box heading"/>
    <w:basedOn w:val="Boxtype"/>
    <w:qFormat/>
    <w:pPr>
      <w:spacing w:before="240"/>
    </w:pPr>
    <w:rPr>
      <w:rFonts w:cs="Times New Roman"/>
      <w:b/>
      <w:bCs/>
      <w:caps/>
      <w:color w:val="006341"/>
      <w:szCs w:val="20"/>
    </w:rPr>
  </w:style>
  <w:style w:type="paragraph" w:customStyle="1" w:styleId="Boxtype">
    <w:name w:val="Box type"/>
    <w:next w:val="Normal"/>
    <w:qFormat/>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eastAsia="Times New Roman" w:hAnsi="Arial" w:cs="Arial"/>
      <w:color w:val="000000" w:themeColor="text1"/>
      <w:sz w:val="21"/>
      <w:szCs w:val="24"/>
      <w:lang w:val="en" w:eastAsia="en-US" w:bidi="ar-SA"/>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3F4A75" w:themeColor="accent1"/>
    </w:rPr>
  </w:style>
  <w:style w:type="paragraph" w:styleId="Quote">
    <w:name w:val="Quote"/>
    <w:next w:val="Normal"/>
    <w:link w:val="QuoteChar"/>
    <w:uiPriority w:val="29"/>
    <w:qFormat/>
    <w:pPr>
      <w:ind w:left="720"/>
    </w:pPr>
    <w:rPr>
      <w:rFonts w:ascii="Arial" w:eastAsia="Times New Roman" w:hAnsi="Arial"/>
      <w:i/>
      <w:iCs/>
      <w:color w:val="000000" w:themeColor="text1"/>
      <w:sz w:val="22"/>
      <w:szCs w:val="24"/>
      <w:lang w:val="en-AU" w:eastAsia="en-US" w:bidi="ar-SA"/>
    </w:rPr>
  </w:style>
  <w:style w:type="character" w:customStyle="1" w:styleId="QuoteChar">
    <w:name w:val="Quote Char"/>
    <w:basedOn w:val="DefaultParagraphFont"/>
    <w:link w:val="Quote"/>
    <w:uiPriority w:val="29"/>
    <w:qFormat/>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pPr>
      <w:spacing w:before="200" w:after="280"/>
      <w:ind w:right="936"/>
    </w:pPr>
    <w:rPr>
      <w:bCs/>
      <w:iCs/>
      <w:color w:val="006341"/>
      <w:sz w:val="28"/>
    </w:rPr>
  </w:style>
  <w:style w:type="character" w:customStyle="1" w:styleId="IntenseQuoteChar">
    <w:name w:val="Intense Quote Char"/>
    <w:basedOn w:val="DefaultParagraphFont"/>
    <w:link w:val="IntenseQuote"/>
    <w:uiPriority w:val="30"/>
    <w:qFormat/>
    <w:rPr>
      <w:rFonts w:ascii="Arial" w:hAnsi="Arial"/>
      <w:bCs/>
      <w:iCs/>
      <w:color w:val="006341"/>
      <w:sz w:val="28"/>
      <w:szCs w:val="24"/>
      <w:lang w:eastAsia="en-US"/>
    </w:rPr>
  </w:style>
  <w:style w:type="character" w:customStyle="1" w:styleId="SubtleReference1">
    <w:name w:val="Subtle Reference1"/>
    <w:basedOn w:val="DefaultParagraphFont"/>
    <w:uiPriority w:val="31"/>
    <w:qFormat/>
    <w:rPr>
      <w:smallCaps/>
      <w:color w:val="006341"/>
      <w:u w:val="single"/>
    </w:rPr>
  </w:style>
  <w:style w:type="character" w:customStyle="1" w:styleId="IntenseReference1">
    <w:name w:val="Intense Reference1"/>
    <w:basedOn w:val="DefaultParagraphFont"/>
    <w:uiPriority w:val="32"/>
    <w:qFormat/>
    <w:rPr>
      <w:b/>
      <w:bCs/>
      <w:i/>
      <w:smallCaps/>
      <w:color w:val="006341"/>
      <w:spacing w:val="5"/>
      <w:u w:val="none"/>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672BB2"/>
    <w:pPr>
      <w:numPr>
        <w:numId w:val="7"/>
      </w:numPr>
      <w:spacing w:before="40"/>
      <w:ind w:left="714" w:hanging="357"/>
      <w:contextualSpacing/>
    </w:pPr>
  </w:style>
  <w:style w:type="paragraph" w:customStyle="1" w:styleId="ImageTitle">
    <w:name w:val="Image Title"/>
    <w:locked/>
    <w:pPr>
      <w:tabs>
        <w:tab w:val="left" w:pos="1080"/>
      </w:tabs>
      <w:spacing w:before="120" w:line="240" w:lineRule="exact"/>
    </w:pPr>
    <w:rPr>
      <w:rFonts w:ascii="Arial" w:eastAsia="Times New Roman" w:hAnsi="Arial"/>
      <w:color w:val="000000" w:themeColor="text1"/>
      <w:sz w:val="22"/>
      <w:szCs w:val="24"/>
      <w:lang w:val="en-AU" w:eastAsia="en-US" w:bidi="ar-SA"/>
    </w:rPr>
  </w:style>
  <w:style w:type="character" w:customStyle="1" w:styleId="BodyTextChar">
    <w:name w:val="Body Text Char"/>
    <w:basedOn w:val="DefaultParagraphFont"/>
    <w:link w:val="BodyText"/>
    <w:qFormat/>
    <w:rsid w:val="00CB3B0F"/>
    <w:rPr>
      <w:rFonts w:ascii="Arial" w:eastAsia="Times New Roman" w:hAnsi="Arial"/>
      <w:sz w:val="24"/>
      <w:szCs w:val="24"/>
      <w:lang w:val="en-AU" w:eastAsia="en-US" w:bidi="ar-SA"/>
    </w:rPr>
  </w:style>
  <w:style w:type="paragraph" w:customStyle="1" w:styleId="TableText">
    <w:name w:val="Table Text"/>
    <w:qFormat/>
    <w:locked/>
    <w:pPr>
      <w:spacing w:before="60" w:after="60"/>
    </w:pPr>
    <w:rPr>
      <w:rFonts w:ascii="Arial" w:eastAsia="Times New Roman" w:hAnsi="Arial"/>
      <w:color w:val="000000" w:themeColor="text1"/>
      <w:sz w:val="22"/>
      <w:szCs w:val="24"/>
      <w:lang w:val="en-AU" w:eastAsia="en-US" w:bidi="ar-SA"/>
    </w:rPr>
  </w:style>
  <w:style w:type="paragraph" w:customStyle="1" w:styleId="TableTitle">
    <w:name w:val="Table Title"/>
    <w:basedOn w:val="Heading4"/>
    <w:qFormat/>
    <w:locked/>
    <w:rsid w:val="0014527B"/>
  </w:style>
  <w:style w:type="character" w:customStyle="1" w:styleId="HeaderChar">
    <w:name w:val="Header Char"/>
    <w:basedOn w:val="DefaultParagraphFont"/>
    <w:link w:val="Header"/>
    <w:uiPriority w:val="99"/>
    <w:qFormat/>
    <w:rPr>
      <w:rFonts w:ascii="Arial" w:hAnsi="Arial"/>
      <w:sz w:val="22"/>
      <w:szCs w:val="24"/>
      <w:lang w:eastAsia="en-US"/>
    </w:rPr>
  </w:style>
  <w:style w:type="character" w:customStyle="1" w:styleId="FooterChar">
    <w:name w:val="Footer Char"/>
    <w:basedOn w:val="DefaultParagraphFont"/>
    <w:link w:val="Footer"/>
    <w:uiPriority w:val="99"/>
    <w:rPr>
      <w:rFonts w:ascii="Arial" w:hAnsi="Arial"/>
      <w:szCs w:val="24"/>
      <w:lang w:eastAsia="en-US"/>
    </w:rPr>
  </w:style>
  <w:style w:type="paragraph" w:customStyle="1" w:styleId="TableHeaderWhite">
    <w:name w:val="Table Header White"/>
    <w:basedOn w:val="Normal"/>
    <w:next w:val="TableText"/>
    <w:qFormat/>
    <w:pPr>
      <w:spacing w:before="80" w:after="80"/>
    </w:pPr>
    <w:rPr>
      <w:rFonts w:eastAsia="Cambria"/>
      <w:color w:val="FFFFFF" w:themeColor="background1"/>
      <w:szCs w:val="22"/>
      <w:lang w:val="en-US"/>
    </w:rPr>
  </w:style>
  <w:style w:type="paragraph" w:customStyle="1" w:styleId="Tablehead">
    <w:name w:val="Table_head"/>
    <w:basedOn w:val="Normal"/>
    <w:qFormat/>
    <w:locked/>
    <w:pPr>
      <w:spacing w:before="60" w:after="60"/>
    </w:pPr>
    <w:rPr>
      <w:rFonts w:cs="Arial"/>
      <w:b/>
      <w:sz w:val="20"/>
    </w:rPr>
  </w:style>
  <w:style w:type="paragraph" w:customStyle="1" w:styleId="FigureTitle">
    <w:name w:val="Figure Title"/>
    <w:basedOn w:val="Normal"/>
    <w:next w:val="Paragraphtext"/>
    <w:qFormat/>
    <w:pPr>
      <w:spacing w:after="120"/>
    </w:pPr>
    <w:rPr>
      <w:rFonts w:cs="Arial"/>
      <w:b/>
      <w:bCs/>
      <w:iCs/>
      <w:color w:val="000000" w:themeColor="text1"/>
      <w:szCs w:val="22"/>
    </w:rPr>
  </w:style>
  <w:style w:type="paragraph" w:customStyle="1" w:styleId="Headertext">
    <w:name w:val="Header text"/>
    <w:basedOn w:val="Normal"/>
    <w:qFormat/>
    <w:pPr>
      <w:jc w:val="right"/>
    </w:pPr>
    <w:rPr>
      <w:sz w:val="20"/>
    </w:rPr>
  </w:style>
  <w:style w:type="table" w:customStyle="1" w:styleId="PHNGreyTable">
    <w:name w:val="PHN Grey Table"/>
    <w:basedOn w:val="TableNormal"/>
    <w:uiPriority w:val="99"/>
    <w:qFormat/>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pPr>
      <w:numPr>
        <w:numId w:val="5"/>
      </w:numPr>
      <w:ind w:left="284" w:hanging="284"/>
    </w:pPr>
    <w:rPr>
      <w:szCs w:val="20"/>
    </w:rPr>
  </w:style>
  <w:style w:type="paragraph" w:customStyle="1" w:styleId="Tablelistnumber">
    <w:name w:val="Table list number"/>
    <w:basedOn w:val="TableText"/>
    <w:qFormat/>
    <w:pPr>
      <w:numPr>
        <w:numId w:val="6"/>
      </w:numPr>
    </w:pPr>
    <w:rPr>
      <w:bCs/>
      <w14:numSpacing w14:val="proportional"/>
    </w:rPr>
  </w:style>
  <w:style w:type="paragraph" w:customStyle="1" w:styleId="TableHeader">
    <w:name w:val="Table Header"/>
    <w:basedOn w:val="Normal"/>
    <w:next w:val="TableText"/>
    <w:qFormat/>
    <w:pPr>
      <w:spacing w:before="80" w:after="80"/>
    </w:pPr>
    <w:rPr>
      <w:rFonts w:eastAsia="Cambria"/>
      <w:b/>
      <w:color w:val="000000" w:themeColor="text1"/>
      <w:szCs w:val="22"/>
      <w:lang w:val="en-US"/>
    </w:rPr>
  </w:style>
  <w:style w:type="paragraph" w:customStyle="1" w:styleId="SectionHeading">
    <w:name w:val="Section Heading"/>
    <w:basedOn w:val="Heading1"/>
    <w:next w:val="Paragraphtext"/>
    <w:qFormat/>
    <w:rPr>
      <w:szCs w:val="32"/>
    </w:rPr>
  </w:style>
  <w:style w:type="character" w:customStyle="1" w:styleId="FootnoteTextChar">
    <w:name w:val="Footnote Text Char"/>
    <w:basedOn w:val="DefaultParagraphFont"/>
    <w:link w:val="FootnoteText"/>
    <w:qFormat/>
    <w:rPr>
      <w:rFonts w:ascii="Arial" w:hAnsi="Arial"/>
      <w:lang w:eastAsia="en-US"/>
    </w:rPr>
  </w:style>
  <w:style w:type="paragraph" w:customStyle="1" w:styleId="VisionBox">
    <w:name w:val="VisionBox"/>
    <w:basedOn w:val="Normal"/>
    <w:qFormat/>
    <w:pPr>
      <w:pBdr>
        <w:top w:val="single" w:sz="4" w:space="15" w:color="B7DD79"/>
        <w:bottom w:val="single" w:sz="4" w:space="10" w:color="B7DD79"/>
      </w:pBdr>
      <w:spacing w:before="240" w:after="240" w:line="340" w:lineRule="exact"/>
    </w:pPr>
    <w:rPr>
      <w:rFonts w:eastAsiaTheme="minorHAnsi"/>
      <w:color w:val="006341"/>
    </w:rPr>
  </w:style>
  <w:style w:type="character" w:customStyle="1" w:styleId="BoldAllCaps">
    <w:name w:val="Bold All Caps"/>
    <w:basedOn w:val="DefaultParagraphFont"/>
    <w:uiPriority w:val="1"/>
    <w:qFormat/>
    <w:rPr>
      <w:b/>
      <w:caps/>
      <w:color w:val="006341"/>
    </w:rPr>
  </w:style>
  <w:style w:type="paragraph" w:customStyle="1" w:styleId="PolicyStatement">
    <w:name w:val="PolicyStatement"/>
    <w:basedOn w:val="Normal"/>
    <w:qFormat/>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qFormat/>
  </w:style>
  <w:style w:type="paragraph" w:customStyle="1" w:styleId="Intropara0">
    <w:name w:val="Intro para"/>
    <w:basedOn w:val="VisionBox"/>
    <w:qFormat/>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qFormat/>
    <w:rPr>
      <w:rFonts w:ascii="Arial" w:hAnsi="Arial"/>
      <w:color w:val="000000" w:themeColor="text1"/>
      <w:sz w:val="21"/>
    </w:rPr>
    <w:tblPr>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qFormat/>
    <w:pPr>
      <w:spacing w:after="120"/>
    </w:pPr>
    <w:rPr>
      <w:b/>
      <w:bCs/>
      <w:color w:val="000000" w:themeColor="text1"/>
      <w:szCs w:val="20"/>
    </w:rPr>
  </w:style>
  <w:style w:type="paragraph" w:customStyle="1" w:styleId="Tableheader0">
    <w:name w:val="Table header"/>
    <w:basedOn w:val="Normal"/>
    <w:qFormat/>
    <w:pPr>
      <w:spacing w:before="80" w:after="80"/>
    </w:pPr>
    <w:rPr>
      <w:b/>
      <w:bCs/>
      <w:color w:val="FFFFFF" w:themeColor="background1"/>
      <w:szCs w:val="20"/>
    </w:rPr>
  </w:style>
  <w:style w:type="paragraph" w:customStyle="1" w:styleId="Tabletextleft">
    <w:name w:val="Table text left"/>
    <w:basedOn w:val="Normal"/>
    <w:qFormat/>
    <w:pPr>
      <w:spacing w:before="60" w:after="60"/>
    </w:pPr>
    <w:rPr>
      <w:color w:val="000000" w:themeColor="text1"/>
      <w:sz w:val="21"/>
      <w:szCs w:val="20"/>
    </w:rPr>
  </w:style>
  <w:style w:type="paragraph" w:customStyle="1" w:styleId="TabletextRight">
    <w:name w:val="Table text Right"/>
    <w:basedOn w:val="Tabletextleft"/>
    <w:qFormat/>
    <w:pPr>
      <w:jc w:val="right"/>
    </w:pPr>
  </w:style>
  <w:style w:type="paragraph" w:customStyle="1" w:styleId="Tabletextright0">
    <w:name w:val="Table text right"/>
    <w:basedOn w:val="Tabletextleft"/>
    <w:qFormat/>
    <w:pPr>
      <w:jc w:val="right"/>
    </w:pPr>
  </w:style>
  <w:style w:type="character" w:customStyle="1" w:styleId="BalloonTextChar">
    <w:name w:val="Balloon Text Char"/>
    <w:basedOn w:val="DefaultParagraphFont"/>
    <w:link w:val="BalloonText"/>
    <w:semiHidden/>
    <w:qFormat/>
    <w:rPr>
      <w:rFonts w:ascii="Tahoma" w:hAnsi="Tahoma" w:cs="Tahoma"/>
      <w:sz w:val="16"/>
      <w:szCs w:val="16"/>
      <w:lang w:eastAsia="en-US"/>
    </w:rPr>
  </w:style>
  <w:style w:type="paragraph" w:customStyle="1" w:styleId="Default">
    <w:name w:val="Default"/>
    <w:qFormat/>
    <w:pPr>
      <w:autoSpaceDE w:val="0"/>
      <w:autoSpaceDN w:val="0"/>
      <w:adjustRightInd w:val="0"/>
    </w:pPr>
    <w:rPr>
      <w:rFonts w:ascii="Lato" w:eastAsiaTheme="minorHAnsi" w:hAnsi="Lato" w:cs="Lato"/>
      <w:color w:val="000000"/>
      <w:sz w:val="24"/>
      <w:szCs w:val="24"/>
      <w:lang w:val="en-AU" w:eastAsia="en-US" w:bidi="ar-SA"/>
    </w:rPr>
  </w:style>
  <w:style w:type="character" w:customStyle="1" w:styleId="CommentTextChar">
    <w:name w:val="Comment Text Char"/>
    <w:basedOn w:val="DefaultParagraphFont"/>
    <w:link w:val="CommentText"/>
    <w:uiPriority w:val="99"/>
    <w:qFormat/>
    <w:rPr>
      <w:rFonts w:ascii="Arial" w:hAnsi="Arial"/>
      <w:lang w:eastAsia="en-US"/>
    </w:rPr>
  </w:style>
  <w:style w:type="character" w:customStyle="1" w:styleId="CommentSubjectChar">
    <w:name w:val="Comment Subject Char"/>
    <w:basedOn w:val="CommentTextChar"/>
    <w:link w:val="CommentSubject"/>
    <w:semiHidden/>
    <w:qFormat/>
    <w:rPr>
      <w:rFonts w:ascii="Arial" w:hAnsi="Arial"/>
      <w:b/>
      <w:bCs/>
      <w:lang w:eastAsia="en-US"/>
    </w:rPr>
  </w:style>
  <w:style w:type="character" w:customStyle="1" w:styleId="Heading1Char">
    <w:name w:val="Heading 1 Char"/>
    <w:basedOn w:val="DefaultParagraphFont"/>
    <w:link w:val="Heading1"/>
    <w:rsid w:val="00A31567"/>
    <w:rPr>
      <w:rFonts w:ascii="Arial" w:eastAsia="Times New Roman" w:hAnsi="Arial" w:cs="Arial"/>
      <w:bCs/>
      <w:color w:val="008A23"/>
      <w:kern w:val="28"/>
      <w:sz w:val="48"/>
      <w:szCs w:val="48"/>
      <w:lang w:val="en-AU" w:eastAsia="en-US" w:bidi="ar-SA"/>
    </w:rPr>
  </w:style>
  <w:style w:type="paragraph" w:styleId="BodyTextIndent">
    <w:name w:val="Body Text Indent"/>
    <w:basedOn w:val="Normal"/>
    <w:link w:val="BodyTextIndentChar"/>
    <w:semiHidden/>
    <w:unhideWhenUsed/>
    <w:rsid w:val="00B437D8"/>
    <w:pPr>
      <w:spacing w:after="120"/>
      <w:ind w:left="283"/>
    </w:pPr>
  </w:style>
  <w:style w:type="character" w:customStyle="1" w:styleId="BodyTextIndentChar">
    <w:name w:val="Body Text Indent Char"/>
    <w:basedOn w:val="DefaultParagraphFont"/>
    <w:link w:val="BodyTextIndent"/>
    <w:semiHidden/>
    <w:rsid w:val="00B437D8"/>
    <w:rPr>
      <w:rFonts w:ascii="Arial" w:eastAsia="Times New Roman" w:hAnsi="Arial"/>
      <w:sz w:val="22"/>
      <w:szCs w:val="24"/>
      <w:lang w:val="en-AU" w:eastAsia="en-US" w:bidi="ar-SA"/>
    </w:rPr>
  </w:style>
  <w:style w:type="paragraph" w:styleId="BodyTextFirstIndent2">
    <w:name w:val="Body Text First Indent 2"/>
    <w:basedOn w:val="BodyTextIndent"/>
    <w:link w:val="BodyTextFirstIndent2Char"/>
    <w:semiHidden/>
    <w:unhideWhenUsed/>
    <w:rsid w:val="00B437D8"/>
    <w:pPr>
      <w:spacing w:after="160"/>
      <w:ind w:left="360" w:firstLine="360"/>
    </w:pPr>
  </w:style>
  <w:style w:type="character" w:customStyle="1" w:styleId="BodyTextFirstIndent2Char">
    <w:name w:val="Body Text First Indent 2 Char"/>
    <w:basedOn w:val="BodyTextIndentChar"/>
    <w:link w:val="BodyTextFirstIndent2"/>
    <w:semiHidden/>
    <w:rsid w:val="00B437D8"/>
    <w:rPr>
      <w:rFonts w:ascii="Arial" w:eastAsia="Times New Roman" w:hAnsi="Arial"/>
      <w:sz w:val="22"/>
      <w:szCs w:val="24"/>
      <w:lang w:val="en-AU" w:eastAsia="en-US" w:bidi="ar-SA"/>
    </w:rPr>
  </w:style>
  <w:style w:type="paragraph" w:styleId="Revision">
    <w:name w:val="Revision"/>
    <w:hidden/>
    <w:uiPriority w:val="99"/>
    <w:semiHidden/>
    <w:rsid w:val="008231E0"/>
    <w:pPr>
      <w:spacing w:after="0" w:line="240" w:lineRule="auto"/>
    </w:pPr>
    <w:rPr>
      <w:rFonts w:ascii="Arial" w:eastAsia="Times New Roman" w:hAnsi="Arial"/>
      <w:sz w:val="22"/>
      <w:szCs w:val="24"/>
      <w:lang w:val="en-AU" w:eastAsia="en-US" w:bidi="ar-SA"/>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672BB2"/>
    <w:rPr>
      <w:rFonts w:ascii="Arial" w:eastAsia="Times New Roman" w:hAnsi="Arial"/>
      <w:sz w:val="24"/>
      <w:szCs w:val="24"/>
      <w:lang w:val="en-AU" w:eastAsia="en-US" w:bidi="ar-SA"/>
    </w:rPr>
  </w:style>
  <w:style w:type="character" w:styleId="PageNumber">
    <w:name w:val="page number"/>
    <w:basedOn w:val="DefaultParagraphFont"/>
    <w:uiPriority w:val="99"/>
    <w:semiHidden/>
    <w:unhideWhenUsed/>
    <w:rsid w:val="0028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49">
      <w:bodyDiv w:val="1"/>
      <w:marLeft w:val="0"/>
      <w:marRight w:val="0"/>
      <w:marTop w:val="0"/>
      <w:marBottom w:val="0"/>
      <w:divBdr>
        <w:top w:val="none" w:sz="0" w:space="0" w:color="auto"/>
        <w:left w:val="none" w:sz="0" w:space="0" w:color="auto"/>
        <w:bottom w:val="none" w:sz="0" w:space="0" w:color="auto"/>
        <w:right w:val="none" w:sz="0" w:space="0" w:color="auto"/>
      </w:divBdr>
    </w:div>
    <w:div w:id="106896239">
      <w:bodyDiv w:val="1"/>
      <w:marLeft w:val="0"/>
      <w:marRight w:val="0"/>
      <w:marTop w:val="0"/>
      <w:marBottom w:val="0"/>
      <w:divBdr>
        <w:top w:val="none" w:sz="0" w:space="0" w:color="auto"/>
        <w:left w:val="none" w:sz="0" w:space="0" w:color="auto"/>
        <w:bottom w:val="none" w:sz="0" w:space="0" w:color="auto"/>
        <w:right w:val="none" w:sz="0" w:space="0" w:color="auto"/>
      </w:divBdr>
    </w:div>
    <w:div w:id="787361355">
      <w:bodyDiv w:val="1"/>
      <w:marLeft w:val="0"/>
      <w:marRight w:val="0"/>
      <w:marTop w:val="0"/>
      <w:marBottom w:val="0"/>
      <w:divBdr>
        <w:top w:val="none" w:sz="0" w:space="0" w:color="auto"/>
        <w:left w:val="none" w:sz="0" w:space="0" w:color="auto"/>
        <w:bottom w:val="none" w:sz="0" w:space="0" w:color="auto"/>
        <w:right w:val="none" w:sz="0" w:space="0" w:color="auto"/>
      </w:divBdr>
    </w:div>
    <w:div w:id="1079792806">
      <w:bodyDiv w:val="1"/>
      <w:marLeft w:val="0"/>
      <w:marRight w:val="0"/>
      <w:marTop w:val="0"/>
      <w:marBottom w:val="0"/>
      <w:divBdr>
        <w:top w:val="none" w:sz="0" w:space="0" w:color="auto"/>
        <w:left w:val="none" w:sz="0" w:space="0" w:color="auto"/>
        <w:bottom w:val="none" w:sz="0" w:space="0" w:color="auto"/>
        <w:right w:val="none" w:sz="0" w:space="0" w:color="auto"/>
      </w:divBdr>
    </w:div>
    <w:div w:id="1145049573">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
    <w:div w:id="194965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afeworkaustralia.gov.au/system/files/documents/1901/code_of_practice_-_how_to_manage_work_health_and_safety_risks_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ealth.gov.au/news/health-alerts/novel-coronavirus-2019-ncov-health-alert/how-to-protect-yourself-and-others-from-coronavirus-covid-19/masks"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na-song-novel-coronavirus.htm" TargetMode="External"/><Relationship Id="rId20" Type="http://schemas.openxmlformats.org/officeDocument/2006/relationships/hyperlink" Target="https://doi.org/10.1183/13993003.00547-20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oi.org/10.1101/2020.05.06.2009299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e9090f6-0245-48e3-bd19-46cc0b4d31f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85C12C-F1E5-4346-876F-708BA1D0CF7D}">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184DE911-FE09-4435-90D6-3D1C6923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2576</Words>
  <Characters>15282</Characters>
  <Application>Microsoft Office Word</Application>
  <DocSecurity>0</DocSecurity>
  <Lines>319</Lines>
  <Paragraphs>140</Paragraphs>
  <ScaleCrop>false</ScaleCrop>
  <HeadingPairs>
    <vt:vector size="2" baseType="variant">
      <vt:variant>
        <vt:lpstr>Title</vt:lpstr>
      </vt:variant>
      <vt:variant>
        <vt:i4>1</vt:i4>
      </vt:variant>
    </vt:vector>
  </HeadingPairs>
  <TitlesOfParts>
    <vt:vector size="1" baseType="lpstr">
      <vt:lpstr>Guide for general practitioners to inform shared decision making with patients around risk of severe illness related to COVID-19</vt:lpstr>
    </vt:vector>
  </TitlesOfParts>
  <Manager/>
  <Company>Australian Government Department of Health</Company>
  <LinksUpToDate>false</LinksUpToDate>
  <CharactersWithSpaces>17896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general practitioners to inform shared decision making with patients around risk of severe illness related to COVID-19</dc:title>
  <dc:subject>COVID-19</dc:subject>
  <dc:creator>Australian Government Department of Health</dc:creator>
  <cp:keywords>communicable diseases; emergency health management</cp:keywords>
  <dc:description/>
  <cp:lastModifiedBy>emma kennedy</cp:lastModifiedBy>
  <cp:revision>9</cp:revision>
  <cp:lastPrinted>2020-05-07T00:26:00Z</cp:lastPrinted>
  <dcterms:created xsi:type="dcterms:W3CDTF">2021-10-11T04:44:00Z</dcterms:created>
  <dcterms:modified xsi:type="dcterms:W3CDTF">2021-10-11T06:48:00Z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KSOProductBuildVer">
    <vt:lpwstr>1033-11.2.0.9085</vt:lpwstr>
  </property>
</Properties>
</file>