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5EBE6" w14:textId="77777777" w:rsidR="009603F4" w:rsidRPr="00EB623A" w:rsidRDefault="009603F4" w:rsidP="00EB623A">
      <w:pPr>
        <w:pStyle w:val="Title"/>
        <w:spacing w:before="2880"/>
        <w:rPr>
          <w:rFonts w:ascii="Arial" w:hAnsi="Arial" w:cs="Arial"/>
          <w:color w:val="FFFFFF" w:themeColor="background1"/>
          <w:sz w:val="88"/>
          <w:szCs w:val="88"/>
          <w:lang w:val="en-US"/>
        </w:rPr>
      </w:pPr>
      <w:r w:rsidRPr="00EB623A">
        <w:rPr>
          <w:rFonts w:ascii="Arial" w:hAnsi="Arial" w:cs="Arial"/>
          <w:color w:val="FFFFFF" w:themeColor="background1"/>
          <w:sz w:val="88"/>
          <w:szCs w:val="88"/>
          <w:lang w:val="en-US"/>
        </w:rPr>
        <w:t>Background Paper</w:t>
      </w:r>
    </w:p>
    <w:p w14:paraId="2BA67D7C" w14:textId="043298A0" w:rsidR="00654E6A" w:rsidRPr="00EB623A" w:rsidRDefault="00654E6A" w:rsidP="00EB623A">
      <w:pPr>
        <w:pStyle w:val="Title"/>
        <w:spacing w:before="2880"/>
        <w:rPr>
          <w:rFonts w:ascii="Arial" w:hAnsi="Arial" w:cs="Arial"/>
          <w:color w:val="FFFFFF" w:themeColor="background1"/>
          <w:sz w:val="88"/>
          <w:szCs w:val="88"/>
          <w:lang w:val="en-US"/>
        </w:rPr>
      </w:pPr>
      <w:r w:rsidRPr="00EB623A">
        <w:rPr>
          <w:rFonts w:ascii="Arial" w:hAnsi="Arial" w:cs="Arial"/>
          <w:color w:val="FFFFFF" w:themeColor="background1"/>
          <w:sz w:val="88"/>
          <w:szCs w:val="88"/>
          <w:lang w:val="en-US"/>
        </w:rPr>
        <w:t>Aligning regulation across Australia’s care and support sectors</w:t>
      </w:r>
    </w:p>
    <w:p w14:paraId="2E9131BA" w14:textId="1C83D4DA" w:rsidR="006D113D" w:rsidRDefault="006D113D">
      <w:pPr>
        <w:spacing w:before="0" w:after="0" w:line="240" w:lineRule="auto"/>
        <w:rPr>
          <w:lang w:val="en-US"/>
        </w:rPr>
      </w:pPr>
      <w:r>
        <w:rPr>
          <w:noProof/>
          <w:lang w:val="en-US"/>
        </w:rPr>
        <w:drawing>
          <wp:anchor distT="0" distB="0" distL="114300" distR="114300" simplePos="0" relativeHeight="251658240" behindDoc="1" locked="1" layoutInCell="1" allowOverlap="1" wp14:anchorId="26CCA14A" wp14:editId="3DEB0A9D">
            <wp:simplePos x="0" y="0"/>
            <wp:positionH relativeFrom="page">
              <wp:align>center</wp:align>
            </wp:positionH>
            <wp:positionV relativeFrom="page">
              <wp:align>top</wp:align>
            </wp:positionV>
            <wp:extent cx="7578000" cy="10710000"/>
            <wp:effectExtent l="0" t="0" r="4445" b="0"/>
            <wp:wrapNone/>
            <wp:docPr id="1" name="Picture 1" descr="Australian Government, Regulatory Alignment Across Care and Support&#10;&#10;Cover image contains imagery of&#10;Veterans walking on Anzac Day&#10;Boy with his dog&#10;Senior Australian Couple with car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Regulatory Alignment Across Care and Support&#10;&#10;Cover image contains imagery of&#10;Veterans walking on Anzac Day&#10;Boy with his dog&#10;Senior Australian Couple with carer">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14:paraId="2BED1DC1" w14:textId="6C450301" w:rsidR="007165FF" w:rsidRPr="007165FF" w:rsidRDefault="007165FF" w:rsidP="00654E6A">
      <w:pPr>
        <w:pStyle w:val="Heading1"/>
        <w:rPr>
          <w:lang w:val="en-US"/>
        </w:rPr>
      </w:pPr>
      <w:bookmarkStart w:id="0" w:name="_Toc83395899"/>
      <w:bookmarkStart w:id="1" w:name="_Toc84492752"/>
      <w:bookmarkStart w:id="2" w:name="_Toc84511957"/>
      <w:r w:rsidRPr="007165FF">
        <w:rPr>
          <w:lang w:val="en-US"/>
        </w:rPr>
        <w:lastRenderedPageBreak/>
        <w:t>Contents</w:t>
      </w:r>
      <w:bookmarkEnd w:id="0"/>
      <w:bookmarkEnd w:id="1"/>
      <w:bookmarkEnd w:id="2"/>
    </w:p>
    <w:p w14:paraId="4C4B95D2" w14:textId="19B447EB" w:rsidR="00147FB2" w:rsidRDefault="00684B72">
      <w:pPr>
        <w:pStyle w:val="TOC1"/>
        <w:tabs>
          <w:tab w:val="right" w:leader="dot" w:pos="9622"/>
        </w:tabs>
        <w:rPr>
          <w:rFonts w:asciiTheme="minorHAnsi" w:hAnsiTheme="minorHAnsi"/>
          <w:noProof/>
          <w:szCs w:val="22"/>
          <w:lang w:eastAsia="en-AU"/>
        </w:rPr>
      </w:pPr>
      <w:r>
        <w:rPr>
          <w:lang w:val="en-US"/>
        </w:rPr>
        <w:fldChar w:fldCharType="begin"/>
      </w:r>
      <w:r>
        <w:rPr>
          <w:lang w:val="en-US"/>
        </w:rPr>
        <w:instrText xml:space="preserve"> TOC \o "1-3" \h \z \u </w:instrText>
      </w:r>
      <w:r>
        <w:rPr>
          <w:lang w:val="en-US"/>
        </w:rPr>
        <w:fldChar w:fldCharType="separate"/>
      </w:r>
    </w:p>
    <w:p w14:paraId="0ABF827E" w14:textId="007D8DA4" w:rsidR="00147FB2" w:rsidRDefault="00147FB2">
      <w:pPr>
        <w:pStyle w:val="TOC1"/>
        <w:tabs>
          <w:tab w:val="right" w:leader="dot" w:pos="9622"/>
        </w:tabs>
        <w:rPr>
          <w:rFonts w:asciiTheme="minorHAnsi" w:hAnsiTheme="minorHAnsi"/>
          <w:noProof/>
          <w:szCs w:val="22"/>
          <w:lang w:eastAsia="en-AU"/>
        </w:rPr>
      </w:pPr>
      <w:hyperlink w:anchor="_Toc84511958" w:history="1">
        <w:r w:rsidRPr="001B7283">
          <w:rPr>
            <w:rStyle w:val="Hyperlink"/>
            <w:noProof/>
            <w:lang w:val="en-US"/>
          </w:rPr>
          <w:t>Introduction</w:t>
        </w:r>
        <w:r>
          <w:rPr>
            <w:noProof/>
            <w:webHidden/>
          </w:rPr>
          <w:tab/>
        </w:r>
        <w:r>
          <w:rPr>
            <w:noProof/>
            <w:webHidden/>
          </w:rPr>
          <w:fldChar w:fldCharType="begin"/>
        </w:r>
        <w:r>
          <w:rPr>
            <w:noProof/>
            <w:webHidden/>
          </w:rPr>
          <w:instrText xml:space="preserve"> PAGEREF _Toc84511958 \h </w:instrText>
        </w:r>
        <w:r>
          <w:rPr>
            <w:noProof/>
            <w:webHidden/>
          </w:rPr>
        </w:r>
        <w:r>
          <w:rPr>
            <w:noProof/>
            <w:webHidden/>
          </w:rPr>
          <w:fldChar w:fldCharType="separate"/>
        </w:r>
        <w:r>
          <w:rPr>
            <w:noProof/>
            <w:webHidden/>
          </w:rPr>
          <w:t>3</w:t>
        </w:r>
        <w:r>
          <w:rPr>
            <w:noProof/>
            <w:webHidden/>
          </w:rPr>
          <w:fldChar w:fldCharType="end"/>
        </w:r>
      </w:hyperlink>
    </w:p>
    <w:p w14:paraId="6FFDD025" w14:textId="54EACD15" w:rsidR="00147FB2" w:rsidRDefault="00147FB2">
      <w:pPr>
        <w:pStyle w:val="TOC2"/>
        <w:tabs>
          <w:tab w:val="right" w:leader="dot" w:pos="9622"/>
        </w:tabs>
        <w:rPr>
          <w:rFonts w:asciiTheme="minorHAnsi" w:hAnsiTheme="minorHAnsi"/>
          <w:noProof/>
          <w:szCs w:val="22"/>
          <w:lang w:eastAsia="en-AU"/>
        </w:rPr>
      </w:pPr>
      <w:hyperlink w:anchor="_Toc84511959" w:history="1">
        <w:r w:rsidRPr="001B7283">
          <w:rPr>
            <w:rStyle w:val="Hyperlink"/>
            <w:noProof/>
          </w:rPr>
          <w:t>Purpose</w:t>
        </w:r>
        <w:r>
          <w:rPr>
            <w:noProof/>
            <w:webHidden/>
          </w:rPr>
          <w:tab/>
        </w:r>
        <w:r>
          <w:rPr>
            <w:noProof/>
            <w:webHidden/>
          </w:rPr>
          <w:fldChar w:fldCharType="begin"/>
        </w:r>
        <w:r>
          <w:rPr>
            <w:noProof/>
            <w:webHidden/>
          </w:rPr>
          <w:instrText xml:space="preserve"> PAGEREF _Toc84511959 \h </w:instrText>
        </w:r>
        <w:r>
          <w:rPr>
            <w:noProof/>
            <w:webHidden/>
          </w:rPr>
        </w:r>
        <w:r>
          <w:rPr>
            <w:noProof/>
            <w:webHidden/>
          </w:rPr>
          <w:fldChar w:fldCharType="separate"/>
        </w:r>
        <w:r>
          <w:rPr>
            <w:noProof/>
            <w:webHidden/>
          </w:rPr>
          <w:t>3</w:t>
        </w:r>
        <w:r>
          <w:rPr>
            <w:noProof/>
            <w:webHidden/>
          </w:rPr>
          <w:fldChar w:fldCharType="end"/>
        </w:r>
      </w:hyperlink>
    </w:p>
    <w:p w14:paraId="77271A5E" w14:textId="67FB36F2" w:rsidR="00147FB2" w:rsidRDefault="00147FB2">
      <w:pPr>
        <w:pStyle w:val="TOC2"/>
        <w:tabs>
          <w:tab w:val="right" w:leader="dot" w:pos="9622"/>
        </w:tabs>
        <w:rPr>
          <w:rFonts w:asciiTheme="minorHAnsi" w:hAnsiTheme="minorHAnsi"/>
          <w:noProof/>
          <w:szCs w:val="22"/>
          <w:lang w:eastAsia="en-AU"/>
        </w:rPr>
      </w:pPr>
      <w:hyperlink w:anchor="_Toc84511960" w:history="1">
        <w:r w:rsidRPr="001B7283">
          <w:rPr>
            <w:rStyle w:val="Hyperlink"/>
            <w:noProof/>
          </w:rPr>
          <w:t>What does regulatory alignment mean?</w:t>
        </w:r>
        <w:r>
          <w:rPr>
            <w:noProof/>
            <w:webHidden/>
          </w:rPr>
          <w:tab/>
        </w:r>
        <w:r>
          <w:rPr>
            <w:noProof/>
            <w:webHidden/>
          </w:rPr>
          <w:fldChar w:fldCharType="begin"/>
        </w:r>
        <w:r>
          <w:rPr>
            <w:noProof/>
            <w:webHidden/>
          </w:rPr>
          <w:instrText xml:space="preserve"> PAGEREF _Toc84511960 \h </w:instrText>
        </w:r>
        <w:r>
          <w:rPr>
            <w:noProof/>
            <w:webHidden/>
          </w:rPr>
        </w:r>
        <w:r>
          <w:rPr>
            <w:noProof/>
            <w:webHidden/>
          </w:rPr>
          <w:fldChar w:fldCharType="separate"/>
        </w:r>
        <w:r>
          <w:rPr>
            <w:noProof/>
            <w:webHidden/>
          </w:rPr>
          <w:t>4</w:t>
        </w:r>
        <w:r>
          <w:rPr>
            <w:noProof/>
            <w:webHidden/>
          </w:rPr>
          <w:fldChar w:fldCharType="end"/>
        </w:r>
      </w:hyperlink>
    </w:p>
    <w:p w14:paraId="322B7CF6" w14:textId="2B824BF6" w:rsidR="00147FB2" w:rsidRDefault="00147FB2">
      <w:pPr>
        <w:pStyle w:val="TOC2"/>
        <w:tabs>
          <w:tab w:val="right" w:leader="dot" w:pos="9622"/>
        </w:tabs>
        <w:rPr>
          <w:rFonts w:asciiTheme="minorHAnsi" w:hAnsiTheme="minorHAnsi"/>
          <w:noProof/>
          <w:szCs w:val="22"/>
          <w:lang w:eastAsia="en-AU"/>
        </w:rPr>
      </w:pPr>
      <w:hyperlink w:anchor="_Toc84511961" w:history="1">
        <w:r w:rsidRPr="001B7283">
          <w:rPr>
            <w:rStyle w:val="Hyperlink"/>
            <w:noProof/>
          </w:rPr>
          <w:t>Australia’s care and support sectors</w:t>
        </w:r>
        <w:r>
          <w:rPr>
            <w:noProof/>
            <w:webHidden/>
          </w:rPr>
          <w:tab/>
        </w:r>
        <w:r>
          <w:rPr>
            <w:noProof/>
            <w:webHidden/>
          </w:rPr>
          <w:fldChar w:fldCharType="begin"/>
        </w:r>
        <w:r>
          <w:rPr>
            <w:noProof/>
            <w:webHidden/>
          </w:rPr>
          <w:instrText xml:space="preserve"> PAGEREF _Toc84511961 \h </w:instrText>
        </w:r>
        <w:r>
          <w:rPr>
            <w:noProof/>
            <w:webHidden/>
          </w:rPr>
        </w:r>
        <w:r>
          <w:rPr>
            <w:noProof/>
            <w:webHidden/>
          </w:rPr>
          <w:fldChar w:fldCharType="separate"/>
        </w:r>
        <w:r>
          <w:rPr>
            <w:noProof/>
            <w:webHidden/>
          </w:rPr>
          <w:t>4</w:t>
        </w:r>
        <w:r>
          <w:rPr>
            <w:noProof/>
            <w:webHidden/>
          </w:rPr>
          <w:fldChar w:fldCharType="end"/>
        </w:r>
      </w:hyperlink>
    </w:p>
    <w:p w14:paraId="4965CA19" w14:textId="2A6E27D8" w:rsidR="00147FB2" w:rsidRDefault="00147FB2">
      <w:pPr>
        <w:pStyle w:val="TOC3"/>
        <w:tabs>
          <w:tab w:val="right" w:leader="dot" w:pos="9622"/>
        </w:tabs>
        <w:rPr>
          <w:rFonts w:asciiTheme="minorHAnsi" w:hAnsiTheme="minorHAnsi"/>
          <w:noProof/>
          <w:szCs w:val="22"/>
          <w:lang w:eastAsia="en-AU"/>
        </w:rPr>
      </w:pPr>
      <w:hyperlink w:anchor="_Toc84511962" w:history="1">
        <w:r w:rsidRPr="001B7283">
          <w:rPr>
            <w:rStyle w:val="Hyperlink"/>
            <w:noProof/>
          </w:rPr>
          <w:t>Aged Care</w:t>
        </w:r>
        <w:r>
          <w:rPr>
            <w:noProof/>
            <w:webHidden/>
          </w:rPr>
          <w:tab/>
        </w:r>
        <w:r>
          <w:rPr>
            <w:noProof/>
            <w:webHidden/>
          </w:rPr>
          <w:fldChar w:fldCharType="begin"/>
        </w:r>
        <w:r>
          <w:rPr>
            <w:noProof/>
            <w:webHidden/>
          </w:rPr>
          <w:instrText xml:space="preserve"> PAGEREF _Toc84511962 \h </w:instrText>
        </w:r>
        <w:r>
          <w:rPr>
            <w:noProof/>
            <w:webHidden/>
          </w:rPr>
        </w:r>
        <w:r>
          <w:rPr>
            <w:noProof/>
            <w:webHidden/>
          </w:rPr>
          <w:fldChar w:fldCharType="separate"/>
        </w:r>
        <w:r>
          <w:rPr>
            <w:noProof/>
            <w:webHidden/>
          </w:rPr>
          <w:t>5</w:t>
        </w:r>
        <w:r>
          <w:rPr>
            <w:noProof/>
            <w:webHidden/>
          </w:rPr>
          <w:fldChar w:fldCharType="end"/>
        </w:r>
      </w:hyperlink>
    </w:p>
    <w:p w14:paraId="61070E07" w14:textId="6E94A798" w:rsidR="00147FB2" w:rsidRDefault="00147FB2">
      <w:pPr>
        <w:pStyle w:val="TOC3"/>
        <w:tabs>
          <w:tab w:val="right" w:leader="dot" w:pos="9622"/>
        </w:tabs>
        <w:rPr>
          <w:rFonts w:asciiTheme="minorHAnsi" w:hAnsiTheme="minorHAnsi"/>
          <w:noProof/>
          <w:szCs w:val="22"/>
          <w:lang w:eastAsia="en-AU"/>
        </w:rPr>
      </w:pPr>
      <w:hyperlink w:anchor="_Toc84511963" w:history="1">
        <w:r w:rsidRPr="001B7283">
          <w:rPr>
            <w:rStyle w:val="Hyperlink"/>
            <w:noProof/>
          </w:rPr>
          <w:t>NDIS and other disability services</w:t>
        </w:r>
        <w:r>
          <w:rPr>
            <w:noProof/>
            <w:webHidden/>
          </w:rPr>
          <w:tab/>
        </w:r>
        <w:r>
          <w:rPr>
            <w:noProof/>
            <w:webHidden/>
          </w:rPr>
          <w:fldChar w:fldCharType="begin"/>
        </w:r>
        <w:r>
          <w:rPr>
            <w:noProof/>
            <w:webHidden/>
          </w:rPr>
          <w:instrText xml:space="preserve"> PAGEREF _Toc84511963 \h </w:instrText>
        </w:r>
        <w:r>
          <w:rPr>
            <w:noProof/>
            <w:webHidden/>
          </w:rPr>
        </w:r>
        <w:r>
          <w:rPr>
            <w:noProof/>
            <w:webHidden/>
          </w:rPr>
          <w:fldChar w:fldCharType="separate"/>
        </w:r>
        <w:r>
          <w:rPr>
            <w:noProof/>
            <w:webHidden/>
          </w:rPr>
          <w:t>5</w:t>
        </w:r>
        <w:r>
          <w:rPr>
            <w:noProof/>
            <w:webHidden/>
          </w:rPr>
          <w:fldChar w:fldCharType="end"/>
        </w:r>
      </w:hyperlink>
    </w:p>
    <w:p w14:paraId="66B2006D" w14:textId="2AFD2367" w:rsidR="00147FB2" w:rsidRDefault="00147FB2">
      <w:pPr>
        <w:pStyle w:val="TOC3"/>
        <w:tabs>
          <w:tab w:val="right" w:leader="dot" w:pos="9622"/>
        </w:tabs>
        <w:rPr>
          <w:rFonts w:asciiTheme="minorHAnsi" w:hAnsiTheme="minorHAnsi"/>
          <w:noProof/>
          <w:szCs w:val="22"/>
          <w:lang w:eastAsia="en-AU"/>
        </w:rPr>
      </w:pPr>
      <w:hyperlink w:anchor="_Toc84511964" w:history="1">
        <w:r w:rsidRPr="001B7283">
          <w:rPr>
            <w:rStyle w:val="Hyperlink"/>
            <w:noProof/>
          </w:rPr>
          <w:t>Veterans’ care</w:t>
        </w:r>
        <w:r>
          <w:rPr>
            <w:noProof/>
            <w:webHidden/>
          </w:rPr>
          <w:tab/>
        </w:r>
        <w:r>
          <w:rPr>
            <w:noProof/>
            <w:webHidden/>
          </w:rPr>
          <w:fldChar w:fldCharType="begin"/>
        </w:r>
        <w:r>
          <w:rPr>
            <w:noProof/>
            <w:webHidden/>
          </w:rPr>
          <w:instrText xml:space="preserve"> PAGEREF _Toc84511964 \h </w:instrText>
        </w:r>
        <w:r>
          <w:rPr>
            <w:noProof/>
            <w:webHidden/>
          </w:rPr>
        </w:r>
        <w:r>
          <w:rPr>
            <w:noProof/>
            <w:webHidden/>
          </w:rPr>
          <w:fldChar w:fldCharType="separate"/>
        </w:r>
        <w:r>
          <w:rPr>
            <w:noProof/>
            <w:webHidden/>
          </w:rPr>
          <w:t>6</w:t>
        </w:r>
        <w:r>
          <w:rPr>
            <w:noProof/>
            <w:webHidden/>
          </w:rPr>
          <w:fldChar w:fldCharType="end"/>
        </w:r>
      </w:hyperlink>
    </w:p>
    <w:p w14:paraId="55C7464A" w14:textId="0CFBDC03" w:rsidR="00147FB2" w:rsidRDefault="00147FB2">
      <w:pPr>
        <w:pStyle w:val="TOC2"/>
        <w:tabs>
          <w:tab w:val="right" w:leader="dot" w:pos="9622"/>
        </w:tabs>
        <w:rPr>
          <w:rFonts w:asciiTheme="minorHAnsi" w:hAnsiTheme="minorHAnsi"/>
          <w:noProof/>
          <w:szCs w:val="22"/>
          <w:lang w:eastAsia="en-AU"/>
        </w:rPr>
      </w:pPr>
      <w:hyperlink w:anchor="_Toc84511965" w:history="1">
        <w:r w:rsidRPr="001B7283">
          <w:rPr>
            <w:rStyle w:val="Hyperlink"/>
            <w:noProof/>
          </w:rPr>
          <w:t>The challenge</w:t>
        </w:r>
        <w:r>
          <w:rPr>
            <w:noProof/>
            <w:webHidden/>
          </w:rPr>
          <w:tab/>
        </w:r>
        <w:r>
          <w:rPr>
            <w:noProof/>
            <w:webHidden/>
          </w:rPr>
          <w:fldChar w:fldCharType="begin"/>
        </w:r>
        <w:r>
          <w:rPr>
            <w:noProof/>
            <w:webHidden/>
          </w:rPr>
          <w:instrText xml:space="preserve"> PAGEREF _Toc84511965 \h </w:instrText>
        </w:r>
        <w:r>
          <w:rPr>
            <w:noProof/>
            <w:webHidden/>
          </w:rPr>
        </w:r>
        <w:r>
          <w:rPr>
            <w:noProof/>
            <w:webHidden/>
          </w:rPr>
          <w:fldChar w:fldCharType="separate"/>
        </w:r>
        <w:r>
          <w:rPr>
            <w:noProof/>
            <w:webHidden/>
          </w:rPr>
          <w:t>6</w:t>
        </w:r>
        <w:r>
          <w:rPr>
            <w:noProof/>
            <w:webHidden/>
          </w:rPr>
          <w:fldChar w:fldCharType="end"/>
        </w:r>
      </w:hyperlink>
    </w:p>
    <w:p w14:paraId="58E065EA" w14:textId="6AC4DA54" w:rsidR="00147FB2" w:rsidRDefault="00147FB2">
      <w:pPr>
        <w:pStyle w:val="TOC1"/>
        <w:tabs>
          <w:tab w:val="right" w:leader="dot" w:pos="9622"/>
        </w:tabs>
        <w:rPr>
          <w:rFonts w:asciiTheme="minorHAnsi" w:hAnsiTheme="minorHAnsi"/>
          <w:noProof/>
          <w:szCs w:val="22"/>
          <w:lang w:eastAsia="en-AU"/>
        </w:rPr>
      </w:pPr>
      <w:hyperlink w:anchor="_Toc84511966" w:history="1">
        <w:r w:rsidRPr="001B7283">
          <w:rPr>
            <w:rStyle w:val="Hyperlink"/>
            <w:noProof/>
          </w:rPr>
          <w:t>Cross-Agency Taskforce on Regulatory Alignment</w:t>
        </w:r>
        <w:r>
          <w:rPr>
            <w:noProof/>
            <w:webHidden/>
          </w:rPr>
          <w:tab/>
        </w:r>
        <w:r>
          <w:rPr>
            <w:noProof/>
            <w:webHidden/>
          </w:rPr>
          <w:fldChar w:fldCharType="begin"/>
        </w:r>
        <w:r>
          <w:rPr>
            <w:noProof/>
            <w:webHidden/>
          </w:rPr>
          <w:instrText xml:space="preserve"> PAGEREF _Toc84511966 \h </w:instrText>
        </w:r>
        <w:r>
          <w:rPr>
            <w:noProof/>
            <w:webHidden/>
          </w:rPr>
        </w:r>
        <w:r>
          <w:rPr>
            <w:noProof/>
            <w:webHidden/>
          </w:rPr>
          <w:fldChar w:fldCharType="separate"/>
        </w:r>
        <w:r>
          <w:rPr>
            <w:noProof/>
            <w:webHidden/>
          </w:rPr>
          <w:t>7</w:t>
        </w:r>
        <w:r>
          <w:rPr>
            <w:noProof/>
            <w:webHidden/>
          </w:rPr>
          <w:fldChar w:fldCharType="end"/>
        </w:r>
      </w:hyperlink>
    </w:p>
    <w:p w14:paraId="33B2A477" w14:textId="7E855CB7" w:rsidR="00147FB2" w:rsidRDefault="00147FB2">
      <w:pPr>
        <w:pStyle w:val="TOC2"/>
        <w:tabs>
          <w:tab w:val="right" w:leader="dot" w:pos="9622"/>
        </w:tabs>
        <w:rPr>
          <w:rFonts w:asciiTheme="minorHAnsi" w:hAnsiTheme="minorHAnsi"/>
          <w:noProof/>
          <w:szCs w:val="22"/>
          <w:lang w:eastAsia="en-AU"/>
        </w:rPr>
      </w:pPr>
      <w:hyperlink w:anchor="_Toc84511967" w:history="1">
        <w:r w:rsidRPr="001B7283">
          <w:rPr>
            <w:rStyle w:val="Hyperlink"/>
            <w:noProof/>
          </w:rPr>
          <w:t>Guiding principles</w:t>
        </w:r>
        <w:r>
          <w:rPr>
            <w:noProof/>
            <w:webHidden/>
          </w:rPr>
          <w:tab/>
        </w:r>
        <w:r>
          <w:rPr>
            <w:noProof/>
            <w:webHidden/>
          </w:rPr>
          <w:fldChar w:fldCharType="begin"/>
        </w:r>
        <w:r>
          <w:rPr>
            <w:noProof/>
            <w:webHidden/>
          </w:rPr>
          <w:instrText xml:space="preserve"> PAGEREF _Toc84511967 \h </w:instrText>
        </w:r>
        <w:r>
          <w:rPr>
            <w:noProof/>
            <w:webHidden/>
          </w:rPr>
        </w:r>
        <w:r>
          <w:rPr>
            <w:noProof/>
            <w:webHidden/>
          </w:rPr>
          <w:fldChar w:fldCharType="separate"/>
        </w:r>
        <w:r>
          <w:rPr>
            <w:noProof/>
            <w:webHidden/>
          </w:rPr>
          <w:t>7</w:t>
        </w:r>
        <w:r>
          <w:rPr>
            <w:noProof/>
            <w:webHidden/>
          </w:rPr>
          <w:fldChar w:fldCharType="end"/>
        </w:r>
      </w:hyperlink>
    </w:p>
    <w:p w14:paraId="675C36A1" w14:textId="68202819" w:rsidR="00147FB2" w:rsidRDefault="00147FB2">
      <w:pPr>
        <w:pStyle w:val="TOC2"/>
        <w:tabs>
          <w:tab w:val="right" w:leader="dot" w:pos="9622"/>
        </w:tabs>
        <w:rPr>
          <w:rFonts w:asciiTheme="minorHAnsi" w:hAnsiTheme="minorHAnsi"/>
          <w:noProof/>
          <w:szCs w:val="22"/>
          <w:lang w:eastAsia="en-AU"/>
        </w:rPr>
      </w:pPr>
      <w:hyperlink w:anchor="_Toc84511968" w:history="1">
        <w:r w:rsidRPr="001B7283">
          <w:rPr>
            <w:rStyle w:val="Hyperlink"/>
            <w:noProof/>
          </w:rPr>
          <w:t>Short-term alignment</w:t>
        </w:r>
        <w:r>
          <w:rPr>
            <w:noProof/>
            <w:webHidden/>
          </w:rPr>
          <w:tab/>
        </w:r>
        <w:r>
          <w:rPr>
            <w:noProof/>
            <w:webHidden/>
          </w:rPr>
          <w:fldChar w:fldCharType="begin"/>
        </w:r>
        <w:r>
          <w:rPr>
            <w:noProof/>
            <w:webHidden/>
          </w:rPr>
          <w:instrText xml:space="preserve"> PAGEREF _Toc84511968 \h </w:instrText>
        </w:r>
        <w:r>
          <w:rPr>
            <w:noProof/>
            <w:webHidden/>
          </w:rPr>
        </w:r>
        <w:r>
          <w:rPr>
            <w:noProof/>
            <w:webHidden/>
          </w:rPr>
          <w:fldChar w:fldCharType="separate"/>
        </w:r>
        <w:r>
          <w:rPr>
            <w:noProof/>
            <w:webHidden/>
          </w:rPr>
          <w:t>7</w:t>
        </w:r>
        <w:r>
          <w:rPr>
            <w:noProof/>
            <w:webHidden/>
          </w:rPr>
          <w:fldChar w:fldCharType="end"/>
        </w:r>
      </w:hyperlink>
    </w:p>
    <w:p w14:paraId="57A8B0AE" w14:textId="7AB5652A" w:rsidR="00147FB2" w:rsidRDefault="00147FB2">
      <w:pPr>
        <w:pStyle w:val="TOC2"/>
        <w:tabs>
          <w:tab w:val="right" w:leader="dot" w:pos="9622"/>
        </w:tabs>
        <w:rPr>
          <w:rFonts w:asciiTheme="minorHAnsi" w:hAnsiTheme="minorHAnsi"/>
          <w:noProof/>
          <w:szCs w:val="22"/>
          <w:lang w:eastAsia="en-AU"/>
        </w:rPr>
      </w:pPr>
      <w:hyperlink w:anchor="_Toc84511969" w:history="1">
        <w:r w:rsidRPr="001B7283">
          <w:rPr>
            <w:rStyle w:val="Hyperlink"/>
            <w:noProof/>
          </w:rPr>
          <w:t>Roadmap for medium to long term alignment</w:t>
        </w:r>
        <w:r>
          <w:rPr>
            <w:noProof/>
            <w:webHidden/>
          </w:rPr>
          <w:tab/>
        </w:r>
        <w:r>
          <w:rPr>
            <w:noProof/>
            <w:webHidden/>
          </w:rPr>
          <w:fldChar w:fldCharType="begin"/>
        </w:r>
        <w:r>
          <w:rPr>
            <w:noProof/>
            <w:webHidden/>
          </w:rPr>
          <w:instrText xml:space="preserve"> PAGEREF _Toc84511969 \h </w:instrText>
        </w:r>
        <w:r>
          <w:rPr>
            <w:noProof/>
            <w:webHidden/>
          </w:rPr>
        </w:r>
        <w:r>
          <w:rPr>
            <w:noProof/>
            <w:webHidden/>
          </w:rPr>
          <w:fldChar w:fldCharType="separate"/>
        </w:r>
        <w:r>
          <w:rPr>
            <w:noProof/>
            <w:webHidden/>
          </w:rPr>
          <w:t>8</w:t>
        </w:r>
        <w:r>
          <w:rPr>
            <w:noProof/>
            <w:webHidden/>
          </w:rPr>
          <w:fldChar w:fldCharType="end"/>
        </w:r>
      </w:hyperlink>
    </w:p>
    <w:p w14:paraId="7D8ED627" w14:textId="17FC2E4F" w:rsidR="00147FB2" w:rsidRDefault="00147FB2">
      <w:pPr>
        <w:pStyle w:val="TOC2"/>
        <w:tabs>
          <w:tab w:val="right" w:leader="dot" w:pos="9622"/>
        </w:tabs>
        <w:rPr>
          <w:rFonts w:asciiTheme="minorHAnsi" w:hAnsiTheme="minorHAnsi"/>
          <w:noProof/>
          <w:szCs w:val="22"/>
          <w:lang w:eastAsia="en-AU"/>
        </w:rPr>
      </w:pPr>
      <w:hyperlink w:anchor="_Toc84511970" w:history="1">
        <w:r w:rsidRPr="001B7283">
          <w:rPr>
            <w:rStyle w:val="Hyperlink"/>
            <w:noProof/>
          </w:rPr>
          <w:t>Related regulatory reform projects</w:t>
        </w:r>
        <w:r>
          <w:rPr>
            <w:noProof/>
            <w:webHidden/>
          </w:rPr>
          <w:tab/>
        </w:r>
        <w:r>
          <w:rPr>
            <w:noProof/>
            <w:webHidden/>
          </w:rPr>
          <w:fldChar w:fldCharType="begin"/>
        </w:r>
        <w:r>
          <w:rPr>
            <w:noProof/>
            <w:webHidden/>
          </w:rPr>
          <w:instrText xml:space="preserve"> PAGEREF _Toc84511970 \h </w:instrText>
        </w:r>
        <w:r>
          <w:rPr>
            <w:noProof/>
            <w:webHidden/>
          </w:rPr>
        </w:r>
        <w:r>
          <w:rPr>
            <w:noProof/>
            <w:webHidden/>
          </w:rPr>
          <w:fldChar w:fldCharType="separate"/>
        </w:r>
        <w:r>
          <w:rPr>
            <w:noProof/>
            <w:webHidden/>
          </w:rPr>
          <w:t>8</w:t>
        </w:r>
        <w:r>
          <w:rPr>
            <w:noProof/>
            <w:webHidden/>
          </w:rPr>
          <w:fldChar w:fldCharType="end"/>
        </w:r>
      </w:hyperlink>
    </w:p>
    <w:p w14:paraId="6BBA994A" w14:textId="31E26585" w:rsidR="00147FB2" w:rsidRDefault="00147FB2">
      <w:pPr>
        <w:pStyle w:val="TOC3"/>
        <w:tabs>
          <w:tab w:val="right" w:leader="dot" w:pos="9622"/>
        </w:tabs>
        <w:rPr>
          <w:rFonts w:asciiTheme="minorHAnsi" w:hAnsiTheme="minorHAnsi"/>
          <w:noProof/>
          <w:szCs w:val="22"/>
          <w:lang w:eastAsia="en-AU"/>
        </w:rPr>
      </w:pPr>
      <w:hyperlink w:anchor="_Toc84511971" w:history="1">
        <w:r w:rsidRPr="001B7283">
          <w:rPr>
            <w:rStyle w:val="Hyperlink"/>
            <w:noProof/>
          </w:rPr>
          <w:t>Aged care reforms and reviews</w:t>
        </w:r>
        <w:r>
          <w:rPr>
            <w:noProof/>
            <w:webHidden/>
          </w:rPr>
          <w:tab/>
        </w:r>
        <w:r>
          <w:rPr>
            <w:noProof/>
            <w:webHidden/>
          </w:rPr>
          <w:fldChar w:fldCharType="begin"/>
        </w:r>
        <w:r>
          <w:rPr>
            <w:noProof/>
            <w:webHidden/>
          </w:rPr>
          <w:instrText xml:space="preserve"> PAGEREF _Toc84511971 \h </w:instrText>
        </w:r>
        <w:r>
          <w:rPr>
            <w:noProof/>
            <w:webHidden/>
          </w:rPr>
        </w:r>
        <w:r>
          <w:rPr>
            <w:noProof/>
            <w:webHidden/>
          </w:rPr>
          <w:fldChar w:fldCharType="separate"/>
        </w:r>
        <w:r>
          <w:rPr>
            <w:noProof/>
            <w:webHidden/>
          </w:rPr>
          <w:t>9</w:t>
        </w:r>
        <w:r>
          <w:rPr>
            <w:noProof/>
            <w:webHidden/>
          </w:rPr>
          <w:fldChar w:fldCharType="end"/>
        </w:r>
      </w:hyperlink>
    </w:p>
    <w:p w14:paraId="7097A749" w14:textId="3B8B9433" w:rsidR="00147FB2" w:rsidRDefault="00147FB2">
      <w:pPr>
        <w:pStyle w:val="TOC3"/>
        <w:tabs>
          <w:tab w:val="right" w:leader="dot" w:pos="9622"/>
        </w:tabs>
        <w:rPr>
          <w:rFonts w:asciiTheme="minorHAnsi" w:hAnsiTheme="minorHAnsi"/>
          <w:noProof/>
          <w:szCs w:val="22"/>
          <w:lang w:eastAsia="en-AU"/>
        </w:rPr>
      </w:pPr>
      <w:hyperlink w:anchor="_Toc84511972" w:history="1">
        <w:r w:rsidRPr="001B7283">
          <w:rPr>
            <w:rStyle w:val="Hyperlink"/>
            <w:noProof/>
          </w:rPr>
          <w:t>NDIS reforms and reviews</w:t>
        </w:r>
        <w:r>
          <w:rPr>
            <w:noProof/>
            <w:webHidden/>
          </w:rPr>
          <w:tab/>
        </w:r>
        <w:r>
          <w:rPr>
            <w:noProof/>
            <w:webHidden/>
          </w:rPr>
          <w:fldChar w:fldCharType="begin"/>
        </w:r>
        <w:r>
          <w:rPr>
            <w:noProof/>
            <w:webHidden/>
          </w:rPr>
          <w:instrText xml:space="preserve"> PAGEREF _Toc84511972 \h </w:instrText>
        </w:r>
        <w:r>
          <w:rPr>
            <w:noProof/>
            <w:webHidden/>
          </w:rPr>
        </w:r>
        <w:r>
          <w:rPr>
            <w:noProof/>
            <w:webHidden/>
          </w:rPr>
          <w:fldChar w:fldCharType="separate"/>
        </w:r>
        <w:r>
          <w:rPr>
            <w:noProof/>
            <w:webHidden/>
          </w:rPr>
          <w:t>9</w:t>
        </w:r>
        <w:r>
          <w:rPr>
            <w:noProof/>
            <w:webHidden/>
          </w:rPr>
          <w:fldChar w:fldCharType="end"/>
        </w:r>
      </w:hyperlink>
    </w:p>
    <w:p w14:paraId="04F9A205" w14:textId="794EBD45" w:rsidR="00147FB2" w:rsidRDefault="00147FB2">
      <w:pPr>
        <w:pStyle w:val="TOC3"/>
        <w:tabs>
          <w:tab w:val="right" w:leader="dot" w:pos="9622"/>
        </w:tabs>
        <w:rPr>
          <w:rFonts w:asciiTheme="minorHAnsi" w:hAnsiTheme="minorHAnsi"/>
          <w:noProof/>
          <w:szCs w:val="22"/>
          <w:lang w:eastAsia="en-AU"/>
        </w:rPr>
      </w:pPr>
      <w:hyperlink w:anchor="_Toc84511973" w:history="1">
        <w:r w:rsidRPr="001B7283">
          <w:rPr>
            <w:rStyle w:val="Hyperlink"/>
            <w:noProof/>
          </w:rPr>
          <w:t>Veterans’ care reforms and reviews</w:t>
        </w:r>
        <w:r>
          <w:rPr>
            <w:noProof/>
            <w:webHidden/>
          </w:rPr>
          <w:tab/>
        </w:r>
        <w:r>
          <w:rPr>
            <w:noProof/>
            <w:webHidden/>
          </w:rPr>
          <w:fldChar w:fldCharType="begin"/>
        </w:r>
        <w:r>
          <w:rPr>
            <w:noProof/>
            <w:webHidden/>
          </w:rPr>
          <w:instrText xml:space="preserve"> PAGEREF _Toc84511973 \h </w:instrText>
        </w:r>
        <w:r>
          <w:rPr>
            <w:noProof/>
            <w:webHidden/>
          </w:rPr>
        </w:r>
        <w:r>
          <w:rPr>
            <w:noProof/>
            <w:webHidden/>
          </w:rPr>
          <w:fldChar w:fldCharType="separate"/>
        </w:r>
        <w:r>
          <w:rPr>
            <w:noProof/>
            <w:webHidden/>
          </w:rPr>
          <w:t>10</w:t>
        </w:r>
        <w:r>
          <w:rPr>
            <w:noProof/>
            <w:webHidden/>
          </w:rPr>
          <w:fldChar w:fldCharType="end"/>
        </w:r>
      </w:hyperlink>
    </w:p>
    <w:p w14:paraId="77C94F16" w14:textId="318F6AAF" w:rsidR="00147FB2" w:rsidRDefault="00147FB2">
      <w:pPr>
        <w:pStyle w:val="TOC1"/>
        <w:tabs>
          <w:tab w:val="right" w:leader="dot" w:pos="9622"/>
        </w:tabs>
        <w:rPr>
          <w:rFonts w:asciiTheme="minorHAnsi" w:hAnsiTheme="minorHAnsi"/>
          <w:noProof/>
          <w:szCs w:val="22"/>
          <w:lang w:eastAsia="en-AU"/>
        </w:rPr>
      </w:pPr>
      <w:hyperlink w:anchor="_Toc84511974" w:history="1">
        <w:r w:rsidRPr="001B7283">
          <w:rPr>
            <w:rStyle w:val="Hyperlink"/>
            <w:noProof/>
          </w:rPr>
          <w:t>Engaging on a future state</w:t>
        </w:r>
        <w:r>
          <w:rPr>
            <w:noProof/>
            <w:webHidden/>
          </w:rPr>
          <w:tab/>
        </w:r>
        <w:r>
          <w:rPr>
            <w:noProof/>
            <w:webHidden/>
          </w:rPr>
          <w:fldChar w:fldCharType="begin"/>
        </w:r>
        <w:r>
          <w:rPr>
            <w:noProof/>
            <w:webHidden/>
          </w:rPr>
          <w:instrText xml:space="preserve"> PAGEREF _Toc84511974 \h </w:instrText>
        </w:r>
        <w:r>
          <w:rPr>
            <w:noProof/>
            <w:webHidden/>
          </w:rPr>
        </w:r>
        <w:r>
          <w:rPr>
            <w:noProof/>
            <w:webHidden/>
          </w:rPr>
          <w:fldChar w:fldCharType="separate"/>
        </w:r>
        <w:r>
          <w:rPr>
            <w:noProof/>
            <w:webHidden/>
          </w:rPr>
          <w:t>11</w:t>
        </w:r>
        <w:r>
          <w:rPr>
            <w:noProof/>
            <w:webHidden/>
          </w:rPr>
          <w:fldChar w:fldCharType="end"/>
        </w:r>
      </w:hyperlink>
    </w:p>
    <w:p w14:paraId="00EC04D1" w14:textId="3A82FBF5" w:rsidR="00147FB2" w:rsidRDefault="00147FB2">
      <w:pPr>
        <w:pStyle w:val="TOC2"/>
        <w:tabs>
          <w:tab w:val="right" w:leader="dot" w:pos="9622"/>
        </w:tabs>
        <w:rPr>
          <w:rFonts w:asciiTheme="minorHAnsi" w:hAnsiTheme="minorHAnsi"/>
          <w:noProof/>
          <w:szCs w:val="22"/>
          <w:lang w:eastAsia="en-AU"/>
        </w:rPr>
      </w:pPr>
      <w:hyperlink w:anchor="_Toc84511975" w:history="1">
        <w:r w:rsidRPr="001B7283">
          <w:rPr>
            <w:rStyle w:val="Hyperlink"/>
            <w:noProof/>
          </w:rPr>
          <w:t>The approach to consultation and engagement</w:t>
        </w:r>
        <w:r>
          <w:rPr>
            <w:noProof/>
            <w:webHidden/>
          </w:rPr>
          <w:tab/>
        </w:r>
        <w:r>
          <w:rPr>
            <w:noProof/>
            <w:webHidden/>
          </w:rPr>
          <w:fldChar w:fldCharType="begin"/>
        </w:r>
        <w:r>
          <w:rPr>
            <w:noProof/>
            <w:webHidden/>
          </w:rPr>
          <w:instrText xml:space="preserve"> PAGEREF _Toc84511975 \h </w:instrText>
        </w:r>
        <w:r>
          <w:rPr>
            <w:noProof/>
            <w:webHidden/>
          </w:rPr>
        </w:r>
        <w:r>
          <w:rPr>
            <w:noProof/>
            <w:webHidden/>
          </w:rPr>
          <w:fldChar w:fldCharType="separate"/>
        </w:r>
        <w:r>
          <w:rPr>
            <w:noProof/>
            <w:webHidden/>
          </w:rPr>
          <w:t>11</w:t>
        </w:r>
        <w:r>
          <w:rPr>
            <w:noProof/>
            <w:webHidden/>
          </w:rPr>
          <w:fldChar w:fldCharType="end"/>
        </w:r>
      </w:hyperlink>
    </w:p>
    <w:p w14:paraId="79818948" w14:textId="39306063" w:rsidR="00147FB2" w:rsidRDefault="00147FB2">
      <w:pPr>
        <w:pStyle w:val="TOC1"/>
        <w:tabs>
          <w:tab w:val="right" w:leader="dot" w:pos="9622"/>
        </w:tabs>
        <w:rPr>
          <w:rFonts w:asciiTheme="minorHAnsi" w:hAnsiTheme="minorHAnsi"/>
          <w:noProof/>
          <w:szCs w:val="22"/>
          <w:lang w:eastAsia="en-AU"/>
        </w:rPr>
      </w:pPr>
      <w:hyperlink w:anchor="_Toc84511976" w:history="1">
        <w:r w:rsidRPr="001B7283">
          <w:rPr>
            <w:rStyle w:val="Hyperlink"/>
            <w:noProof/>
          </w:rPr>
          <w:t>Next steps</w:t>
        </w:r>
        <w:r>
          <w:rPr>
            <w:noProof/>
            <w:webHidden/>
          </w:rPr>
          <w:tab/>
        </w:r>
        <w:r>
          <w:rPr>
            <w:noProof/>
            <w:webHidden/>
          </w:rPr>
          <w:fldChar w:fldCharType="begin"/>
        </w:r>
        <w:r>
          <w:rPr>
            <w:noProof/>
            <w:webHidden/>
          </w:rPr>
          <w:instrText xml:space="preserve"> PAGEREF _Toc84511976 \h </w:instrText>
        </w:r>
        <w:r>
          <w:rPr>
            <w:noProof/>
            <w:webHidden/>
          </w:rPr>
        </w:r>
        <w:r>
          <w:rPr>
            <w:noProof/>
            <w:webHidden/>
          </w:rPr>
          <w:fldChar w:fldCharType="separate"/>
        </w:r>
        <w:r>
          <w:rPr>
            <w:noProof/>
            <w:webHidden/>
          </w:rPr>
          <w:t>12</w:t>
        </w:r>
        <w:r>
          <w:rPr>
            <w:noProof/>
            <w:webHidden/>
          </w:rPr>
          <w:fldChar w:fldCharType="end"/>
        </w:r>
      </w:hyperlink>
    </w:p>
    <w:p w14:paraId="797C9AAC" w14:textId="47EECB7D" w:rsidR="00147FB2" w:rsidRDefault="00147FB2">
      <w:pPr>
        <w:pStyle w:val="TOC2"/>
        <w:tabs>
          <w:tab w:val="right" w:leader="dot" w:pos="9622"/>
        </w:tabs>
        <w:rPr>
          <w:rFonts w:asciiTheme="minorHAnsi" w:hAnsiTheme="minorHAnsi"/>
          <w:noProof/>
          <w:szCs w:val="22"/>
          <w:lang w:eastAsia="en-AU"/>
        </w:rPr>
      </w:pPr>
      <w:hyperlink w:anchor="_Toc84511977" w:history="1">
        <w:r w:rsidRPr="001B7283">
          <w:rPr>
            <w:rStyle w:val="Hyperlink"/>
            <w:noProof/>
          </w:rPr>
          <w:t>Contact us</w:t>
        </w:r>
        <w:r>
          <w:rPr>
            <w:noProof/>
            <w:webHidden/>
          </w:rPr>
          <w:tab/>
        </w:r>
        <w:r>
          <w:rPr>
            <w:noProof/>
            <w:webHidden/>
          </w:rPr>
          <w:fldChar w:fldCharType="begin"/>
        </w:r>
        <w:r>
          <w:rPr>
            <w:noProof/>
            <w:webHidden/>
          </w:rPr>
          <w:instrText xml:space="preserve"> PAGEREF _Toc84511977 \h </w:instrText>
        </w:r>
        <w:r>
          <w:rPr>
            <w:noProof/>
            <w:webHidden/>
          </w:rPr>
        </w:r>
        <w:r>
          <w:rPr>
            <w:noProof/>
            <w:webHidden/>
          </w:rPr>
          <w:fldChar w:fldCharType="separate"/>
        </w:r>
        <w:r>
          <w:rPr>
            <w:noProof/>
            <w:webHidden/>
          </w:rPr>
          <w:t>12</w:t>
        </w:r>
        <w:r>
          <w:rPr>
            <w:noProof/>
            <w:webHidden/>
          </w:rPr>
          <w:fldChar w:fldCharType="end"/>
        </w:r>
      </w:hyperlink>
    </w:p>
    <w:p w14:paraId="25CB99DC" w14:textId="3C46A61B" w:rsidR="007165FF" w:rsidRDefault="00684B72" w:rsidP="00684B72">
      <w:pPr>
        <w:spacing w:after="0" w:line="240" w:lineRule="auto"/>
      </w:pPr>
      <w:r>
        <w:rPr>
          <w:lang w:val="en-US"/>
        </w:rPr>
        <w:fldChar w:fldCharType="end"/>
      </w:r>
      <w:r w:rsidR="007165FF">
        <w:br w:type="page"/>
      </w:r>
    </w:p>
    <w:p w14:paraId="23D35B0C" w14:textId="78078BC0" w:rsidR="007165FF" w:rsidRDefault="007165FF" w:rsidP="007165FF">
      <w:pPr>
        <w:pStyle w:val="Heading1"/>
        <w:rPr>
          <w:lang w:val="en-US"/>
        </w:rPr>
      </w:pPr>
      <w:bookmarkStart w:id="3" w:name="_Toc84511958"/>
      <w:r w:rsidRPr="007165FF">
        <w:rPr>
          <w:lang w:val="en-US"/>
        </w:rPr>
        <w:lastRenderedPageBreak/>
        <w:t>Introduction</w:t>
      </w:r>
      <w:bookmarkEnd w:id="3"/>
    </w:p>
    <w:p w14:paraId="1ECADED8" w14:textId="7602688C" w:rsidR="009603F4" w:rsidRDefault="009603F4" w:rsidP="00EB623A">
      <w:pPr>
        <w:pStyle w:val="BodyText"/>
      </w:pPr>
      <w:r>
        <w:t>In the 2021–22 Budget the Australian Government committed to align</w:t>
      </w:r>
      <w:r>
        <w:rPr>
          <w:spacing w:val="1"/>
        </w:rPr>
        <w:t xml:space="preserve"> </w:t>
      </w:r>
      <w:r>
        <w:t>regulation of Commonwealth-funded care and support to improve</w:t>
      </w:r>
      <w:r>
        <w:rPr>
          <w:spacing w:val="1"/>
        </w:rPr>
        <w:t xml:space="preserve"> </w:t>
      </w:r>
      <w:r>
        <w:t>protections</w:t>
      </w:r>
      <w:r>
        <w:rPr>
          <w:spacing w:val="3"/>
        </w:rPr>
        <w:t xml:space="preserve"> </w:t>
      </w:r>
      <w:r>
        <w:t>and</w:t>
      </w:r>
      <w:r>
        <w:rPr>
          <w:spacing w:val="4"/>
        </w:rPr>
        <w:t xml:space="preserve"> </w:t>
      </w:r>
      <w:r>
        <w:t>ensure</w:t>
      </w:r>
      <w:r>
        <w:rPr>
          <w:spacing w:val="3"/>
        </w:rPr>
        <w:t xml:space="preserve"> </w:t>
      </w:r>
      <w:r>
        <w:t>consistent</w:t>
      </w:r>
      <w:r>
        <w:rPr>
          <w:spacing w:val="4"/>
        </w:rPr>
        <w:t xml:space="preserve"> </w:t>
      </w:r>
      <w:r>
        <w:t>quality</w:t>
      </w:r>
      <w:r>
        <w:rPr>
          <w:spacing w:val="4"/>
        </w:rPr>
        <w:t xml:space="preserve"> </w:t>
      </w:r>
      <w:r>
        <w:t>and</w:t>
      </w:r>
      <w:r>
        <w:rPr>
          <w:spacing w:val="3"/>
        </w:rPr>
        <w:t xml:space="preserve"> </w:t>
      </w:r>
      <w:r>
        <w:t>safety</w:t>
      </w:r>
      <w:r>
        <w:rPr>
          <w:spacing w:val="4"/>
        </w:rPr>
        <w:t xml:space="preserve"> </w:t>
      </w:r>
      <w:r>
        <w:t>for</w:t>
      </w:r>
      <w:r>
        <w:rPr>
          <w:spacing w:val="4"/>
        </w:rPr>
        <w:t xml:space="preserve"> </w:t>
      </w:r>
      <w:r>
        <w:t>participants</w:t>
      </w:r>
      <w:r>
        <w:rPr>
          <w:spacing w:val="3"/>
        </w:rPr>
        <w:t xml:space="preserve"> </w:t>
      </w:r>
      <w:r>
        <w:t>and</w:t>
      </w:r>
      <w:r>
        <w:rPr>
          <w:spacing w:val="1"/>
        </w:rPr>
        <w:t xml:space="preserve"> </w:t>
      </w:r>
      <w:r>
        <w:t>consumers.</w:t>
      </w:r>
      <w:r>
        <w:rPr>
          <w:spacing w:val="3"/>
        </w:rPr>
        <w:t xml:space="preserve"> </w:t>
      </w:r>
      <w:r>
        <w:t>This</w:t>
      </w:r>
      <w:r>
        <w:rPr>
          <w:spacing w:val="4"/>
        </w:rPr>
        <w:t xml:space="preserve"> </w:t>
      </w:r>
      <w:r>
        <w:t>commitment</w:t>
      </w:r>
      <w:r>
        <w:rPr>
          <w:spacing w:val="4"/>
        </w:rPr>
        <w:t xml:space="preserve"> </w:t>
      </w:r>
      <w:r>
        <w:t>was</w:t>
      </w:r>
      <w:r>
        <w:rPr>
          <w:spacing w:val="4"/>
        </w:rPr>
        <w:t xml:space="preserve"> </w:t>
      </w:r>
      <w:r>
        <w:t>in</w:t>
      </w:r>
      <w:r>
        <w:rPr>
          <w:spacing w:val="4"/>
        </w:rPr>
        <w:t xml:space="preserve"> </w:t>
      </w:r>
      <w:r>
        <w:t>addition</w:t>
      </w:r>
      <w:r>
        <w:rPr>
          <w:spacing w:val="3"/>
        </w:rPr>
        <w:t xml:space="preserve"> </w:t>
      </w:r>
      <w:r>
        <w:t>to</w:t>
      </w:r>
      <w:r>
        <w:rPr>
          <w:spacing w:val="4"/>
        </w:rPr>
        <w:t xml:space="preserve"> </w:t>
      </w:r>
      <w:r>
        <w:t>a</w:t>
      </w:r>
      <w:r>
        <w:rPr>
          <w:spacing w:val="4"/>
        </w:rPr>
        <w:t xml:space="preserve"> </w:t>
      </w:r>
      <w:r>
        <w:t>range</w:t>
      </w:r>
      <w:r>
        <w:rPr>
          <w:spacing w:val="4"/>
        </w:rPr>
        <w:t xml:space="preserve"> </w:t>
      </w:r>
      <w:r>
        <w:t>of</w:t>
      </w:r>
      <w:r>
        <w:rPr>
          <w:spacing w:val="4"/>
        </w:rPr>
        <w:t xml:space="preserve"> </w:t>
      </w:r>
      <w:r>
        <w:t xml:space="preserve">comprehensive </w:t>
      </w:r>
      <w:r>
        <w:rPr>
          <w:spacing w:val="-58"/>
        </w:rPr>
        <w:t xml:space="preserve"> </w:t>
      </w:r>
      <w:r>
        <w:rPr>
          <w:w w:val="105"/>
        </w:rPr>
        <w:t>reforms</w:t>
      </w:r>
      <w:r>
        <w:rPr>
          <w:spacing w:val="-16"/>
          <w:w w:val="105"/>
        </w:rPr>
        <w:t xml:space="preserve"> </w:t>
      </w:r>
      <w:r>
        <w:rPr>
          <w:w w:val="105"/>
        </w:rPr>
        <w:t>to</w:t>
      </w:r>
      <w:r>
        <w:rPr>
          <w:spacing w:val="-15"/>
          <w:w w:val="105"/>
        </w:rPr>
        <w:t xml:space="preserve"> </w:t>
      </w:r>
      <w:r>
        <w:rPr>
          <w:w w:val="105"/>
        </w:rPr>
        <w:t>aged</w:t>
      </w:r>
      <w:r>
        <w:rPr>
          <w:spacing w:val="-15"/>
          <w:w w:val="105"/>
        </w:rPr>
        <w:t xml:space="preserve"> </w:t>
      </w:r>
      <w:r>
        <w:rPr>
          <w:w w:val="105"/>
        </w:rPr>
        <w:t>care.</w:t>
      </w:r>
    </w:p>
    <w:p w14:paraId="67D3C880" w14:textId="3B8FD45A" w:rsidR="009603F4" w:rsidRDefault="009603F4" w:rsidP="00EB623A">
      <w:pPr>
        <w:pStyle w:val="BodyText"/>
      </w:pPr>
      <w:r>
        <w:t>Bringing</w:t>
      </w:r>
      <w:r>
        <w:rPr>
          <w:spacing w:val="6"/>
        </w:rPr>
        <w:t xml:space="preserve"> </w:t>
      </w:r>
      <w:r>
        <w:t>different</w:t>
      </w:r>
      <w:r>
        <w:rPr>
          <w:spacing w:val="6"/>
        </w:rPr>
        <w:t xml:space="preserve"> </w:t>
      </w:r>
      <w:r>
        <w:t>regulations</w:t>
      </w:r>
      <w:r>
        <w:rPr>
          <w:spacing w:val="6"/>
        </w:rPr>
        <w:t xml:space="preserve"> </w:t>
      </w:r>
      <w:r>
        <w:t>into</w:t>
      </w:r>
      <w:r>
        <w:rPr>
          <w:spacing w:val="6"/>
        </w:rPr>
        <w:t xml:space="preserve"> </w:t>
      </w:r>
      <w:r>
        <w:t>line</w:t>
      </w:r>
      <w:r>
        <w:rPr>
          <w:spacing w:val="7"/>
        </w:rPr>
        <w:t xml:space="preserve"> </w:t>
      </w:r>
      <w:r>
        <w:t>with</w:t>
      </w:r>
      <w:r>
        <w:rPr>
          <w:spacing w:val="6"/>
        </w:rPr>
        <w:t xml:space="preserve"> </w:t>
      </w:r>
      <w:r>
        <w:t>one</w:t>
      </w:r>
      <w:r>
        <w:rPr>
          <w:spacing w:val="6"/>
        </w:rPr>
        <w:t xml:space="preserve"> </w:t>
      </w:r>
      <w:r>
        <w:t>another</w:t>
      </w:r>
      <w:r>
        <w:rPr>
          <w:spacing w:val="6"/>
        </w:rPr>
        <w:t xml:space="preserve"> </w:t>
      </w:r>
      <w:r>
        <w:t>will</w:t>
      </w:r>
      <w:r>
        <w:rPr>
          <w:spacing w:val="7"/>
        </w:rPr>
        <w:t xml:space="preserve"> </w:t>
      </w:r>
      <w:r>
        <w:t>make</w:t>
      </w:r>
      <w:r>
        <w:rPr>
          <w:spacing w:val="6"/>
        </w:rPr>
        <w:t xml:space="preserve"> </w:t>
      </w:r>
      <w:r>
        <w:t>it</w:t>
      </w:r>
      <w:r>
        <w:rPr>
          <w:spacing w:val="6"/>
        </w:rPr>
        <w:t xml:space="preserve"> </w:t>
      </w:r>
      <w:r>
        <w:t>easier</w:t>
      </w:r>
      <w:r>
        <w:rPr>
          <w:spacing w:val="6"/>
        </w:rPr>
        <w:t xml:space="preserve"> </w:t>
      </w:r>
      <w:r>
        <w:t xml:space="preserve">for </w:t>
      </w:r>
      <w:r>
        <w:rPr>
          <w:spacing w:val="-58"/>
        </w:rPr>
        <w:t xml:space="preserve"> </w:t>
      </w:r>
      <w:r>
        <w:t>service providers and workers to deliver care and supports across the aged</w:t>
      </w:r>
      <w:r>
        <w:rPr>
          <w:spacing w:val="1"/>
        </w:rPr>
        <w:t xml:space="preserve"> </w:t>
      </w:r>
      <w:r>
        <w:t>care,</w:t>
      </w:r>
      <w:r>
        <w:rPr>
          <w:spacing w:val="-12"/>
        </w:rPr>
        <w:t xml:space="preserve"> </w:t>
      </w:r>
      <w:r>
        <w:t>disability</w:t>
      </w:r>
      <w:r>
        <w:rPr>
          <w:spacing w:val="-11"/>
        </w:rPr>
        <w:t xml:space="preserve"> </w:t>
      </w:r>
      <w:r w:rsidR="00EE1766">
        <w:rPr>
          <w:spacing w:val="-11"/>
        </w:rPr>
        <w:t xml:space="preserve">support </w:t>
      </w:r>
      <w:r>
        <w:t>and</w:t>
      </w:r>
      <w:r>
        <w:rPr>
          <w:spacing w:val="-11"/>
        </w:rPr>
        <w:t xml:space="preserve"> </w:t>
      </w:r>
      <w:r>
        <w:t>veterans’</w:t>
      </w:r>
      <w:r>
        <w:rPr>
          <w:spacing w:val="-11"/>
        </w:rPr>
        <w:t xml:space="preserve"> </w:t>
      </w:r>
      <w:r>
        <w:t>care</w:t>
      </w:r>
      <w:r>
        <w:rPr>
          <w:spacing w:val="-12"/>
        </w:rPr>
        <w:t xml:space="preserve"> </w:t>
      </w:r>
      <w:r>
        <w:t>sectors.</w:t>
      </w:r>
    </w:p>
    <w:p w14:paraId="42BFD401" w14:textId="77777777" w:rsidR="009603F4" w:rsidRDefault="009603F4" w:rsidP="00EB623A">
      <w:pPr>
        <w:pStyle w:val="BodyText"/>
      </w:pPr>
      <w:r>
        <w:t>For consumers and participants, this means care and support will:</w:t>
      </w:r>
    </w:p>
    <w:p w14:paraId="54350DB8" w14:textId="77777777" w:rsidR="009603F4" w:rsidRDefault="009603F4" w:rsidP="009603F4">
      <w:pPr>
        <w:pStyle w:val="ListParagraph"/>
        <w:numPr>
          <w:ilvl w:val="0"/>
          <w:numId w:val="21"/>
        </w:numPr>
      </w:pPr>
      <w:r>
        <w:t>uphold</w:t>
      </w:r>
      <w:r w:rsidRPr="009603F4">
        <w:rPr>
          <w:spacing w:val="6"/>
        </w:rPr>
        <w:t xml:space="preserve"> </w:t>
      </w:r>
      <w:r>
        <w:t>and</w:t>
      </w:r>
      <w:r w:rsidRPr="009603F4">
        <w:rPr>
          <w:spacing w:val="7"/>
        </w:rPr>
        <w:t xml:space="preserve"> </w:t>
      </w:r>
      <w:r>
        <w:t>respect</w:t>
      </w:r>
      <w:r w:rsidRPr="009603F4">
        <w:rPr>
          <w:spacing w:val="7"/>
        </w:rPr>
        <w:t xml:space="preserve"> </w:t>
      </w:r>
      <w:r>
        <w:t>their</w:t>
      </w:r>
      <w:r w:rsidRPr="009603F4">
        <w:rPr>
          <w:spacing w:val="7"/>
        </w:rPr>
        <w:t xml:space="preserve"> </w:t>
      </w:r>
      <w:r>
        <w:t>legal</w:t>
      </w:r>
      <w:r w:rsidRPr="009603F4">
        <w:rPr>
          <w:spacing w:val="7"/>
        </w:rPr>
        <w:t xml:space="preserve"> </w:t>
      </w:r>
      <w:r>
        <w:t>and</w:t>
      </w:r>
      <w:r w:rsidRPr="009603F4">
        <w:rPr>
          <w:spacing w:val="7"/>
        </w:rPr>
        <w:t xml:space="preserve"> </w:t>
      </w:r>
      <w:r>
        <w:t>human</w:t>
      </w:r>
      <w:r w:rsidRPr="009603F4">
        <w:rPr>
          <w:spacing w:val="7"/>
        </w:rPr>
        <w:t xml:space="preserve"> </w:t>
      </w:r>
      <w:r>
        <w:t>rights</w:t>
      </w:r>
    </w:p>
    <w:p w14:paraId="125C2024" w14:textId="77777777" w:rsidR="009603F4" w:rsidRDefault="009603F4" w:rsidP="009603F4">
      <w:pPr>
        <w:pStyle w:val="ListParagraph"/>
        <w:numPr>
          <w:ilvl w:val="0"/>
          <w:numId w:val="21"/>
        </w:numPr>
      </w:pPr>
      <w:r>
        <w:t>be</w:t>
      </w:r>
      <w:r w:rsidRPr="009603F4">
        <w:rPr>
          <w:spacing w:val="1"/>
        </w:rPr>
        <w:t xml:space="preserve"> </w:t>
      </w:r>
      <w:r>
        <w:t>held</w:t>
      </w:r>
      <w:r w:rsidRPr="009603F4">
        <w:rPr>
          <w:spacing w:val="2"/>
        </w:rPr>
        <w:t xml:space="preserve"> </w:t>
      </w:r>
      <w:r>
        <w:t>to</w:t>
      </w:r>
      <w:r w:rsidRPr="009603F4">
        <w:rPr>
          <w:spacing w:val="1"/>
        </w:rPr>
        <w:t xml:space="preserve"> </w:t>
      </w:r>
      <w:r>
        <w:t>consistent</w:t>
      </w:r>
      <w:r w:rsidRPr="009603F4">
        <w:rPr>
          <w:spacing w:val="2"/>
        </w:rPr>
        <w:t xml:space="preserve"> </w:t>
      </w:r>
      <w:r>
        <w:t>levels</w:t>
      </w:r>
      <w:r w:rsidRPr="009603F4">
        <w:rPr>
          <w:spacing w:val="1"/>
        </w:rPr>
        <w:t xml:space="preserve"> </w:t>
      </w:r>
      <w:r>
        <w:t>of</w:t>
      </w:r>
      <w:r w:rsidRPr="009603F4">
        <w:rPr>
          <w:spacing w:val="2"/>
        </w:rPr>
        <w:t xml:space="preserve"> </w:t>
      </w:r>
      <w:r>
        <w:t>quality</w:t>
      </w:r>
      <w:r w:rsidRPr="009603F4">
        <w:rPr>
          <w:spacing w:val="2"/>
        </w:rPr>
        <w:t xml:space="preserve"> </w:t>
      </w:r>
      <w:r>
        <w:t>and</w:t>
      </w:r>
      <w:r w:rsidRPr="009603F4">
        <w:rPr>
          <w:spacing w:val="1"/>
        </w:rPr>
        <w:t xml:space="preserve"> </w:t>
      </w:r>
      <w:r>
        <w:t>safety</w:t>
      </w:r>
    </w:p>
    <w:p w14:paraId="7349C5D0" w14:textId="77777777" w:rsidR="009603F4" w:rsidRDefault="009603F4" w:rsidP="009603F4">
      <w:pPr>
        <w:pStyle w:val="ListParagraph"/>
        <w:numPr>
          <w:ilvl w:val="0"/>
          <w:numId w:val="21"/>
        </w:numPr>
      </w:pPr>
      <w:r>
        <w:t>be person-centred and</w:t>
      </w:r>
      <w:r w:rsidRPr="009603F4">
        <w:rPr>
          <w:spacing w:val="1"/>
        </w:rPr>
        <w:t xml:space="preserve"> </w:t>
      </w:r>
      <w:r>
        <w:t>address the</w:t>
      </w:r>
      <w:r w:rsidRPr="009603F4">
        <w:rPr>
          <w:spacing w:val="1"/>
        </w:rPr>
        <w:t xml:space="preserve"> </w:t>
      </w:r>
      <w:r>
        <w:t>different care</w:t>
      </w:r>
      <w:r w:rsidRPr="009603F4">
        <w:rPr>
          <w:spacing w:val="1"/>
        </w:rPr>
        <w:t xml:space="preserve"> </w:t>
      </w:r>
      <w:r>
        <w:t>and supports</w:t>
      </w:r>
      <w:r w:rsidRPr="009603F4">
        <w:rPr>
          <w:spacing w:val="1"/>
        </w:rPr>
        <w:t xml:space="preserve"> </w:t>
      </w:r>
      <w:r>
        <w:t>any</w:t>
      </w:r>
      <w:r w:rsidRPr="009603F4">
        <w:rPr>
          <w:spacing w:val="-58"/>
        </w:rPr>
        <w:t xml:space="preserve"> </w:t>
      </w:r>
      <w:r w:rsidRPr="009603F4">
        <w:rPr>
          <w:w w:val="105"/>
        </w:rPr>
        <w:t>individual</w:t>
      </w:r>
      <w:r w:rsidRPr="009603F4">
        <w:rPr>
          <w:spacing w:val="-15"/>
          <w:w w:val="105"/>
        </w:rPr>
        <w:t xml:space="preserve"> </w:t>
      </w:r>
      <w:r w:rsidRPr="009603F4">
        <w:rPr>
          <w:w w:val="105"/>
        </w:rPr>
        <w:t>needs</w:t>
      </w:r>
    </w:p>
    <w:p w14:paraId="7036BA5D" w14:textId="77777777" w:rsidR="009603F4" w:rsidRDefault="009603F4" w:rsidP="009603F4">
      <w:pPr>
        <w:pStyle w:val="ListParagraph"/>
        <w:numPr>
          <w:ilvl w:val="0"/>
          <w:numId w:val="21"/>
        </w:numPr>
      </w:pPr>
      <w:r>
        <w:t>enable</w:t>
      </w:r>
      <w:r w:rsidRPr="009603F4">
        <w:rPr>
          <w:spacing w:val="4"/>
        </w:rPr>
        <w:t xml:space="preserve"> </w:t>
      </w:r>
      <w:r>
        <w:t>more</w:t>
      </w:r>
      <w:r w:rsidRPr="009603F4">
        <w:rPr>
          <w:spacing w:val="5"/>
        </w:rPr>
        <w:t xml:space="preserve"> </w:t>
      </w:r>
      <w:r>
        <w:t>choice</w:t>
      </w:r>
      <w:r w:rsidRPr="009603F4">
        <w:rPr>
          <w:spacing w:val="4"/>
        </w:rPr>
        <w:t xml:space="preserve"> </w:t>
      </w:r>
      <w:r>
        <w:t>by</w:t>
      </w:r>
      <w:r w:rsidRPr="009603F4">
        <w:rPr>
          <w:spacing w:val="5"/>
        </w:rPr>
        <w:t xml:space="preserve"> </w:t>
      </w:r>
      <w:r>
        <w:t>reducing</w:t>
      </w:r>
      <w:r w:rsidRPr="009603F4">
        <w:rPr>
          <w:spacing w:val="5"/>
        </w:rPr>
        <w:t xml:space="preserve"> </w:t>
      </w:r>
      <w:r>
        <w:t>barriers</w:t>
      </w:r>
      <w:r w:rsidRPr="009603F4">
        <w:rPr>
          <w:spacing w:val="4"/>
        </w:rPr>
        <w:t xml:space="preserve"> </w:t>
      </w:r>
      <w:r>
        <w:t>to</w:t>
      </w:r>
      <w:r w:rsidRPr="009603F4">
        <w:rPr>
          <w:spacing w:val="5"/>
        </w:rPr>
        <w:t xml:space="preserve"> </w:t>
      </w:r>
      <w:r>
        <w:t>providers</w:t>
      </w:r>
      <w:r w:rsidRPr="009603F4">
        <w:rPr>
          <w:spacing w:val="5"/>
        </w:rPr>
        <w:t xml:space="preserve"> </w:t>
      </w:r>
      <w:r>
        <w:t>with</w:t>
      </w:r>
      <w:r w:rsidRPr="009603F4">
        <w:rPr>
          <w:spacing w:val="4"/>
        </w:rPr>
        <w:t xml:space="preserve"> </w:t>
      </w:r>
      <w:r>
        <w:t>the</w:t>
      </w:r>
      <w:r w:rsidRPr="009603F4">
        <w:rPr>
          <w:spacing w:val="-58"/>
        </w:rPr>
        <w:t xml:space="preserve"> </w:t>
      </w:r>
      <w:r>
        <w:t>necessary</w:t>
      </w:r>
      <w:r w:rsidRPr="009603F4">
        <w:rPr>
          <w:spacing w:val="-10"/>
        </w:rPr>
        <w:t xml:space="preserve"> </w:t>
      </w:r>
      <w:r>
        <w:t>capabilities</w:t>
      </w:r>
      <w:r w:rsidRPr="009603F4">
        <w:rPr>
          <w:spacing w:val="-10"/>
        </w:rPr>
        <w:t xml:space="preserve"> </w:t>
      </w:r>
      <w:r>
        <w:t>operating</w:t>
      </w:r>
      <w:r w:rsidRPr="009603F4">
        <w:rPr>
          <w:spacing w:val="-9"/>
        </w:rPr>
        <w:t xml:space="preserve"> </w:t>
      </w:r>
      <w:r>
        <w:t>across</w:t>
      </w:r>
      <w:r w:rsidRPr="009603F4">
        <w:rPr>
          <w:spacing w:val="-10"/>
        </w:rPr>
        <w:t xml:space="preserve"> </w:t>
      </w:r>
      <w:r>
        <w:t>sectors.</w:t>
      </w:r>
    </w:p>
    <w:p w14:paraId="7E988116" w14:textId="77777777" w:rsidR="009603F4" w:rsidRDefault="009603F4" w:rsidP="00F0034C">
      <w:r>
        <w:t>For</w:t>
      </w:r>
      <w:r w:rsidRPr="000D7F2A">
        <w:rPr>
          <w:spacing w:val="-4"/>
        </w:rPr>
        <w:t xml:space="preserve"> </w:t>
      </w:r>
      <w:r>
        <w:t>providers</w:t>
      </w:r>
      <w:r w:rsidRPr="000D7F2A">
        <w:rPr>
          <w:spacing w:val="-4"/>
        </w:rPr>
        <w:t xml:space="preserve"> </w:t>
      </w:r>
      <w:r>
        <w:t>and</w:t>
      </w:r>
      <w:r w:rsidRPr="000D7F2A">
        <w:rPr>
          <w:spacing w:val="-4"/>
        </w:rPr>
        <w:t xml:space="preserve"> </w:t>
      </w:r>
      <w:r>
        <w:t>workers</w:t>
      </w:r>
      <w:r w:rsidRPr="000D7F2A">
        <w:rPr>
          <w:spacing w:val="-4"/>
        </w:rPr>
        <w:t xml:space="preserve"> </w:t>
      </w:r>
      <w:r>
        <w:t>in</w:t>
      </w:r>
      <w:r w:rsidRPr="000D7F2A">
        <w:rPr>
          <w:spacing w:val="-4"/>
        </w:rPr>
        <w:t xml:space="preserve"> </w:t>
      </w:r>
      <w:r>
        <w:t>the</w:t>
      </w:r>
      <w:r w:rsidRPr="000D7F2A">
        <w:rPr>
          <w:spacing w:val="-3"/>
        </w:rPr>
        <w:t xml:space="preserve"> </w:t>
      </w:r>
      <w:r>
        <w:t>care</w:t>
      </w:r>
      <w:r w:rsidRPr="000D7F2A">
        <w:rPr>
          <w:spacing w:val="-4"/>
        </w:rPr>
        <w:t xml:space="preserve"> </w:t>
      </w:r>
      <w:r>
        <w:t>and</w:t>
      </w:r>
      <w:r w:rsidRPr="000D7F2A">
        <w:rPr>
          <w:spacing w:val="-4"/>
        </w:rPr>
        <w:t xml:space="preserve"> </w:t>
      </w:r>
      <w:r>
        <w:t>support</w:t>
      </w:r>
      <w:r w:rsidRPr="000D7F2A">
        <w:rPr>
          <w:spacing w:val="-4"/>
        </w:rPr>
        <w:t xml:space="preserve"> </w:t>
      </w:r>
      <w:r>
        <w:t>sectors,</w:t>
      </w:r>
      <w:r w:rsidRPr="000D7F2A">
        <w:rPr>
          <w:spacing w:val="-4"/>
        </w:rPr>
        <w:t xml:space="preserve"> </w:t>
      </w:r>
      <w:r>
        <w:t>this</w:t>
      </w:r>
      <w:r w:rsidRPr="000D7F2A">
        <w:rPr>
          <w:spacing w:val="-3"/>
        </w:rPr>
        <w:t xml:space="preserve"> </w:t>
      </w:r>
      <w:r>
        <w:t>means:</w:t>
      </w:r>
    </w:p>
    <w:p w14:paraId="3B9D1A36" w14:textId="77777777" w:rsidR="009603F4" w:rsidRDefault="009603F4" w:rsidP="009603F4">
      <w:pPr>
        <w:pStyle w:val="ListParagraph"/>
        <w:numPr>
          <w:ilvl w:val="0"/>
          <w:numId w:val="21"/>
        </w:numPr>
      </w:pPr>
      <w:r>
        <w:t>regulatory</w:t>
      </w:r>
      <w:r w:rsidRPr="009603F4">
        <w:rPr>
          <w:spacing w:val="9"/>
        </w:rPr>
        <w:t xml:space="preserve"> </w:t>
      </w:r>
      <w:r>
        <w:t>obligations</w:t>
      </w:r>
      <w:r w:rsidRPr="009603F4">
        <w:rPr>
          <w:spacing w:val="10"/>
        </w:rPr>
        <w:t xml:space="preserve"> </w:t>
      </w:r>
      <w:r>
        <w:t>will</w:t>
      </w:r>
      <w:r w:rsidRPr="009603F4">
        <w:rPr>
          <w:spacing w:val="10"/>
        </w:rPr>
        <w:t xml:space="preserve"> </w:t>
      </w:r>
      <w:r>
        <w:t>be</w:t>
      </w:r>
      <w:r w:rsidRPr="009603F4">
        <w:rPr>
          <w:spacing w:val="10"/>
        </w:rPr>
        <w:t xml:space="preserve"> </w:t>
      </w:r>
      <w:r>
        <w:t>proportionate,</w:t>
      </w:r>
      <w:r w:rsidRPr="009603F4">
        <w:rPr>
          <w:spacing w:val="9"/>
        </w:rPr>
        <w:t xml:space="preserve"> </w:t>
      </w:r>
      <w:r>
        <w:t>clear</w:t>
      </w:r>
      <w:r w:rsidRPr="009603F4">
        <w:rPr>
          <w:spacing w:val="10"/>
        </w:rPr>
        <w:t xml:space="preserve"> </w:t>
      </w:r>
      <w:r>
        <w:t>and</w:t>
      </w:r>
      <w:r w:rsidRPr="009603F4">
        <w:rPr>
          <w:spacing w:val="10"/>
        </w:rPr>
        <w:t xml:space="preserve"> </w:t>
      </w:r>
      <w:r>
        <w:t>consistent</w:t>
      </w:r>
      <w:r w:rsidRPr="009603F4">
        <w:rPr>
          <w:spacing w:val="-58"/>
        </w:rPr>
        <w:t xml:space="preserve"> </w:t>
      </w:r>
      <w:r>
        <w:t>across</w:t>
      </w:r>
      <w:r w:rsidRPr="009603F4">
        <w:rPr>
          <w:spacing w:val="-11"/>
        </w:rPr>
        <w:t xml:space="preserve"> </w:t>
      </w:r>
      <w:r>
        <w:t>sectors</w:t>
      </w:r>
    </w:p>
    <w:p w14:paraId="15034EC7" w14:textId="77777777" w:rsidR="009603F4" w:rsidRDefault="009603F4" w:rsidP="009603F4">
      <w:pPr>
        <w:pStyle w:val="ListParagraph"/>
        <w:numPr>
          <w:ilvl w:val="0"/>
          <w:numId w:val="21"/>
        </w:numPr>
      </w:pPr>
      <w:r>
        <w:t>resources</w:t>
      </w:r>
      <w:r w:rsidRPr="009603F4">
        <w:rPr>
          <w:spacing w:val="2"/>
        </w:rPr>
        <w:t xml:space="preserve"> </w:t>
      </w:r>
      <w:r>
        <w:t>and</w:t>
      </w:r>
      <w:r w:rsidRPr="009603F4">
        <w:rPr>
          <w:spacing w:val="2"/>
        </w:rPr>
        <w:t xml:space="preserve"> </w:t>
      </w:r>
      <w:r>
        <w:t>skills</w:t>
      </w:r>
      <w:r w:rsidRPr="009603F4">
        <w:rPr>
          <w:spacing w:val="3"/>
        </w:rPr>
        <w:t xml:space="preserve"> </w:t>
      </w:r>
      <w:r>
        <w:t>can</w:t>
      </w:r>
      <w:r w:rsidRPr="009603F4">
        <w:rPr>
          <w:spacing w:val="2"/>
        </w:rPr>
        <w:t xml:space="preserve"> </w:t>
      </w:r>
      <w:r>
        <w:t>be</w:t>
      </w:r>
      <w:r w:rsidRPr="009603F4">
        <w:rPr>
          <w:spacing w:val="3"/>
        </w:rPr>
        <w:t xml:space="preserve"> </w:t>
      </w:r>
      <w:r>
        <w:t>directed</w:t>
      </w:r>
      <w:r w:rsidRPr="009603F4">
        <w:rPr>
          <w:spacing w:val="2"/>
        </w:rPr>
        <w:t xml:space="preserve"> </w:t>
      </w:r>
      <w:r>
        <w:t>to</w:t>
      </w:r>
      <w:r w:rsidRPr="009603F4">
        <w:rPr>
          <w:spacing w:val="3"/>
        </w:rPr>
        <w:t xml:space="preserve"> </w:t>
      </w:r>
      <w:r>
        <w:t>service</w:t>
      </w:r>
      <w:r w:rsidRPr="009603F4">
        <w:rPr>
          <w:spacing w:val="2"/>
        </w:rPr>
        <w:t xml:space="preserve"> </w:t>
      </w:r>
      <w:r>
        <w:t>quality</w:t>
      </w:r>
      <w:r w:rsidRPr="009603F4">
        <w:rPr>
          <w:spacing w:val="3"/>
        </w:rPr>
        <w:t xml:space="preserve"> </w:t>
      </w:r>
      <w:r>
        <w:t>improvement</w:t>
      </w:r>
    </w:p>
    <w:p w14:paraId="3AF1F4DF" w14:textId="77777777" w:rsidR="009603F4" w:rsidRDefault="009603F4" w:rsidP="009603F4">
      <w:pPr>
        <w:pStyle w:val="ListParagraph"/>
        <w:numPr>
          <w:ilvl w:val="0"/>
          <w:numId w:val="21"/>
        </w:numPr>
      </w:pPr>
      <w:r>
        <w:t>providers</w:t>
      </w:r>
      <w:r w:rsidRPr="009603F4">
        <w:rPr>
          <w:spacing w:val="1"/>
        </w:rPr>
        <w:t xml:space="preserve"> </w:t>
      </w:r>
      <w:r>
        <w:t>and</w:t>
      </w:r>
      <w:r w:rsidRPr="009603F4">
        <w:rPr>
          <w:spacing w:val="1"/>
        </w:rPr>
        <w:t xml:space="preserve"> </w:t>
      </w:r>
      <w:r>
        <w:t>workers</w:t>
      </w:r>
      <w:r w:rsidRPr="009603F4">
        <w:rPr>
          <w:spacing w:val="2"/>
        </w:rPr>
        <w:t xml:space="preserve"> </w:t>
      </w:r>
      <w:r>
        <w:t>will</w:t>
      </w:r>
      <w:r w:rsidRPr="009603F4">
        <w:rPr>
          <w:spacing w:val="1"/>
        </w:rPr>
        <w:t xml:space="preserve"> </w:t>
      </w:r>
      <w:r>
        <w:t>have</w:t>
      </w:r>
      <w:r w:rsidRPr="009603F4">
        <w:rPr>
          <w:spacing w:val="2"/>
        </w:rPr>
        <w:t xml:space="preserve"> </w:t>
      </w:r>
      <w:r>
        <w:t>increased</w:t>
      </w:r>
      <w:r w:rsidRPr="009603F4">
        <w:rPr>
          <w:spacing w:val="1"/>
        </w:rPr>
        <w:t xml:space="preserve"> </w:t>
      </w:r>
      <w:r>
        <w:t>flexibility</w:t>
      </w:r>
      <w:r w:rsidRPr="009603F4">
        <w:rPr>
          <w:spacing w:val="1"/>
        </w:rPr>
        <w:t xml:space="preserve"> </w:t>
      </w:r>
      <w:r>
        <w:t>and</w:t>
      </w:r>
      <w:r w:rsidRPr="009603F4">
        <w:rPr>
          <w:spacing w:val="2"/>
        </w:rPr>
        <w:t xml:space="preserve"> </w:t>
      </w:r>
      <w:r>
        <w:t>mobility</w:t>
      </w:r>
      <w:r w:rsidRPr="009603F4">
        <w:rPr>
          <w:spacing w:val="1"/>
        </w:rPr>
        <w:t xml:space="preserve"> </w:t>
      </w:r>
      <w:r>
        <w:t>to</w:t>
      </w:r>
      <w:r w:rsidRPr="009603F4">
        <w:rPr>
          <w:spacing w:val="-58"/>
        </w:rPr>
        <w:t xml:space="preserve"> </w:t>
      </w:r>
      <w:r>
        <w:t>operate</w:t>
      </w:r>
      <w:r w:rsidRPr="009603F4">
        <w:rPr>
          <w:spacing w:val="-11"/>
        </w:rPr>
        <w:t xml:space="preserve"> </w:t>
      </w:r>
      <w:r>
        <w:t>across</w:t>
      </w:r>
      <w:r w:rsidRPr="009603F4">
        <w:rPr>
          <w:spacing w:val="-11"/>
        </w:rPr>
        <w:t xml:space="preserve"> </w:t>
      </w:r>
      <w:r>
        <w:t>sectors.</w:t>
      </w:r>
    </w:p>
    <w:p w14:paraId="6047A823" w14:textId="5E298F55" w:rsidR="007165FF" w:rsidRDefault="007165FF" w:rsidP="007165FF">
      <w:pPr>
        <w:pStyle w:val="Heading2"/>
      </w:pPr>
      <w:bookmarkStart w:id="4" w:name="_Toc84511959"/>
      <w:r w:rsidRPr="007165FF">
        <w:t>Purpose</w:t>
      </w:r>
      <w:bookmarkEnd w:id="4"/>
    </w:p>
    <w:p w14:paraId="31730E7B" w14:textId="4FEC13F3" w:rsidR="009603F4" w:rsidRDefault="009603F4" w:rsidP="00EB623A">
      <w:pPr>
        <w:pStyle w:val="BodyText"/>
      </w:pPr>
      <w:r>
        <w:t>This</w:t>
      </w:r>
      <w:r>
        <w:rPr>
          <w:spacing w:val="6"/>
        </w:rPr>
        <w:t xml:space="preserve"> </w:t>
      </w:r>
      <w:r>
        <w:t>background</w:t>
      </w:r>
      <w:r>
        <w:rPr>
          <w:spacing w:val="6"/>
        </w:rPr>
        <w:t xml:space="preserve"> </w:t>
      </w:r>
      <w:r>
        <w:t>paper</w:t>
      </w:r>
      <w:r>
        <w:rPr>
          <w:spacing w:val="7"/>
        </w:rPr>
        <w:t xml:space="preserve"> </w:t>
      </w:r>
      <w:r>
        <w:t>introduces</w:t>
      </w:r>
      <w:r>
        <w:rPr>
          <w:spacing w:val="6"/>
        </w:rPr>
        <w:t xml:space="preserve"> </w:t>
      </w:r>
      <w:r>
        <w:t>the</w:t>
      </w:r>
      <w:r>
        <w:rPr>
          <w:spacing w:val="7"/>
        </w:rPr>
        <w:t xml:space="preserve"> </w:t>
      </w:r>
      <w:r>
        <w:t>work</w:t>
      </w:r>
      <w:r>
        <w:rPr>
          <w:spacing w:val="6"/>
        </w:rPr>
        <w:t xml:space="preserve"> </w:t>
      </w:r>
      <w:r>
        <w:t>that</w:t>
      </w:r>
      <w:r>
        <w:rPr>
          <w:spacing w:val="7"/>
        </w:rPr>
        <w:t xml:space="preserve"> </w:t>
      </w:r>
      <w:r>
        <w:t>the</w:t>
      </w:r>
      <w:r>
        <w:rPr>
          <w:spacing w:val="6"/>
        </w:rPr>
        <w:t xml:space="preserve"> </w:t>
      </w:r>
      <w:r>
        <w:t>Government</w:t>
      </w:r>
      <w:r>
        <w:rPr>
          <w:spacing w:val="7"/>
        </w:rPr>
        <w:t xml:space="preserve"> </w:t>
      </w:r>
      <w:r>
        <w:t>is</w:t>
      </w:r>
      <w:r>
        <w:rPr>
          <w:spacing w:val="6"/>
        </w:rPr>
        <w:t xml:space="preserve"> </w:t>
      </w:r>
      <w:r>
        <w:t>doing</w:t>
      </w:r>
      <w:r>
        <w:rPr>
          <w:spacing w:val="7"/>
        </w:rPr>
        <w:t xml:space="preserve"> </w:t>
      </w:r>
      <w:r>
        <w:t xml:space="preserve">to </w:t>
      </w:r>
      <w:r>
        <w:rPr>
          <w:spacing w:val="-58"/>
        </w:rPr>
        <w:t xml:space="preserve"> </w:t>
      </w:r>
      <w:r>
        <w:t xml:space="preserve">align regulation (rules and requirements) to ensure the quality </w:t>
      </w:r>
      <w:r w:rsidR="00EE1766">
        <w:t>and</w:t>
      </w:r>
      <w:r>
        <w:t xml:space="preserve"> safety </w:t>
      </w:r>
      <w:r w:rsidR="00EE1766">
        <w:t>of</w:t>
      </w:r>
      <w:r>
        <w:rPr>
          <w:spacing w:val="1"/>
        </w:rPr>
        <w:t xml:space="preserve"> </w:t>
      </w:r>
      <w:r>
        <w:t>care</w:t>
      </w:r>
      <w:r w:rsidR="00EE1766">
        <w:t xml:space="preserve"> and support</w:t>
      </w:r>
      <w:r>
        <w:t xml:space="preserve"> is more consistent across sectors. By aligning and improving regulation, </w:t>
      </w:r>
      <w:r>
        <w:rPr>
          <w:spacing w:val="-59"/>
        </w:rPr>
        <w:t xml:space="preserve">    </w:t>
      </w:r>
      <w:r>
        <w:t>providers</w:t>
      </w:r>
      <w:r>
        <w:rPr>
          <w:spacing w:val="-7"/>
        </w:rPr>
        <w:t xml:space="preserve"> </w:t>
      </w:r>
      <w:r>
        <w:t>and</w:t>
      </w:r>
      <w:r>
        <w:rPr>
          <w:spacing w:val="-6"/>
        </w:rPr>
        <w:t xml:space="preserve"> </w:t>
      </w:r>
      <w:r>
        <w:t>workers</w:t>
      </w:r>
      <w:r>
        <w:rPr>
          <w:spacing w:val="-6"/>
        </w:rPr>
        <w:t xml:space="preserve"> </w:t>
      </w:r>
      <w:r>
        <w:t>will</w:t>
      </w:r>
      <w:r>
        <w:rPr>
          <w:spacing w:val="-6"/>
        </w:rPr>
        <w:t xml:space="preserve"> </w:t>
      </w:r>
      <w:r>
        <w:t>be</w:t>
      </w:r>
      <w:r>
        <w:rPr>
          <w:spacing w:val="-7"/>
        </w:rPr>
        <w:t xml:space="preserve"> </w:t>
      </w:r>
      <w:r>
        <w:t>able</w:t>
      </w:r>
      <w:r>
        <w:rPr>
          <w:spacing w:val="-6"/>
        </w:rPr>
        <w:t xml:space="preserve"> </w:t>
      </w:r>
      <w:r>
        <w:t>to</w:t>
      </w:r>
      <w:r>
        <w:rPr>
          <w:spacing w:val="-6"/>
        </w:rPr>
        <w:t xml:space="preserve"> </w:t>
      </w:r>
      <w:r>
        <w:t>deliver</w:t>
      </w:r>
      <w:r>
        <w:rPr>
          <w:spacing w:val="-6"/>
        </w:rPr>
        <w:t xml:space="preserve"> </w:t>
      </w:r>
      <w:r>
        <w:t>better</w:t>
      </w:r>
      <w:r>
        <w:rPr>
          <w:spacing w:val="-7"/>
        </w:rPr>
        <w:t xml:space="preserve"> </w:t>
      </w:r>
      <w:r>
        <w:t>quality</w:t>
      </w:r>
      <w:r>
        <w:rPr>
          <w:spacing w:val="-6"/>
        </w:rPr>
        <w:t xml:space="preserve"> </w:t>
      </w:r>
      <w:r>
        <w:t>and</w:t>
      </w:r>
      <w:r>
        <w:rPr>
          <w:spacing w:val="-6"/>
        </w:rPr>
        <w:t xml:space="preserve"> </w:t>
      </w:r>
      <w:r>
        <w:t>safety</w:t>
      </w:r>
      <w:r>
        <w:rPr>
          <w:spacing w:val="-6"/>
        </w:rPr>
        <w:t xml:space="preserve"> </w:t>
      </w:r>
      <w:r>
        <w:t>of care</w:t>
      </w:r>
      <w:r>
        <w:rPr>
          <w:spacing w:val="5"/>
        </w:rPr>
        <w:t xml:space="preserve"> </w:t>
      </w:r>
      <w:r>
        <w:t>for</w:t>
      </w:r>
      <w:r>
        <w:rPr>
          <w:spacing w:val="5"/>
        </w:rPr>
        <w:t xml:space="preserve"> </w:t>
      </w:r>
      <w:r>
        <w:t>Australians,</w:t>
      </w:r>
      <w:r>
        <w:rPr>
          <w:spacing w:val="5"/>
        </w:rPr>
        <w:t xml:space="preserve"> </w:t>
      </w:r>
      <w:r>
        <w:t>with</w:t>
      </w:r>
      <w:r>
        <w:rPr>
          <w:spacing w:val="5"/>
        </w:rPr>
        <w:t xml:space="preserve"> </w:t>
      </w:r>
      <w:r>
        <w:t>resources</w:t>
      </w:r>
      <w:r>
        <w:rPr>
          <w:spacing w:val="5"/>
        </w:rPr>
        <w:t xml:space="preserve"> </w:t>
      </w:r>
      <w:r>
        <w:t>and</w:t>
      </w:r>
      <w:r>
        <w:rPr>
          <w:spacing w:val="5"/>
        </w:rPr>
        <w:t xml:space="preserve"> </w:t>
      </w:r>
      <w:r>
        <w:t>efforts</w:t>
      </w:r>
      <w:r>
        <w:rPr>
          <w:spacing w:val="5"/>
        </w:rPr>
        <w:t xml:space="preserve"> </w:t>
      </w:r>
      <w:r>
        <w:t>focused</w:t>
      </w:r>
      <w:r>
        <w:rPr>
          <w:spacing w:val="5"/>
        </w:rPr>
        <w:t xml:space="preserve"> </w:t>
      </w:r>
      <w:r>
        <w:t>on</w:t>
      </w:r>
      <w:r>
        <w:rPr>
          <w:spacing w:val="5"/>
        </w:rPr>
        <w:t xml:space="preserve"> </w:t>
      </w:r>
      <w:r>
        <w:t xml:space="preserve">continuous </w:t>
      </w:r>
      <w:r>
        <w:rPr>
          <w:spacing w:val="-58"/>
        </w:rPr>
        <w:t xml:space="preserve"> </w:t>
      </w:r>
      <w:r>
        <w:rPr>
          <w:w w:val="105"/>
        </w:rPr>
        <w:t>improvement.</w:t>
      </w:r>
    </w:p>
    <w:p w14:paraId="25FF426D" w14:textId="039FF495" w:rsidR="009603F4" w:rsidRDefault="009603F4" w:rsidP="00EB623A">
      <w:pPr>
        <w:pStyle w:val="BodyText"/>
      </w:pPr>
      <w:r>
        <w:t>To</w:t>
      </w:r>
      <w:r>
        <w:rPr>
          <w:spacing w:val="-3"/>
        </w:rPr>
        <w:t xml:space="preserve"> </w:t>
      </w:r>
      <w:r>
        <w:t>make</w:t>
      </w:r>
      <w:r>
        <w:rPr>
          <w:spacing w:val="-2"/>
        </w:rPr>
        <w:t xml:space="preserve"> </w:t>
      </w:r>
      <w:r>
        <w:t>sure</w:t>
      </w:r>
      <w:r>
        <w:rPr>
          <w:spacing w:val="-2"/>
        </w:rPr>
        <w:t xml:space="preserve"> </w:t>
      </w:r>
      <w:r>
        <w:t>aligning</w:t>
      </w:r>
      <w:r>
        <w:rPr>
          <w:spacing w:val="-3"/>
        </w:rPr>
        <w:t xml:space="preserve"> </w:t>
      </w:r>
      <w:r>
        <w:t>regulation</w:t>
      </w:r>
      <w:r>
        <w:rPr>
          <w:spacing w:val="-2"/>
        </w:rPr>
        <w:t xml:space="preserve"> </w:t>
      </w:r>
      <w:r>
        <w:t>meets</w:t>
      </w:r>
      <w:r>
        <w:rPr>
          <w:spacing w:val="-2"/>
        </w:rPr>
        <w:t xml:space="preserve"> </w:t>
      </w:r>
      <w:r>
        <w:t>the</w:t>
      </w:r>
      <w:r>
        <w:rPr>
          <w:spacing w:val="-2"/>
        </w:rPr>
        <w:t xml:space="preserve"> </w:t>
      </w:r>
      <w:r>
        <w:t>needs</w:t>
      </w:r>
      <w:r>
        <w:rPr>
          <w:spacing w:val="-3"/>
        </w:rPr>
        <w:t xml:space="preserve"> </w:t>
      </w:r>
      <w:r>
        <w:t>and</w:t>
      </w:r>
      <w:r>
        <w:rPr>
          <w:spacing w:val="-2"/>
        </w:rPr>
        <w:t xml:space="preserve"> </w:t>
      </w:r>
      <w:r>
        <w:t>wants</w:t>
      </w:r>
      <w:r>
        <w:rPr>
          <w:spacing w:val="-2"/>
        </w:rPr>
        <w:t xml:space="preserve"> </w:t>
      </w:r>
      <w:r>
        <w:t>of</w:t>
      </w:r>
      <w:r>
        <w:rPr>
          <w:spacing w:val="-2"/>
        </w:rPr>
        <w:t xml:space="preserve"> </w:t>
      </w:r>
      <w:r>
        <w:t>the</w:t>
      </w:r>
      <w:r>
        <w:rPr>
          <w:spacing w:val="-3"/>
        </w:rPr>
        <w:t xml:space="preserve"> </w:t>
      </w:r>
      <w:r>
        <w:t xml:space="preserve">people </w:t>
      </w:r>
      <w:r>
        <w:rPr>
          <w:spacing w:val="-58"/>
        </w:rPr>
        <w:t xml:space="preserve"> </w:t>
      </w:r>
      <w:r>
        <w:t>who use care and supports, this work will be informed by the experiences</w:t>
      </w:r>
      <w:r>
        <w:rPr>
          <w:spacing w:val="1"/>
        </w:rPr>
        <w:t xml:space="preserve"> </w:t>
      </w:r>
      <w:r>
        <w:t>and</w:t>
      </w:r>
      <w:r>
        <w:rPr>
          <w:spacing w:val="-11"/>
        </w:rPr>
        <w:t xml:space="preserve"> </w:t>
      </w:r>
      <w:r>
        <w:t>opinions</w:t>
      </w:r>
      <w:r>
        <w:rPr>
          <w:spacing w:val="-11"/>
        </w:rPr>
        <w:t xml:space="preserve"> </w:t>
      </w:r>
      <w:r>
        <w:t>of:</w:t>
      </w:r>
    </w:p>
    <w:p w14:paraId="4CA41CD9" w14:textId="77777777" w:rsidR="009603F4" w:rsidRDefault="009603F4" w:rsidP="009603F4">
      <w:pPr>
        <w:pStyle w:val="ListParagraph"/>
        <w:numPr>
          <w:ilvl w:val="0"/>
          <w:numId w:val="22"/>
        </w:numPr>
      </w:pPr>
      <w:r>
        <w:t>people</w:t>
      </w:r>
      <w:r>
        <w:rPr>
          <w:spacing w:val="6"/>
        </w:rPr>
        <w:t xml:space="preserve"> </w:t>
      </w:r>
      <w:r>
        <w:t>who</w:t>
      </w:r>
      <w:r>
        <w:rPr>
          <w:spacing w:val="7"/>
        </w:rPr>
        <w:t xml:space="preserve"> </w:t>
      </w:r>
      <w:r>
        <w:t>use</w:t>
      </w:r>
      <w:r>
        <w:rPr>
          <w:spacing w:val="7"/>
        </w:rPr>
        <w:t xml:space="preserve"> </w:t>
      </w:r>
      <w:r>
        <w:t>care</w:t>
      </w:r>
      <w:r>
        <w:rPr>
          <w:spacing w:val="7"/>
        </w:rPr>
        <w:t xml:space="preserve"> </w:t>
      </w:r>
      <w:r>
        <w:t>and</w:t>
      </w:r>
      <w:r>
        <w:rPr>
          <w:spacing w:val="6"/>
        </w:rPr>
        <w:t xml:space="preserve"> </w:t>
      </w:r>
      <w:r>
        <w:t>supports</w:t>
      </w:r>
      <w:r>
        <w:rPr>
          <w:spacing w:val="7"/>
        </w:rPr>
        <w:t xml:space="preserve"> </w:t>
      </w:r>
      <w:r>
        <w:t>(consumers/participants)</w:t>
      </w:r>
    </w:p>
    <w:p w14:paraId="4EF39516" w14:textId="77777777" w:rsidR="009603F4" w:rsidRDefault="009603F4" w:rsidP="009603F4">
      <w:pPr>
        <w:pStyle w:val="ListParagraph"/>
        <w:numPr>
          <w:ilvl w:val="0"/>
          <w:numId w:val="22"/>
        </w:numPr>
      </w:pPr>
      <w:r>
        <w:t>families,</w:t>
      </w:r>
      <w:r>
        <w:rPr>
          <w:spacing w:val="-16"/>
        </w:rPr>
        <w:t xml:space="preserve"> </w:t>
      </w:r>
      <w:r>
        <w:t>carers,</w:t>
      </w:r>
      <w:r>
        <w:rPr>
          <w:spacing w:val="-15"/>
        </w:rPr>
        <w:t xml:space="preserve"> </w:t>
      </w:r>
      <w:r>
        <w:t>guardians</w:t>
      </w:r>
      <w:r>
        <w:rPr>
          <w:spacing w:val="-15"/>
        </w:rPr>
        <w:t xml:space="preserve"> </w:t>
      </w:r>
      <w:r>
        <w:t>and</w:t>
      </w:r>
      <w:r>
        <w:rPr>
          <w:spacing w:val="-15"/>
        </w:rPr>
        <w:t xml:space="preserve"> </w:t>
      </w:r>
      <w:r>
        <w:t>advocates</w:t>
      </w:r>
    </w:p>
    <w:p w14:paraId="71AB482D" w14:textId="77777777" w:rsidR="009603F4" w:rsidRDefault="009603F4" w:rsidP="009603F4">
      <w:pPr>
        <w:pStyle w:val="ListParagraph"/>
        <w:numPr>
          <w:ilvl w:val="0"/>
          <w:numId w:val="22"/>
        </w:numPr>
      </w:pPr>
      <w:r>
        <w:t>service</w:t>
      </w:r>
      <w:r>
        <w:rPr>
          <w:spacing w:val="-6"/>
        </w:rPr>
        <w:t xml:space="preserve"> </w:t>
      </w:r>
      <w:r>
        <w:t>providers</w:t>
      </w:r>
    </w:p>
    <w:p w14:paraId="52FCE8B9" w14:textId="77777777" w:rsidR="009603F4" w:rsidRDefault="009603F4" w:rsidP="009603F4">
      <w:pPr>
        <w:pStyle w:val="ListParagraph"/>
        <w:numPr>
          <w:ilvl w:val="0"/>
          <w:numId w:val="22"/>
        </w:numPr>
      </w:pPr>
      <w:r>
        <w:t>workers</w:t>
      </w:r>
    </w:p>
    <w:p w14:paraId="4B78DD25" w14:textId="77777777" w:rsidR="009603F4" w:rsidRDefault="009603F4" w:rsidP="009603F4">
      <w:pPr>
        <w:pStyle w:val="ListParagraph"/>
        <w:numPr>
          <w:ilvl w:val="0"/>
          <w:numId w:val="22"/>
        </w:numPr>
      </w:pPr>
      <w:r>
        <w:t>peak</w:t>
      </w:r>
      <w:r>
        <w:rPr>
          <w:spacing w:val="-7"/>
        </w:rPr>
        <w:t xml:space="preserve"> </w:t>
      </w:r>
      <w:r>
        <w:t>and</w:t>
      </w:r>
      <w:r>
        <w:rPr>
          <w:spacing w:val="-7"/>
        </w:rPr>
        <w:t xml:space="preserve"> </w:t>
      </w:r>
      <w:r>
        <w:t>professional</w:t>
      </w:r>
      <w:r>
        <w:rPr>
          <w:spacing w:val="-7"/>
        </w:rPr>
        <w:t xml:space="preserve"> </w:t>
      </w:r>
      <w:r>
        <w:t>bodies</w:t>
      </w:r>
    </w:p>
    <w:p w14:paraId="76C8A968" w14:textId="77777777" w:rsidR="009603F4" w:rsidRDefault="009603F4" w:rsidP="009603F4">
      <w:pPr>
        <w:pStyle w:val="ListParagraph"/>
        <w:numPr>
          <w:ilvl w:val="0"/>
          <w:numId w:val="22"/>
        </w:numPr>
      </w:pPr>
      <w:r>
        <w:t>others.</w:t>
      </w:r>
    </w:p>
    <w:p w14:paraId="0B17FA3D" w14:textId="77777777" w:rsidR="009603F4" w:rsidRDefault="009603F4" w:rsidP="009603F4">
      <w:pPr>
        <w:ind w:left="360"/>
      </w:pPr>
      <w:r>
        <w:t>This</w:t>
      </w:r>
      <w:r w:rsidRPr="009603F4">
        <w:rPr>
          <w:spacing w:val="4"/>
        </w:rPr>
        <w:t xml:space="preserve"> </w:t>
      </w:r>
      <w:r>
        <w:t>paper</w:t>
      </w:r>
      <w:r w:rsidRPr="009603F4">
        <w:rPr>
          <w:spacing w:val="4"/>
        </w:rPr>
        <w:t xml:space="preserve"> </w:t>
      </w:r>
      <w:r>
        <w:t>includes</w:t>
      </w:r>
      <w:r w:rsidRPr="009603F4">
        <w:rPr>
          <w:spacing w:val="5"/>
        </w:rPr>
        <w:t xml:space="preserve"> </w:t>
      </w:r>
      <w:r>
        <w:t>information</w:t>
      </w:r>
      <w:r w:rsidRPr="009603F4">
        <w:rPr>
          <w:spacing w:val="4"/>
        </w:rPr>
        <w:t xml:space="preserve"> </w:t>
      </w:r>
      <w:r>
        <w:t>about:</w:t>
      </w:r>
    </w:p>
    <w:p w14:paraId="31E7A897" w14:textId="77777777" w:rsidR="009603F4" w:rsidRDefault="009603F4" w:rsidP="009603F4">
      <w:pPr>
        <w:pStyle w:val="ListParagraph"/>
        <w:numPr>
          <w:ilvl w:val="0"/>
          <w:numId w:val="22"/>
        </w:numPr>
      </w:pPr>
      <w:r>
        <w:t>the</w:t>
      </w:r>
      <w:r>
        <w:rPr>
          <w:spacing w:val="1"/>
        </w:rPr>
        <w:t xml:space="preserve"> </w:t>
      </w:r>
      <w:r>
        <w:t>work</w:t>
      </w:r>
      <w:r>
        <w:rPr>
          <w:spacing w:val="1"/>
        </w:rPr>
        <w:t xml:space="preserve"> </w:t>
      </w:r>
      <w:r>
        <w:t>we</w:t>
      </w:r>
      <w:r>
        <w:rPr>
          <w:spacing w:val="1"/>
        </w:rPr>
        <w:t xml:space="preserve"> </w:t>
      </w:r>
      <w:r>
        <w:t>are</w:t>
      </w:r>
      <w:r>
        <w:rPr>
          <w:spacing w:val="1"/>
        </w:rPr>
        <w:t xml:space="preserve"> </w:t>
      </w:r>
      <w:r>
        <w:t>doing</w:t>
      </w:r>
      <w:r>
        <w:rPr>
          <w:spacing w:val="1"/>
        </w:rPr>
        <w:t xml:space="preserve"> </w:t>
      </w:r>
      <w:r>
        <w:t>to</w:t>
      </w:r>
      <w:r>
        <w:rPr>
          <w:spacing w:val="1"/>
        </w:rPr>
        <w:t xml:space="preserve"> </w:t>
      </w:r>
      <w:r>
        <w:t>align</w:t>
      </w:r>
      <w:r>
        <w:rPr>
          <w:spacing w:val="1"/>
        </w:rPr>
        <w:t xml:space="preserve"> </w:t>
      </w:r>
      <w:r>
        <w:t>regulation</w:t>
      </w:r>
      <w:r>
        <w:rPr>
          <w:spacing w:val="1"/>
        </w:rPr>
        <w:t xml:space="preserve"> </w:t>
      </w:r>
      <w:r>
        <w:t>across</w:t>
      </w:r>
      <w:r>
        <w:rPr>
          <w:spacing w:val="1"/>
        </w:rPr>
        <w:t xml:space="preserve"> </w:t>
      </w:r>
      <w:r>
        <w:t>the</w:t>
      </w:r>
      <w:r>
        <w:rPr>
          <w:spacing w:val="1"/>
        </w:rPr>
        <w:t xml:space="preserve"> </w:t>
      </w:r>
      <w:r>
        <w:t>sectors</w:t>
      </w:r>
    </w:p>
    <w:p w14:paraId="1F3B65B3" w14:textId="77777777" w:rsidR="009603F4" w:rsidRDefault="009603F4" w:rsidP="009603F4">
      <w:pPr>
        <w:pStyle w:val="ListParagraph"/>
        <w:numPr>
          <w:ilvl w:val="0"/>
          <w:numId w:val="22"/>
        </w:numPr>
      </w:pPr>
      <w:r>
        <w:t>how</w:t>
      </w:r>
      <w:r>
        <w:rPr>
          <w:spacing w:val="-7"/>
        </w:rPr>
        <w:t xml:space="preserve"> </w:t>
      </w:r>
      <w:r>
        <w:t>you</w:t>
      </w:r>
      <w:r>
        <w:rPr>
          <w:spacing w:val="-7"/>
        </w:rPr>
        <w:t xml:space="preserve"> </w:t>
      </w:r>
      <w:r>
        <w:t>can</w:t>
      </w:r>
      <w:r>
        <w:rPr>
          <w:spacing w:val="-6"/>
        </w:rPr>
        <w:t xml:space="preserve"> </w:t>
      </w:r>
      <w:r>
        <w:t>be</w:t>
      </w:r>
      <w:r>
        <w:rPr>
          <w:spacing w:val="-7"/>
        </w:rPr>
        <w:t xml:space="preserve"> </w:t>
      </w:r>
      <w:r>
        <w:t>involved</w:t>
      </w:r>
    </w:p>
    <w:p w14:paraId="7B6CA3B7" w14:textId="5150CC70" w:rsidR="009603F4" w:rsidRPr="00147FB2" w:rsidRDefault="009603F4" w:rsidP="009603F4">
      <w:pPr>
        <w:pStyle w:val="ListParagraph"/>
        <w:numPr>
          <w:ilvl w:val="0"/>
          <w:numId w:val="22"/>
        </w:numPr>
      </w:pPr>
      <w:r>
        <w:t>background</w:t>
      </w:r>
      <w:r>
        <w:rPr>
          <w:spacing w:val="6"/>
        </w:rPr>
        <w:t xml:space="preserve"> </w:t>
      </w:r>
      <w:r>
        <w:t>information</w:t>
      </w:r>
      <w:r>
        <w:rPr>
          <w:spacing w:val="7"/>
        </w:rPr>
        <w:t xml:space="preserve"> </w:t>
      </w:r>
      <w:r>
        <w:t>and</w:t>
      </w:r>
      <w:r>
        <w:rPr>
          <w:spacing w:val="7"/>
        </w:rPr>
        <w:t xml:space="preserve"> </w:t>
      </w:r>
      <w:r>
        <w:t>questions</w:t>
      </w:r>
      <w:r>
        <w:rPr>
          <w:spacing w:val="7"/>
        </w:rPr>
        <w:t xml:space="preserve"> </w:t>
      </w:r>
      <w:r>
        <w:t>to</w:t>
      </w:r>
      <w:r>
        <w:rPr>
          <w:spacing w:val="6"/>
        </w:rPr>
        <w:t xml:space="preserve"> </w:t>
      </w:r>
      <w:r>
        <w:t>help</w:t>
      </w:r>
      <w:r>
        <w:rPr>
          <w:spacing w:val="7"/>
        </w:rPr>
        <w:t xml:space="preserve"> </w:t>
      </w:r>
      <w:r>
        <w:t>you</w:t>
      </w:r>
      <w:r>
        <w:rPr>
          <w:spacing w:val="7"/>
        </w:rPr>
        <w:t xml:space="preserve"> </w:t>
      </w:r>
      <w:r>
        <w:t>to</w:t>
      </w:r>
      <w:r>
        <w:rPr>
          <w:spacing w:val="7"/>
        </w:rPr>
        <w:t xml:space="preserve"> </w:t>
      </w:r>
      <w:r>
        <w:t>tell</w:t>
      </w:r>
      <w:r>
        <w:rPr>
          <w:spacing w:val="6"/>
        </w:rPr>
        <w:t xml:space="preserve"> </w:t>
      </w:r>
      <w:r>
        <w:t>us</w:t>
      </w:r>
      <w:r>
        <w:rPr>
          <w:spacing w:val="7"/>
        </w:rPr>
        <w:t xml:space="preserve"> </w:t>
      </w:r>
      <w:r>
        <w:t>what</w:t>
      </w:r>
      <w:r>
        <w:rPr>
          <w:spacing w:val="7"/>
        </w:rPr>
        <w:t xml:space="preserve"> </w:t>
      </w:r>
      <w:r>
        <w:t>you</w:t>
      </w:r>
      <w:r>
        <w:rPr>
          <w:spacing w:val="-58"/>
        </w:rPr>
        <w:t xml:space="preserve"> </w:t>
      </w:r>
      <w:r>
        <w:rPr>
          <w:w w:val="105"/>
        </w:rPr>
        <w:t>think.</w:t>
      </w:r>
    </w:p>
    <w:p w14:paraId="104A5835" w14:textId="77777777" w:rsidR="00147FB2" w:rsidRDefault="00147FB2">
      <w:pPr>
        <w:spacing w:before="0" w:after="0" w:line="240" w:lineRule="auto"/>
        <w:rPr>
          <w:rFonts w:eastAsiaTheme="majorEastAsia" w:cs="Arial"/>
          <w:b/>
          <w:bCs/>
          <w:color w:val="1F3864" w:themeColor="accent1" w:themeShade="80"/>
          <w:sz w:val="32"/>
          <w:szCs w:val="32"/>
          <w:lang w:val="en-US"/>
        </w:rPr>
      </w:pPr>
      <w:r>
        <w:br w:type="page"/>
      </w:r>
    </w:p>
    <w:p w14:paraId="68262CFD" w14:textId="23BFCDE4" w:rsidR="007165FF" w:rsidRPr="007165FF" w:rsidRDefault="007165FF" w:rsidP="007165FF">
      <w:pPr>
        <w:pStyle w:val="Heading2"/>
      </w:pPr>
      <w:bookmarkStart w:id="5" w:name="_Toc84511960"/>
      <w:r w:rsidRPr="007165FF">
        <w:lastRenderedPageBreak/>
        <w:t>What does regulatory alignment mean?</w:t>
      </w:r>
      <w:bookmarkEnd w:id="5"/>
    </w:p>
    <w:p w14:paraId="1B98DB1A" w14:textId="77777777" w:rsidR="007165FF" w:rsidRPr="007165FF" w:rsidRDefault="007165FF" w:rsidP="007165FF">
      <w:pPr>
        <w:spacing w:after="0" w:line="240" w:lineRule="auto"/>
        <w:rPr>
          <w:lang w:val="en-US"/>
        </w:rPr>
      </w:pPr>
      <w:r w:rsidRPr="007165FF">
        <w:rPr>
          <w:lang w:val="en-US"/>
        </w:rPr>
        <w:t xml:space="preserve">In simple terms, regulation means obligations that individuals, businesses or community </w:t>
      </w:r>
      <w:proofErr w:type="spellStart"/>
      <w:r w:rsidRPr="007165FF">
        <w:rPr>
          <w:lang w:val="en-US"/>
        </w:rPr>
        <w:t>organisations</w:t>
      </w:r>
      <w:proofErr w:type="spellEnd"/>
      <w:r w:rsidRPr="007165FF">
        <w:rPr>
          <w:lang w:val="en-US"/>
        </w:rPr>
        <w:t xml:space="preserve"> are expected to comply with.</w:t>
      </w:r>
    </w:p>
    <w:p w14:paraId="521A2B38" w14:textId="77777777" w:rsidR="007165FF" w:rsidRPr="007165FF" w:rsidRDefault="007165FF" w:rsidP="007165FF">
      <w:pPr>
        <w:spacing w:after="0" w:line="240" w:lineRule="auto"/>
        <w:rPr>
          <w:lang w:val="en-US"/>
        </w:rPr>
      </w:pPr>
      <w:r w:rsidRPr="007165FF">
        <w:rPr>
          <w:lang w:val="en-US"/>
        </w:rPr>
        <w:t>At the Commonwealth level, regulation is established through legislation and rules, guidelines, reporting requirements, and other ways of setting expectations for how supports and services should be delivered and how they will be monitored.</w:t>
      </w:r>
    </w:p>
    <w:p w14:paraId="50F8D4B7" w14:textId="77777777" w:rsidR="007165FF" w:rsidRPr="007165FF" w:rsidRDefault="007165FF" w:rsidP="007165FF">
      <w:pPr>
        <w:spacing w:after="0" w:line="240" w:lineRule="auto"/>
        <w:rPr>
          <w:lang w:val="en-US"/>
        </w:rPr>
      </w:pPr>
      <w:r w:rsidRPr="007165FF">
        <w:rPr>
          <w:lang w:val="en-US"/>
        </w:rPr>
        <w:t>To regulate care and support, the Government does things such as:</w:t>
      </w:r>
    </w:p>
    <w:p w14:paraId="7505545B" w14:textId="77777777" w:rsidR="007165FF" w:rsidRPr="007165FF" w:rsidRDefault="007165FF" w:rsidP="007165FF">
      <w:pPr>
        <w:pStyle w:val="ListParagraph"/>
        <w:numPr>
          <w:ilvl w:val="0"/>
          <w:numId w:val="5"/>
        </w:numPr>
        <w:spacing w:after="0" w:line="240" w:lineRule="auto"/>
        <w:rPr>
          <w:lang w:val="en-US"/>
        </w:rPr>
      </w:pPr>
      <w:r w:rsidRPr="007165FF">
        <w:rPr>
          <w:lang w:val="en-US"/>
        </w:rPr>
        <w:t>provide information and educate</w:t>
      </w:r>
    </w:p>
    <w:p w14:paraId="68822C21" w14:textId="77777777" w:rsidR="007165FF" w:rsidRPr="007165FF" w:rsidRDefault="007165FF" w:rsidP="007165FF">
      <w:pPr>
        <w:pStyle w:val="ListParagraph"/>
        <w:numPr>
          <w:ilvl w:val="0"/>
          <w:numId w:val="5"/>
        </w:numPr>
        <w:spacing w:after="0" w:line="240" w:lineRule="auto"/>
        <w:rPr>
          <w:lang w:val="en-US"/>
        </w:rPr>
      </w:pPr>
      <w:r w:rsidRPr="007165FF">
        <w:rPr>
          <w:lang w:val="en-US"/>
        </w:rPr>
        <w:t>make rules, codes of conduct or standards</w:t>
      </w:r>
    </w:p>
    <w:p w14:paraId="64E3DE9B" w14:textId="77777777" w:rsidR="007165FF" w:rsidRPr="007165FF" w:rsidRDefault="007165FF" w:rsidP="007165FF">
      <w:pPr>
        <w:pStyle w:val="ListParagraph"/>
        <w:numPr>
          <w:ilvl w:val="0"/>
          <w:numId w:val="5"/>
        </w:numPr>
        <w:spacing w:after="0" w:line="240" w:lineRule="auto"/>
        <w:rPr>
          <w:lang w:val="en-US"/>
        </w:rPr>
      </w:pPr>
      <w:r w:rsidRPr="007165FF">
        <w:rPr>
          <w:lang w:val="en-US"/>
        </w:rPr>
        <w:t>give or cancel approvals or registration of providers</w:t>
      </w:r>
    </w:p>
    <w:p w14:paraId="14DFBA60" w14:textId="77777777" w:rsidR="007165FF" w:rsidRPr="007165FF" w:rsidRDefault="007165FF" w:rsidP="007165FF">
      <w:pPr>
        <w:pStyle w:val="ListParagraph"/>
        <w:numPr>
          <w:ilvl w:val="0"/>
          <w:numId w:val="5"/>
        </w:numPr>
        <w:spacing w:after="0" w:line="240" w:lineRule="auto"/>
        <w:rPr>
          <w:lang w:val="en-US"/>
        </w:rPr>
      </w:pPr>
      <w:r w:rsidRPr="007165FF">
        <w:rPr>
          <w:lang w:val="en-US"/>
        </w:rPr>
        <w:t>promote quality services, and monitor and assess how providers and workers meet the regulations</w:t>
      </w:r>
    </w:p>
    <w:p w14:paraId="65FDB516" w14:textId="77777777" w:rsidR="007165FF" w:rsidRPr="007165FF" w:rsidRDefault="007165FF" w:rsidP="007165FF">
      <w:pPr>
        <w:pStyle w:val="ListParagraph"/>
        <w:numPr>
          <w:ilvl w:val="0"/>
          <w:numId w:val="5"/>
        </w:numPr>
        <w:spacing w:after="0" w:line="240" w:lineRule="auto"/>
        <w:rPr>
          <w:lang w:val="en-US"/>
        </w:rPr>
      </w:pPr>
      <w:r w:rsidRPr="007165FF">
        <w:rPr>
          <w:lang w:val="en-US"/>
        </w:rPr>
        <w:t>handle complaints from the public about services</w:t>
      </w:r>
    </w:p>
    <w:p w14:paraId="51190062" w14:textId="77777777" w:rsidR="007165FF" w:rsidRPr="007165FF" w:rsidRDefault="007165FF" w:rsidP="007165FF">
      <w:pPr>
        <w:pStyle w:val="ListParagraph"/>
        <w:numPr>
          <w:ilvl w:val="0"/>
          <w:numId w:val="5"/>
        </w:numPr>
        <w:spacing w:after="0" w:line="240" w:lineRule="auto"/>
        <w:rPr>
          <w:lang w:val="en-US"/>
        </w:rPr>
      </w:pPr>
      <w:r w:rsidRPr="007165FF">
        <w:rPr>
          <w:lang w:val="en-US"/>
        </w:rPr>
        <w:t>make providers and workers meet the regulations.</w:t>
      </w:r>
    </w:p>
    <w:p w14:paraId="47307EF3" w14:textId="77777777" w:rsidR="007165FF" w:rsidRPr="007165FF" w:rsidRDefault="007165FF" w:rsidP="007165FF">
      <w:pPr>
        <w:spacing w:after="0" w:line="240" w:lineRule="auto"/>
        <w:rPr>
          <w:lang w:val="en-US"/>
        </w:rPr>
      </w:pPr>
      <w:r w:rsidRPr="007165FF">
        <w:rPr>
          <w:lang w:val="en-US"/>
        </w:rPr>
        <w:t>These are the ways regulators ensure quality and provide safeguards for participants and users of aged care, disability support and veterans’ care.</w:t>
      </w:r>
    </w:p>
    <w:p w14:paraId="2A8317D4" w14:textId="77777777" w:rsidR="007165FF" w:rsidRPr="007165FF" w:rsidRDefault="007165FF" w:rsidP="007165FF">
      <w:pPr>
        <w:spacing w:after="0" w:line="240" w:lineRule="auto"/>
        <w:rPr>
          <w:lang w:val="en-US"/>
        </w:rPr>
      </w:pPr>
      <w:r w:rsidRPr="007165FF">
        <w:rPr>
          <w:lang w:val="en-US"/>
        </w:rPr>
        <w:t>Regulatory alignment refers to the process of making regulation more consistent across agencies, sectors or jurisdictions. Changes may be:</w:t>
      </w:r>
    </w:p>
    <w:p w14:paraId="0235FAE8" w14:textId="77777777" w:rsidR="007165FF" w:rsidRPr="007165FF" w:rsidRDefault="007165FF" w:rsidP="007165FF">
      <w:pPr>
        <w:pStyle w:val="ListParagraph"/>
        <w:numPr>
          <w:ilvl w:val="0"/>
          <w:numId w:val="6"/>
        </w:numPr>
        <w:spacing w:after="0" w:line="240" w:lineRule="auto"/>
        <w:rPr>
          <w:lang w:val="en-US"/>
        </w:rPr>
      </w:pPr>
      <w:r w:rsidRPr="007165FF">
        <w:rPr>
          <w:lang w:val="en-US"/>
        </w:rPr>
        <w:t>minor, such as adjusting reporting requirements</w:t>
      </w:r>
    </w:p>
    <w:p w14:paraId="6BE7566B" w14:textId="77777777" w:rsidR="007165FF" w:rsidRPr="007165FF" w:rsidRDefault="007165FF" w:rsidP="007165FF">
      <w:pPr>
        <w:pStyle w:val="ListParagraph"/>
        <w:numPr>
          <w:ilvl w:val="0"/>
          <w:numId w:val="6"/>
        </w:numPr>
        <w:spacing w:after="0" w:line="240" w:lineRule="auto"/>
        <w:rPr>
          <w:lang w:val="en-US"/>
        </w:rPr>
      </w:pPr>
      <w:r w:rsidRPr="007165FF">
        <w:rPr>
          <w:lang w:val="en-US"/>
        </w:rPr>
        <w:t>major, such as making laws the same.</w:t>
      </w:r>
    </w:p>
    <w:p w14:paraId="24EB334C" w14:textId="6EB3BC4F" w:rsidR="007165FF" w:rsidRPr="007165FF" w:rsidRDefault="007165FF" w:rsidP="007165FF">
      <w:pPr>
        <w:spacing w:after="0" w:line="240" w:lineRule="auto"/>
        <w:rPr>
          <w:lang w:val="en-US"/>
        </w:rPr>
      </w:pPr>
      <w:r w:rsidRPr="007165FF">
        <w:rPr>
          <w:lang w:val="en-US"/>
        </w:rPr>
        <w:t>Alignment means that regulation can better do what it is designed to do. In this case, making sure users of aged care, disability support and veterans’ care receive high quality</w:t>
      </w:r>
      <w:r w:rsidR="00547A3D">
        <w:rPr>
          <w:lang w:val="en-US"/>
        </w:rPr>
        <w:t xml:space="preserve">, </w:t>
      </w:r>
      <w:r w:rsidRPr="007165FF">
        <w:rPr>
          <w:lang w:val="en-US"/>
        </w:rPr>
        <w:t>safe care and supports.</w:t>
      </w:r>
    </w:p>
    <w:p w14:paraId="6E1BAEB7" w14:textId="77777777" w:rsidR="007165FF" w:rsidRPr="007165FF" w:rsidRDefault="007165FF" w:rsidP="007165FF">
      <w:pPr>
        <w:pStyle w:val="Heading2"/>
      </w:pPr>
      <w:bookmarkStart w:id="6" w:name="_Toc84511961"/>
      <w:r w:rsidRPr="007165FF">
        <w:t>Australia’s care and support sectors</w:t>
      </w:r>
      <w:bookmarkEnd w:id="6"/>
    </w:p>
    <w:p w14:paraId="370AA6F4" w14:textId="77777777" w:rsidR="007165FF" w:rsidRPr="007165FF" w:rsidRDefault="007165FF" w:rsidP="007165FF">
      <w:pPr>
        <w:spacing w:after="0" w:line="240" w:lineRule="auto"/>
        <w:rPr>
          <w:lang w:val="en-US"/>
        </w:rPr>
      </w:pPr>
      <w:r w:rsidRPr="007165FF">
        <w:rPr>
          <w:lang w:val="en-US"/>
        </w:rPr>
        <w:t xml:space="preserve">Australia’s care and support sectors include a wide range of supports and services that help Australians to live safely, with dignity and independence, including: </w:t>
      </w:r>
    </w:p>
    <w:p w14:paraId="2EB3BDE0" w14:textId="77777777" w:rsidR="007165FF" w:rsidRPr="007165FF" w:rsidRDefault="007165FF" w:rsidP="007165FF">
      <w:pPr>
        <w:pStyle w:val="ListParagraph"/>
        <w:numPr>
          <w:ilvl w:val="0"/>
          <w:numId w:val="9"/>
        </w:numPr>
        <w:spacing w:after="0" w:line="240" w:lineRule="auto"/>
        <w:rPr>
          <w:lang w:val="en-US"/>
        </w:rPr>
      </w:pPr>
      <w:r w:rsidRPr="007165FF">
        <w:rPr>
          <w:lang w:val="en-US"/>
        </w:rPr>
        <w:t>aged care</w:t>
      </w:r>
    </w:p>
    <w:p w14:paraId="40880F0B" w14:textId="18925B19" w:rsidR="007165FF" w:rsidRPr="007165FF" w:rsidRDefault="007165FF" w:rsidP="007165FF">
      <w:pPr>
        <w:pStyle w:val="ListParagraph"/>
        <w:numPr>
          <w:ilvl w:val="0"/>
          <w:numId w:val="7"/>
        </w:numPr>
        <w:spacing w:after="0" w:line="240" w:lineRule="auto"/>
        <w:rPr>
          <w:lang w:val="en-US"/>
        </w:rPr>
      </w:pPr>
      <w:r w:rsidRPr="007165FF">
        <w:rPr>
          <w:lang w:val="en-US"/>
        </w:rPr>
        <w:t>the National Disability Insurance Scheme (NDIS) and other disability services</w:t>
      </w:r>
    </w:p>
    <w:p w14:paraId="3EB5FC94" w14:textId="77777777" w:rsidR="007165FF" w:rsidRPr="007165FF" w:rsidRDefault="007165FF" w:rsidP="007165FF">
      <w:pPr>
        <w:pStyle w:val="ListParagraph"/>
        <w:numPr>
          <w:ilvl w:val="0"/>
          <w:numId w:val="7"/>
        </w:numPr>
        <w:spacing w:after="0" w:line="240" w:lineRule="auto"/>
        <w:rPr>
          <w:lang w:val="en-US"/>
        </w:rPr>
      </w:pPr>
      <w:r w:rsidRPr="007165FF">
        <w:rPr>
          <w:lang w:val="en-US"/>
        </w:rPr>
        <w:t>veterans’ care.</w:t>
      </w:r>
    </w:p>
    <w:p w14:paraId="66A77C9A" w14:textId="77777777" w:rsidR="007165FF" w:rsidRPr="007165FF" w:rsidRDefault="007165FF" w:rsidP="007165FF">
      <w:pPr>
        <w:spacing w:after="0" w:line="240" w:lineRule="auto"/>
        <w:rPr>
          <w:lang w:val="en-US"/>
        </w:rPr>
      </w:pPr>
      <w:r w:rsidRPr="007165FF">
        <w:rPr>
          <w:lang w:val="en-US"/>
        </w:rPr>
        <w:t>Australians who use care and supports could include:</w:t>
      </w:r>
    </w:p>
    <w:p w14:paraId="4263FAAF" w14:textId="77777777" w:rsidR="007165FF" w:rsidRPr="007165FF" w:rsidRDefault="007165FF" w:rsidP="007165FF">
      <w:pPr>
        <w:pStyle w:val="ListParagraph"/>
        <w:numPr>
          <w:ilvl w:val="0"/>
          <w:numId w:val="8"/>
        </w:numPr>
        <w:spacing w:after="0" w:line="240" w:lineRule="auto"/>
        <w:rPr>
          <w:lang w:val="en-US"/>
        </w:rPr>
      </w:pPr>
      <w:r w:rsidRPr="007165FF">
        <w:rPr>
          <w:lang w:val="en-US"/>
        </w:rPr>
        <w:t>senior Australians, through in-home, residential and flexible care services</w:t>
      </w:r>
    </w:p>
    <w:p w14:paraId="1094E425" w14:textId="77777777" w:rsidR="007165FF" w:rsidRPr="007165FF" w:rsidRDefault="007165FF" w:rsidP="007165FF">
      <w:pPr>
        <w:pStyle w:val="ListParagraph"/>
        <w:numPr>
          <w:ilvl w:val="0"/>
          <w:numId w:val="8"/>
        </w:numPr>
        <w:spacing w:after="0" w:line="240" w:lineRule="auto"/>
        <w:rPr>
          <w:lang w:val="en-US"/>
        </w:rPr>
      </w:pPr>
      <w:r w:rsidRPr="007165FF">
        <w:rPr>
          <w:lang w:val="en-US"/>
        </w:rPr>
        <w:t>any person with disability including children, young people and adults, through the NDIS and other disability services</w:t>
      </w:r>
    </w:p>
    <w:p w14:paraId="3B010761" w14:textId="004C0948" w:rsidR="007165FF" w:rsidRDefault="007165FF" w:rsidP="007165FF">
      <w:pPr>
        <w:pStyle w:val="ListParagraph"/>
        <w:numPr>
          <w:ilvl w:val="0"/>
          <w:numId w:val="8"/>
        </w:numPr>
        <w:spacing w:after="0" w:line="240" w:lineRule="auto"/>
        <w:rPr>
          <w:lang w:val="en-US"/>
        </w:rPr>
      </w:pPr>
      <w:r w:rsidRPr="007165FF">
        <w:rPr>
          <w:lang w:val="en-US"/>
        </w:rPr>
        <w:t>veterans and their families, through programs administered by the Department of Veterans’ Affairs.</w:t>
      </w:r>
    </w:p>
    <w:p w14:paraId="5726A5CE" w14:textId="77777777" w:rsidR="00147FB2" w:rsidRDefault="00147FB2">
      <w:pPr>
        <w:spacing w:before="0" w:after="0" w:line="240" w:lineRule="auto"/>
        <w:rPr>
          <w:lang w:val="en-US"/>
        </w:rPr>
      </w:pPr>
      <w:r>
        <w:rPr>
          <w:b/>
          <w:bCs/>
        </w:rPr>
        <w:br w:type="page"/>
      </w:r>
    </w:p>
    <w:p w14:paraId="3184E6F6" w14:textId="0F269B76" w:rsidR="007165FF" w:rsidRDefault="007165FF" w:rsidP="007165FF">
      <w:pPr>
        <w:pStyle w:val="FigureHeading"/>
      </w:pPr>
      <w:r w:rsidRPr="007165FF">
        <w:lastRenderedPageBreak/>
        <w:t>Figure 1: Overview of Australia’s care and support sectors</w:t>
      </w:r>
    </w:p>
    <w:p w14:paraId="574717CD" w14:textId="2CB30FF9" w:rsidR="00654E6A" w:rsidRPr="007165FF" w:rsidRDefault="00D87382" w:rsidP="007165FF">
      <w:pPr>
        <w:pStyle w:val="FigureHeading"/>
      </w:pPr>
      <w:r>
        <w:rPr>
          <w:noProof/>
        </w:rPr>
        <w:drawing>
          <wp:inline distT="0" distB="0" distL="0" distR="0" wp14:anchorId="6C7889BD" wp14:editId="049AD0A2">
            <wp:extent cx="6051550" cy="3009628"/>
            <wp:effectExtent l="0" t="0" r="6350" b="635"/>
            <wp:docPr id="2" name="Picture 2" descr="Figure 2: Overview of Australia’s care and support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Overview of Australia’s care and support sectors"/>
                    <pic:cNvPicPr/>
                  </pic:nvPicPr>
                  <pic:blipFill rotWithShape="1">
                    <a:blip r:embed="rId9" cstate="print">
                      <a:extLst>
                        <a:ext uri="{28A0092B-C50C-407E-A947-70E740481C1C}">
                          <a14:useLocalDpi xmlns:a14="http://schemas.microsoft.com/office/drawing/2010/main" val="0"/>
                        </a:ext>
                      </a:extLst>
                    </a:blip>
                    <a:srcRect l="2876" t="12682" r="7176" b="7761"/>
                    <a:stretch/>
                  </pic:blipFill>
                  <pic:spPr bwMode="auto">
                    <a:xfrm>
                      <a:off x="0" y="0"/>
                      <a:ext cx="6061384" cy="3014519"/>
                    </a:xfrm>
                    <a:prstGeom prst="rect">
                      <a:avLst/>
                    </a:prstGeom>
                    <a:ln>
                      <a:noFill/>
                    </a:ln>
                    <a:extLst>
                      <a:ext uri="{53640926-AAD7-44D8-BBD7-CCE9431645EC}">
                        <a14:shadowObscured xmlns:a14="http://schemas.microsoft.com/office/drawing/2010/main"/>
                      </a:ext>
                    </a:extLst>
                  </pic:spPr>
                </pic:pic>
              </a:graphicData>
            </a:graphic>
          </wp:inline>
        </w:drawing>
      </w:r>
    </w:p>
    <w:p w14:paraId="1E810278" w14:textId="77777777" w:rsidR="007165FF" w:rsidRPr="007165FF" w:rsidRDefault="007165FF" w:rsidP="007165FF">
      <w:pPr>
        <w:pStyle w:val="Heading3"/>
      </w:pPr>
      <w:bookmarkStart w:id="7" w:name="_Toc84511962"/>
      <w:r w:rsidRPr="007165FF">
        <w:t>Aged Care</w:t>
      </w:r>
      <w:bookmarkEnd w:id="7"/>
    </w:p>
    <w:p w14:paraId="564883AB" w14:textId="77777777" w:rsidR="007165FF" w:rsidRDefault="007165FF" w:rsidP="007165FF">
      <w:r>
        <w:t>Aged care in Australia includes supports with everyday living, health care, accommodation and equipment for older people in their own home, in the community, or in a residential aged care setting. In 2019–20, over 1.3 million people received some form of aged care. Programs funded by the Commonwealth include Residential Aged Care, the Commonwealth Home Support Program, Home Care Packages, Respite Care, and flexible care services. Aged care is regulated by the Department of Health and the Aged Care Quality and Safety Commission (ACQSC).</w:t>
      </w:r>
    </w:p>
    <w:p w14:paraId="36F01B4D" w14:textId="42429BA3" w:rsidR="007165FF" w:rsidRDefault="007165FF" w:rsidP="007165FF">
      <w:pPr>
        <w:pStyle w:val="Heading3"/>
      </w:pPr>
      <w:bookmarkStart w:id="8" w:name="_Toc84511963"/>
      <w:r>
        <w:t>NDIS and other disability services</w:t>
      </w:r>
      <w:bookmarkEnd w:id="8"/>
    </w:p>
    <w:p w14:paraId="12142E22" w14:textId="2C182FA6" w:rsidR="00547A3D" w:rsidRDefault="00547A3D" w:rsidP="00EB623A">
      <w:pPr>
        <w:pStyle w:val="BodyText"/>
      </w:pPr>
      <w:r>
        <w:t>The NDIS is Australia’s first national Scheme for people with disability.</w:t>
      </w:r>
      <w:r>
        <w:rPr>
          <w:spacing w:val="1"/>
        </w:rPr>
        <w:t xml:space="preserve"> </w:t>
      </w:r>
      <w:r>
        <w:t>Under</w:t>
      </w:r>
      <w:r>
        <w:rPr>
          <w:spacing w:val="5"/>
        </w:rPr>
        <w:t xml:space="preserve"> </w:t>
      </w:r>
      <w:r>
        <w:t>the</w:t>
      </w:r>
      <w:r>
        <w:rPr>
          <w:spacing w:val="5"/>
        </w:rPr>
        <w:t xml:space="preserve"> </w:t>
      </w:r>
      <w:r>
        <w:t>NDIS,</w:t>
      </w:r>
      <w:r>
        <w:rPr>
          <w:spacing w:val="5"/>
        </w:rPr>
        <w:t xml:space="preserve"> </w:t>
      </w:r>
      <w:r>
        <w:t>eligible</w:t>
      </w:r>
      <w:r>
        <w:rPr>
          <w:spacing w:val="5"/>
        </w:rPr>
        <w:t xml:space="preserve"> </w:t>
      </w:r>
      <w:r>
        <w:t>people</w:t>
      </w:r>
      <w:r>
        <w:rPr>
          <w:spacing w:val="5"/>
        </w:rPr>
        <w:t xml:space="preserve"> </w:t>
      </w:r>
      <w:r>
        <w:t>with</w:t>
      </w:r>
      <w:r>
        <w:rPr>
          <w:spacing w:val="5"/>
        </w:rPr>
        <w:t xml:space="preserve"> </w:t>
      </w:r>
      <w:r>
        <w:t>a</w:t>
      </w:r>
      <w:r>
        <w:rPr>
          <w:spacing w:val="5"/>
        </w:rPr>
        <w:t xml:space="preserve"> </w:t>
      </w:r>
      <w:r>
        <w:t>permanent</w:t>
      </w:r>
      <w:r>
        <w:rPr>
          <w:spacing w:val="5"/>
        </w:rPr>
        <w:t xml:space="preserve"> </w:t>
      </w:r>
      <w:r>
        <w:t>and</w:t>
      </w:r>
      <w:r>
        <w:rPr>
          <w:spacing w:val="5"/>
        </w:rPr>
        <w:t xml:space="preserve"> </w:t>
      </w:r>
      <w:r>
        <w:t>significant</w:t>
      </w:r>
      <w:r>
        <w:rPr>
          <w:spacing w:val="6"/>
        </w:rPr>
        <w:t xml:space="preserve"> </w:t>
      </w:r>
      <w:r>
        <w:t xml:space="preserve">disability </w:t>
      </w:r>
      <w:r>
        <w:rPr>
          <w:spacing w:val="-59"/>
        </w:rPr>
        <w:t xml:space="preserve"> </w:t>
      </w:r>
      <w:r>
        <w:t>are</w:t>
      </w:r>
      <w:r>
        <w:rPr>
          <w:spacing w:val="1"/>
        </w:rPr>
        <w:t xml:space="preserve"> </w:t>
      </w:r>
      <w:r>
        <w:t>provided</w:t>
      </w:r>
      <w:r>
        <w:rPr>
          <w:spacing w:val="1"/>
        </w:rPr>
        <w:t xml:space="preserve"> </w:t>
      </w:r>
      <w:r>
        <w:t>with</w:t>
      </w:r>
      <w:r>
        <w:rPr>
          <w:spacing w:val="2"/>
        </w:rPr>
        <w:t xml:space="preserve"> </w:t>
      </w:r>
      <w:r>
        <w:t>personalised</w:t>
      </w:r>
      <w:r>
        <w:rPr>
          <w:spacing w:val="1"/>
        </w:rPr>
        <w:t xml:space="preserve"> </w:t>
      </w:r>
      <w:r>
        <w:t>budgets,</w:t>
      </w:r>
      <w:r>
        <w:rPr>
          <w:spacing w:val="1"/>
        </w:rPr>
        <w:t xml:space="preserve"> </w:t>
      </w:r>
      <w:r>
        <w:t>enabling</w:t>
      </w:r>
      <w:r>
        <w:rPr>
          <w:spacing w:val="2"/>
        </w:rPr>
        <w:t xml:space="preserve"> </w:t>
      </w:r>
      <w:r>
        <w:t>them</w:t>
      </w:r>
      <w:r>
        <w:rPr>
          <w:spacing w:val="1"/>
        </w:rPr>
        <w:t xml:space="preserve"> </w:t>
      </w:r>
      <w:r>
        <w:t>to</w:t>
      </w:r>
      <w:r>
        <w:rPr>
          <w:spacing w:val="1"/>
        </w:rPr>
        <w:t xml:space="preserve"> </w:t>
      </w:r>
      <w:r>
        <w:t>exercise</w:t>
      </w:r>
      <w:r>
        <w:rPr>
          <w:spacing w:val="2"/>
        </w:rPr>
        <w:t xml:space="preserve"> </w:t>
      </w:r>
      <w:r>
        <w:t>choice</w:t>
      </w:r>
      <w:r>
        <w:rPr>
          <w:spacing w:val="1"/>
        </w:rPr>
        <w:t xml:space="preserve"> </w:t>
      </w:r>
      <w:r>
        <w:t>and</w:t>
      </w:r>
      <w:r>
        <w:rPr>
          <w:spacing w:val="3"/>
        </w:rPr>
        <w:t xml:space="preserve"> </w:t>
      </w:r>
      <w:r>
        <w:t>control</w:t>
      </w:r>
      <w:r>
        <w:rPr>
          <w:spacing w:val="3"/>
        </w:rPr>
        <w:t xml:space="preserve"> </w:t>
      </w:r>
      <w:r>
        <w:t>over</w:t>
      </w:r>
      <w:r>
        <w:rPr>
          <w:spacing w:val="3"/>
        </w:rPr>
        <w:t xml:space="preserve"> </w:t>
      </w:r>
      <w:r>
        <w:t>supports</w:t>
      </w:r>
      <w:r>
        <w:rPr>
          <w:spacing w:val="3"/>
        </w:rPr>
        <w:t xml:space="preserve"> </w:t>
      </w:r>
      <w:r>
        <w:t>and</w:t>
      </w:r>
      <w:r>
        <w:rPr>
          <w:spacing w:val="4"/>
        </w:rPr>
        <w:t xml:space="preserve"> </w:t>
      </w:r>
      <w:r>
        <w:t>services</w:t>
      </w:r>
      <w:r>
        <w:rPr>
          <w:spacing w:val="3"/>
        </w:rPr>
        <w:t xml:space="preserve"> </w:t>
      </w:r>
      <w:r>
        <w:t>that</w:t>
      </w:r>
      <w:r>
        <w:rPr>
          <w:spacing w:val="3"/>
        </w:rPr>
        <w:t xml:space="preserve"> </w:t>
      </w:r>
      <w:r>
        <w:t>help</w:t>
      </w:r>
      <w:r>
        <w:rPr>
          <w:spacing w:val="3"/>
        </w:rPr>
        <w:t xml:space="preserve"> </w:t>
      </w:r>
      <w:r>
        <w:t>them</w:t>
      </w:r>
      <w:r>
        <w:rPr>
          <w:spacing w:val="4"/>
        </w:rPr>
        <w:t xml:space="preserve"> </w:t>
      </w:r>
      <w:r>
        <w:t>in</w:t>
      </w:r>
      <w:r>
        <w:rPr>
          <w:spacing w:val="3"/>
        </w:rPr>
        <w:t xml:space="preserve"> </w:t>
      </w:r>
      <w:r>
        <w:t>their</w:t>
      </w:r>
      <w:r>
        <w:rPr>
          <w:spacing w:val="3"/>
        </w:rPr>
        <w:t xml:space="preserve"> </w:t>
      </w:r>
      <w:r>
        <w:t>daily</w:t>
      </w:r>
      <w:r>
        <w:rPr>
          <w:spacing w:val="3"/>
        </w:rPr>
        <w:t xml:space="preserve"> </w:t>
      </w:r>
      <w:r>
        <w:t>life,</w:t>
      </w:r>
      <w:r>
        <w:rPr>
          <w:spacing w:val="4"/>
        </w:rPr>
        <w:t xml:space="preserve"> </w:t>
      </w:r>
      <w:r>
        <w:t>to</w:t>
      </w:r>
      <w:r>
        <w:rPr>
          <w:spacing w:val="1"/>
        </w:rPr>
        <w:t xml:space="preserve"> </w:t>
      </w:r>
      <w:r>
        <w:t>participate</w:t>
      </w:r>
      <w:r>
        <w:rPr>
          <w:spacing w:val="-5"/>
        </w:rPr>
        <w:t xml:space="preserve"> </w:t>
      </w:r>
      <w:r>
        <w:t>in</w:t>
      </w:r>
      <w:r>
        <w:rPr>
          <w:spacing w:val="-5"/>
        </w:rPr>
        <w:t xml:space="preserve"> </w:t>
      </w:r>
      <w:r>
        <w:t>the</w:t>
      </w:r>
      <w:r>
        <w:rPr>
          <w:spacing w:val="-5"/>
        </w:rPr>
        <w:t xml:space="preserve"> </w:t>
      </w:r>
      <w:r>
        <w:t>community</w:t>
      </w:r>
      <w:r>
        <w:rPr>
          <w:spacing w:val="-5"/>
        </w:rPr>
        <w:t xml:space="preserve"> </w:t>
      </w:r>
      <w:r>
        <w:t>and</w:t>
      </w:r>
      <w:r>
        <w:rPr>
          <w:spacing w:val="-5"/>
        </w:rPr>
        <w:t xml:space="preserve"> </w:t>
      </w:r>
      <w:r>
        <w:t>to</w:t>
      </w:r>
      <w:r>
        <w:rPr>
          <w:spacing w:val="-5"/>
        </w:rPr>
        <w:t xml:space="preserve"> </w:t>
      </w:r>
      <w:r>
        <w:t>reach</w:t>
      </w:r>
      <w:r>
        <w:rPr>
          <w:spacing w:val="-5"/>
        </w:rPr>
        <w:t xml:space="preserve"> </w:t>
      </w:r>
      <w:r>
        <w:t>their</w:t>
      </w:r>
      <w:r>
        <w:rPr>
          <w:spacing w:val="-5"/>
        </w:rPr>
        <w:t xml:space="preserve"> </w:t>
      </w:r>
      <w:r>
        <w:t>goals.</w:t>
      </w:r>
      <w:r>
        <w:rPr>
          <w:spacing w:val="-5"/>
        </w:rPr>
        <w:t xml:space="preserve"> </w:t>
      </w:r>
      <w:r>
        <w:t>There</w:t>
      </w:r>
      <w:r>
        <w:rPr>
          <w:spacing w:val="-5"/>
        </w:rPr>
        <w:t xml:space="preserve"> </w:t>
      </w:r>
      <w:r>
        <w:t>were</w:t>
      </w:r>
      <w:r>
        <w:rPr>
          <w:spacing w:val="-4"/>
        </w:rPr>
        <w:t xml:space="preserve"> </w:t>
      </w:r>
      <w:r>
        <w:t>391,999</w:t>
      </w:r>
    </w:p>
    <w:p w14:paraId="2B3A7B89" w14:textId="1410605F" w:rsidR="00547A3D" w:rsidRDefault="00547A3D" w:rsidP="00EB623A">
      <w:pPr>
        <w:pStyle w:val="BodyText"/>
      </w:pPr>
      <w:r>
        <w:t>active</w:t>
      </w:r>
      <w:r>
        <w:rPr>
          <w:spacing w:val="-12"/>
        </w:rPr>
        <w:t xml:space="preserve"> </w:t>
      </w:r>
      <w:r>
        <w:t>NDIS</w:t>
      </w:r>
      <w:r>
        <w:rPr>
          <w:spacing w:val="-12"/>
        </w:rPr>
        <w:t xml:space="preserve"> </w:t>
      </w:r>
      <w:r>
        <w:t>participants</w:t>
      </w:r>
      <w:r>
        <w:rPr>
          <w:spacing w:val="-11"/>
        </w:rPr>
        <w:t xml:space="preserve"> </w:t>
      </w:r>
      <w:r>
        <w:t>at</w:t>
      </w:r>
      <w:r>
        <w:rPr>
          <w:spacing w:val="-12"/>
        </w:rPr>
        <w:t xml:space="preserve"> </w:t>
      </w:r>
      <w:r>
        <w:t>the</w:t>
      </w:r>
      <w:r>
        <w:rPr>
          <w:spacing w:val="-11"/>
        </w:rPr>
        <w:t xml:space="preserve"> </w:t>
      </w:r>
      <w:r>
        <w:t>end</w:t>
      </w:r>
      <w:r>
        <w:rPr>
          <w:spacing w:val="-12"/>
        </w:rPr>
        <w:t xml:space="preserve"> </w:t>
      </w:r>
      <w:r>
        <w:t>of</w:t>
      </w:r>
      <w:r>
        <w:rPr>
          <w:spacing w:val="-11"/>
        </w:rPr>
        <w:t xml:space="preserve"> </w:t>
      </w:r>
      <w:r>
        <w:t>the</w:t>
      </w:r>
      <w:r>
        <w:rPr>
          <w:spacing w:val="-12"/>
        </w:rPr>
        <w:t xml:space="preserve"> </w:t>
      </w:r>
      <w:r>
        <w:t>2019-20</w:t>
      </w:r>
      <w:r>
        <w:rPr>
          <w:spacing w:val="-12"/>
        </w:rPr>
        <w:t xml:space="preserve"> </w:t>
      </w:r>
      <w:r>
        <w:t>year,</w:t>
      </w:r>
      <w:r>
        <w:rPr>
          <w:spacing w:val="-11"/>
        </w:rPr>
        <w:t xml:space="preserve"> </w:t>
      </w:r>
      <w:r>
        <w:t>which</w:t>
      </w:r>
      <w:r>
        <w:rPr>
          <w:spacing w:val="-12"/>
        </w:rPr>
        <w:t xml:space="preserve"> </w:t>
      </w:r>
      <w:r>
        <w:t>grew</w:t>
      </w:r>
      <w:r>
        <w:rPr>
          <w:spacing w:val="-11"/>
        </w:rPr>
        <w:t xml:space="preserve"> </w:t>
      </w:r>
      <w:r>
        <w:t>to</w:t>
      </w:r>
      <w:r>
        <w:rPr>
          <w:spacing w:val="-12"/>
        </w:rPr>
        <w:t xml:space="preserve"> </w:t>
      </w:r>
      <w:r>
        <w:t xml:space="preserve">466,619 </w:t>
      </w:r>
      <w:r>
        <w:rPr>
          <w:spacing w:val="-58"/>
        </w:rPr>
        <w:t xml:space="preserve"> </w:t>
      </w:r>
      <w:r>
        <w:t>at</w:t>
      </w:r>
      <w:r>
        <w:rPr>
          <w:spacing w:val="-12"/>
        </w:rPr>
        <w:t xml:space="preserve"> </w:t>
      </w:r>
      <w:r>
        <w:t>the</w:t>
      </w:r>
      <w:r>
        <w:rPr>
          <w:spacing w:val="-11"/>
        </w:rPr>
        <w:t xml:space="preserve"> </w:t>
      </w:r>
      <w:r>
        <w:t>end</w:t>
      </w:r>
      <w:r>
        <w:rPr>
          <w:spacing w:val="-11"/>
        </w:rPr>
        <w:t xml:space="preserve"> </w:t>
      </w:r>
      <w:r>
        <w:t>of</w:t>
      </w:r>
      <w:r>
        <w:rPr>
          <w:spacing w:val="-11"/>
        </w:rPr>
        <w:t xml:space="preserve"> </w:t>
      </w:r>
      <w:r>
        <w:t>2020-21.</w:t>
      </w:r>
      <w:r>
        <w:rPr>
          <w:spacing w:val="-11"/>
        </w:rPr>
        <w:t xml:space="preserve"> </w:t>
      </w:r>
      <w:r>
        <w:t>Quality</w:t>
      </w:r>
      <w:r>
        <w:rPr>
          <w:spacing w:val="-12"/>
        </w:rPr>
        <w:t xml:space="preserve"> </w:t>
      </w:r>
      <w:r>
        <w:t>and</w:t>
      </w:r>
      <w:r>
        <w:rPr>
          <w:spacing w:val="-11"/>
        </w:rPr>
        <w:t xml:space="preserve"> </w:t>
      </w:r>
      <w:r>
        <w:t>safety</w:t>
      </w:r>
      <w:r>
        <w:rPr>
          <w:spacing w:val="-11"/>
        </w:rPr>
        <w:t xml:space="preserve"> </w:t>
      </w:r>
      <w:r>
        <w:t>in</w:t>
      </w:r>
      <w:r>
        <w:rPr>
          <w:spacing w:val="-11"/>
        </w:rPr>
        <w:t xml:space="preserve"> </w:t>
      </w:r>
      <w:r>
        <w:t>the</w:t>
      </w:r>
      <w:r>
        <w:rPr>
          <w:spacing w:val="-11"/>
        </w:rPr>
        <w:t xml:space="preserve"> </w:t>
      </w:r>
      <w:r>
        <w:t>NDIS</w:t>
      </w:r>
      <w:r>
        <w:rPr>
          <w:spacing w:val="-11"/>
        </w:rPr>
        <w:t xml:space="preserve"> </w:t>
      </w:r>
      <w:r>
        <w:t>is</w:t>
      </w:r>
      <w:r>
        <w:rPr>
          <w:spacing w:val="-12"/>
        </w:rPr>
        <w:t xml:space="preserve"> </w:t>
      </w:r>
      <w:r>
        <w:t>regulated</w:t>
      </w:r>
      <w:r>
        <w:rPr>
          <w:spacing w:val="-11"/>
        </w:rPr>
        <w:t xml:space="preserve"> </w:t>
      </w:r>
      <w:r>
        <w:t>by</w:t>
      </w:r>
      <w:r>
        <w:rPr>
          <w:spacing w:val="-11"/>
        </w:rPr>
        <w:t xml:space="preserve"> </w:t>
      </w:r>
      <w:r>
        <w:t>the</w:t>
      </w:r>
      <w:r>
        <w:rPr>
          <w:spacing w:val="-11"/>
        </w:rPr>
        <w:t xml:space="preserve"> </w:t>
      </w:r>
      <w:r>
        <w:t>NDIS</w:t>
      </w:r>
      <w:r>
        <w:rPr>
          <w:spacing w:val="1"/>
        </w:rPr>
        <w:t xml:space="preserve"> </w:t>
      </w:r>
      <w:r>
        <w:t>Quality and Safeguards Commission (NDIS Commission) and the Scheme is</w:t>
      </w:r>
      <w:r>
        <w:rPr>
          <w:spacing w:val="1"/>
        </w:rPr>
        <w:t xml:space="preserve"> </w:t>
      </w:r>
      <w:r>
        <w:t>operated</w:t>
      </w:r>
      <w:r>
        <w:rPr>
          <w:spacing w:val="-10"/>
        </w:rPr>
        <w:t xml:space="preserve"> </w:t>
      </w:r>
      <w:r>
        <w:t>by</w:t>
      </w:r>
      <w:r>
        <w:rPr>
          <w:spacing w:val="-9"/>
        </w:rPr>
        <w:t xml:space="preserve"> </w:t>
      </w:r>
      <w:r>
        <w:t>the</w:t>
      </w:r>
      <w:r>
        <w:rPr>
          <w:spacing w:val="-9"/>
        </w:rPr>
        <w:t xml:space="preserve"> </w:t>
      </w:r>
      <w:r>
        <w:t>National</w:t>
      </w:r>
      <w:r>
        <w:rPr>
          <w:spacing w:val="-9"/>
        </w:rPr>
        <w:t xml:space="preserve"> </w:t>
      </w:r>
      <w:r>
        <w:t>Disability</w:t>
      </w:r>
      <w:r>
        <w:rPr>
          <w:spacing w:val="-9"/>
        </w:rPr>
        <w:t xml:space="preserve"> </w:t>
      </w:r>
      <w:r>
        <w:t>Insurance</w:t>
      </w:r>
      <w:r>
        <w:rPr>
          <w:spacing w:val="-9"/>
        </w:rPr>
        <w:t xml:space="preserve"> </w:t>
      </w:r>
      <w:r>
        <w:t>Agency</w:t>
      </w:r>
      <w:r>
        <w:rPr>
          <w:spacing w:val="-10"/>
        </w:rPr>
        <w:t xml:space="preserve"> </w:t>
      </w:r>
      <w:r>
        <w:t>(NDIA).</w:t>
      </w:r>
    </w:p>
    <w:p w14:paraId="7DA1FE8C" w14:textId="534DC7AB" w:rsidR="00547A3D" w:rsidRDefault="00547A3D" w:rsidP="00EB623A">
      <w:pPr>
        <w:pStyle w:val="BodyText"/>
      </w:pPr>
      <w:r>
        <w:t>Not</w:t>
      </w:r>
      <w:r>
        <w:rPr>
          <w:spacing w:val="3"/>
        </w:rPr>
        <w:t xml:space="preserve"> </w:t>
      </w:r>
      <w:r>
        <w:t>all</w:t>
      </w:r>
      <w:r>
        <w:rPr>
          <w:spacing w:val="3"/>
        </w:rPr>
        <w:t xml:space="preserve"> </w:t>
      </w:r>
      <w:r>
        <w:t>people</w:t>
      </w:r>
      <w:r>
        <w:rPr>
          <w:spacing w:val="3"/>
        </w:rPr>
        <w:t xml:space="preserve"> </w:t>
      </w:r>
      <w:r>
        <w:t>with</w:t>
      </w:r>
      <w:r>
        <w:rPr>
          <w:spacing w:val="4"/>
        </w:rPr>
        <w:t xml:space="preserve"> </w:t>
      </w:r>
      <w:r>
        <w:t>disability</w:t>
      </w:r>
      <w:r>
        <w:rPr>
          <w:spacing w:val="3"/>
        </w:rPr>
        <w:t xml:space="preserve"> </w:t>
      </w:r>
      <w:r>
        <w:t>are</w:t>
      </w:r>
      <w:r>
        <w:rPr>
          <w:spacing w:val="3"/>
        </w:rPr>
        <w:t xml:space="preserve"> </w:t>
      </w:r>
      <w:r>
        <w:t>eligible</w:t>
      </w:r>
      <w:r>
        <w:rPr>
          <w:spacing w:val="4"/>
        </w:rPr>
        <w:t xml:space="preserve"> </w:t>
      </w:r>
      <w:r>
        <w:t>for</w:t>
      </w:r>
      <w:r>
        <w:rPr>
          <w:spacing w:val="3"/>
        </w:rPr>
        <w:t xml:space="preserve"> </w:t>
      </w:r>
      <w:r>
        <w:t>the</w:t>
      </w:r>
      <w:r>
        <w:rPr>
          <w:spacing w:val="3"/>
        </w:rPr>
        <w:t xml:space="preserve"> </w:t>
      </w:r>
      <w:r>
        <w:t>NDIS</w:t>
      </w:r>
      <w:r>
        <w:rPr>
          <w:spacing w:val="3"/>
        </w:rPr>
        <w:t xml:space="preserve"> </w:t>
      </w:r>
      <w:r>
        <w:t>and</w:t>
      </w:r>
      <w:r>
        <w:rPr>
          <w:spacing w:val="4"/>
        </w:rPr>
        <w:t xml:space="preserve"> </w:t>
      </w:r>
      <w:r>
        <w:t>some</w:t>
      </w:r>
      <w:r>
        <w:rPr>
          <w:spacing w:val="3"/>
        </w:rPr>
        <w:t xml:space="preserve"> </w:t>
      </w:r>
      <w:r>
        <w:t>other</w:t>
      </w:r>
      <w:r>
        <w:rPr>
          <w:spacing w:val="3"/>
        </w:rPr>
        <w:t xml:space="preserve"> </w:t>
      </w:r>
      <w:r>
        <w:t xml:space="preserve">disability </w:t>
      </w:r>
      <w:r>
        <w:rPr>
          <w:spacing w:val="-58"/>
        </w:rPr>
        <w:t xml:space="preserve"> </w:t>
      </w:r>
      <w:r>
        <w:t>supports continue to be funded by Commonwealth, state and territory</w:t>
      </w:r>
      <w:r>
        <w:rPr>
          <w:spacing w:val="1"/>
        </w:rPr>
        <w:t xml:space="preserve"> </w:t>
      </w:r>
      <w:r>
        <w:t>governments, largely through grant-based programs. Some states and</w:t>
      </w:r>
      <w:r>
        <w:rPr>
          <w:spacing w:val="1"/>
        </w:rPr>
        <w:t xml:space="preserve"> </w:t>
      </w:r>
      <w:r>
        <w:t>territories</w:t>
      </w:r>
      <w:r>
        <w:rPr>
          <w:spacing w:val="4"/>
        </w:rPr>
        <w:t xml:space="preserve"> </w:t>
      </w:r>
      <w:r>
        <w:t>also</w:t>
      </w:r>
      <w:r>
        <w:rPr>
          <w:spacing w:val="4"/>
        </w:rPr>
        <w:t xml:space="preserve"> </w:t>
      </w:r>
      <w:r>
        <w:t>continue</w:t>
      </w:r>
      <w:r>
        <w:rPr>
          <w:spacing w:val="4"/>
        </w:rPr>
        <w:t xml:space="preserve"> </w:t>
      </w:r>
      <w:r>
        <w:t>to</w:t>
      </w:r>
      <w:r>
        <w:rPr>
          <w:spacing w:val="5"/>
        </w:rPr>
        <w:t xml:space="preserve"> </w:t>
      </w:r>
      <w:r>
        <w:t>directly</w:t>
      </w:r>
      <w:r>
        <w:rPr>
          <w:spacing w:val="4"/>
        </w:rPr>
        <w:t xml:space="preserve"> </w:t>
      </w:r>
      <w:r>
        <w:t>provide</w:t>
      </w:r>
      <w:r>
        <w:rPr>
          <w:spacing w:val="4"/>
        </w:rPr>
        <w:t xml:space="preserve"> </w:t>
      </w:r>
      <w:r>
        <w:t>supports</w:t>
      </w:r>
      <w:r>
        <w:rPr>
          <w:spacing w:val="4"/>
        </w:rPr>
        <w:t xml:space="preserve"> </w:t>
      </w:r>
      <w:r>
        <w:t>and</w:t>
      </w:r>
      <w:r>
        <w:rPr>
          <w:spacing w:val="5"/>
        </w:rPr>
        <w:t xml:space="preserve"> </w:t>
      </w:r>
      <w:r>
        <w:t>services</w:t>
      </w:r>
      <w:r>
        <w:rPr>
          <w:spacing w:val="4"/>
        </w:rPr>
        <w:t xml:space="preserve"> </w:t>
      </w:r>
      <w:r>
        <w:t>to</w:t>
      </w:r>
      <w:r>
        <w:rPr>
          <w:spacing w:val="4"/>
        </w:rPr>
        <w:t xml:space="preserve"> </w:t>
      </w:r>
      <w:r>
        <w:t>people</w:t>
      </w:r>
      <w:r>
        <w:rPr>
          <w:spacing w:val="1"/>
        </w:rPr>
        <w:t xml:space="preserve"> </w:t>
      </w:r>
      <w:r>
        <w:t>with</w:t>
      </w:r>
      <w:r>
        <w:rPr>
          <w:spacing w:val="2"/>
        </w:rPr>
        <w:t xml:space="preserve"> </w:t>
      </w:r>
      <w:r>
        <w:t>a</w:t>
      </w:r>
      <w:r>
        <w:rPr>
          <w:spacing w:val="3"/>
        </w:rPr>
        <w:t xml:space="preserve"> </w:t>
      </w:r>
      <w:r>
        <w:t>disability.</w:t>
      </w:r>
      <w:r>
        <w:rPr>
          <w:spacing w:val="3"/>
        </w:rPr>
        <w:t xml:space="preserve"> </w:t>
      </w:r>
      <w:r>
        <w:t>Commonwealth</w:t>
      </w:r>
      <w:r>
        <w:rPr>
          <w:spacing w:val="3"/>
        </w:rPr>
        <w:t xml:space="preserve"> </w:t>
      </w:r>
      <w:r>
        <w:t>disability</w:t>
      </w:r>
      <w:r>
        <w:rPr>
          <w:spacing w:val="3"/>
        </w:rPr>
        <w:t xml:space="preserve"> </w:t>
      </w:r>
      <w:r>
        <w:t>service</w:t>
      </w:r>
      <w:r>
        <w:rPr>
          <w:spacing w:val="3"/>
        </w:rPr>
        <w:t xml:space="preserve"> </w:t>
      </w:r>
      <w:r>
        <w:t>programs</w:t>
      </w:r>
      <w:r>
        <w:rPr>
          <w:spacing w:val="3"/>
        </w:rPr>
        <w:t xml:space="preserve"> </w:t>
      </w:r>
      <w:r>
        <w:t>include</w:t>
      </w:r>
      <w:r>
        <w:rPr>
          <w:spacing w:val="3"/>
        </w:rPr>
        <w:t xml:space="preserve"> </w:t>
      </w:r>
      <w:r>
        <w:t>Disability</w:t>
      </w:r>
      <w:r>
        <w:rPr>
          <w:spacing w:val="1"/>
        </w:rPr>
        <w:t xml:space="preserve"> </w:t>
      </w:r>
      <w:r>
        <w:t>Employment Services (support to help people with disability find and keep a</w:t>
      </w:r>
      <w:r>
        <w:rPr>
          <w:spacing w:val="1"/>
        </w:rPr>
        <w:t xml:space="preserve"> </w:t>
      </w:r>
      <w:r>
        <w:t>job)</w:t>
      </w:r>
      <w:r>
        <w:rPr>
          <w:spacing w:val="-11"/>
        </w:rPr>
        <w:t xml:space="preserve"> </w:t>
      </w:r>
      <w:r>
        <w:t>and</w:t>
      </w:r>
      <w:r>
        <w:rPr>
          <w:spacing w:val="-11"/>
        </w:rPr>
        <w:t xml:space="preserve"> </w:t>
      </w:r>
      <w:r>
        <w:t>disability</w:t>
      </w:r>
      <w:r>
        <w:rPr>
          <w:spacing w:val="-11"/>
        </w:rPr>
        <w:t xml:space="preserve"> </w:t>
      </w:r>
      <w:r>
        <w:t>advocacy</w:t>
      </w:r>
      <w:r>
        <w:rPr>
          <w:spacing w:val="-11"/>
        </w:rPr>
        <w:t xml:space="preserve"> </w:t>
      </w:r>
      <w:r>
        <w:t>services.</w:t>
      </w:r>
    </w:p>
    <w:p w14:paraId="4AAF4183" w14:textId="57C52B7B" w:rsidR="00547A3D" w:rsidRDefault="00547A3D" w:rsidP="00EB623A">
      <w:pPr>
        <w:pStyle w:val="BodyText"/>
      </w:pPr>
      <w:r>
        <w:t>The National Disability Strategy 2010-2020 agreed by Commonwealth, state</w:t>
      </w:r>
      <w:r>
        <w:rPr>
          <w:spacing w:val="1"/>
        </w:rPr>
        <w:t xml:space="preserve"> </w:t>
      </w:r>
      <w:r>
        <w:t>and</w:t>
      </w:r>
      <w:r>
        <w:rPr>
          <w:spacing w:val="1"/>
        </w:rPr>
        <w:t xml:space="preserve"> </w:t>
      </w:r>
      <w:r>
        <w:t>territory</w:t>
      </w:r>
      <w:r>
        <w:rPr>
          <w:spacing w:val="1"/>
        </w:rPr>
        <w:t xml:space="preserve"> </w:t>
      </w:r>
      <w:r>
        <w:t>governments,</w:t>
      </w:r>
      <w:r>
        <w:rPr>
          <w:spacing w:val="1"/>
        </w:rPr>
        <w:t xml:space="preserve"> </w:t>
      </w:r>
      <w:r>
        <w:t>is</w:t>
      </w:r>
      <w:r>
        <w:rPr>
          <w:spacing w:val="1"/>
        </w:rPr>
        <w:t xml:space="preserve"> </w:t>
      </w:r>
      <w:r>
        <w:t>a</w:t>
      </w:r>
      <w:r>
        <w:rPr>
          <w:spacing w:val="1"/>
        </w:rPr>
        <w:t xml:space="preserve"> </w:t>
      </w:r>
      <w:r>
        <w:t>framework</w:t>
      </w:r>
      <w:r>
        <w:rPr>
          <w:spacing w:val="1"/>
        </w:rPr>
        <w:t xml:space="preserve"> </w:t>
      </w:r>
      <w:r>
        <w:t>for</w:t>
      </w:r>
      <w:r>
        <w:rPr>
          <w:spacing w:val="2"/>
        </w:rPr>
        <w:t xml:space="preserve"> </w:t>
      </w:r>
      <w:r>
        <w:t>Australia</w:t>
      </w:r>
      <w:r>
        <w:rPr>
          <w:spacing w:val="1"/>
        </w:rPr>
        <w:t xml:space="preserve"> </w:t>
      </w:r>
      <w:r>
        <w:t>to</w:t>
      </w:r>
      <w:r>
        <w:rPr>
          <w:spacing w:val="1"/>
        </w:rPr>
        <w:t xml:space="preserve"> </w:t>
      </w:r>
      <w:r>
        <w:t>meet</w:t>
      </w:r>
      <w:r>
        <w:rPr>
          <w:spacing w:val="1"/>
        </w:rPr>
        <w:t xml:space="preserve"> </w:t>
      </w:r>
      <w:r>
        <w:t>its</w:t>
      </w:r>
      <w:r>
        <w:rPr>
          <w:spacing w:val="1"/>
        </w:rPr>
        <w:t xml:space="preserve"> </w:t>
      </w:r>
      <w:r>
        <w:t>obligations</w:t>
      </w:r>
      <w:r>
        <w:rPr>
          <w:spacing w:val="1"/>
        </w:rPr>
        <w:t xml:space="preserve"> </w:t>
      </w:r>
      <w:r>
        <w:t>under</w:t>
      </w:r>
      <w:r>
        <w:rPr>
          <w:spacing w:val="6"/>
        </w:rPr>
        <w:t xml:space="preserve"> </w:t>
      </w:r>
      <w:r>
        <w:t>the</w:t>
      </w:r>
      <w:r>
        <w:rPr>
          <w:spacing w:val="6"/>
        </w:rPr>
        <w:t xml:space="preserve"> </w:t>
      </w:r>
      <w:r>
        <w:t>United</w:t>
      </w:r>
      <w:r>
        <w:rPr>
          <w:spacing w:val="7"/>
        </w:rPr>
        <w:t xml:space="preserve"> </w:t>
      </w:r>
      <w:r>
        <w:t>Nations</w:t>
      </w:r>
      <w:r>
        <w:rPr>
          <w:spacing w:val="6"/>
        </w:rPr>
        <w:t xml:space="preserve"> </w:t>
      </w:r>
      <w:r>
        <w:t>Convention</w:t>
      </w:r>
      <w:r>
        <w:rPr>
          <w:spacing w:val="6"/>
        </w:rPr>
        <w:t xml:space="preserve"> </w:t>
      </w:r>
      <w:r>
        <w:t>on</w:t>
      </w:r>
      <w:r>
        <w:rPr>
          <w:spacing w:val="7"/>
        </w:rPr>
        <w:t xml:space="preserve"> </w:t>
      </w:r>
      <w:r>
        <w:t>the</w:t>
      </w:r>
      <w:r>
        <w:rPr>
          <w:spacing w:val="6"/>
        </w:rPr>
        <w:t xml:space="preserve"> </w:t>
      </w:r>
      <w:r>
        <w:t>Rights</w:t>
      </w:r>
      <w:r>
        <w:rPr>
          <w:spacing w:val="7"/>
        </w:rPr>
        <w:t xml:space="preserve"> </w:t>
      </w:r>
      <w:r>
        <w:t>of</w:t>
      </w:r>
      <w:r>
        <w:rPr>
          <w:spacing w:val="6"/>
        </w:rPr>
        <w:t xml:space="preserve"> </w:t>
      </w:r>
      <w:r>
        <w:t>Persons</w:t>
      </w:r>
      <w:r>
        <w:rPr>
          <w:spacing w:val="6"/>
        </w:rPr>
        <w:t xml:space="preserve"> </w:t>
      </w:r>
      <w:r>
        <w:t>with</w:t>
      </w:r>
      <w:r>
        <w:rPr>
          <w:spacing w:val="7"/>
        </w:rPr>
        <w:t xml:space="preserve"> </w:t>
      </w:r>
      <w:r>
        <w:t xml:space="preserve">Disabilities </w:t>
      </w:r>
      <w:r>
        <w:rPr>
          <w:spacing w:val="-58"/>
        </w:rPr>
        <w:t xml:space="preserve"> </w:t>
      </w:r>
      <w:r>
        <w:t>(CRPD), and sets out strategies to enable people with disability to fulfil their</w:t>
      </w:r>
      <w:r>
        <w:rPr>
          <w:spacing w:val="1"/>
        </w:rPr>
        <w:t xml:space="preserve"> </w:t>
      </w:r>
      <w:r>
        <w:t>potential as equal citizens. These strategies include ensuring mainstream</w:t>
      </w:r>
      <w:r>
        <w:rPr>
          <w:spacing w:val="1"/>
        </w:rPr>
        <w:t xml:space="preserve"> </w:t>
      </w:r>
      <w:r>
        <w:t>supports</w:t>
      </w:r>
      <w:r>
        <w:rPr>
          <w:spacing w:val="8"/>
        </w:rPr>
        <w:t xml:space="preserve"> </w:t>
      </w:r>
      <w:r>
        <w:t>are</w:t>
      </w:r>
      <w:r>
        <w:rPr>
          <w:spacing w:val="9"/>
        </w:rPr>
        <w:t xml:space="preserve"> </w:t>
      </w:r>
      <w:r>
        <w:t>inclusive</w:t>
      </w:r>
      <w:r>
        <w:rPr>
          <w:spacing w:val="8"/>
        </w:rPr>
        <w:t xml:space="preserve"> </w:t>
      </w:r>
      <w:r>
        <w:t>and</w:t>
      </w:r>
      <w:r>
        <w:rPr>
          <w:spacing w:val="9"/>
        </w:rPr>
        <w:t xml:space="preserve"> </w:t>
      </w:r>
      <w:r>
        <w:t>accessible</w:t>
      </w:r>
      <w:r>
        <w:rPr>
          <w:spacing w:val="8"/>
        </w:rPr>
        <w:t xml:space="preserve"> </w:t>
      </w:r>
      <w:r>
        <w:t>so</w:t>
      </w:r>
      <w:r>
        <w:rPr>
          <w:spacing w:val="9"/>
        </w:rPr>
        <w:t xml:space="preserve"> </w:t>
      </w:r>
      <w:r>
        <w:t>people</w:t>
      </w:r>
      <w:r>
        <w:rPr>
          <w:spacing w:val="8"/>
        </w:rPr>
        <w:t xml:space="preserve"> </w:t>
      </w:r>
      <w:r>
        <w:t>with</w:t>
      </w:r>
      <w:r>
        <w:rPr>
          <w:spacing w:val="9"/>
        </w:rPr>
        <w:t xml:space="preserve"> </w:t>
      </w:r>
      <w:r>
        <w:t>disability</w:t>
      </w:r>
      <w:r>
        <w:rPr>
          <w:spacing w:val="8"/>
        </w:rPr>
        <w:t xml:space="preserve"> </w:t>
      </w:r>
      <w:r>
        <w:t>can</w:t>
      </w:r>
      <w:r>
        <w:rPr>
          <w:spacing w:val="9"/>
        </w:rPr>
        <w:t xml:space="preserve"> </w:t>
      </w:r>
      <w:r>
        <w:t>participate</w:t>
      </w:r>
      <w:r>
        <w:rPr>
          <w:spacing w:val="1"/>
        </w:rPr>
        <w:t xml:space="preserve"> </w:t>
      </w:r>
      <w:r>
        <w:rPr>
          <w:spacing w:val="-2"/>
        </w:rPr>
        <w:t>in</w:t>
      </w:r>
      <w:r>
        <w:rPr>
          <w:spacing w:val="-14"/>
        </w:rPr>
        <w:t xml:space="preserve"> </w:t>
      </w:r>
      <w:r>
        <w:rPr>
          <w:spacing w:val="-2"/>
        </w:rPr>
        <w:t>all</w:t>
      </w:r>
      <w:r>
        <w:rPr>
          <w:spacing w:val="-13"/>
        </w:rPr>
        <w:t xml:space="preserve"> </w:t>
      </w:r>
      <w:r>
        <w:rPr>
          <w:spacing w:val="-2"/>
        </w:rPr>
        <w:lastRenderedPageBreak/>
        <w:t>areas</w:t>
      </w:r>
      <w:r>
        <w:rPr>
          <w:spacing w:val="-13"/>
        </w:rPr>
        <w:t xml:space="preserve"> </w:t>
      </w:r>
      <w:r>
        <w:rPr>
          <w:spacing w:val="-2"/>
        </w:rPr>
        <w:t>of</w:t>
      </w:r>
      <w:r>
        <w:rPr>
          <w:spacing w:val="-13"/>
        </w:rPr>
        <w:t xml:space="preserve"> </w:t>
      </w:r>
      <w:r>
        <w:rPr>
          <w:spacing w:val="-2"/>
        </w:rPr>
        <w:t>Australian</w:t>
      </w:r>
      <w:r>
        <w:rPr>
          <w:spacing w:val="-13"/>
        </w:rPr>
        <w:t xml:space="preserve"> </w:t>
      </w:r>
      <w:r>
        <w:rPr>
          <w:spacing w:val="-1"/>
        </w:rPr>
        <w:t>life.</w:t>
      </w:r>
      <w:r>
        <w:rPr>
          <w:spacing w:val="-13"/>
        </w:rPr>
        <w:t xml:space="preserve"> </w:t>
      </w:r>
      <w:r>
        <w:rPr>
          <w:spacing w:val="-1"/>
        </w:rPr>
        <w:t>A</w:t>
      </w:r>
      <w:r>
        <w:rPr>
          <w:spacing w:val="-13"/>
        </w:rPr>
        <w:t xml:space="preserve"> </w:t>
      </w:r>
      <w:r>
        <w:rPr>
          <w:spacing w:val="-1"/>
        </w:rPr>
        <w:t>new</w:t>
      </w:r>
      <w:r>
        <w:rPr>
          <w:spacing w:val="-13"/>
        </w:rPr>
        <w:t xml:space="preserve"> </w:t>
      </w:r>
      <w:r>
        <w:rPr>
          <w:spacing w:val="-1"/>
        </w:rPr>
        <w:t>Strategy,</w:t>
      </w:r>
      <w:r>
        <w:rPr>
          <w:spacing w:val="-13"/>
        </w:rPr>
        <w:t xml:space="preserve"> </w:t>
      </w:r>
      <w:r>
        <w:rPr>
          <w:spacing w:val="-1"/>
        </w:rPr>
        <w:t>‘Australia’s</w:t>
      </w:r>
      <w:r>
        <w:rPr>
          <w:spacing w:val="-13"/>
        </w:rPr>
        <w:t xml:space="preserve"> </w:t>
      </w:r>
      <w:r>
        <w:rPr>
          <w:spacing w:val="-1"/>
        </w:rPr>
        <w:t>Disability</w:t>
      </w:r>
      <w:r>
        <w:rPr>
          <w:spacing w:val="-13"/>
        </w:rPr>
        <w:t xml:space="preserve"> </w:t>
      </w:r>
      <w:r>
        <w:rPr>
          <w:spacing w:val="-1"/>
        </w:rPr>
        <w:t>Strategy</w:t>
      </w:r>
      <w:r>
        <w:rPr>
          <w:spacing w:val="-13"/>
        </w:rPr>
        <w:t xml:space="preserve"> </w:t>
      </w:r>
      <w:r>
        <w:rPr>
          <w:spacing w:val="-1"/>
        </w:rPr>
        <w:t>2021-</w:t>
      </w:r>
      <w:r>
        <w:rPr>
          <w:spacing w:val="-58"/>
        </w:rPr>
        <w:t xml:space="preserve"> </w:t>
      </w:r>
      <w:r>
        <w:t>2031’,</w:t>
      </w:r>
      <w:r>
        <w:rPr>
          <w:spacing w:val="-16"/>
        </w:rPr>
        <w:t xml:space="preserve"> </w:t>
      </w:r>
      <w:r>
        <w:t>will</w:t>
      </w:r>
      <w:r>
        <w:rPr>
          <w:spacing w:val="-15"/>
        </w:rPr>
        <w:t xml:space="preserve"> </w:t>
      </w:r>
      <w:r>
        <w:t>be</w:t>
      </w:r>
      <w:r>
        <w:rPr>
          <w:spacing w:val="-15"/>
        </w:rPr>
        <w:t xml:space="preserve"> </w:t>
      </w:r>
      <w:r>
        <w:t>released</w:t>
      </w:r>
      <w:r>
        <w:rPr>
          <w:spacing w:val="-15"/>
        </w:rPr>
        <w:t xml:space="preserve"> </w:t>
      </w:r>
      <w:r>
        <w:t>in</w:t>
      </w:r>
      <w:r>
        <w:rPr>
          <w:spacing w:val="-15"/>
        </w:rPr>
        <w:t xml:space="preserve"> </w:t>
      </w:r>
      <w:r>
        <w:t>late</w:t>
      </w:r>
      <w:r>
        <w:rPr>
          <w:spacing w:val="-15"/>
        </w:rPr>
        <w:t xml:space="preserve"> </w:t>
      </w:r>
      <w:r>
        <w:t>2021</w:t>
      </w:r>
      <w:r>
        <w:rPr>
          <w:spacing w:val="-16"/>
        </w:rPr>
        <w:t xml:space="preserve"> </w:t>
      </w:r>
      <w:r>
        <w:t>once</w:t>
      </w:r>
      <w:r>
        <w:rPr>
          <w:spacing w:val="-15"/>
        </w:rPr>
        <w:t xml:space="preserve"> </w:t>
      </w:r>
      <w:r>
        <w:t>formally</w:t>
      </w:r>
      <w:r>
        <w:rPr>
          <w:spacing w:val="-15"/>
        </w:rPr>
        <w:t xml:space="preserve"> </w:t>
      </w:r>
      <w:r>
        <w:t>endorsed</w:t>
      </w:r>
      <w:r>
        <w:rPr>
          <w:spacing w:val="-15"/>
        </w:rPr>
        <w:t xml:space="preserve"> </w:t>
      </w:r>
      <w:r>
        <w:t>by</w:t>
      </w:r>
      <w:r>
        <w:rPr>
          <w:spacing w:val="-15"/>
        </w:rPr>
        <w:t xml:space="preserve"> </w:t>
      </w:r>
      <w:r>
        <w:t>all</w:t>
      </w:r>
      <w:r>
        <w:rPr>
          <w:spacing w:val="-15"/>
        </w:rPr>
        <w:t xml:space="preserve"> </w:t>
      </w:r>
      <w:r>
        <w:t>governments.</w:t>
      </w:r>
    </w:p>
    <w:p w14:paraId="4D993A74" w14:textId="77777777" w:rsidR="007165FF" w:rsidRDefault="007165FF" w:rsidP="007165FF">
      <w:pPr>
        <w:pStyle w:val="Heading3"/>
      </w:pPr>
      <w:bookmarkStart w:id="9" w:name="_Toc84511964"/>
      <w:r>
        <w:t>Veterans’ care</w:t>
      </w:r>
      <w:bookmarkEnd w:id="9"/>
    </w:p>
    <w:p w14:paraId="0A6461D7" w14:textId="2D81A5E6" w:rsidR="007165FF" w:rsidRDefault="007165FF" w:rsidP="007165FF">
      <w:r>
        <w:t>The Department of Veterans’ Affairs (DVA) funds a range of services to support the health and wellbeing of veterans and their families, including Veterans’ Home Care, Community Nursing and other related services. These care programs are administered by DVA through contractual arrangements and require service providers to comply with other government standards and professional regulatory frameworks. In 2019</w:t>
      </w:r>
      <w:r w:rsidR="00547A3D">
        <w:t>-</w:t>
      </w:r>
      <w:r>
        <w:t xml:space="preserve">20, there were 250,611 DVA clients with entitlement for health and care services, with 39,816 receiving Veterans’ Home Care and 14,126 receiving community nursing services. </w:t>
      </w:r>
    </w:p>
    <w:p w14:paraId="480A2595" w14:textId="77777777" w:rsidR="007165FF" w:rsidRDefault="007165FF" w:rsidP="007165FF">
      <w:pPr>
        <w:pStyle w:val="Heading2"/>
      </w:pPr>
      <w:bookmarkStart w:id="10" w:name="_Toc84511965"/>
      <w:r>
        <w:t>The challenge</w:t>
      </w:r>
      <w:bookmarkEnd w:id="10"/>
    </w:p>
    <w:p w14:paraId="4850B2F9" w14:textId="77777777" w:rsidR="007165FF" w:rsidRDefault="007165FF" w:rsidP="007165FF">
      <w:r>
        <w:t>Similar services are provided across aged care, disability support and veterans’ care, yet there are separate and overlapping regulatory frameworks. There are also different objectives and outcomes sought for Australians who access these services, but at the centre is the health, safety and wellbeing of the person receiving services. Providers that operate in these sectors often have a focus on improving the lives of Australians who may be more vulnerable to risk than other people in their community. While some differences across settings are appropriate, duplication in regulatory requirements may be a barrier to consistent quality and safety for consumers and participants. It may also be a barrier to the overall efficiency of the market, add to providers’ costs and discourage market development and growth.</w:t>
      </w:r>
    </w:p>
    <w:p w14:paraId="5AEEDF3C" w14:textId="77777777" w:rsidR="007165FF" w:rsidRDefault="007165FF" w:rsidP="007165FF">
      <w:r>
        <w:t>For example, approximately 36 per cent of providers operating in the aged care sector also provide services in the disability support or veterans’ care sectors. This is less so for NDIS providers, which may be due to the diversity of the NDIS population, which includes people of all ages, and the many smaller providers operating in the NDIS. Of the providers operating in key veterans’ care programs, including community nursing and home care services, most providers operate in other sectors too.</w:t>
      </w:r>
    </w:p>
    <w:p w14:paraId="62D38346" w14:textId="1D146424" w:rsidR="00133F9D" w:rsidRDefault="007165FF" w:rsidP="007165FF">
      <w:r>
        <w:t xml:space="preserve">Figure 2 below shows how provider activities in the aged care, disability support and veterans’ care sectors cross over. </w:t>
      </w:r>
    </w:p>
    <w:p w14:paraId="52F1BC95" w14:textId="77777777" w:rsidR="007165FF" w:rsidRDefault="007165FF" w:rsidP="007165FF">
      <w:pPr>
        <w:pStyle w:val="FigureHeading"/>
      </w:pPr>
      <w:r>
        <w:t xml:space="preserve">Figure 2: Overview of Australia’s care and support sectors </w:t>
      </w:r>
    </w:p>
    <w:p w14:paraId="03BD1F30" w14:textId="0947A868" w:rsidR="007165FF" w:rsidRPr="00EB623A" w:rsidRDefault="00D87382" w:rsidP="00EB623A">
      <w:r>
        <w:rPr>
          <w:noProof/>
        </w:rPr>
        <w:drawing>
          <wp:inline distT="0" distB="0" distL="0" distR="0" wp14:anchorId="165D13BA" wp14:editId="73B0D7A1">
            <wp:extent cx="4695467" cy="2419350"/>
            <wp:effectExtent l="0" t="0" r="0" b="0"/>
            <wp:docPr id="3" name="Picture 3" descr="Regulatory alignment across the care and suppor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gulatory alignment across the care and support sector"/>
                    <pic:cNvPicPr/>
                  </pic:nvPicPr>
                  <pic:blipFill rotWithShape="1">
                    <a:blip r:embed="rId10" cstate="print">
                      <a:extLst>
                        <a:ext uri="{28A0092B-C50C-407E-A947-70E740481C1C}">
                          <a14:useLocalDpi xmlns:a14="http://schemas.microsoft.com/office/drawing/2010/main" val="0"/>
                        </a:ext>
                      </a:extLst>
                    </a:blip>
                    <a:srcRect l="2646" t="9203" r="3379" b="4684"/>
                    <a:stretch/>
                  </pic:blipFill>
                  <pic:spPr bwMode="auto">
                    <a:xfrm>
                      <a:off x="0" y="0"/>
                      <a:ext cx="4721309" cy="2432665"/>
                    </a:xfrm>
                    <a:prstGeom prst="rect">
                      <a:avLst/>
                    </a:prstGeom>
                    <a:ln>
                      <a:noFill/>
                    </a:ln>
                    <a:extLst>
                      <a:ext uri="{53640926-AAD7-44D8-BBD7-CCE9431645EC}">
                        <a14:shadowObscured xmlns:a14="http://schemas.microsoft.com/office/drawing/2010/main"/>
                      </a:ext>
                    </a:extLst>
                  </pic:spPr>
                </pic:pic>
              </a:graphicData>
            </a:graphic>
          </wp:inline>
        </w:drawing>
      </w:r>
    </w:p>
    <w:p w14:paraId="6AF074B8" w14:textId="221D81AB" w:rsidR="007165FF" w:rsidRDefault="007165FF" w:rsidP="007165FF">
      <w:pPr>
        <w:pStyle w:val="Heading1"/>
        <w:rPr>
          <w:sz w:val="60"/>
          <w:szCs w:val="60"/>
        </w:rPr>
      </w:pPr>
      <w:bookmarkStart w:id="11" w:name="_Toc84511966"/>
      <w:r>
        <w:rPr>
          <w:sz w:val="60"/>
          <w:szCs w:val="60"/>
        </w:rPr>
        <w:lastRenderedPageBreak/>
        <w:t>Cross-Agency Taskforce on Regulatory Alignment</w:t>
      </w:r>
      <w:bookmarkEnd w:id="11"/>
    </w:p>
    <w:p w14:paraId="15369D94" w14:textId="77777777" w:rsidR="007165FF" w:rsidRDefault="007165FF" w:rsidP="006D113D">
      <w:r w:rsidRPr="006D113D">
        <w:t>To align regulation across the care and support sectors, the Government has established the Cross-Agency Taskforce on Regulatory Alignment (the Taskforce</w:t>
      </w:r>
      <w:r>
        <w:t>). The Taskforce includes representation from:</w:t>
      </w:r>
    </w:p>
    <w:p w14:paraId="6B47EB23" w14:textId="77777777" w:rsidR="007165FF" w:rsidRPr="00133F9D" w:rsidRDefault="007165FF" w:rsidP="00133F9D">
      <w:pPr>
        <w:pStyle w:val="ListParagraph"/>
        <w:numPr>
          <w:ilvl w:val="0"/>
          <w:numId w:val="23"/>
        </w:numPr>
        <w:rPr>
          <w:rStyle w:val="Hyperlink"/>
          <w:color w:val="404040" w:themeColor="text1" w:themeTint="BF"/>
        </w:rPr>
      </w:pPr>
      <w:r w:rsidRPr="00133F9D">
        <w:rPr>
          <w:color w:val="404040" w:themeColor="text1" w:themeTint="BF"/>
        </w:rPr>
        <w:t xml:space="preserve">the </w:t>
      </w:r>
      <w:r w:rsidRPr="00133F9D">
        <w:rPr>
          <w:rStyle w:val="Hyperlink"/>
          <w:color w:val="404040" w:themeColor="text1" w:themeTint="BF"/>
        </w:rPr>
        <w:t>Department of Health</w:t>
      </w:r>
    </w:p>
    <w:p w14:paraId="41149CA5" w14:textId="77777777" w:rsidR="007165FF" w:rsidRPr="00133F9D" w:rsidRDefault="007165FF" w:rsidP="00133F9D">
      <w:pPr>
        <w:pStyle w:val="ListParagraph"/>
        <w:numPr>
          <w:ilvl w:val="0"/>
          <w:numId w:val="23"/>
        </w:numPr>
        <w:rPr>
          <w:rStyle w:val="Hyperlink"/>
          <w:color w:val="404040" w:themeColor="text1" w:themeTint="BF"/>
        </w:rPr>
      </w:pPr>
      <w:r w:rsidRPr="00133F9D">
        <w:rPr>
          <w:color w:val="404040" w:themeColor="text1" w:themeTint="BF"/>
        </w:rPr>
        <w:t xml:space="preserve">the </w:t>
      </w:r>
      <w:r w:rsidRPr="00133F9D">
        <w:rPr>
          <w:rStyle w:val="Hyperlink"/>
          <w:color w:val="404040" w:themeColor="text1" w:themeTint="BF"/>
        </w:rPr>
        <w:t>Department of Social Services</w:t>
      </w:r>
    </w:p>
    <w:p w14:paraId="4ECA3464" w14:textId="77777777" w:rsidR="007165FF" w:rsidRPr="00133F9D" w:rsidRDefault="007165FF" w:rsidP="00133F9D">
      <w:pPr>
        <w:pStyle w:val="ListParagraph"/>
        <w:numPr>
          <w:ilvl w:val="0"/>
          <w:numId w:val="23"/>
        </w:numPr>
        <w:rPr>
          <w:rStyle w:val="Hyperlink"/>
          <w:color w:val="404040" w:themeColor="text1" w:themeTint="BF"/>
        </w:rPr>
      </w:pPr>
      <w:r w:rsidRPr="00133F9D">
        <w:rPr>
          <w:color w:val="404040" w:themeColor="text1" w:themeTint="BF"/>
        </w:rPr>
        <w:t xml:space="preserve">the </w:t>
      </w:r>
      <w:r w:rsidRPr="00133F9D">
        <w:rPr>
          <w:rStyle w:val="Hyperlink"/>
          <w:color w:val="404040" w:themeColor="text1" w:themeTint="BF"/>
        </w:rPr>
        <w:t>Department of Veterans’ Affairs</w:t>
      </w:r>
    </w:p>
    <w:p w14:paraId="3E48C0FC" w14:textId="77777777" w:rsidR="007165FF" w:rsidRPr="00133F9D" w:rsidRDefault="007165FF" w:rsidP="00133F9D">
      <w:pPr>
        <w:pStyle w:val="ListParagraph"/>
        <w:numPr>
          <w:ilvl w:val="0"/>
          <w:numId w:val="23"/>
        </w:numPr>
        <w:rPr>
          <w:color w:val="404040" w:themeColor="text1" w:themeTint="BF"/>
        </w:rPr>
      </w:pPr>
      <w:r w:rsidRPr="00133F9D">
        <w:rPr>
          <w:color w:val="404040" w:themeColor="text1" w:themeTint="BF"/>
        </w:rPr>
        <w:t xml:space="preserve">the </w:t>
      </w:r>
      <w:r w:rsidRPr="00133F9D">
        <w:rPr>
          <w:rStyle w:val="Hyperlink"/>
          <w:color w:val="404040" w:themeColor="text1" w:themeTint="BF"/>
        </w:rPr>
        <w:t>NDIS Quality and Safeguards Commission</w:t>
      </w:r>
      <w:r w:rsidRPr="00133F9D">
        <w:rPr>
          <w:color w:val="404040" w:themeColor="text1" w:themeTint="BF"/>
        </w:rPr>
        <w:t xml:space="preserve">, and </w:t>
      </w:r>
    </w:p>
    <w:p w14:paraId="08206987" w14:textId="77777777" w:rsidR="007165FF" w:rsidRPr="00133F9D" w:rsidRDefault="007165FF" w:rsidP="00133F9D">
      <w:pPr>
        <w:pStyle w:val="ListParagraph"/>
        <w:numPr>
          <w:ilvl w:val="0"/>
          <w:numId w:val="23"/>
        </w:numPr>
        <w:rPr>
          <w:color w:val="404040" w:themeColor="text1" w:themeTint="BF"/>
        </w:rPr>
      </w:pPr>
      <w:r w:rsidRPr="00133F9D">
        <w:rPr>
          <w:color w:val="404040" w:themeColor="text1" w:themeTint="BF"/>
        </w:rPr>
        <w:t xml:space="preserve">the </w:t>
      </w:r>
      <w:r w:rsidRPr="00133F9D">
        <w:rPr>
          <w:rStyle w:val="Hyperlink"/>
          <w:color w:val="404040" w:themeColor="text1" w:themeTint="BF"/>
        </w:rPr>
        <w:t>Aged Care Quality and Safety Commission</w:t>
      </w:r>
      <w:r w:rsidRPr="00133F9D">
        <w:rPr>
          <w:color w:val="404040" w:themeColor="text1" w:themeTint="BF"/>
        </w:rPr>
        <w:t>.</w:t>
      </w:r>
    </w:p>
    <w:p w14:paraId="5E7D1BAF" w14:textId="77777777" w:rsidR="007165FF" w:rsidRDefault="007165FF" w:rsidP="007165FF">
      <w:pPr>
        <w:pStyle w:val="Heading2"/>
      </w:pPr>
      <w:bookmarkStart w:id="12" w:name="_Toc84511967"/>
      <w:r>
        <w:t>Guiding principles</w:t>
      </w:r>
      <w:bookmarkEnd w:id="12"/>
    </w:p>
    <w:p w14:paraId="009BF8E5" w14:textId="77777777" w:rsidR="007165FF" w:rsidRDefault="007165FF" w:rsidP="006D113D">
      <w:r>
        <w:t>These are the principles the Taskforce will use to guide the approach to aligning regulation:</w:t>
      </w:r>
    </w:p>
    <w:p w14:paraId="7AA82761" w14:textId="77777777" w:rsidR="007165FF" w:rsidRDefault="007165FF" w:rsidP="006D113D">
      <w:pPr>
        <w:pStyle w:val="ListParagraph"/>
        <w:numPr>
          <w:ilvl w:val="0"/>
          <w:numId w:val="11"/>
        </w:numPr>
      </w:pPr>
      <w:r>
        <w:t xml:space="preserve">uphold the rights of, and promote the health, safety and wellbeing of any person receiving services across the care and support sectors </w:t>
      </w:r>
    </w:p>
    <w:p w14:paraId="1FFBAB4E" w14:textId="77777777" w:rsidR="007165FF" w:rsidRDefault="007165FF" w:rsidP="006D113D">
      <w:pPr>
        <w:pStyle w:val="ListParagraph"/>
        <w:numPr>
          <w:ilvl w:val="0"/>
          <w:numId w:val="11"/>
        </w:numPr>
      </w:pPr>
      <w:r>
        <w:t>align regulations where we can, unless there is a particular reason not to because of differences across settings</w:t>
      </w:r>
    </w:p>
    <w:p w14:paraId="14E7801E" w14:textId="77777777" w:rsidR="007165FF" w:rsidRDefault="007165FF" w:rsidP="006D113D">
      <w:pPr>
        <w:pStyle w:val="ListParagraph"/>
        <w:numPr>
          <w:ilvl w:val="0"/>
          <w:numId w:val="11"/>
        </w:numPr>
      </w:pPr>
      <w:r>
        <w:t>recognise there are strengths and opportunities for improvement in each sector</w:t>
      </w:r>
    </w:p>
    <w:p w14:paraId="102ABBE5" w14:textId="77777777" w:rsidR="007165FF" w:rsidRDefault="007165FF" w:rsidP="006D113D">
      <w:pPr>
        <w:pStyle w:val="ListParagraph"/>
        <w:numPr>
          <w:ilvl w:val="0"/>
          <w:numId w:val="11"/>
        </w:numPr>
      </w:pPr>
      <w:r>
        <w:t>create efficiencies in regulatory systems, and avoid duplication and unnecessary regulatory effort, while not diminishing protections for any Australians receiving care or supports</w:t>
      </w:r>
    </w:p>
    <w:p w14:paraId="5276EE1F" w14:textId="77777777" w:rsidR="007165FF" w:rsidRDefault="007165FF" w:rsidP="006D113D">
      <w:pPr>
        <w:pStyle w:val="ListParagraph"/>
        <w:numPr>
          <w:ilvl w:val="0"/>
          <w:numId w:val="11"/>
        </w:numPr>
      </w:pPr>
      <w:r>
        <w:t>be evidence-based, using best practice approaches that are proportionate to the level of risk</w:t>
      </w:r>
    </w:p>
    <w:p w14:paraId="379A025D" w14:textId="77777777" w:rsidR="007165FF" w:rsidRDefault="007165FF" w:rsidP="006D113D">
      <w:pPr>
        <w:pStyle w:val="ListParagraph"/>
        <w:numPr>
          <w:ilvl w:val="0"/>
          <w:numId w:val="11"/>
        </w:numPr>
      </w:pPr>
      <w:r>
        <w:t>ensure there are appropriate quality and safeguards protections in place for participants and consumers</w:t>
      </w:r>
    </w:p>
    <w:p w14:paraId="2A59813A" w14:textId="77777777" w:rsidR="007165FF" w:rsidRDefault="007165FF" w:rsidP="006D113D">
      <w:pPr>
        <w:pStyle w:val="ListParagraph"/>
        <w:numPr>
          <w:ilvl w:val="0"/>
          <w:numId w:val="11"/>
        </w:numPr>
      </w:pPr>
      <w:r>
        <w:t>drive continuous improvement in provider and worker conduct and performance across the sectors</w:t>
      </w:r>
    </w:p>
    <w:p w14:paraId="46BF66EF" w14:textId="77777777" w:rsidR="007165FF" w:rsidRDefault="007165FF" w:rsidP="006D113D">
      <w:pPr>
        <w:pStyle w:val="ListParagraph"/>
        <w:numPr>
          <w:ilvl w:val="0"/>
          <w:numId w:val="11"/>
        </w:numPr>
      </w:pPr>
      <w:r>
        <w:t xml:space="preserve">promote equity and choice in service access and person-centred care and supports </w:t>
      </w:r>
    </w:p>
    <w:p w14:paraId="37DCC900" w14:textId="77777777" w:rsidR="007165FF" w:rsidRDefault="007165FF" w:rsidP="006D113D">
      <w:pPr>
        <w:pStyle w:val="ListParagraph"/>
        <w:numPr>
          <w:ilvl w:val="0"/>
          <w:numId w:val="11"/>
        </w:numPr>
      </w:pPr>
      <w:r>
        <w:t>implement a collaborative and innovative consultation approach.</w:t>
      </w:r>
    </w:p>
    <w:p w14:paraId="2C17C73D" w14:textId="77777777" w:rsidR="007165FF" w:rsidRDefault="007165FF" w:rsidP="007165FF">
      <w:pPr>
        <w:pStyle w:val="Heading2"/>
      </w:pPr>
      <w:bookmarkStart w:id="13" w:name="_Toc84511968"/>
      <w:r>
        <w:t>Short-term alignment</w:t>
      </w:r>
      <w:bookmarkEnd w:id="13"/>
    </w:p>
    <w:p w14:paraId="27433884" w14:textId="77777777" w:rsidR="007165FF" w:rsidRDefault="007165FF" w:rsidP="006D113D">
      <w:r>
        <w:t>The Government has already identified a number of shorter-term activities to align care and support sector regulation, including:</w:t>
      </w:r>
    </w:p>
    <w:p w14:paraId="58DBF31F" w14:textId="77777777" w:rsidR="007165FF" w:rsidRDefault="007165FF" w:rsidP="006D113D">
      <w:pPr>
        <w:pStyle w:val="ListParagraph"/>
        <w:numPr>
          <w:ilvl w:val="0"/>
          <w:numId w:val="12"/>
        </w:numPr>
      </w:pPr>
      <w:r>
        <w:t>changing laws to improve how regulators share information, and aligning the compliance and enforcement powers between regulators</w:t>
      </w:r>
    </w:p>
    <w:p w14:paraId="090ADDEE" w14:textId="77777777" w:rsidR="007165FF" w:rsidRDefault="007165FF" w:rsidP="006D113D">
      <w:pPr>
        <w:pStyle w:val="ListParagraph"/>
        <w:numPr>
          <w:ilvl w:val="0"/>
          <w:numId w:val="12"/>
        </w:numPr>
      </w:pPr>
      <w:r>
        <w:t>exploring ways to align requirements for behaviour support and restrictive practices to better protect people who receive care and support</w:t>
      </w:r>
    </w:p>
    <w:p w14:paraId="00F0BBFF" w14:textId="77777777" w:rsidR="007165FF" w:rsidRDefault="007165FF" w:rsidP="006D113D">
      <w:pPr>
        <w:pStyle w:val="ListParagraph"/>
        <w:numPr>
          <w:ilvl w:val="0"/>
          <w:numId w:val="12"/>
        </w:numPr>
      </w:pPr>
      <w:r>
        <w:t>trialling combined assessments/audits for aged care and the NDIS, reducing costs for providers while still achieving the goals of the audit and assessment processes</w:t>
      </w:r>
    </w:p>
    <w:p w14:paraId="2E68D285" w14:textId="77777777" w:rsidR="007165FF" w:rsidRDefault="007165FF" w:rsidP="006D113D">
      <w:pPr>
        <w:pStyle w:val="ListParagraph"/>
        <w:numPr>
          <w:ilvl w:val="0"/>
          <w:numId w:val="12"/>
        </w:numPr>
      </w:pPr>
      <w:r>
        <w:t>reviewing standards to work towards a shared core set of care and support standards</w:t>
      </w:r>
    </w:p>
    <w:p w14:paraId="06610A98" w14:textId="77777777" w:rsidR="007165FF" w:rsidRDefault="007165FF" w:rsidP="006D113D">
      <w:pPr>
        <w:pStyle w:val="ListParagraph"/>
        <w:numPr>
          <w:ilvl w:val="0"/>
          <w:numId w:val="12"/>
        </w:numPr>
      </w:pPr>
      <w:r>
        <w:t>assessing quality and safeguarding in grants, procurement and panels and looking for ways to align requirements and processes</w:t>
      </w:r>
    </w:p>
    <w:p w14:paraId="53E012C4" w14:textId="77777777" w:rsidR="007165FF" w:rsidRDefault="007165FF" w:rsidP="006D113D">
      <w:pPr>
        <w:pStyle w:val="ListParagraph"/>
        <w:numPr>
          <w:ilvl w:val="0"/>
          <w:numId w:val="12"/>
        </w:numPr>
      </w:pPr>
      <w:r>
        <w:lastRenderedPageBreak/>
        <w:t>reviewing the regulatory frameworks and looking for ways to align registration and accreditation processes to make it easier for providers to expand across the care and support sectors</w:t>
      </w:r>
    </w:p>
    <w:p w14:paraId="563CCB78" w14:textId="77777777" w:rsidR="007165FF" w:rsidRDefault="007165FF" w:rsidP="006D113D">
      <w:pPr>
        <w:pStyle w:val="ListParagraph"/>
        <w:numPr>
          <w:ilvl w:val="0"/>
          <w:numId w:val="12"/>
        </w:numPr>
      </w:pPr>
      <w:r>
        <w:t>a Care and Support Worker Screening Check to screen workers to avoid risk of harm, while making it easier for workers to work across the care and support sectors</w:t>
      </w:r>
    </w:p>
    <w:p w14:paraId="7556B014" w14:textId="77777777" w:rsidR="007165FF" w:rsidRDefault="007165FF" w:rsidP="006D113D">
      <w:pPr>
        <w:pStyle w:val="ListParagraph"/>
        <w:numPr>
          <w:ilvl w:val="0"/>
          <w:numId w:val="12"/>
        </w:numPr>
      </w:pPr>
      <w:r>
        <w:t>a common Code of Conduct to establish common foundational obligations for providers and workers</w:t>
      </w:r>
    </w:p>
    <w:p w14:paraId="19ADE847" w14:textId="77777777" w:rsidR="007165FF" w:rsidRDefault="007165FF" w:rsidP="00EB623A">
      <w:pPr>
        <w:pStyle w:val="Heading2"/>
      </w:pPr>
      <w:bookmarkStart w:id="14" w:name="_Toc84511969"/>
      <w:r>
        <w:t>Roadmap for medium to long term alignment</w:t>
      </w:r>
      <w:bookmarkEnd w:id="14"/>
    </w:p>
    <w:p w14:paraId="6DAA1229" w14:textId="5517A0BD" w:rsidR="00133F9D" w:rsidRDefault="00133F9D" w:rsidP="00EB623A">
      <w:pPr>
        <w:pStyle w:val="BodyText"/>
      </w:pPr>
      <w:r>
        <w:t>The</w:t>
      </w:r>
      <w:r>
        <w:rPr>
          <w:spacing w:val="-5"/>
        </w:rPr>
        <w:t xml:space="preserve"> </w:t>
      </w:r>
      <w:r>
        <w:t>focus</w:t>
      </w:r>
      <w:r>
        <w:rPr>
          <w:spacing w:val="-5"/>
        </w:rPr>
        <w:t xml:space="preserve"> </w:t>
      </w:r>
      <w:r>
        <w:t>of</w:t>
      </w:r>
      <w:r>
        <w:rPr>
          <w:spacing w:val="-5"/>
        </w:rPr>
        <w:t xml:space="preserve"> </w:t>
      </w:r>
      <w:r>
        <w:t>the</w:t>
      </w:r>
      <w:r>
        <w:rPr>
          <w:spacing w:val="-5"/>
        </w:rPr>
        <w:t xml:space="preserve"> </w:t>
      </w:r>
      <w:r>
        <w:t>Taskforce</w:t>
      </w:r>
      <w:r>
        <w:rPr>
          <w:spacing w:val="-5"/>
        </w:rPr>
        <w:t xml:space="preserve"> </w:t>
      </w:r>
      <w:r>
        <w:t>is</w:t>
      </w:r>
      <w:r>
        <w:rPr>
          <w:spacing w:val="-5"/>
        </w:rPr>
        <w:t xml:space="preserve"> </w:t>
      </w:r>
      <w:r>
        <w:t>to</w:t>
      </w:r>
      <w:r>
        <w:rPr>
          <w:spacing w:val="-5"/>
        </w:rPr>
        <w:t xml:space="preserve"> </w:t>
      </w:r>
      <w:r>
        <w:t>also</w:t>
      </w:r>
      <w:r>
        <w:rPr>
          <w:spacing w:val="-5"/>
        </w:rPr>
        <w:t xml:space="preserve"> </w:t>
      </w:r>
      <w:r>
        <w:t>develop</w:t>
      </w:r>
      <w:r>
        <w:rPr>
          <w:spacing w:val="-4"/>
        </w:rPr>
        <w:t xml:space="preserve"> </w:t>
      </w:r>
      <w:r>
        <w:t>a</w:t>
      </w:r>
      <w:r>
        <w:rPr>
          <w:spacing w:val="-5"/>
        </w:rPr>
        <w:t xml:space="preserve"> </w:t>
      </w:r>
      <w:r>
        <w:t>roadmap</w:t>
      </w:r>
      <w:r>
        <w:rPr>
          <w:spacing w:val="-5"/>
        </w:rPr>
        <w:t xml:space="preserve"> </w:t>
      </w:r>
      <w:r>
        <w:t>for</w:t>
      </w:r>
      <w:r>
        <w:rPr>
          <w:spacing w:val="-5"/>
        </w:rPr>
        <w:t xml:space="preserve"> </w:t>
      </w:r>
      <w:r>
        <w:t>medium</w:t>
      </w:r>
      <w:r>
        <w:rPr>
          <w:spacing w:val="-5"/>
        </w:rPr>
        <w:t xml:space="preserve"> </w:t>
      </w:r>
      <w:r>
        <w:t>to</w:t>
      </w:r>
      <w:r>
        <w:rPr>
          <w:spacing w:val="-5"/>
        </w:rPr>
        <w:t xml:space="preserve"> </w:t>
      </w:r>
      <w:r>
        <w:t xml:space="preserve">longer </w:t>
      </w:r>
      <w:r>
        <w:rPr>
          <w:spacing w:val="-59"/>
        </w:rPr>
        <w:t xml:space="preserve"> </w:t>
      </w:r>
      <w:r>
        <w:t xml:space="preserve">term regulatory alignment (the Roadmap), to be presented to </w:t>
      </w:r>
      <w:r w:rsidRPr="00EB623A">
        <w:t>Government</w:t>
      </w:r>
      <w:r>
        <w:t xml:space="preserve"> in</w:t>
      </w:r>
      <w:r>
        <w:rPr>
          <w:spacing w:val="1"/>
        </w:rPr>
        <w:t xml:space="preserve"> </w:t>
      </w:r>
      <w:r>
        <w:t>2022.</w:t>
      </w:r>
      <w:r>
        <w:rPr>
          <w:spacing w:val="-5"/>
        </w:rPr>
        <w:t xml:space="preserve"> </w:t>
      </w:r>
      <w:r>
        <w:t>The</w:t>
      </w:r>
      <w:r>
        <w:rPr>
          <w:spacing w:val="-4"/>
        </w:rPr>
        <w:t xml:space="preserve"> </w:t>
      </w:r>
      <w:r>
        <w:t>Roadmap</w:t>
      </w:r>
      <w:r>
        <w:rPr>
          <w:spacing w:val="-5"/>
        </w:rPr>
        <w:t xml:space="preserve"> </w:t>
      </w:r>
      <w:r>
        <w:t>will</w:t>
      </w:r>
      <w:r>
        <w:rPr>
          <w:spacing w:val="-4"/>
        </w:rPr>
        <w:t xml:space="preserve"> </w:t>
      </w:r>
      <w:r>
        <w:t>outline</w:t>
      </w:r>
      <w:r>
        <w:rPr>
          <w:spacing w:val="-4"/>
        </w:rPr>
        <w:t xml:space="preserve"> </w:t>
      </w:r>
      <w:r>
        <w:t>the</w:t>
      </w:r>
      <w:r>
        <w:rPr>
          <w:spacing w:val="-5"/>
        </w:rPr>
        <w:t xml:space="preserve"> </w:t>
      </w:r>
      <w:r>
        <w:t>outcomes</w:t>
      </w:r>
      <w:r>
        <w:rPr>
          <w:spacing w:val="-4"/>
        </w:rPr>
        <w:t xml:space="preserve"> </w:t>
      </w:r>
      <w:r>
        <w:t>we</w:t>
      </w:r>
      <w:r>
        <w:rPr>
          <w:spacing w:val="-4"/>
        </w:rPr>
        <w:t xml:space="preserve"> </w:t>
      </w:r>
      <w:r>
        <w:t>are</w:t>
      </w:r>
      <w:r>
        <w:rPr>
          <w:spacing w:val="-5"/>
        </w:rPr>
        <w:t xml:space="preserve"> </w:t>
      </w:r>
      <w:r>
        <w:t>seeking</w:t>
      </w:r>
      <w:r>
        <w:rPr>
          <w:spacing w:val="-4"/>
        </w:rPr>
        <w:t xml:space="preserve"> </w:t>
      </w:r>
      <w:r>
        <w:t>from</w:t>
      </w:r>
      <w:r>
        <w:rPr>
          <w:spacing w:val="-4"/>
        </w:rPr>
        <w:t xml:space="preserve"> </w:t>
      </w:r>
      <w:r>
        <w:t>regulatory</w:t>
      </w:r>
      <w:r>
        <w:rPr>
          <w:spacing w:val="-59"/>
        </w:rPr>
        <w:t xml:space="preserve">      </w:t>
      </w:r>
      <w:r>
        <w:t xml:space="preserve"> alignment</w:t>
      </w:r>
      <w:r>
        <w:rPr>
          <w:spacing w:val="-10"/>
        </w:rPr>
        <w:t xml:space="preserve"> </w:t>
      </w:r>
      <w:r>
        <w:t>and</w:t>
      </w:r>
      <w:r>
        <w:rPr>
          <w:spacing w:val="-10"/>
        </w:rPr>
        <w:t xml:space="preserve"> </w:t>
      </w:r>
      <w:r>
        <w:t>the</w:t>
      </w:r>
      <w:r>
        <w:rPr>
          <w:spacing w:val="-9"/>
        </w:rPr>
        <w:t xml:space="preserve"> </w:t>
      </w:r>
      <w:r>
        <w:t>steps</w:t>
      </w:r>
      <w:r>
        <w:rPr>
          <w:spacing w:val="-10"/>
        </w:rPr>
        <w:t xml:space="preserve"> </w:t>
      </w:r>
      <w:r>
        <w:t>to</w:t>
      </w:r>
      <w:r>
        <w:rPr>
          <w:spacing w:val="-10"/>
        </w:rPr>
        <w:t xml:space="preserve"> </w:t>
      </w:r>
      <w:r>
        <w:t>achieve</w:t>
      </w:r>
      <w:r>
        <w:rPr>
          <w:spacing w:val="-9"/>
        </w:rPr>
        <w:t xml:space="preserve"> </w:t>
      </w:r>
      <w:r>
        <w:t>them.</w:t>
      </w:r>
    </w:p>
    <w:p w14:paraId="3087982C" w14:textId="067E5066" w:rsidR="00133F9D" w:rsidRDefault="00133F9D" w:rsidP="00EB623A">
      <w:pPr>
        <w:pStyle w:val="BodyText"/>
      </w:pPr>
      <w:r>
        <w:t>The</w:t>
      </w:r>
      <w:r>
        <w:rPr>
          <w:spacing w:val="3"/>
        </w:rPr>
        <w:t xml:space="preserve"> </w:t>
      </w:r>
      <w:r>
        <w:t>options</w:t>
      </w:r>
      <w:r>
        <w:rPr>
          <w:spacing w:val="3"/>
        </w:rPr>
        <w:t xml:space="preserve"> </w:t>
      </w:r>
      <w:r>
        <w:t>for</w:t>
      </w:r>
      <w:r>
        <w:rPr>
          <w:spacing w:val="3"/>
        </w:rPr>
        <w:t xml:space="preserve"> </w:t>
      </w:r>
      <w:r>
        <w:t>medium</w:t>
      </w:r>
      <w:r>
        <w:rPr>
          <w:spacing w:val="3"/>
        </w:rPr>
        <w:t xml:space="preserve"> </w:t>
      </w:r>
      <w:r>
        <w:t>to</w:t>
      </w:r>
      <w:r>
        <w:rPr>
          <w:spacing w:val="3"/>
        </w:rPr>
        <w:t xml:space="preserve"> </w:t>
      </w:r>
      <w:r>
        <w:t>long</w:t>
      </w:r>
      <w:r>
        <w:rPr>
          <w:spacing w:val="3"/>
        </w:rPr>
        <w:t xml:space="preserve"> </w:t>
      </w:r>
      <w:r>
        <w:t>term</w:t>
      </w:r>
      <w:r>
        <w:rPr>
          <w:spacing w:val="3"/>
        </w:rPr>
        <w:t xml:space="preserve"> </w:t>
      </w:r>
      <w:r>
        <w:t>alignment</w:t>
      </w:r>
      <w:r>
        <w:rPr>
          <w:spacing w:val="4"/>
        </w:rPr>
        <w:t xml:space="preserve"> </w:t>
      </w:r>
      <w:r>
        <w:t>are</w:t>
      </w:r>
      <w:r>
        <w:rPr>
          <w:spacing w:val="3"/>
        </w:rPr>
        <w:t xml:space="preserve"> </w:t>
      </w:r>
      <w:r>
        <w:t>open,</w:t>
      </w:r>
      <w:r>
        <w:rPr>
          <w:spacing w:val="3"/>
        </w:rPr>
        <w:t xml:space="preserve"> </w:t>
      </w:r>
      <w:r>
        <w:t>with</w:t>
      </w:r>
      <w:r>
        <w:rPr>
          <w:spacing w:val="3"/>
        </w:rPr>
        <w:t xml:space="preserve"> </w:t>
      </w:r>
      <w:r>
        <w:t>no</w:t>
      </w:r>
      <w:r>
        <w:rPr>
          <w:spacing w:val="3"/>
        </w:rPr>
        <w:t xml:space="preserve"> </w:t>
      </w:r>
      <w:r>
        <w:t>set</w:t>
      </w:r>
      <w:r>
        <w:rPr>
          <w:spacing w:val="3"/>
        </w:rPr>
        <w:t xml:space="preserve"> </w:t>
      </w:r>
      <w:r>
        <w:t>plan</w:t>
      </w:r>
      <w:r>
        <w:rPr>
          <w:spacing w:val="1"/>
        </w:rPr>
        <w:t xml:space="preserve"> </w:t>
      </w:r>
      <w:r>
        <w:t>for what is to be achieved. Options might include, for example, aligning</w:t>
      </w:r>
      <w:r>
        <w:rPr>
          <w:spacing w:val="1"/>
        </w:rPr>
        <w:t xml:space="preserve"> </w:t>
      </w:r>
      <w:r>
        <w:t>approval</w:t>
      </w:r>
      <w:r>
        <w:rPr>
          <w:spacing w:val="-9"/>
        </w:rPr>
        <w:t xml:space="preserve"> </w:t>
      </w:r>
      <w:r>
        <w:t>or</w:t>
      </w:r>
      <w:r>
        <w:rPr>
          <w:spacing w:val="-8"/>
        </w:rPr>
        <w:t xml:space="preserve"> </w:t>
      </w:r>
      <w:r>
        <w:t>registration</w:t>
      </w:r>
      <w:r>
        <w:rPr>
          <w:spacing w:val="-8"/>
        </w:rPr>
        <w:t xml:space="preserve"> </w:t>
      </w:r>
      <w:r>
        <w:t>systems</w:t>
      </w:r>
      <w:r>
        <w:rPr>
          <w:spacing w:val="-9"/>
        </w:rPr>
        <w:t xml:space="preserve"> </w:t>
      </w:r>
      <w:r>
        <w:t>for</w:t>
      </w:r>
      <w:r>
        <w:rPr>
          <w:spacing w:val="-8"/>
        </w:rPr>
        <w:t xml:space="preserve"> </w:t>
      </w:r>
      <w:r>
        <w:t>providers.</w:t>
      </w:r>
      <w:r>
        <w:rPr>
          <w:spacing w:val="-8"/>
        </w:rPr>
        <w:t xml:space="preserve"> </w:t>
      </w:r>
      <w:r>
        <w:t>Or</w:t>
      </w:r>
      <w:r>
        <w:rPr>
          <w:spacing w:val="-8"/>
        </w:rPr>
        <w:t xml:space="preserve"> </w:t>
      </w:r>
      <w:r>
        <w:t>they</w:t>
      </w:r>
      <w:r>
        <w:rPr>
          <w:spacing w:val="-9"/>
        </w:rPr>
        <w:t xml:space="preserve"> </w:t>
      </w:r>
      <w:r>
        <w:t>may</w:t>
      </w:r>
      <w:r>
        <w:rPr>
          <w:spacing w:val="-8"/>
        </w:rPr>
        <w:t xml:space="preserve"> </w:t>
      </w:r>
      <w:r>
        <w:t>be</w:t>
      </w:r>
      <w:r>
        <w:rPr>
          <w:spacing w:val="-8"/>
        </w:rPr>
        <w:t xml:space="preserve"> </w:t>
      </w:r>
      <w:r>
        <w:t>as</w:t>
      </w:r>
      <w:r>
        <w:rPr>
          <w:spacing w:val="-8"/>
        </w:rPr>
        <w:t xml:space="preserve"> </w:t>
      </w:r>
      <w:r>
        <w:t>simple</w:t>
      </w:r>
      <w:r>
        <w:rPr>
          <w:spacing w:val="-9"/>
        </w:rPr>
        <w:t xml:space="preserve"> </w:t>
      </w:r>
      <w:r>
        <w:t>as</w:t>
      </w:r>
      <w:r>
        <w:rPr>
          <w:spacing w:val="1"/>
        </w:rPr>
        <w:t xml:space="preserve"> </w:t>
      </w:r>
      <w:r>
        <w:rPr>
          <w:spacing w:val="-1"/>
          <w:w w:val="105"/>
        </w:rPr>
        <w:t>streamlining</w:t>
      </w:r>
      <w:r>
        <w:rPr>
          <w:spacing w:val="-15"/>
          <w:w w:val="105"/>
        </w:rPr>
        <w:t xml:space="preserve"> </w:t>
      </w:r>
      <w:r>
        <w:rPr>
          <w:spacing w:val="-1"/>
          <w:w w:val="105"/>
        </w:rPr>
        <w:t>the</w:t>
      </w:r>
      <w:r>
        <w:rPr>
          <w:spacing w:val="-14"/>
          <w:w w:val="105"/>
        </w:rPr>
        <w:t xml:space="preserve"> </w:t>
      </w:r>
      <w:r>
        <w:rPr>
          <w:spacing w:val="-1"/>
          <w:w w:val="105"/>
        </w:rPr>
        <w:t>reporting</w:t>
      </w:r>
      <w:r>
        <w:rPr>
          <w:spacing w:val="-14"/>
          <w:w w:val="105"/>
        </w:rPr>
        <w:t xml:space="preserve"> </w:t>
      </w:r>
      <w:r>
        <w:rPr>
          <w:spacing w:val="-1"/>
          <w:w w:val="105"/>
        </w:rPr>
        <w:t>of</w:t>
      </w:r>
      <w:r>
        <w:rPr>
          <w:spacing w:val="-14"/>
          <w:w w:val="105"/>
        </w:rPr>
        <w:t xml:space="preserve"> </w:t>
      </w:r>
      <w:r>
        <w:rPr>
          <w:spacing w:val="-1"/>
          <w:w w:val="105"/>
        </w:rPr>
        <w:t>information</w:t>
      </w:r>
      <w:r>
        <w:rPr>
          <w:spacing w:val="-14"/>
          <w:w w:val="105"/>
        </w:rPr>
        <w:t xml:space="preserve"> </w:t>
      </w:r>
      <w:r>
        <w:rPr>
          <w:spacing w:val="-1"/>
          <w:w w:val="105"/>
        </w:rPr>
        <w:t>to</w:t>
      </w:r>
      <w:r>
        <w:rPr>
          <w:spacing w:val="-14"/>
          <w:w w:val="105"/>
        </w:rPr>
        <w:t xml:space="preserve"> </w:t>
      </w:r>
      <w:r>
        <w:rPr>
          <w:spacing w:val="-1"/>
          <w:w w:val="105"/>
        </w:rPr>
        <w:t>multiple</w:t>
      </w:r>
      <w:r>
        <w:rPr>
          <w:spacing w:val="-14"/>
          <w:w w:val="105"/>
        </w:rPr>
        <w:t xml:space="preserve"> </w:t>
      </w:r>
      <w:r>
        <w:rPr>
          <w:spacing w:val="-1"/>
          <w:w w:val="105"/>
        </w:rPr>
        <w:t>regulators</w:t>
      </w:r>
      <w:r>
        <w:rPr>
          <w:spacing w:val="-15"/>
          <w:w w:val="105"/>
        </w:rPr>
        <w:t xml:space="preserve"> </w:t>
      </w:r>
      <w:r>
        <w:rPr>
          <w:spacing w:val="-1"/>
          <w:w w:val="105"/>
        </w:rPr>
        <w:t>–</w:t>
      </w:r>
      <w:r>
        <w:rPr>
          <w:spacing w:val="-14"/>
          <w:w w:val="105"/>
        </w:rPr>
        <w:t xml:space="preserve"> </w:t>
      </w:r>
      <w:r>
        <w:rPr>
          <w:spacing w:val="-1"/>
          <w:w w:val="105"/>
        </w:rPr>
        <w:t xml:space="preserve">reporting </w:t>
      </w:r>
      <w:r>
        <w:rPr>
          <w:spacing w:val="-61"/>
          <w:w w:val="105"/>
        </w:rPr>
        <w:t xml:space="preserve"> </w:t>
      </w:r>
      <w:r>
        <w:t>once</w:t>
      </w:r>
      <w:r>
        <w:rPr>
          <w:spacing w:val="-10"/>
        </w:rPr>
        <w:t xml:space="preserve"> </w:t>
      </w:r>
      <w:r>
        <w:t>to</w:t>
      </w:r>
      <w:r>
        <w:rPr>
          <w:spacing w:val="-10"/>
        </w:rPr>
        <w:t xml:space="preserve"> </w:t>
      </w:r>
      <w:r>
        <w:t>meet</w:t>
      </w:r>
      <w:r>
        <w:rPr>
          <w:spacing w:val="-9"/>
        </w:rPr>
        <w:t xml:space="preserve"> </w:t>
      </w:r>
      <w:r>
        <w:t>multiple</w:t>
      </w:r>
      <w:r>
        <w:rPr>
          <w:spacing w:val="-10"/>
        </w:rPr>
        <w:t xml:space="preserve"> </w:t>
      </w:r>
      <w:r>
        <w:t>obligations.</w:t>
      </w:r>
    </w:p>
    <w:p w14:paraId="5CE58B67" w14:textId="7D0C03CB" w:rsidR="00133F9D" w:rsidRDefault="00133F9D" w:rsidP="00EB623A">
      <w:pPr>
        <w:pStyle w:val="BodyText"/>
      </w:pPr>
      <w:r>
        <w:t>The Taskforce will consult with stakeholders from across the care and</w:t>
      </w:r>
      <w:r>
        <w:rPr>
          <w:spacing w:val="1"/>
        </w:rPr>
        <w:t xml:space="preserve"> </w:t>
      </w:r>
      <w:r>
        <w:t>support</w:t>
      </w:r>
      <w:r>
        <w:rPr>
          <w:spacing w:val="7"/>
        </w:rPr>
        <w:t xml:space="preserve"> </w:t>
      </w:r>
      <w:r>
        <w:t>sectors</w:t>
      </w:r>
      <w:r>
        <w:rPr>
          <w:spacing w:val="7"/>
        </w:rPr>
        <w:t xml:space="preserve"> </w:t>
      </w:r>
      <w:r>
        <w:t>to</w:t>
      </w:r>
      <w:r>
        <w:rPr>
          <w:spacing w:val="7"/>
        </w:rPr>
        <w:t xml:space="preserve"> </w:t>
      </w:r>
      <w:r>
        <w:t>inform</w:t>
      </w:r>
      <w:r>
        <w:rPr>
          <w:spacing w:val="7"/>
        </w:rPr>
        <w:t xml:space="preserve"> </w:t>
      </w:r>
      <w:r>
        <w:t>the</w:t>
      </w:r>
      <w:r>
        <w:rPr>
          <w:spacing w:val="7"/>
        </w:rPr>
        <w:t xml:space="preserve"> </w:t>
      </w:r>
      <w:r>
        <w:t>regulatory</w:t>
      </w:r>
      <w:r>
        <w:rPr>
          <w:spacing w:val="7"/>
        </w:rPr>
        <w:t xml:space="preserve"> </w:t>
      </w:r>
      <w:r>
        <w:t>alignment</w:t>
      </w:r>
      <w:r>
        <w:rPr>
          <w:spacing w:val="8"/>
        </w:rPr>
        <w:t xml:space="preserve"> </w:t>
      </w:r>
      <w:r>
        <w:t>steps</w:t>
      </w:r>
      <w:r>
        <w:rPr>
          <w:spacing w:val="7"/>
        </w:rPr>
        <w:t xml:space="preserve"> </w:t>
      </w:r>
      <w:r>
        <w:t>and</w:t>
      </w:r>
      <w:r>
        <w:rPr>
          <w:spacing w:val="7"/>
        </w:rPr>
        <w:t xml:space="preserve"> </w:t>
      </w:r>
      <w:r>
        <w:t>outcomes.</w:t>
      </w:r>
      <w:r>
        <w:rPr>
          <w:spacing w:val="1"/>
        </w:rPr>
        <w:t xml:space="preserve"> </w:t>
      </w:r>
      <w:r>
        <w:t>The</w:t>
      </w:r>
      <w:r>
        <w:rPr>
          <w:spacing w:val="4"/>
        </w:rPr>
        <w:t xml:space="preserve"> </w:t>
      </w:r>
      <w:r>
        <w:t>various</w:t>
      </w:r>
      <w:r>
        <w:rPr>
          <w:spacing w:val="4"/>
        </w:rPr>
        <w:t xml:space="preserve"> </w:t>
      </w:r>
      <w:r>
        <w:t>stakeholder</w:t>
      </w:r>
      <w:r>
        <w:rPr>
          <w:spacing w:val="4"/>
        </w:rPr>
        <w:t xml:space="preserve"> </w:t>
      </w:r>
      <w:r>
        <w:t>perspectives</w:t>
      </w:r>
      <w:r>
        <w:rPr>
          <w:spacing w:val="5"/>
        </w:rPr>
        <w:t xml:space="preserve"> </w:t>
      </w:r>
      <w:r>
        <w:t>will</w:t>
      </w:r>
      <w:r>
        <w:rPr>
          <w:spacing w:val="4"/>
        </w:rPr>
        <w:t xml:space="preserve"> </w:t>
      </w:r>
      <w:r>
        <w:t>provide</w:t>
      </w:r>
      <w:r>
        <w:rPr>
          <w:spacing w:val="4"/>
        </w:rPr>
        <w:t xml:space="preserve"> </w:t>
      </w:r>
      <w:r>
        <w:t>guidance</w:t>
      </w:r>
      <w:r>
        <w:rPr>
          <w:spacing w:val="4"/>
        </w:rPr>
        <w:t xml:space="preserve"> </w:t>
      </w:r>
      <w:r>
        <w:t>and</w:t>
      </w:r>
      <w:r>
        <w:rPr>
          <w:spacing w:val="5"/>
        </w:rPr>
        <w:t xml:space="preserve"> </w:t>
      </w:r>
      <w:r>
        <w:t>direction</w:t>
      </w:r>
      <w:r>
        <w:rPr>
          <w:spacing w:val="4"/>
        </w:rPr>
        <w:t xml:space="preserve"> </w:t>
      </w:r>
      <w:r>
        <w:t>to</w:t>
      </w:r>
      <w:r w:rsidR="00DF738B">
        <w:t xml:space="preserve"> </w:t>
      </w:r>
      <w:r>
        <w:rPr>
          <w:spacing w:val="-58"/>
        </w:rPr>
        <w:t xml:space="preserve"> </w:t>
      </w:r>
      <w:r>
        <w:t>ensure</w:t>
      </w:r>
      <w:r>
        <w:rPr>
          <w:spacing w:val="-11"/>
        </w:rPr>
        <w:t xml:space="preserve"> </w:t>
      </w:r>
      <w:r>
        <w:t>the</w:t>
      </w:r>
      <w:r>
        <w:rPr>
          <w:spacing w:val="-10"/>
        </w:rPr>
        <w:t xml:space="preserve"> </w:t>
      </w:r>
      <w:r>
        <w:t>best</w:t>
      </w:r>
      <w:r>
        <w:rPr>
          <w:spacing w:val="-10"/>
        </w:rPr>
        <w:t xml:space="preserve"> </w:t>
      </w:r>
      <w:r>
        <w:t>outcomes</w:t>
      </w:r>
      <w:r>
        <w:rPr>
          <w:spacing w:val="-10"/>
        </w:rPr>
        <w:t xml:space="preserve"> </w:t>
      </w:r>
      <w:r>
        <w:t>are</w:t>
      </w:r>
      <w:r>
        <w:rPr>
          <w:spacing w:val="-10"/>
        </w:rPr>
        <w:t xml:space="preserve"> </w:t>
      </w:r>
      <w:r>
        <w:t>achieved.</w:t>
      </w:r>
    </w:p>
    <w:p w14:paraId="7B168772" w14:textId="096870FB" w:rsidR="007165FF" w:rsidRDefault="007165FF" w:rsidP="006D113D">
      <w:pPr>
        <w:pStyle w:val="FigureHeading"/>
      </w:pPr>
      <w:r>
        <w:t>Figure 3: Overview of the consultation process</w:t>
      </w:r>
    </w:p>
    <w:p w14:paraId="06C31412" w14:textId="7D32F3B7" w:rsidR="00684B72" w:rsidRDefault="00DF738B" w:rsidP="00EB5096">
      <w:pPr>
        <w:pStyle w:val="FigureHeading"/>
        <w:spacing w:after="120"/>
      </w:pPr>
      <w:r>
        <w:rPr>
          <w:noProof/>
        </w:rPr>
        <w:drawing>
          <wp:inline distT="0" distB="0" distL="0" distR="0" wp14:anchorId="26BCA141" wp14:editId="0397B2B2">
            <wp:extent cx="4972050" cy="2266950"/>
            <wp:effectExtent l="0" t="0" r="0" b="0"/>
            <wp:docPr id="6" name="Picture 6" descr="Figure 3: Overview of the consultation process&#10;Stage 1 - Discover&#10;Stage 2 - Describe and refine&#10;Stage 3 -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Overview of the consultation process&#10;Stage 1 - Discover&#10;Stage 2 - Describe and refine&#10;Stage 3 - Share"/>
                    <pic:cNvPicPr/>
                  </pic:nvPicPr>
                  <pic:blipFill rotWithShape="1">
                    <a:blip r:embed="rId11" cstate="print">
                      <a:extLst>
                        <a:ext uri="{28A0092B-C50C-407E-A947-70E740481C1C}">
                          <a14:useLocalDpi xmlns:a14="http://schemas.microsoft.com/office/drawing/2010/main" val="0"/>
                        </a:ext>
                      </a:extLst>
                    </a:blip>
                    <a:srcRect l="6541" t="13202" r="12168" b="19944"/>
                    <a:stretch/>
                  </pic:blipFill>
                  <pic:spPr bwMode="auto">
                    <a:xfrm>
                      <a:off x="0" y="0"/>
                      <a:ext cx="4972050" cy="2266950"/>
                    </a:xfrm>
                    <a:prstGeom prst="rect">
                      <a:avLst/>
                    </a:prstGeom>
                    <a:ln>
                      <a:noFill/>
                    </a:ln>
                    <a:extLst>
                      <a:ext uri="{53640926-AAD7-44D8-BBD7-CCE9431645EC}">
                        <a14:shadowObscured xmlns:a14="http://schemas.microsoft.com/office/drawing/2010/main"/>
                      </a:ext>
                    </a:extLst>
                  </pic:spPr>
                </pic:pic>
              </a:graphicData>
            </a:graphic>
          </wp:inline>
        </w:drawing>
      </w:r>
    </w:p>
    <w:p w14:paraId="6B4EC1EF" w14:textId="77777777" w:rsidR="007165FF" w:rsidRDefault="007165FF" w:rsidP="006D113D">
      <w:r>
        <w:t>The Roadmap consultation process will include the short-term alignment activities and will consider related regulatory reform projects as relevant to regulatory alignment.</w:t>
      </w:r>
    </w:p>
    <w:p w14:paraId="4772DEF7" w14:textId="77777777" w:rsidR="007165FF" w:rsidRDefault="007165FF" w:rsidP="007165FF">
      <w:pPr>
        <w:pStyle w:val="Heading2"/>
      </w:pPr>
      <w:bookmarkStart w:id="15" w:name="_Toc84511970"/>
      <w:r>
        <w:t>Related regulatory reform projects</w:t>
      </w:r>
      <w:bookmarkEnd w:id="15"/>
    </w:p>
    <w:p w14:paraId="1CE08E5D" w14:textId="77777777" w:rsidR="007165FF" w:rsidRDefault="007165FF" w:rsidP="006D113D">
      <w:r>
        <w:t>The Taskforce’s cross-sector reform work is running alongside a program of regulatory reforms and reviews in each of the care and support sectors, including significant reforms to aged care. The Taskforce is working closely with teams across the agencies and departments leading this work to identify opportunities for regulatory alignment.</w:t>
      </w:r>
    </w:p>
    <w:p w14:paraId="6DC23716" w14:textId="77777777" w:rsidR="007165FF" w:rsidRDefault="007165FF" w:rsidP="007165FF">
      <w:pPr>
        <w:pStyle w:val="Heading3"/>
      </w:pPr>
      <w:bookmarkStart w:id="16" w:name="_Toc84511971"/>
      <w:r>
        <w:lastRenderedPageBreak/>
        <w:t>Aged care reforms and reviews</w:t>
      </w:r>
      <w:bookmarkEnd w:id="16"/>
    </w:p>
    <w:p w14:paraId="4EC834C3" w14:textId="77777777" w:rsidR="007165FF" w:rsidRDefault="007165FF" w:rsidP="006D113D">
      <w:r>
        <w:t xml:space="preserve">The Government is committed to delivering aged care reforms that provide high quality and safe care for senior Australians. The aged care system will be simpler to navigate, with new face-to-face services to help people access care. </w:t>
      </w:r>
    </w:p>
    <w:p w14:paraId="719CFAB9" w14:textId="77777777" w:rsidR="007165FF" w:rsidRDefault="007165FF" w:rsidP="006D113D">
      <w:r>
        <w:t>The Government’s reforms will deliver aged care that Australians can have confidence in, with stronger regulation of the care a person receives, and increased transparency and reporting to hold providers to account and help senior Australians make informed choices. Aligning regulation across Australia’s care and support sectors will support this work. Key aged care reform projects that relate to aligning regulation include:</w:t>
      </w:r>
    </w:p>
    <w:p w14:paraId="2E4B7BE7" w14:textId="061F529B" w:rsidR="007165FF" w:rsidRDefault="00147FB2" w:rsidP="006D113D">
      <w:pPr>
        <w:pStyle w:val="ListParagraph"/>
        <w:numPr>
          <w:ilvl w:val="0"/>
          <w:numId w:val="13"/>
        </w:numPr>
        <w:rPr>
          <w:rStyle w:val="Hyperlink"/>
        </w:rPr>
      </w:pPr>
      <w:hyperlink r:id="rId12" w:history="1">
        <w:r w:rsidR="007165FF" w:rsidRPr="004D0636">
          <w:rPr>
            <w:rStyle w:val="Hyperlink"/>
          </w:rPr>
          <w:t>Design of a new Aged Care Act</w:t>
        </w:r>
      </w:hyperlink>
    </w:p>
    <w:p w14:paraId="20DD0797" w14:textId="77777777" w:rsidR="007165FF" w:rsidRDefault="007165FF" w:rsidP="006D113D">
      <w:pPr>
        <w:ind w:left="360"/>
      </w:pPr>
      <w:r>
        <w:t>The Australian Government is developing a new Aged Care Act to underpin fundamental and generational reform across aged care.</w:t>
      </w:r>
    </w:p>
    <w:p w14:paraId="5A78E7F2" w14:textId="3DD21830" w:rsidR="007165FF" w:rsidRDefault="00147FB2" w:rsidP="006D113D">
      <w:pPr>
        <w:pStyle w:val="ListParagraph"/>
        <w:numPr>
          <w:ilvl w:val="0"/>
          <w:numId w:val="13"/>
        </w:numPr>
        <w:rPr>
          <w:rStyle w:val="Hyperlink"/>
        </w:rPr>
      </w:pPr>
      <w:hyperlink r:id="rId13" w:history="1">
        <w:r w:rsidR="007165FF" w:rsidRPr="004D0636">
          <w:rPr>
            <w:rStyle w:val="Hyperlink"/>
          </w:rPr>
          <w:t>Redesign of in-home and community care for older people requiring care</w:t>
        </w:r>
      </w:hyperlink>
    </w:p>
    <w:p w14:paraId="6B6722AD" w14:textId="427F80C0" w:rsidR="007165FF" w:rsidRDefault="007165FF" w:rsidP="006D113D">
      <w:pPr>
        <w:ind w:left="360"/>
      </w:pPr>
      <w:r>
        <w:t xml:space="preserve">New </w:t>
      </w:r>
      <w:r w:rsidR="00DF738B">
        <w:t>S</w:t>
      </w:r>
      <w:r>
        <w:t xml:space="preserve">upport at </w:t>
      </w:r>
      <w:r w:rsidR="00DF738B">
        <w:t>H</w:t>
      </w:r>
      <w:r>
        <w:t xml:space="preserve">ome </w:t>
      </w:r>
      <w:r w:rsidR="00DF738B">
        <w:t>P</w:t>
      </w:r>
      <w:r>
        <w:t>rogram to be designed and implemented to support senior Australians to stay in their homes and keep connected to their communities</w:t>
      </w:r>
      <w:r w:rsidR="00DF738B">
        <w:t>.</w:t>
      </w:r>
    </w:p>
    <w:p w14:paraId="6EAA3909" w14:textId="4CB7A7F7" w:rsidR="007165FF" w:rsidRDefault="00147FB2" w:rsidP="006D113D">
      <w:pPr>
        <w:pStyle w:val="ListParagraph"/>
        <w:numPr>
          <w:ilvl w:val="0"/>
          <w:numId w:val="13"/>
        </w:numPr>
        <w:rPr>
          <w:rStyle w:val="Hyperlink"/>
        </w:rPr>
      </w:pPr>
      <w:hyperlink r:id="rId14" w:history="1">
        <w:r w:rsidR="007165FF" w:rsidRPr="004D0636">
          <w:rPr>
            <w:rStyle w:val="Hyperlink"/>
          </w:rPr>
          <w:t>Behaviour support and restrictive practices</w:t>
        </w:r>
      </w:hyperlink>
    </w:p>
    <w:p w14:paraId="135B0795" w14:textId="77777777" w:rsidR="007165FF" w:rsidRDefault="007165FF" w:rsidP="006D113D">
      <w:pPr>
        <w:ind w:left="360"/>
      </w:pPr>
      <w:r>
        <w:t xml:space="preserve">Reforms to strengthen regulation of restraint (restrictive practices) and enhance behaviour support capability in residential aged care, including through legislation introduced in September 2021 and the appointment of a Senior Practitioner to the ACQSC to lead education of providers and provide an independent review mechanism. </w:t>
      </w:r>
    </w:p>
    <w:p w14:paraId="263E959B" w14:textId="171F31A0" w:rsidR="007165FF" w:rsidRDefault="00147FB2" w:rsidP="006D113D">
      <w:pPr>
        <w:pStyle w:val="ListParagraph"/>
        <w:numPr>
          <w:ilvl w:val="0"/>
          <w:numId w:val="13"/>
        </w:numPr>
        <w:rPr>
          <w:rStyle w:val="Hyperlink"/>
        </w:rPr>
      </w:pPr>
      <w:hyperlink r:id="rId15" w:history="1">
        <w:r w:rsidR="007165FF" w:rsidRPr="004D0636">
          <w:rPr>
            <w:rStyle w:val="Hyperlink"/>
          </w:rPr>
          <w:t>Serious Incident Response Scheme</w:t>
        </w:r>
      </w:hyperlink>
    </w:p>
    <w:p w14:paraId="49FE10CF" w14:textId="77777777" w:rsidR="007165FF" w:rsidRPr="006D113D" w:rsidRDefault="007165FF" w:rsidP="006D113D">
      <w:pPr>
        <w:ind w:left="360"/>
      </w:pPr>
      <w:r>
        <w:t xml:space="preserve">Expansion of the Serious Incident Response Scheme (SIRS) from residential care into home and community care. SIRS sets new arrangements for providers to manage, prevent and report serious </w:t>
      </w:r>
      <w:r w:rsidRPr="006D113D">
        <w:t>incidents, with a focus on the safety, health and well-being of aged care consumers.</w:t>
      </w:r>
    </w:p>
    <w:p w14:paraId="32D7A333" w14:textId="12B6DB57" w:rsidR="007165FF" w:rsidRDefault="00147FB2" w:rsidP="006D113D">
      <w:pPr>
        <w:pStyle w:val="ListParagraph"/>
        <w:numPr>
          <w:ilvl w:val="0"/>
          <w:numId w:val="13"/>
        </w:numPr>
        <w:rPr>
          <w:rStyle w:val="Hyperlink"/>
        </w:rPr>
      </w:pPr>
      <w:hyperlink r:id="rId16" w:history="1">
        <w:r w:rsidR="007165FF" w:rsidRPr="00EE1766">
          <w:rPr>
            <w:rStyle w:val="Hyperlink"/>
          </w:rPr>
          <w:t>Quality indicators and star ratings</w:t>
        </w:r>
      </w:hyperlink>
    </w:p>
    <w:p w14:paraId="159CB8BE" w14:textId="77777777" w:rsidR="007165FF" w:rsidRDefault="007165FF" w:rsidP="006D113D">
      <w:pPr>
        <w:ind w:left="360"/>
      </w:pPr>
      <w:r>
        <w:t>A simple ‘at-a-glance’ Star Rating on My Aged Care for residential aged care services, the National Aged Care Mandatory Quality Indicator Program to report crucial measures of care in the home, and additional quality indicators across critical care areas in residential care.</w:t>
      </w:r>
    </w:p>
    <w:p w14:paraId="38680300" w14:textId="5E30CA70" w:rsidR="007165FF" w:rsidRDefault="00147FB2" w:rsidP="006D113D">
      <w:pPr>
        <w:pStyle w:val="ListParagraph"/>
        <w:numPr>
          <w:ilvl w:val="0"/>
          <w:numId w:val="13"/>
        </w:numPr>
        <w:rPr>
          <w:rStyle w:val="Hyperlink"/>
        </w:rPr>
      </w:pPr>
      <w:hyperlink r:id="rId17" w:history="1">
        <w:r w:rsidR="007165FF" w:rsidRPr="00EE1766">
          <w:rPr>
            <w:rStyle w:val="Hyperlink"/>
          </w:rPr>
          <w:t>Aged Care Standards Review</w:t>
        </w:r>
      </w:hyperlink>
    </w:p>
    <w:p w14:paraId="0947F6C3" w14:textId="77777777" w:rsidR="007165FF" w:rsidRDefault="007165FF" w:rsidP="006D113D">
      <w:pPr>
        <w:ind w:left="360"/>
      </w:pPr>
      <w:r>
        <w:t>Review of the aged care standards, as well as development by the Australian Commission on Safety and Quality in Health Care of strengthened clinical care standards.</w:t>
      </w:r>
    </w:p>
    <w:p w14:paraId="28D24F90" w14:textId="77777777" w:rsidR="007165FF" w:rsidRDefault="007165FF" w:rsidP="007165FF">
      <w:pPr>
        <w:pStyle w:val="Heading3"/>
      </w:pPr>
      <w:bookmarkStart w:id="17" w:name="_Toc84511972"/>
      <w:r>
        <w:t>NDIS reforms and reviews</w:t>
      </w:r>
      <w:bookmarkEnd w:id="17"/>
    </w:p>
    <w:p w14:paraId="27430E0C" w14:textId="77777777" w:rsidR="007165FF" w:rsidRDefault="007165FF" w:rsidP="006D113D">
      <w:r>
        <w:t xml:space="preserve">There are a number of reviews that will inform future reform of the NDIS. </w:t>
      </w:r>
      <w:r>
        <w:br/>
        <w:t>These include:</w:t>
      </w:r>
    </w:p>
    <w:p w14:paraId="527EA7D1" w14:textId="77777777" w:rsidR="007165FF" w:rsidRDefault="007165FF" w:rsidP="006D113D">
      <w:pPr>
        <w:pStyle w:val="ListParagraph"/>
        <w:numPr>
          <w:ilvl w:val="0"/>
          <w:numId w:val="13"/>
        </w:numPr>
      </w:pPr>
      <w:r>
        <w:t>NDIS Quality and Safeguarding Framework Review</w:t>
      </w:r>
    </w:p>
    <w:p w14:paraId="5FF8E560" w14:textId="77777777" w:rsidR="007165FF" w:rsidRDefault="007165FF" w:rsidP="006D113D">
      <w:pPr>
        <w:ind w:left="360"/>
      </w:pPr>
      <w:r>
        <w:t>The NDIS Quality and Safeguarding Framework Review will identify any changes and adjustments to the Framework to address quality and safeguarding gaps, and identify longer term reforms to the Framework to ensure it is fit-for-purpose in current market and NDIS policy conditions. This will inform future regulatory reforms that may be required and inform the care and support regulatory alignment measure.</w:t>
      </w:r>
    </w:p>
    <w:p w14:paraId="6A8475A7" w14:textId="5F1CEC8F" w:rsidR="007165FF" w:rsidRDefault="00147FB2" w:rsidP="006D113D">
      <w:pPr>
        <w:pStyle w:val="ListParagraph"/>
        <w:numPr>
          <w:ilvl w:val="0"/>
          <w:numId w:val="13"/>
        </w:numPr>
        <w:rPr>
          <w:rStyle w:val="Hyperlink"/>
        </w:rPr>
      </w:pPr>
      <w:hyperlink r:id="rId18" w:history="1">
        <w:r w:rsidR="007165FF" w:rsidRPr="00EE1766">
          <w:rPr>
            <w:rStyle w:val="Hyperlink"/>
          </w:rPr>
          <w:t>Robertson Review</w:t>
        </w:r>
      </w:hyperlink>
    </w:p>
    <w:p w14:paraId="76A28971" w14:textId="77777777" w:rsidR="007165FF" w:rsidRDefault="007165FF" w:rsidP="006D113D">
      <w:pPr>
        <w:ind w:left="360"/>
      </w:pPr>
      <w:r>
        <w:t>This review was commissioned by the NDIS Quality and Safeguards Commission into the NDIS Commission oversight and the death of Ann-Marie Smith. Most of the recommendations have been addressed and further consideration of the recommendations is being undertaken that will inform potential future reforms.</w:t>
      </w:r>
    </w:p>
    <w:p w14:paraId="547FA4F8" w14:textId="23263CFE" w:rsidR="007165FF" w:rsidRDefault="00147FB2" w:rsidP="006D113D">
      <w:pPr>
        <w:pStyle w:val="ListParagraph"/>
        <w:numPr>
          <w:ilvl w:val="0"/>
          <w:numId w:val="13"/>
        </w:numPr>
        <w:rPr>
          <w:rStyle w:val="Hyperlink"/>
        </w:rPr>
      </w:pPr>
      <w:hyperlink r:id="rId19" w:history="1">
        <w:r w:rsidR="007165FF" w:rsidRPr="0071568F">
          <w:rPr>
            <w:rStyle w:val="Hyperlink"/>
          </w:rPr>
          <w:t>Joint Standing Committee into the NDIS</w:t>
        </w:r>
      </w:hyperlink>
    </w:p>
    <w:p w14:paraId="3FE88DBE" w14:textId="319583DB" w:rsidR="007165FF" w:rsidRDefault="007165FF" w:rsidP="006D113D">
      <w:pPr>
        <w:ind w:left="360"/>
      </w:pPr>
      <w:r>
        <w:t>The Committee has undertaken a number of inquiries since its establishment in 2019 in relation to the implementation and performance of the NDIS as well as individual cases. The Government has responded to a number of final reports from the Committee that outline activit</w:t>
      </w:r>
      <w:r w:rsidR="00C54389">
        <w:t>ies</w:t>
      </w:r>
      <w:r>
        <w:t xml:space="preserve"> and action</w:t>
      </w:r>
      <w:r w:rsidR="00C54389">
        <w:t>s</w:t>
      </w:r>
      <w:r>
        <w:t xml:space="preserve"> undertaken, being undertaken or will be undertaken to respond to these inquiries.</w:t>
      </w:r>
    </w:p>
    <w:p w14:paraId="57928F15" w14:textId="0A8F08A2" w:rsidR="007165FF" w:rsidRDefault="00147FB2" w:rsidP="006D113D">
      <w:pPr>
        <w:pStyle w:val="ListParagraph"/>
        <w:numPr>
          <w:ilvl w:val="0"/>
          <w:numId w:val="13"/>
        </w:numPr>
        <w:rPr>
          <w:rStyle w:val="Hyperlink"/>
        </w:rPr>
      </w:pPr>
      <w:hyperlink r:id="rId20" w:history="1">
        <w:r w:rsidR="007165FF" w:rsidRPr="0071568F">
          <w:rPr>
            <w:rStyle w:val="Hyperlink"/>
          </w:rPr>
          <w:t>Royal Commission into Violence, Abuse, Neglect and Exploitation of People with Disability</w:t>
        </w:r>
      </w:hyperlink>
    </w:p>
    <w:p w14:paraId="2C880966" w14:textId="77777777" w:rsidR="007165FF" w:rsidRDefault="007165FF" w:rsidP="006D113D">
      <w:pPr>
        <w:ind w:left="360"/>
      </w:pPr>
      <w:r>
        <w:t>The Royal Commission was established in April 2019 and will deliver its final report to the Government by 29 September 2023. Recommendations from the Royal Commission will be considered by Government following receipt of the final report.</w:t>
      </w:r>
    </w:p>
    <w:p w14:paraId="79DD4FB0" w14:textId="77777777" w:rsidR="007165FF" w:rsidRDefault="007165FF" w:rsidP="007165FF">
      <w:pPr>
        <w:pStyle w:val="Heading3"/>
      </w:pPr>
      <w:bookmarkStart w:id="18" w:name="_Toc84511973"/>
      <w:r>
        <w:t>Veterans’ care reforms and reviews</w:t>
      </w:r>
      <w:bookmarkEnd w:id="18"/>
    </w:p>
    <w:p w14:paraId="3A4717A3" w14:textId="77777777" w:rsidR="007165FF" w:rsidRDefault="007165FF" w:rsidP="006D113D">
      <w:r>
        <w:t>DVA is participating in the broader reforms across government for the care and support sectors relating to veteran services, as well as the following:</w:t>
      </w:r>
    </w:p>
    <w:p w14:paraId="54629610" w14:textId="0B0141CD" w:rsidR="007165FF" w:rsidRDefault="00147FB2" w:rsidP="006D113D">
      <w:pPr>
        <w:pStyle w:val="ListParagraph"/>
        <w:numPr>
          <w:ilvl w:val="0"/>
          <w:numId w:val="13"/>
        </w:numPr>
        <w:rPr>
          <w:rStyle w:val="Hyperlink"/>
        </w:rPr>
      </w:pPr>
      <w:hyperlink r:id="rId21" w:history="1">
        <w:r w:rsidR="007165FF" w:rsidRPr="00EE1766">
          <w:rPr>
            <w:rStyle w:val="Hyperlink"/>
          </w:rPr>
          <w:t>Royal Commission into Defence and Veteran Suicide</w:t>
        </w:r>
      </w:hyperlink>
    </w:p>
    <w:p w14:paraId="6523D973" w14:textId="77777777" w:rsidR="007165FF" w:rsidRDefault="007165FF" w:rsidP="006D113D">
      <w:pPr>
        <w:ind w:left="360"/>
      </w:pPr>
      <w:r>
        <w:t>The Royal Commission was established in July 2021 and is required to produce an interim report by 11 August 2022 and a final report by 15 June 2023.</w:t>
      </w:r>
    </w:p>
    <w:p w14:paraId="2B59F15D" w14:textId="77777777" w:rsidR="007165FF" w:rsidRDefault="007165FF" w:rsidP="006D113D">
      <w:pPr>
        <w:pStyle w:val="ListParagraph"/>
        <w:numPr>
          <w:ilvl w:val="0"/>
          <w:numId w:val="13"/>
        </w:numPr>
        <w:rPr>
          <w:rStyle w:val="Hyperlink"/>
        </w:rPr>
      </w:pPr>
      <w:r>
        <w:t xml:space="preserve">Review of veterans’ care and support </w:t>
      </w:r>
    </w:p>
    <w:p w14:paraId="348D356F" w14:textId="77777777" w:rsidR="007165FF" w:rsidRDefault="007165FF" w:rsidP="006D113D">
      <w:pPr>
        <w:ind w:left="360"/>
      </w:pPr>
      <w:r>
        <w:t>DVA is undertaking a comprehensive review of Veterans’ Home Care, community nursing and related programs to consider options to address existing price regulations, harmonise program structures, and consider the implications of broader reforms proposed across the care and support sectors; in particular, reforms to aged care in-home support programs.</w:t>
      </w:r>
    </w:p>
    <w:p w14:paraId="188544E8" w14:textId="56C7FB9A" w:rsidR="006D113D" w:rsidRDefault="006D113D">
      <w:pPr>
        <w:spacing w:before="0" w:after="0" w:line="240" w:lineRule="auto"/>
      </w:pPr>
      <w:r>
        <w:br w:type="page"/>
      </w:r>
    </w:p>
    <w:p w14:paraId="07E06C4D" w14:textId="7594DD29" w:rsidR="006D113D" w:rsidRDefault="006D113D" w:rsidP="006D113D">
      <w:pPr>
        <w:pStyle w:val="Heading1"/>
        <w:tabs>
          <w:tab w:val="center" w:pos="5400"/>
        </w:tabs>
        <w:rPr>
          <w:sz w:val="60"/>
          <w:szCs w:val="60"/>
        </w:rPr>
      </w:pPr>
      <w:bookmarkStart w:id="19" w:name="_Toc84511974"/>
      <w:r>
        <w:rPr>
          <w:sz w:val="60"/>
          <w:szCs w:val="60"/>
        </w:rPr>
        <w:lastRenderedPageBreak/>
        <w:t>Engaging on a future state</w:t>
      </w:r>
      <w:bookmarkEnd w:id="19"/>
    </w:p>
    <w:p w14:paraId="56B009AE" w14:textId="77777777" w:rsidR="006D113D" w:rsidRDefault="006D113D" w:rsidP="006D113D">
      <w:pPr>
        <w:pStyle w:val="Heading2"/>
      </w:pPr>
      <w:bookmarkStart w:id="20" w:name="_Toc84511975"/>
      <w:r>
        <w:t>The approach to consultation and engagement</w:t>
      </w:r>
      <w:bookmarkEnd w:id="20"/>
      <w:r>
        <w:t xml:space="preserve"> </w:t>
      </w:r>
    </w:p>
    <w:p w14:paraId="3A702EFB" w14:textId="05398FAB" w:rsidR="006D113D" w:rsidRDefault="006D113D" w:rsidP="006D113D">
      <w:r>
        <w:t xml:space="preserve">The consultation approach recognises the importance of ongoing stakeholder input and collaboration toward developing the Roadmap. To ensure a staged consultation approach </w:t>
      </w:r>
      <w:r w:rsidR="00C54389">
        <w:t>in</w:t>
      </w:r>
      <w:r>
        <w:t xml:space="preserve"> developing and delivering a Roadmap for regulatory alignment that reflects stakeholder sentiment and the broader community’s input, the Taskforce is committed to:</w:t>
      </w:r>
    </w:p>
    <w:p w14:paraId="7CC713B2" w14:textId="77777777" w:rsidR="006D113D" w:rsidRDefault="006D113D" w:rsidP="006D113D">
      <w:pPr>
        <w:pStyle w:val="ListParagraph"/>
        <w:numPr>
          <w:ilvl w:val="0"/>
          <w:numId w:val="13"/>
        </w:numPr>
      </w:pPr>
      <w:r>
        <w:t>bringing people from all sectors together, building trust and prioritising relationships</w:t>
      </w:r>
    </w:p>
    <w:p w14:paraId="7C4B7C8F" w14:textId="77777777" w:rsidR="006D113D" w:rsidRDefault="006D113D" w:rsidP="006D113D">
      <w:pPr>
        <w:pStyle w:val="ListParagraph"/>
        <w:numPr>
          <w:ilvl w:val="0"/>
          <w:numId w:val="13"/>
        </w:numPr>
      </w:pPr>
      <w:r>
        <w:t>slowing down to listen, facilitating discovery and conversations</w:t>
      </w:r>
    </w:p>
    <w:p w14:paraId="76F6858A" w14:textId="77777777" w:rsidR="006D113D" w:rsidRDefault="006D113D" w:rsidP="006D113D">
      <w:pPr>
        <w:pStyle w:val="ListParagraph"/>
        <w:numPr>
          <w:ilvl w:val="0"/>
          <w:numId w:val="13"/>
        </w:numPr>
      </w:pPr>
      <w:r>
        <w:t>recognising complexity, solving problems and designing solutions</w:t>
      </w:r>
    </w:p>
    <w:p w14:paraId="6A6DE841" w14:textId="77777777" w:rsidR="006D113D" w:rsidRDefault="006D113D" w:rsidP="006D113D">
      <w:pPr>
        <w:pStyle w:val="ListParagraph"/>
        <w:numPr>
          <w:ilvl w:val="0"/>
          <w:numId w:val="13"/>
        </w:numPr>
      </w:pPr>
      <w:r>
        <w:t>delivering outcome focussed consultation through tailored and targeted discussion</w:t>
      </w:r>
    </w:p>
    <w:p w14:paraId="1573FFD3" w14:textId="77777777" w:rsidR="006D113D" w:rsidRDefault="006D113D" w:rsidP="006D113D">
      <w:pPr>
        <w:pStyle w:val="ListParagraph"/>
        <w:numPr>
          <w:ilvl w:val="0"/>
          <w:numId w:val="13"/>
        </w:numPr>
      </w:pPr>
      <w:r>
        <w:t>presenting inclusive opportunities to engage on the work by offering choice through multiple platforms and multiple sessions for participation</w:t>
      </w:r>
    </w:p>
    <w:p w14:paraId="1E29FEF2" w14:textId="77777777" w:rsidR="006D113D" w:rsidRDefault="006D113D" w:rsidP="006D113D">
      <w:pPr>
        <w:pStyle w:val="ListParagraph"/>
        <w:numPr>
          <w:ilvl w:val="0"/>
          <w:numId w:val="13"/>
        </w:numPr>
      </w:pPr>
      <w:r>
        <w:t>recognising stakeholder diversity across sectors with a broad representation from consumer groups including people from culturally and linguistically diverse backgrounds and Aboriginal and Torres Strait Islander people.</w:t>
      </w:r>
    </w:p>
    <w:p w14:paraId="4C2653B8" w14:textId="4284ABC8" w:rsidR="006D113D" w:rsidRDefault="006D113D" w:rsidP="006D113D">
      <w:r>
        <w:t xml:space="preserve">The </w:t>
      </w:r>
      <w:r w:rsidR="00C54389">
        <w:t>three</w:t>
      </w:r>
      <w:r>
        <w:t xml:space="preserve"> stages of the consultation approach are illustrated in Figure 4. </w:t>
      </w:r>
    </w:p>
    <w:p w14:paraId="75669075" w14:textId="458B888C" w:rsidR="006D113D" w:rsidRDefault="006D113D" w:rsidP="006D113D">
      <w:pPr>
        <w:pStyle w:val="FigureHeading"/>
      </w:pPr>
      <w:r>
        <w:t>Figure 4: The Roadmap consultation process</w:t>
      </w:r>
    </w:p>
    <w:p w14:paraId="15024312" w14:textId="4B4823DB" w:rsidR="00684B72" w:rsidRDefault="00C54389" w:rsidP="006D113D">
      <w:pPr>
        <w:pStyle w:val="FigureHeading"/>
      </w:pPr>
      <w:r>
        <w:rPr>
          <w:noProof/>
        </w:rPr>
        <w:drawing>
          <wp:inline distT="0" distB="0" distL="0" distR="0" wp14:anchorId="29946F10" wp14:editId="0B96233A">
            <wp:extent cx="6067425" cy="2857500"/>
            <wp:effectExtent l="0" t="0" r="9525" b="0"/>
            <wp:docPr id="8" name="Picture 8" descr="Road Map process&#10;Stage 1 Discover and develop. Define problems and gain insights.&#10;Stage 2 Describe and define potential solutions&#10;Stage 3 Share consultation findings and the delivery of solution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ad Map process&#10;Stage 1 Discover and develop. Define problems and gain insights.&#10;Stage 2 Describe and define potential solutions&#10;Stage 3 Share consultation findings and the delivery of solutions that work"/>
                    <pic:cNvPicPr/>
                  </pic:nvPicPr>
                  <pic:blipFill rotWithShape="1">
                    <a:blip r:embed="rId22" cstate="print">
                      <a:extLst>
                        <a:ext uri="{28A0092B-C50C-407E-A947-70E740481C1C}">
                          <a14:useLocalDpi xmlns:a14="http://schemas.microsoft.com/office/drawing/2010/main" val="0"/>
                        </a:ext>
                      </a:extLst>
                    </a:blip>
                    <a:srcRect l="2708" t="11836" r="1435" b="5573"/>
                    <a:stretch/>
                  </pic:blipFill>
                  <pic:spPr bwMode="auto">
                    <a:xfrm>
                      <a:off x="0" y="0"/>
                      <a:ext cx="6081802" cy="2864271"/>
                    </a:xfrm>
                    <a:prstGeom prst="rect">
                      <a:avLst/>
                    </a:prstGeom>
                    <a:ln>
                      <a:noFill/>
                    </a:ln>
                    <a:extLst>
                      <a:ext uri="{53640926-AAD7-44D8-BBD7-CCE9431645EC}">
                        <a14:shadowObscured xmlns:a14="http://schemas.microsoft.com/office/drawing/2010/main"/>
                      </a:ext>
                    </a:extLst>
                  </pic:spPr>
                </pic:pic>
              </a:graphicData>
            </a:graphic>
          </wp:inline>
        </w:drawing>
      </w:r>
    </w:p>
    <w:p w14:paraId="510C1584" w14:textId="1048BFCB" w:rsidR="006D113D" w:rsidRDefault="006D113D">
      <w:pPr>
        <w:spacing w:before="0" w:after="0" w:line="240" w:lineRule="auto"/>
      </w:pPr>
      <w:r>
        <w:br w:type="page"/>
      </w:r>
    </w:p>
    <w:p w14:paraId="0D1F36E0" w14:textId="17B6D930" w:rsidR="006D113D" w:rsidRDefault="0039558A" w:rsidP="00EB623A">
      <w:pPr>
        <w:pStyle w:val="Heading1"/>
      </w:pPr>
      <w:bookmarkStart w:id="21" w:name="_Toc84511976"/>
      <w:r w:rsidRPr="00EB623A">
        <w:lastRenderedPageBreak/>
        <w:t>Next</w:t>
      </w:r>
      <w:r>
        <w:t xml:space="preserve"> steps</w:t>
      </w:r>
      <w:bookmarkEnd w:id="21"/>
    </w:p>
    <w:p w14:paraId="45A4C57E" w14:textId="48AE6590" w:rsidR="006D113D" w:rsidRPr="00EB623A" w:rsidRDefault="006D113D" w:rsidP="00EB623A">
      <w:pPr>
        <w:pStyle w:val="BodyText"/>
        <w:rPr>
          <w:rStyle w:val="Strong"/>
          <w:b w:val="0"/>
          <w:bCs w:val="0"/>
        </w:rPr>
      </w:pPr>
      <w:r w:rsidRPr="00EB623A">
        <w:rPr>
          <w:rStyle w:val="Strong"/>
          <w:b w:val="0"/>
          <w:bCs w:val="0"/>
        </w:rPr>
        <w:t xml:space="preserve">The Taskforce invites you to </w:t>
      </w:r>
      <w:r w:rsidR="0039558A" w:rsidRPr="00EB623A">
        <w:rPr>
          <w:rStyle w:val="Strong"/>
          <w:b w:val="0"/>
          <w:bCs w:val="0"/>
        </w:rPr>
        <w:t>participate in upcoming consultation processes. There will be a number of ways you can participate, these will include:</w:t>
      </w:r>
    </w:p>
    <w:p w14:paraId="5F76AE6F" w14:textId="77777777" w:rsidR="0039558A" w:rsidRDefault="006D113D" w:rsidP="006D113D">
      <w:pPr>
        <w:pStyle w:val="ListParagraph"/>
        <w:numPr>
          <w:ilvl w:val="0"/>
          <w:numId w:val="17"/>
        </w:numPr>
      </w:pPr>
      <w:r>
        <w:t xml:space="preserve">provide a written submission </w:t>
      </w:r>
    </w:p>
    <w:p w14:paraId="5D4C05B4" w14:textId="6A627D88" w:rsidR="006D113D" w:rsidRDefault="006D113D" w:rsidP="006D113D">
      <w:pPr>
        <w:pStyle w:val="ListParagraph"/>
        <w:numPr>
          <w:ilvl w:val="0"/>
          <w:numId w:val="17"/>
        </w:numPr>
      </w:pPr>
      <w:r>
        <w:t>respond to a survey</w:t>
      </w:r>
    </w:p>
    <w:p w14:paraId="4883C51F" w14:textId="77777777" w:rsidR="006D113D" w:rsidRDefault="006D113D" w:rsidP="006D113D">
      <w:pPr>
        <w:pStyle w:val="ListParagraph"/>
        <w:numPr>
          <w:ilvl w:val="0"/>
          <w:numId w:val="17"/>
        </w:numPr>
      </w:pPr>
      <w:r>
        <w:t>take part in a workshop</w:t>
      </w:r>
    </w:p>
    <w:p w14:paraId="022E2456" w14:textId="53F4F839" w:rsidR="006D113D" w:rsidRDefault="006D113D" w:rsidP="006D113D">
      <w:pPr>
        <w:pStyle w:val="ListParagraph"/>
        <w:numPr>
          <w:ilvl w:val="0"/>
          <w:numId w:val="17"/>
        </w:numPr>
      </w:pPr>
      <w:r>
        <w:t>ask to be interviewed – to share your experience as a cross-sector consumer, provider or worker.</w:t>
      </w:r>
    </w:p>
    <w:p w14:paraId="61182950" w14:textId="77777777" w:rsidR="0039558A" w:rsidRDefault="0039558A" w:rsidP="00EB623A">
      <w:pPr>
        <w:pStyle w:val="BodyText"/>
      </w:pPr>
      <w:r>
        <w:t>It</w:t>
      </w:r>
      <w:r>
        <w:rPr>
          <w:spacing w:val="2"/>
        </w:rPr>
        <w:t xml:space="preserve"> </w:t>
      </w:r>
      <w:r>
        <w:t>is</w:t>
      </w:r>
      <w:r>
        <w:rPr>
          <w:spacing w:val="3"/>
        </w:rPr>
        <w:t xml:space="preserve"> </w:t>
      </w:r>
      <w:r>
        <w:t>expected</w:t>
      </w:r>
      <w:r>
        <w:rPr>
          <w:spacing w:val="3"/>
        </w:rPr>
        <w:t xml:space="preserve"> </w:t>
      </w:r>
      <w:r>
        <w:t>that</w:t>
      </w:r>
      <w:r>
        <w:rPr>
          <w:spacing w:val="3"/>
        </w:rPr>
        <w:t xml:space="preserve"> </w:t>
      </w:r>
      <w:r>
        <w:t>consultations</w:t>
      </w:r>
      <w:r>
        <w:rPr>
          <w:spacing w:val="3"/>
        </w:rPr>
        <w:t xml:space="preserve"> </w:t>
      </w:r>
      <w:r>
        <w:t>will</w:t>
      </w:r>
      <w:r>
        <w:rPr>
          <w:spacing w:val="3"/>
        </w:rPr>
        <w:t xml:space="preserve"> </w:t>
      </w:r>
      <w:r>
        <w:t>commence</w:t>
      </w:r>
      <w:r>
        <w:rPr>
          <w:spacing w:val="3"/>
        </w:rPr>
        <w:t xml:space="preserve"> </w:t>
      </w:r>
      <w:r>
        <w:t>in</w:t>
      </w:r>
      <w:r>
        <w:rPr>
          <w:spacing w:val="3"/>
        </w:rPr>
        <w:t xml:space="preserve"> </w:t>
      </w:r>
      <w:r>
        <w:t>October</w:t>
      </w:r>
      <w:r>
        <w:rPr>
          <w:spacing w:val="2"/>
        </w:rPr>
        <w:t xml:space="preserve"> </w:t>
      </w:r>
      <w:r>
        <w:t>2021.</w:t>
      </w:r>
      <w:r>
        <w:rPr>
          <w:spacing w:val="7"/>
        </w:rPr>
        <w:t xml:space="preserve"> </w:t>
      </w:r>
      <w:r>
        <w:t>For</w:t>
      </w:r>
      <w:r>
        <w:rPr>
          <w:spacing w:val="3"/>
        </w:rPr>
        <w:t xml:space="preserve"> </w:t>
      </w:r>
      <w:r>
        <w:t>further</w:t>
      </w:r>
      <w:r>
        <w:rPr>
          <w:spacing w:val="3"/>
        </w:rPr>
        <w:t xml:space="preserve"> </w:t>
      </w:r>
      <w:r>
        <w:t>information</w:t>
      </w:r>
      <w:r>
        <w:rPr>
          <w:spacing w:val="1"/>
        </w:rPr>
        <w:t xml:space="preserve"> </w:t>
      </w:r>
      <w:r>
        <w:t>please</w:t>
      </w:r>
      <w:r>
        <w:rPr>
          <w:spacing w:val="5"/>
        </w:rPr>
        <w:t xml:space="preserve"> </w:t>
      </w:r>
      <w:r>
        <w:t>visit</w:t>
      </w:r>
      <w:r>
        <w:rPr>
          <w:spacing w:val="5"/>
        </w:rPr>
        <w:t xml:space="preserve"> </w:t>
      </w:r>
      <w:r>
        <w:t>the</w:t>
      </w:r>
      <w:r>
        <w:rPr>
          <w:spacing w:val="5"/>
        </w:rPr>
        <w:t xml:space="preserve"> </w:t>
      </w:r>
      <w:r>
        <w:t>website</w:t>
      </w:r>
      <w:r>
        <w:rPr>
          <w:spacing w:val="5"/>
        </w:rPr>
        <w:t xml:space="preserve"> </w:t>
      </w:r>
      <w:hyperlink r:id="rId23">
        <w:r>
          <w:rPr>
            <w:color w:val="00727E"/>
            <w:u w:val="single" w:color="00727E"/>
          </w:rPr>
          <w:t>https://www.health.gov.au/initiatives-and-programs/aligning-</w:t>
        </w:r>
      </w:hyperlink>
      <w:r>
        <w:rPr>
          <w:color w:val="00727E"/>
          <w:spacing w:val="1"/>
        </w:rPr>
        <w:t xml:space="preserve"> </w:t>
      </w:r>
      <w:hyperlink r:id="rId24">
        <w:r>
          <w:rPr>
            <w:color w:val="00727E"/>
            <w:u w:val="single" w:color="00727E"/>
          </w:rPr>
          <w:t>regulation-across-the-care-and-support-sectors</w:t>
        </w:r>
        <w:r>
          <w:rPr>
            <w:color w:val="00727E"/>
            <w:spacing w:val="30"/>
          </w:rPr>
          <w:t xml:space="preserve"> </w:t>
        </w:r>
      </w:hyperlink>
      <w:r>
        <w:t>or</w:t>
      </w:r>
      <w:r>
        <w:rPr>
          <w:spacing w:val="30"/>
        </w:rPr>
        <w:t xml:space="preserve"> </w:t>
      </w:r>
      <w:r>
        <w:t>email</w:t>
      </w:r>
      <w:r>
        <w:rPr>
          <w:spacing w:val="31"/>
        </w:rPr>
        <w:t xml:space="preserve"> </w:t>
      </w:r>
      <w:hyperlink r:id="rId25">
        <w:proofErr w:type="spellStart"/>
        <w:r>
          <w:rPr>
            <w:color w:val="00727E"/>
            <w:u w:val="single" w:color="00727E"/>
          </w:rPr>
          <w:t>RegulatoryAlignmentTaskforce</w:t>
        </w:r>
        <w:proofErr w:type="spellEnd"/>
        <w:r>
          <w:rPr>
            <w:color w:val="00727E"/>
            <w:u w:val="single" w:color="00727E"/>
          </w:rPr>
          <w:t>@</w:t>
        </w:r>
      </w:hyperlink>
      <w:r>
        <w:rPr>
          <w:color w:val="00727E"/>
          <w:spacing w:val="-59"/>
        </w:rPr>
        <w:t xml:space="preserve"> </w:t>
      </w:r>
      <w:hyperlink r:id="rId26">
        <w:r>
          <w:rPr>
            <w:color w:val="00727E"/>
            <w:w w:val="105"/>
            <w:u w:val="single" w:color="00727E"/>
          </w:rPr>
          <w:t>health.gov.au</w:t>
        </w:r>
      </w:hyperlink>
    </w:p>
    <w:p w14:paraId="30CB01D5" w14:textId="7224CFE0" w:rsidR="007165FF" w:rsidRDefault="0039558A" w:rsidP="00EB623A">
      <w:pPr>
        <w:pStyle w:val="BodyText"/>
      </w:pPr>
      <w:r>
        <w:t>If you wish to get involved in consultations for any related regulatory projects</w:t>
      </w:r>
      <w:r w:rsidR="004D0636">
        <w:t>,</w:t>
      </w:r>
      <w:r>
        <w:t xml:space="preserve"> for example</w:t>
      </w:r>
      <w:r>
        <w:rPr>
          <w:spacing w:val="1"/>
        </w:rPr>
        <w:t xml:space="preserve"> </w:t>
      </w:r>
      <w:r>
        <w:t>worker</w:t>
      </w:r>
      <w:r>
        <w:rPr>
          <w:spacing w:val="4"/>
        </w:rPr>
        <w:t xml:space="preserve"> </w:t>
      </w:r>
      <w:r>
        <w:t>regulation</w:t>
      </w:r>
      <w:r>
        <w:rPr>
          <w:spacing w:val="5"/>
        </w:rPr>
        <w:t xml:space="preserve"> </w:t>
      </w:r>
      <w:r>
        <w:t>as</w:t>
      </w:r>
      <w:r>
        <w:rPr>
          <w:spacing w:val="5"/>
        </w:rPr>
        <w:t xml:space="preserve"> </w:t>
      </w:r>
      <w:r>
        <w:t>it</w:t>
      </w:r>
      <w:r>
        <w:rPr>
          <w:spacing w:val="4"/>
        </w:rPr>
        <w:t xml:space="preserve"> </w:t>
      </w:r>
      <w:r>
        <w:t>relates</w:t>
      </w:r>
      <w:r>
        <w:rPr>
          <w:spacing w:val="5"/>
        </w:rPr>
        <w:t xml:space="preserve"> </w:t>
      </w:r>
      <w:r>
        <w:t>to</w:t>
      </w:r>
      <w:r>
        <w:rPr>
          <w:spacing w:val="5"/>
        </w:rPr>
        <w:t xml:space="preserve"> </w:t>
      </w:r>
      <w:r>
        <w:t>worker</w:t>
      </w:r>
      <w:r>
        <w:rPr>
          <w:spacing w:val="4"/>
        </w:rPr>
        <w:t xml:space="preserve"> </w:t>
      </w:r>
      <w:r>
        <w:t>screening,</w:t>
      </w:r>
      <w:r>
        <w:rPr>
          <w:spacing w:val="5"/>
        </w:rPr>
        <w:t xml:space="preserve"> </w:t>
      </w:r>
      <w:r>
        <w:t>further</w:t>
      </w:r>
      <w:r>
        <w:rPr>
          <w:spacing w:val="5"/>
        </w:rPr>
        <w:t xml:space="preserve"> </w:t>
      </w:r>
      <w:r>
        <w:t>information</w:t>
      </w:r>
      <w:r>
        <w:rPr>
          <w:spacing w:val="4"/>
        </w:rPr>
        <w:t xml:space="preserve"> </w:t>
      </w:r>
      <w:r>
        <w:t>will</w:t>
      </w:r>
      <w:r>
        <w:rPr>
          <w:spacing w:val="5"/>
        </w:rPr>
        <w:t xml:space="preserve"> </w:t>
      </w:r>
      <w:r>
        <w:t>become</w:t>
      </w:r>
      <w:r>
        <w:rPr>
          <w:spacing w:val="5"/>
        </w:rPr>
        <w:t xml:space="preserve"> </w:t>
      </w:r>
      <w:r>
        <w:t>available</w:t>
      </w:r>
      <w:r>
        <w:rPr>
          <w:spacing w:val="-58"/>
        </w:rPr>
        <w:t xml:space="preserve"> </w:t>
      </w:r>
      <w:r>
        <w:t>on</w:t>
      </w:r>
      <w:r>
        <w:rPr>
          <w:spacing w:val="-7"/>
        </w:rPr>
        <w:t xml:space="preserve"> </w:t>
      </w:r>
      <w:r>
        <w:t>the</w:t>
      </w:r>
      <w:r>
        <w:rPr>
          <w:spacing w:val="-7"/>
        </w:rPr>
        <w:t xml:space="preserve"> </w:t>
      </w:r>
      <w:r>
        <w:t>Engagement</w:t>
      </w:r>
      <w:r>
        <w:rPr>
          <w:spacing w:val="-7"/>
        </w:rPr>
        <w:t xml:space="preserve"> </w:t>
      </w:r>
      <w:r>
        <w:t>Hub</w:t>
      </w:r>
      <w:r>
        <w:rPr>
          <w:spacing w:val="-7"/>
        </w:rPr>
        <w:t xml:space="preserve"> </w:t>
      </w:r>
      <w:r>
        <w:t>located</w:t>
      </w:r>
      <w:r>
        <w:rPr>
          <w:spacing w:val="-6"/>
        </w:rPr>
        <w:t xml:space="preserve"> </w:t>
      </w:r>
      <w:r>
        <w:t>at</w:t>
      </w:r>
      <w:r>
        <w:rPr>
          <w:spacing w:val="-7"/>
        </w:rPr>
        <w:t xml:space="preserve"> </w:t>
      </w:r>
      <w:hyperlink r:id="rId27">
        <w:r>
          <w:rPr>
            <w:color w:val="00727E"/>
            <w:u w:val="single" w:color="00727E"/>
          </w:rPr>
          <w:t>https://agedcareengagement.health.gov.au/</w:t>
        </w:r>
      </w:hyperlink>
    </w:p>
    <w:p w14:paraId="29A8C507" w14:textId="43098EC7" w:rsidR="0039558A" w:rsidRDefault="0039558A" w:rsidP="00484048">
      <w:pPr>
        <w:pStyle w:val="Heading2"/>
      </w:pPr>
      <w:bookmarkStart w:id="22" w:name="_Toc84511977"/>
      <w:r>
        <w:t>Contact us</w:t>
      </w:r>
      <w:bookmarkEnd w:id="22"/>
    </w:p>
    <w:p w14:paraId="7BC740D7" w14:textId="77777777" w:rsidR="0039558A" w:rsidRDefault="0039558A" w:rsidP="00EB623A">
      <w:pPr>
        <w:pStyle w:val="BodyText"/>
      </w:pPr>
      <w:r>
        <w:t>For</w:t>
      </w:r>
      <w:r>
        <w:rPr>
          <w:spacing w:val="25"/>
        </w:rPr>
        <w:t xml:space="preserve"> </w:t>
      </w:r>
      <w:r>
        <w:t>further</w:t>
      </w:r>
      <w:r>
        <w:rPr>
          <w:spacing w:val="26"/>
        </w:rPr>
        <w:t xml:space="preserve"> </w:t>
      </w:r>
      <w:r>
        <w:t>information</w:t>
      </w:r>
      <w:r>
        <w:rPr>
          <w:spacing w:val="26"/>
        </w:rPr>
        <w:t xml:space="preserve"> </w:t>
      </w:r>
      <w:r>
        <w:t>please</w:t>
      </w:r>
      <w:r>
        <w:rPr>
          <w:spacing w:val="26"/>
        </w:rPr>
        <w:t xml:space="preserve"> </w:t>
      </w:r>
      <w:r>
        <w:t>visit</w:t>
      </w:r>
      <w:r>
        <w:rPr>
          <w:spacing w:val="26"/>
        </w:rPr>
        <w:t xml:space="preserve"> </w:t>
      </w:r>
      <w:r>
        <w:t>the</w:t>
      </w:r>
      <w:r>
        <w:rPr>
          <w:spacing w:val="26"/>
        </w:rPr>
        <w:t xml:space="preserve"> </w:t>
      </w:r>
      <w:r>
        <w:t>website</w:t>
      </w:r>
      <w:r>
        <w:rPr>
          <w:spacing w:val="26"/>
        </w:rPr>
        <w:t xml:space="preserve"> </w:t>
      </w:r>
      <w:hyperlink r:id="rId28">
        <w:r>
          <w:rPr>
            <w:color w:val="00727E"/>
            <w:u w:val="single" w:color="00727E"/>
          </w:rPr>
          <w:t>https://www.health.gov.au/initiatives-and-</w:t>
        </w:r>
      </w:hyperlink>
      <w:r>
        <w:rPr>
          <w:color w:val="00727E"/>
          <w:spacing w:val="-58"/>
        </w:rPr>
        <w:t xml:space="preserve"> </w:t>
      </w:r>
      <w:hyperlink r:id="rId29">
        <w:r>
          <w:rPr>
            <w:color w:val="00727E"/>
            <w:u w:val="single" w:color="00727E"/>
          </w:rPr>
          <w:t>programs/aligning-regulation-across-the-care-and-support-sector</w:t>
        </w:r>
      </w:hyperlink>
      <w:r>
        <w:rPr>
          <w:color w:val="00727E"/>
          <w:u w:val="single" w:color="00727E"/>
        </w:rPr>
        <w:t xml:space="preserve">s </w:t>
      </w:r>
      <w:r>
        <w:t>or email</w:t>
      </w:r>
      <w:r>
        <w:rPr>
          <w:spacing w:val="1"/>
        </w:rPr>
        <w:t xml:space="preserve"> </w:t>
      </w:r>
      <w:hyperlink r:id="rId30">
        <w:r>
          <w:rPr>
            <w:color w:val="00727E"/>
            <w:w w:val="105"/>
            <w:u w:val="single" w:color="00727E"/>
          </w:rPr>
          <w:t>RegulatoryAlignmentTaskforce@health.gov.au</w:t>
        </w:r>
      </w:hyperlink>
    </w:p>
    <w:sectPr w:rsidR="0039558A" w:rsidSect="00654E6A">
      <w:footerReference w:type="even" r:id="rId31"/>
      <w:footerReference w:type="default" r:id="rId32"/>
      <w:footerReference w:type="first" r:id="rId33"/>
      <w:pgSz w:w="11900" w:h="16840"/>
      <w:pgMar w:top="1134" w:right="1134" w:bottom="1134" w:left="113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D08F5" w14:textId="77777777" w:rsidR="00AA617C" w:rsidRDefault="00AA617C" w:rsidP="00654E6A">
      <w:pPr>
        <w:spacing w:before="0" w:after="0" w:line="240" w:lineRule="auto"/>
      </w:pPr>
      <w:r>
        <w:separator/>
      </w:r>
    </w:p>
  </w:endnote>
  <w:endnote w:type="continuationSeparator" w:id="0">
    <w:p w14:paraId="69A47659" w14:textId="77777777" w:rsidR="00AA617C" w:rsidRDefault="00AA617C" w:rsidP="00654E6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elle Sans Light">
    <w:panose1 w:val="00000000000000000000"/>
    <w:charset w:val="4D"/>
    <w:family w:val="auto"/>
    <w:notTrueType/>
    <w:pitch w:val="variable"/>
    <w:sig w:usb0="00000007" w:usb1="10000001" w:usb2="00000000" w:usb3="00000000" w:csb0="00000093" w:csb1="00000000"/>
  </w:font>
  <w:font w:name="Adelle Sans">
    <w:panose1 w:val="00000000000000000000"/>
    <w:charset w:val="4D"/>
    <w:family w:val="auto"/>
    <w:notTrueType/>
    <w:pitch w:val="variable"/>
    <w:sig w:usb0="00000007" w:usb1="1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6227925"/>
      <w:docPartObj>
        <w:docPartGallery w:val="Page Numbers (Bottom of Page)"/>
        <w:docPartUnique/>
      </w:docPartObj>
    </w:sdtPr>
    <w:sdtEndPr>
      <w:rPr>
        <w:rStyle w:val="PageNumber"/>
      </w:rPr>
    </w:sdtEndPr>
    <w:sdtContent>
      <w:p w14:paraId="6FA9474E" w14:textId="3A56BCD9" w:rsidR="00654E6A" w:rsidRDefault="00654E6A" w:rsidP="00936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22DFE" w14:textId="77777777" w:rsidR="00654E6A" w:rsidRDefault="00654E6A" w:rsidP="00654E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2349928"/>
      <w:docPartObj>
        <w:docPartGallery w:val="Page Numbers (Bottom of Page)"/>
        <w:docPartUnique/>
      </w:docPartObj>
    </w:sdtPr>
    <w:sdtEndPr>
      <w:rPr>
        <w:rStyle w:val="PageNumber"/>
        <w:b/>
        <w:bCs/>
      </w:rPr>
    </w:sdtEndPr>
    <w:sdtContent>
      <w:p w14:paraId="17ACEF2E" w14:textId="7FC2E573" w:rsidR="00654E6A" w:rsidRDefault="00654E6A" w:rsidP="00654E6A">
        <w:pPr>
          <w:pStyle w:val="Footer"/>
          <w:jc w:val="right"/>
        </w:pPr>
        <w:r w:rsidRPr="00D87382">
          <w:rPr>
            <w:rStyle w:val="PageNumber"/>
            <w:b/>
            <w:bCs/>
            <w:color w:val="404040" w:themeColor="text1" w:themeTint="BF"/>
          </w:rPr>
          <w:t>Regulatory Alignment Across Care and Support</w:t>
        </w:r>
        <w:r w:rsidRPr="00D87382">
          <w:rPr>
            <w:rStyle w:val="PageNumber"/>
            <w:color w:val="404040" w:themeColor="text1" w:themeTint="BF"/>
          </w:rPr>
          <w:t xml:space="preserve"> </w:t>
        </w:r>
        <w:r w:rsidRPr="00654E6A">
          <w:rPr>
            <w:rStyle w:val="PageNumber"/>
            <w:color w:val="767171" w:themeColor="background2" w:themeShade="80"/>
          </w:rPr>
          <w:t xml:space="preserve">aged care | disability | veterans </w:t>
        </w:r>
        <w:r w:rsidRPr="00684B72">
          <w:rPr>
            <w:rStyle w:val="PageNumber"/>
            <w:b/>
            <w:bCs/>
          </w:rPr>
          <w:fldChar w:fldCharType="begin"/>
        </w:r>
        <w:r w:rsidRPr="00684B72">
          <w:rPr>
            <w:rStyle w:val="PageNumber"/>
            <w:b/>
            <w:bCs/>
          </w:rPr>
          <w:instrText xml:space="preserve"> PAGE </w:instrText>
        </w:r>
        <w:r w:rsidRPr="00684B72">
          <w:rPr>
            <w:rStyle w:val="PageNumber"/>
            <w:b/>
            <w:bCs/>
          </w:rPr>
          <w:fldChar w:fldCharType="separate"/>
        </w:r>
        <w:r w:rsidRPr="00684B72">
          <w:rPr>
            <w:rStyle w:val="PageNumber"/>
            <w:b/>
            <w:bCs/>
          </w:rPr>
          <w:t>2</w:t>
        </w:r>
        <w:r w:rsidRPr="00684B72">
          <w:rPr>
            <w:rStyle w:val="PageNumber"/>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6314130"/>
      <w:docPartObj>
        <w:docPartGallery w:val="Page Numbers (Bottom of Page)"/>
        <w:docPartUnique/>
      </w:docPartObj>
    </w:sdtPr>
    <w:sdtEndPr>
      <w:rPr>
        <w:rStyle w:val="PageNumber"/>
      </w:rPr>
    </w:sdtEndPr>
    <w:sdtContent>
      <w:p w14:paraId="6A924650" w14:textId="3C63DFAC" w:rsidR="00654E6A" w:rsidRDefault="00654E6A" w:rsidP="00936E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55D121" w14:textId="77777777" w:rsidR="00654E6A" w:rsidRDefault="00654E6A" w:rsidP="00654E6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FCA85" w14:textId="77777777" w:rsidR="00AA617C" w:rsidRDefault="00AA617C" w:rsidP="00654E6A">
      <w:pPr>
        <w:spacing w:before="0" w:after="0" w:line="240" w:lineRule="auto"/>
      </w:pPr>
      <w:r>
        <w:separator/>
      </w:r>
    </w:p>
  </w:footnote>
  <w:footnote w:type="continuationSeparator" w:id="0">
    <w:p w14:paraId="258A78BE" w14:textId="77777777" w:rsidR="00AA617C" w:rsidRDefault="00AA617C" w:rsidP="00654E6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2CC6"/>
    <w:multiLevelType w:val="hybridMultilevel"/>
    <w:tmpl w:val="CDB8B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559E3"/>
    <w:multiLevelType w:val="hybridMultilevel"/>
    <w:tmpl w:val="60CAB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CFA"/>
    <w:multiLevelType w:val="hybridMultilevel"/>
    <w:tmpl w:val="0F8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35B4F"/>
    <w:multiLevelType w:val="hybridMultilevel"/>
    <w:tmpl w:val="71A0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C7E83"/>
    <w:multiLevelType w:val="hybridMultilevel"/>
    <w:tmpl w:val="57FE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51039"/>
    <w:multiLevelType w:val="hybridMultilevel"/>
    <w:tmpl w:val="25A0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B07D6"/>
    <w:multiLevelType w:val="hybridMultilevel"/>
    <w:tmpl w:val="AE8013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21378F"/>
    <w:multiLevelType w:val="hybridMultilevel"/>
    <w:tmpl w:val="4B36B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8F6B4C"/>
    <w:multiLevelType w:val="hybridMultilevel"/>
    <w:tmpl w:val="A6464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2437D4"/>
    <w:multiLevelType w:val="hybridMultilevel"/>
    <w:tmpl w:val="E43A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A556B9"/>
    <w:multiLevelType w:val="hybridMultilevel"/>
    <w:tmpl w:val="65A8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BD1E7E"/>
    <w:multiLevelType w:val="hybridMultilevel"/>
    <w:tmpl w:val="10142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2A772F"/>
    <w:multiLevelType w:val="hybridMultilevel"/>
    <w:tmpl w:val="3C863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697877"/>
    <w:multiLevelType w:val="hybridMultilevel"/>
    <w:tmpl w:val="5D34EF3E"/>
    <w:lvl w:ilvl="0" w:tplc="C78AB262">
      <w:numFmt w:val="bullet"/>
      <w:lvlText w:val="•"/>
      <w:lvlJc w:val="left"/>
      <w:pPr>
        <w:ind w:left="824" w:hanging="284"/>
      </w:pPr>
      <w:rPr>
        <w:rFonts w:ascii="Arial" w:eastAsia="Arial" w:hAnsi="Arial" w:cs="Arial" w:hint="default"/>
        <w:b w:val="0"/>
        <w:bCs w:val="0"/>
        <w:i w:val="0"/>
        <w:iCs w:val="0"/>
        <w:color w:val="00727E"/>
        <w:w w:val="104"/>
        <w:sz w:val="22"/>
        <w:szCs w:val="22"/>
        <w:lang w:val="en-US" w:eastAsia="en-US" w:bidi="ar-SA"/>
      </w:rPr>
    </w:lvl>
    <w:lvl w:ilvl="1" w:tplc="D832AE94">
      <w:numFmt w:val="bullet"/>
      <w:lvlText w:val="•"/>
      <w:lvlJc w:val="left"/>
      <w:pPr>
        <w:ind w:left="1742" w:hanging="284"/>
      </w:pPr>
      <w:rPr>
        <w:rFonts w:hint="default"/>
        <w:lang w:val="en-US" w:eastAsia="en-US" w:bidi="ar-SA"/>
      </w:rPr>
    </w:lvl>
    <w:lvl w:ilvl="2" w:tplc="D6EA6F96">
      <w:numFmt w:val="bullet"/>
      <w:lvlText w:val="•"/>
      <w:lvlJc w:val="left"/>
      <w:pPr>
        <w:ind w:left="2665" w:hanging="284"/>
      </w:pPr>
      <w:rPr>
        <w:rFonts w:hint="default"/>
        <w:lang w:val="en-US" w:eastAsia="en-US" w:bidi="ar-SA"/>
      </w:rPr>
    </w:lvl>
    <w:lvl w:ilvl="3" w:tplc="2D080C14">
      <w:numFmt w:val="bullet"/>
      <w:lvlText w:val="•"/>
      <w:lvlJc w:val="left"/>
      <w:pPr>
        <w:ind w:left="3587" w:hanging="284"/>
      </w:pPr>
      <w:rPr>
        <w:rFonts w:hint="default"/>
        <w:lang w:val="en-US" w:eastAsia="en-US" w:bidi="ar-SA"/>
      </w:rPr>
    </w:lvl>
    <w:lvl w:ilvl="4" w:tplc="A5E0345C">
      <w:numFmt w:val="bullet"/>
      <w:lvlText w:val="•"/>
      <w:lvlJc w:val="left"/>
      <w:pPr>
        <w:ind w:left="4510" w:hanging="284"/>
      </w:pPr>
      <w:rPr>
        <w:rFonts w:hint="default"/>
        <w:lang w:val="en-US" w:eastAsia="en-US" w:bidi="ar-SA"/>
      </w:rPr>
    </w:lvl>
    <w:lvl w:ilvl="5" w:tplc="23D62016">
      <w:numFmt w:val="bullet"/>
      <w:lvlText w:val="•"/>
      <w:lvlJc w:val="left"/>
      <w:pPr>
        <w:ind w:left="5432" w:hanging="284"/>
      </w:pPr>
      <w:rPr>
        <w:rFonts w:hint="default"/>
        <w:lang w:val="en-US" w:eastAsia="en-US" w:bidi="ar-SA"/>
      </w:rPr>
    </w:lvl>
    <w:lvl w:ilvl="6" w:tplc="6CA0B530">
      <w:numFmt w:val="bullet"/>
      <w:lvlText w:val="•"/>
      <w:lvlJc w:val="left"/>
      <w:pPr>
        <w:ind w:left="6355" w:hanging="284"/>
      </w:pPr>
      <w:rPr>
        <w:rFonts w:hint="default"/>
        <w:lang w:val="en-US" w:eastAsia="en-US" w:bidi="ar-SA"/>
      </w:rPr>
    </w:lvl>
    <w:lvl w:ilvl="7" w:tplc="869A5BE6">
      <w:numFmt w:val="bullet"/>
      <w:lvlText w:val="•"/>
      <w:lvlJc w:val="left"/>
      <w:pPr>
        <w:ind w:left="7277" w:hanging="284"/>
      </w:pPr>
      <w:rPr>
        <w:rFonts w:hint="default"/>
        <w:lang w:val="en-US" w:eastAsia="en-US" w:bidi="ar-SA"/>
      </w:rPr>
    </w:lvl>
    <w:lvl w:ilvl="8" w:tplc="DA08181E">
      <w:numFmt w:val="bullet"/>
      <w:lvlText w:val="•"/>
      <w:lvlJc w:val="left"/>
      <w:pPr>
        <w:ind w:left="8200" w:hanging="284"/>
      </w:pPr>
      <w:rPr>
        <w:rFonts w:hint="default"/>
        <w:lang w:val="en-US" w:eastAsia="en-US" w:bidi="ar-SA"/>
      </w:rPr>
    </w:lvl>
  </w:abstractNum>
  <w:abstractNum w:abstractNumId="14" w15:restartNumberingAfterBreak="0">
    <w:nsid w:val="4A086943"/>
    <w:multiLevelType w:val="hybridMultilevel"/>
    <w:tmpl w:val="0924FE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B040ABE"/>
    <w:multiLevelType w:val="hybridMultilevel"/>
    <w:tmpl w:val="A260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582438"/>
    <w:multiLevelType w:val="hybridMultilevel"/>
    <w:tmpl w:val="59E2A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30111D"/>
    <w:multiLevelType w:val="hybridMultilevel"/>
    <w:tmpl w:val="84C86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3AD427E"/>
    <w:multiLevelType w:val="hybridMultilevel"/>
    <w:tmpl w:val="5E401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B6937"/>
    <w:multiLevelType w:val="hybridMultilevel"/>
    <w:tmpl w:val="4F56E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0144A"/>
    <w:multiLevelType w:val="hybridMultilevel"/>
    <w:tmpl w:val="241EE1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1AE63CF"/>
    <w:multiLevelType w:val="hybridMultilevel"/>
    <w:tmpl w:val="A0BE2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281B83"/>
    <w:multiLevelType w:val="hybridMultilevel"/>
    <w:tmpl w:val="4386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1"/>
  </w:num>
  <w:num w:numId="4">
    <w:abstractNumId w:val="19"/>
  </w:num>
  <w:num w:numId="5">
    <w:abstractNumId w:val="9"/>
  </w:num>
  <w:num w:numId="6">
    <w:abstractNumId w:val="16"/>
  </w:num>
  <w:num w:numId="7">
    <w:abstractNumId w:val="11"/>
  </w:num>
  <w:num w:numId="8">
    <w:abstractNumId w:val="0"/>
  </w:num>
  <w:num w:numId="9">
    <w:abstractNumId w:val="5"/>
  </w:num>
  <w:num w:numId="10">
    <w:abstractNumId w:val="2"/>
  </w:num>
  <w:num w:numId="11">
    <w:abstractNumId w:val="6"/>
  </w:num>
  <w:num w:numId="12">
    <w:abstractNumId w:val="22"/>
  </w:num>
  <w:num w:numId="13">
    <w:abstractNumId w:val="8"/>
  </w:num>
  <w:num w:numId="14">
    <w:abstractNumId w:val="1"/>
  </w:num>
  <w:num w:numId="15">
    <w:abstractNumId w:val="3"/>
  </w:num>
  <w:num w:numId="16">
    <w:abstractNumId w:val="10"/>
  </w:num>
  <w:num w:numId="17">
    <w:abstractNumId w:val="12"/>
  </w:num>
  <w:num w:numId="18">
    <w:abstractNumId w:val="17"/>
  </w:num>
  <w:num w:numId="19">
    <w:abstractNumId w:val="13"/>
  </w:num>
  <w:num w:numId="20">
    <w:abstractNumId w:val="20"/>
  </w:num>
  <w:num w:numId="21">
    <w:abstractNumId w:val="7"/>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FF"/>
    <w:rsid w:val="000C68D9"/>
    <w:rsid w:val="000D7F2A"/>
    <w:rsid w:val="000E191C"/>
    <w:rsid w:val="00133F9D"/>
    <w:rsid w:val="00147FB2"/>
    <w:rsid w:val="00231EE5"/>
    <w:rsid w:val="0039558A"/>
    <w:rsid w:val="00484048"/>
    <w:rsid w:val="004D0636"/>
    <w:rsid w:val="005035B6"/>
    <w:rsid w:val="00547A3D"/>
    <w:rsid w:val="00654E6A"/>
    <w:rsid w:val="00684B72"/>
    <w:rsid w:val="006D113D"/>
    <w:rsid w:val="0071568F"/>
    <w:rsid w:val="007165FF"/>
    <w:rsid w:val="007471C6"/>
    <w:rsid w:val="009603F4"/>
    <w:rsid w:val="00AA617C"/>
    <w:rsid w:val="00BD3BE1"/>
    <w:rsid w:val="00C54389"/>
    <w:rsid w:val="00D87382"/>
    <w:rsid w:val="00DF738B"/>
    <w:rsid w:val="00EB5096"/>
    <w:rsid w:val="00EB623A"/>
    <w:rsid w:val="00EE1766"/>
    <w:rsid w:val="00F0034C"/>
    <w:rsid w:val="00F13AEB"/>
    <w:rsid w:val="00F35D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922CD"/>
  <w15:chartTrackingRefBased/>
  <w15:docId w15:val="{120A8F29-7255-6B44-AA4F-B4CE332FF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5FF"/>
    <w:pPr>
      <w:spacing w:before="120" w:after="120" w:line="280" w:lineRule="auto"/>
    </w:pPr>
    <w:rPr>
      <w:rFonts w:ascii="Arial" w:eastAsiaTheme="minorEastAsia" w:hAnsi="Arial"/>
      <w:sz w:val="22"/>
    </w:rPr>
  </w:style>
  <w:style w:type="paragraph" w:styleId="Heading1">
    <w:name w:val="heading 1"/>
    <w:basedOn w:val="Normal"/>
    <w:next w:val="Normal"/>
    <w:link w:val="Heading1Char"/>
    <w:uiPriority w:val="9"/>
    <w:qFormat/>
    <w:rsid w:val="00EB5096"/>
    <w:pPr>
      <w:keepNext/>
      <w:keepLines/>
      <w:spacing w:before="240"/>
      <w:outlineLvl w:val="0"/>
    </w:pPr>
    <w:rPr>
      <w:rFonts w:eastAsiaTheme="majorEastAsia" w:cs="Arial"/>
      <w:b/>
      <w:bCs/>
      <w:color w:val="002060"/>
      <w:sz w:val="72"/>
      <w:szCs w:val="72"/>
    </w:rPr>
  </w:style>
  <w:style w:type="paragraph" w:styleId="Heading2">
    <w:name w:val="heading 2"/>
    <w:basedOn w:val="Normal"/>
    <w:next w:val="Normal"/>
    <w:link w:val="Heading2Char"/>
    <w:uiPriority w:val="9"/>
    <w:unhideWhenUsed/>
    <w:qFormat/>
    <w:rsid w:val="00EB5096"/>
    <w:pPr>
      <w:keepNext/>
      <w:keepLines/>
      <w:spacing w:before="240" w:line="281" w:lineRule="auto"/>
      <w:outlineLvl w:val="1"/>
    </w:pPr>
    <w:rPr>
      <w:rFonts w:eastAsiaTheme="majorEastAsia" w:cs="Arial"/>
      <w:b/>
      <w:bCs/>
      <w:color w:val="1F3864" w:themeColor="accent1" w:themeShade="80"/>
      <w:sz w:val="32"/>
      <w:szCs w:val="32"/>
      <w:lang w:val="en-US"/>
    </w:rPr>
  </w:style>
  <w:style w:type="paragraph" w:styleId="Heading3">
    <w:name w:val="heading 3"/>
    <w:basedOn w:val="Normal"/>
    <w:next w:val="Normal"/>
    <w:link w:val="Heading3Char"/>
    <w:uiPriority w:val="9"/>
    <w:unhideWhenUsed/>
    <w:qFormat/>
    <w:rsid w:val="007165FF"/>
    <w:pPr>
      <w:keepNext/>
      <w:keepLines/>
      <w:spacing w:before="240" w:line="281" w:lineRule="auto"/>
      <w:outlineLvl w:val="2"/>
    </w:pPr>
    <w:rPr>
      <w:rFonts w:eastAsiaTheme="majorEastAsia" w:cs="Arial"/>
      <w:b/>
      <w:bCs/>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096"/>
    <w:rPr>
      <w:rFonts w:ascii="Arial" w:eastAsiaTheme="majorEastAsia" w:hAnsi="Arial" w:cs="Arial"/>
      <w:b/>
      <w:bCs/>
      <w:color w:val="002060"/>
      <w:sz w:val="72"/>
      <w:szCs w:val="72"/>
    </w:rPr>
  </w:style>
  <w:style w:type="character" w:customStyle="1" w:styleId="Heading2Char">
    <w:name w:val="Heading 2 Char"/>
    <w:basedOn w:val="DefaultParagraphFont"/>
    <w:link w:val="Heading2"/>
    <w:uiPriority w:val="9"/>
    <w:rsid w:val="00EB5096"/>
    <w:rPr>
      <w:rFonts w:ascii="Arial" w:eastAsiaTheme="majorEastAsia" w:hAnsi="Arial" w:cs="Arial"/>
      <w:b/>
      <w:bCs/>
      <w:color w:val="1F3864" w:themeColor="accent1" w:themeShade="80"/>
      <w:sz w:val="32"/>
      <w:szCs w:val="32"/>
      <w:lang w:val="en-US"/>
    </w:rPr>
  </w:style>
  <w:style w:type="paragraph" w:styleId="ListParagraph">
    <w:name w:val="List Paragraph"/>
    <w:basedOn w:val="Normal"/>
    <w:uiPriority w:val="1"/>
    <w:qFormat/>
    <w:rsid w:val="007165FF"/>
    <w:pPr>
      <w:ind w:left="720"/>
      <w:contextualSpacing/>
    </w:pPr>
  </w:style>
  <w:style w:type="paragraph" w:customStyle="1" w:styleId="FigureHeading">
    <w:name w:val="Figure Heading"/>
    <w:qFormat/>
    <w:rsid w:val="007165FF"/>
    <w:pPr>
      <w:spacing w:before="240"/>
    </w:pPr>
    <w:rPr>
      <w:rFonts w:ascii="Arial" w:hAnsi="Arial"/>
      <w:b/>
      <w:bCs/>
      <w:sz w:val="22"/>
      <w:lang w:val="en-US"/>
    </w:rPr>
  </w:style>
  <w:style w:type="character" w:customStyle="1" w:styleId="Heading3Char">
    <w:name w:val="Heading 3 Char"/>
    <w:basedOn w:val="DefaultParagraphFont"/>
    <w:link w:val="Heading3"/>
    <w:uiPriority w:val="9"/>
    <w:rsid w:val="007165FF"/>
    <w:rPr>
      <w:rFonts w:ascii="Arial" w:eastAsiaTheme="majorEastAsia" w:hAnsi="Arial" w:cs="Arial"/>
      <w:b/>
      <w:bCs/>
      <w:color w:val="1F3763" w:themeColor="accent1" w:themeShade="7F"/>
    </w:rPr>
  </w:style>
  <w:style w:type="paragraph" w:customStyle="1" w:styleId="BasicParagraph">
    <w:name w:val="[Basic Paragraph]"/>
    <w:basedOn w:val="Normal"/>
    <w:uiPriority w:val="99"/>
    <w:rsid w:val="007165FF"/>
    <w:pPr>
      <w:suppressAutoHyphens/>
      <w:autoSpaceDE w:val="0"/>
      <w:autoSpaceDN w:val="0"/>
      <w:adjustRightInd w:val="0"/>
      <w:spacing w:before="0" w:after="170" w:line="300" w:lineRule="atLeast"/>
      <w:textAlignment w:val="center"/>
    </w:pPr>
    <w:rPr>
      <w:rFonts w:ascii="Adelle Sans Light" w:hAnsi="Adelle Sans Light" w:cs="Adelle Sans Light"/>
      <w:color w:val="000000"/>
      <w:szCs w:val="22"/>
      <w:lang w:val="en-US"/>
    </w:rPr>
  </w:style>
  <w:style w:type="paragraph" w:customStyle="1" w:styleId="FigureTitle">
    <w:name w:val="Figure Title"/>
    <w:basedOn w:val="BasicParagraph"/>
    <w:next w:val="BasicParagraph"/>
    <w:uiPriority w:val="99"/>
    <w:rsid w:val="007165FF"/>
    <w:pPr>
      <w:spacing w:before="120" w:after="120" w:line="280" w:lineRule="atLeast"/>
    </w:pPr>
    <w:rPr>
      <w:sz w:val="20"/>
      <w:szCs w:val="20"/>
    </w:rPr>
  </w:style>
  <w:style w:type="paragraph" w:customStyle="1" w:styleId="Beforelist">
    <w:name w:val="Before list"/>
    <w:basedOn w:val="Normal"/>
    <w:uiPriority w:val="99"/>
    <w:rsid w:val="007165FF"/>
    <w:pPr>
      <w:suppressAutoHyphens/>
      <w:autoSpaceDE w:val="0"/>
      <w:autoSpaceDN w:val="0"/>
      <w:adjustRightInd w:val="0"/>
      <w:spacing w:before="0" w:after="57" w:line="300" w:lineRule="atLeast"/>
      <w:textAlignment w:val="center"/>
    </w:pPr>
    <w:rPr>
      <w:rFonts w:ascii="Adelle Sans Light" w:hAnsi="Adelle Sans Light" w:cs="Adelle Sans Light"/>
      <w:color w:val="000000"/>
      <w:szCs w:val="22"/>
      <w:lang w:val="en-US"/>
    </w:rPr>
  </w:style>
  <w:style w:type="paragraph" w:customStyle="1" w:styleId="Numberedlist">
    <w:name w:val="Numbered list"/>
    <w:basedOn w:val="BasicParagraph"/>
    <w:uiPriority w:val="99"/>
    <w:rsid w:val="007165FF"/>
    <w:pPr>
      <w:tabs>
        <w:tab w:val="left" w:pos="5974"/>
      </w:tabs>
      <w:ind w:left="850" w:hanging="567"/>
    </w:pPr>
  </w:style>
  <w:style w:type="paragraph" w:customStyle="1" w:styleId="ListParagraphLevel2">
    <w:name w:val="List Paragraph Level 2"/>
    <w:basedOn w:val="BasicParagraph"/>
    <w:uiPriority w:val="99"/>
    <w:rsid w:val="007165FF"/>
    <w:pPr>
      <w:ind w:left="850" w:hanging="283"/>
    </w:pPr>
  </w:style>
  <w:style w:type="character" w:styleId="Hyperlink">
    <w:name w:val="Hyperlink"/>
    <w:basedOn w:val="DefaultParagraphFont"/>
    <w:uiPriority w:val="99"/>
    <w:rsid w:val="007165FF"/>
    <w:rPr>
      <w:color w:val="00727D"/>
      <w:w w:val="100"/>
      <w:u w:val="thick" w:color="00727D"/>
    </w:rPr>
  </w:style>
  <w:style w:type="paragraph" w:customStyle="1" w:styleId="Intropara">
    <w:name w:val="Intro para"/>
    <w:basedOn w:val="Normal"/>
    <w:uiPriority w:val="99"/>
    <w:rsid w:val="006D113D"/>
    <w:pPr>
      <w:suppressAutoHyphens/>
      <w:autoSpaceDE w:val="0"/>
      <w:autoSpaceDN w:val="0"/>
      <w:adjustRightInd w:val="0"/>
      <w:spacing w:before="0" w:after="227" w:line="400" w:lineRule="atLeast"/>
      <w:textAlignment w:val="center"/>
    </w:pPr>
    <w:rPr>
      <w:rFonts w:ascii="Adelle Sans" w:hAnsi="Adelle Sans" w:cs="Adelle Sans"/>
      <w:color w:val="00727D"/>
      <w:sz w:val="28"/>
      <w:szCs w:val="28"/>
      <w:lang w:val="en-US"/>
    </w:rPr>
  </w:style>
  <w:style w:type="character" w:styleId="CommentReference">
    <w:name w:val="annotation reference"/>
    <w:basedOn w:val="DefaultParagraphFont"/>
    <w:uiPriority w:val="99"/>
    <w:rsid w:val="006D113D"/>
    <w:rPr>
      <w:w w:val="100"/>
      <w:sz w:val="16"/>
      <w:szCs w:val="16"/>
    </w:rPr>
  </w:style>
  <w:style w:type="character" w:styleId="Strong">
    <w:name w:val="Strong"/>
    <w:basedOn w:val="DefaultParagraphFont"/>
    <w:uiPriority w:val="22"/>
    <w:qFormat/>
    <w:rsid w:val="006D113D"/>
    <w:rPr>
      <w:b/>
      <w:bCs/>
    </w:rPr>
  </w:style>
  <w:style w:type="paragraph" w:styleId="Header">
    <w:name w:val="header"/>
    <w:basedOn w:val="Normal"/>
    <w:link w:val="HeaderChar"/>
    <w:uiPriority w:val="99"/>
    <w:unhideWhenUsed/>
    <w:rsid w:val="00654E6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54E6A"/>
    <w:rPr>
      <w:rFonts w:ascii="Arial" w:eastAsiaTheme="minorEastAsia" w:hAnsi="Arial"/>
      <w:sz w:val="22"/>
    </w:rPr>
  </w:style>
  <w:style w:type="paragraph" w:styleId="Footer">
    <w:name w:val="footer"/>
    <w:basedOn w:val="Normal"/>
    <w:link w:val="FooterChar"/>
    <w:uiPriority w:val="99"/>
    <w:unhideWhenUsed/>
    <w:rsid w:val="00654E6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4E6A"/>
    <w:rPr>
      <w:rFonts w:ascii="Arial" w:eastAsiaTheme="minorEastAsia" w:hAnsi="Arial"/>
      <w:sz w:val="22"/>
    </w:rPr>
  </w:style>
  <w:style w:type="character" w:styleId="PageNumber">
    <w:name w:val="page number"/>
    <w:basedOn w:val="DefaultParagraphFont"/>
    <w:uiPriority w:val="99"/>
    <w:semiHidden/>
    <w:unhideWhenUsed/>
    <w:rsid w:val="00654E6A"/>
  </w:style>
  <w:style w:type="paragraph" w:styleId="Title">
    <w:name w:val="Title"/>
    <w:basedOn w:val="Normal"/>
    <w:next w:val="Normal"/>
    <w:link w:val="TitleChar"/>
    <w:uiPriority w:val="10"/>
    <w:qFormat/>
    <w:rsid w:val="00654E6A"/>
    <w:pPr>
      <w:spacing w:before="132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E6A"/>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684B72"/>
    <w:pPr>
      <w:spacing w:after="100"/>
    </w:pPr>
  </w:style>
  <w:style w:type="paragraph" w:styleId="TOC2">
    <w:name w:val="toc 2"/>
    <w:basedOn w:val="Normal"/>
    <w:next w:val="Normal"/>
    <w:autoRedefine/>
    <w:uiPriority w:val="39"/>
    <w:unhideWhenUsed/>
    <w:rsid w:val="00684B72"/>
    <w:pPr>
      <w:spacing w:after="100"/>
      <w:ind w:left="220"/>
    </w:pPr>
  </w:style>
  <w:style w:type="paragraph" w:styleId="TOC3">
    <w:name w:val="toc 3"/>
    <w:basedOn w:val="Normal"/>
    <w:next w:val="Normal"/>
    <w:autoRedefine/>
    <w:uiPriority w:val="39"/>
    <w:unhideWhenUsed/>
    <w:rsid w:val="00684B72"/>
    <w:pPr>
      <w:spacing w:after="100"/>
      <w:ind w:left="440"/>
    </w:pPr>
  </w:style>
  <w:style w:type="paragraph" w:styleId="BodyText">
    <w:name w:val="Body Text"/>
    <w:basedOn w:val="Normal"/>
    <w:link w:val="BodyTextChar"/>
    <w:uiPriority w:val="1"/>
    <w:qFormat/>
    <w:rsid w:val="00EB623A"/>
  </w:style>
  <w:style w:type="character" w:customStyle="1" w:styleId="BodyTextChar">
    <w:name w:val="Body Text Char"/>
    <w:basedOn w:val="DefaultParagraphFont"/>
    <w:link w:val="BodyText"/>
    <w:uiPriority w:val="1"/>
    <w:rsid w:val="00EB623A"/>
    <w:rPr>
      <w:rFonts w:ascii="Arial" w:eastAsiaTheme="minorEastAsia" w:hAnsi="Arial"/>
      <w:sz w:val="22"/>
    </w:rPr>
  </w:style>
  <w:style w:type="character" w:styleId="UnresolvedMention">
    <w:name w:val="Unresolved Mention"/>
    <w:basedOn w:val="DefaultParagraphFont"/>
    <w:uiPriority w:val="99"/>
    <w:semiHidden/>
    <w:unhideWhenUsed/>
    <w:rsid w:val="00EE1766"/>
    <w:rPr>
      <w:color w:val="605E5C"/>
      <w:shd w:val="clear" w:color="auto" w:fill="E1DFDD"/>
    </w:rPr>
  </w:style>
  <w:style w:type="character" w:styleId="FollowedHyperlink">
    <w:name w:val="FollowedHyperlink"/>
    <w:basedOn w:val="DefaultParagraphFont"/>
    <w:uiPriority w:val="99"/>
    <w:semiHidden/>
    <w:unhideWhenUsed/>
    <w:rsid w:val="0071568F"/>
    <w:rPr>
      <w:color w:val="954F72" w:themeColor="followedHyperlink"/>
      <w:u w:val="single"/>
    </w:rPr>
  </w:style>
  <w:style w:type="paragraph" w:styleId="BalloonText">
    <w:name w:val="Balloon Text"/>
    <w:basedOn w:val="Normal"/>
    <w:link w:val="BalloonTextChar"/>
    <w:uiPriority w:val="99"/>
    <w:semiHidden/>
    <w:unhideWhenUsed/>
    <w:rsid w:val="000D7F2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F2A"/>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gov.au/sites/default/files/documents/2021/05/home-care-pillar-1-of-the-royal-commission-response-future-design-and-funding.pdf" TargetMode="External"/><Relationship Id="rId18" Type="http://schemas.openxmlformats.org/officeDocument/2006/relationships/hyperlink" Target="https://www.ndiscommission.gov.au/document/2101" TargetMode="External"/><Relationship Id="rId26" Type="http://schemas.openxmlformats.org/officeDocument/2006/relationships/hyperlink" Target="mailto:RegulatoryAlignmentTaskforce@health.gov.au" TargetMode="External"/><Relationship Id="rId3" Type="http://schemas.openxmlformats.org/officeDocument/2006/relationships/styles" Target="styles.xml"/><Relationship Id="rId21" Type="http://schemas.openxmlformats.org/officeDocument/2006/relationships/hyperlink" Target="https://defenceveteransuicide.royalcommission.gov.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gov.au/sites/default/files/documents/2021/05/governance-pillar-5-of-the-royal-commission-response-a-new-aged-care-act.pdf" TargetMode="External"/><Relationship Id="rId17" Type="http://schemas.openxmlformats.org/officeDocument/2006/relationships/hyperlink" Target="https://www.health.gov.au/health-topics/aged-care/aged-care-reforms-and-reviews/royal-commission-into-aged-care-quality-and-safety/review-of-the-aged-care-quality-standards" TargetMode="External"/><Relationship Id="rId25" Type="http://schemas.openxmlformats.org/officeDocument/2006/relationships/hyperlink" Target="mailto:RegulatoryAlignmentTaskforce@health.gov.au"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health.gov.au/sites/default/files/documents/2021/05/residential-aged-care-quality-and-safety-pillar-3-of-the-royal-commission-response-empowering-consumers-of-aged-care-with-information-to-exercise-choice.pdf" TargetMode="External"/><Relationship Id="rId20" Type="http://schemas.openxmlformats.org/officeDocument/2006/relationships/hyperlink" Target="https://disability.royalcommission.gov.au/" TargetMode="External"/><Relationship Id="rId29" Type="http://schemas.openxmlformats.org/officeDocument/2006/relationships/hyperlink" Target="https://www.health.gov.au/initiatives-and-programs/aligning-regulation-across-the-care-and-support-sec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ealth.gov.au/initiatives-and-programs/aligning-regulation-across-the-care-and-support-sector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agedcarequality.gov.au/sirs" TargetMode="External"/><Relationship Id="rId23" Type="http://schemas.openxmlformats.org/officeDocument/2006/relationships/hyperlink" Target="https://www.health.gov.au/initiatives-and-programs/aligning-regulation-across-the-care-and-support-sectors" TargetMode="External"/><Relationship Id="rId28" Type="http://schemas.openxmlformats.org/officeDocument/2006/relationships/hyperlink" Target="https://www.health.gov.au/initiatives-and-programs/aligning-regulation-across-the-care-and-support-sectors" TargetMode="External"/><Relationship Id="rId10" Type="http://schemas.openxmlformats.org/officeDocument/2006/relationships/image" Target="media/image3.png"/><Relationship Id="rId19" Type="http://schemas.openxmlformats.org/officeDocument/2006/relationships/hyperlink" Target="https://www.aph.gov.au/Parliamentary_Business/Committees/Joint/National_Disability_Insurance_Schem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ealth.gov.au/sites/default/files/documents/2021/05/residential-aged-care-quality-and-safety-pillar-3-of-the-royal-commission-response-strengthening-provider-quality.pdf" TargetMode="External"/><Relationship Id="rId22" Type="http://schemas.openxmlformats.org/officeDocument/2006/relationships/image" Target="media/image5.png"/><Relationship Id="rId27" Type="http://schemas.openxmlformats.org/officeDocument/2006/relationships/hyperlink" Target="https://agedcareengagement.health.gov.au/" TargetMode="External"/><Relationship Id="rId30" Type="http://schemas.openxmlformats.org/officeDocument/2006/relationships/hyperlink" Target="mailto:RegulatoryAlignmentTaskforce@health.gov.a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6F611-6967-6445-AB66-2803DC92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3568</Words>
  <Characters>20343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Background Paper Aligning regulation across Australia's care and support sectors</vt:lpstr>
    </vt:vector>
  </TitlesOfParts>
  <Company/>
  <LinksUpToDate>false</LinksUpToDate>
  <CharactersWithSpaces>23864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 Aligning regulation across Australia’s care and support sectors</dc:title>
  <dc:subject>Aged care; Disability</dc:subject>
  <dc:creator>Australian Government</dc:creator>
  <cp:keywords>aged care; disability; veterans</cp:keywords>
  <dc:description/>
  <cp:lastModifiedBy>MCCAY, Meryl</cp:lastModifiedBy>
  <cp:revision>5</cp:revision>
  <dcterms:created xsi:type="dcterms:W3CDTF">2021-10-07T03:22:00Z</dcterms:created>
  <dcterms:modified xsi:type="dcterms:W3CDTF">2021-10-07T04:12:00Z</dcterms:modified>
</cp:coreProperties>
</file>