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DB45D" w14:textId="7D73E1E6" w:rsidR="00751A23" w:rsidRPr="001B4766" w:rsidRDefault="00ED4162" w:rsidP="00E14444">
      <w:pPr>
        <w:pStyle w:val="Title"/>
      </w:pPr>
      <w:r w:rsidRPr="001B4766">
        <w:t>Serious Incident Res</w:t>
      </w:r>
      <w:r w:rsidR="00250E48" w:rsidRPr="001B4766">
        <w:t>p</w:t>
      </w:r>
      <w:r w:rsidRPr="001B4766">
        <w:t>ons</w:t>
      </w:r>
      <w:r w:rsidR="00250E48" w:rsidRPr="001B4766">
        <w:t>e</w:t>
      </w:r>
      <w:r w:rsidRPr="001B4766">
        <w:t xml:space="preserve"> Scheme for Commonwealth funded in-home aged care services</w:t>
      </w:r>
    </w:p>
    <w:p w14:paraId="0AC44ED5" w14:textId="77777777" w:rsidR="008C4207" w:rsidRPr="008C4207" w:rsidRDefault="008C4207" w:rsidP="00CA79CF">
      <w:pPr>
        <w:pStyle w:val="Subtitle"/>
        <w:rPr>
          <w:color w:val="FFFFFF" w:themeColor="background1"/>
          <w:sz w:val="11"/>
          <w:szCs w:val="4"/>
        </w:rPr>
      </w:pPr>
    </w:p>
    <w:p w14:paraId="6E2D339E" w14:textId="42D89B22" w:rsidR="00CA79CF" w:rsidRPr="008C4207" w:rsidRDefault="00ED4162" w:rsidP="00CA79CF">
      <w:pPr>
        <w:pStyle w:val="Subtitle"/>
        <w:rPr>
          <w:b/>
          <w:bCs/>
          <w:color w:val="FFFFFF" w:themeColor="background1"/>
          <w:sz w:val="44"/>
          <w:szCs w:val="28"/>
        </w:rPr>
      </w:pPr>
      <w:r w:rsidRPr="008C4207">
        <w:rPr>
          <w:b/>
          <w:bCs/>
          <w:color w:val="FFFFFF" w:themeColor="background1"/>
          <w:sz w:val="44"/>
          <w:szCs w:val="28"/>
        </w:rPr>
        <w:t xml:space="preserve">Report on outcomes of consultation </w:t>
      </w:r>
    </w:p>
    <w:p w14:paraId="2CAB3173" w14:textId="77777777" w:rsidR="008C4207" w:rsidRDefault="008C4207" w:rsidP="00E14444">
      <w:pPr>
        <w:rPr>
          <w:color w:val="FFFFFF" w:themeColor="background1"/>
        </w:rPr>
      </w:pPr>
    </w:p>
    <w:p w14:paraId="01B8783D" w14:textId="647C12A2" w:rsidR="00ED4162" w:rsidRPr="008C4207" w:rsidRDefault="00130742" w:rsidP="00E14444">
      <w:pPr>
        <w:rPr>
          <w:color w:val="FFFFFF" w:themeColor="background1"/>
          <w:sz w:val="32"/>
          <w:szCs w:val="32"/>
        </w:rPr>
      </w:pPr>
      <w:r>
        <w:rPr>
          <w:color w:val="FFFFFF" w:themeColor="background1"/>
          <w:sz w:val="32"/>
          <w:szCs w:val="32"/>
        </w:rPr>
        <w:t xml:space="preserve">24 </w:t>
      </w:r>
      <w:r w:rsidR="00ED4162" w:rsidRPr="008C4207">
        <w:rPr>
          <w:color w:val="FFFFFF" w:themeColor="background1"/>
          <w:sz w:val="32"/>
          <w:szCs w:val="32"/>
        </w:rPr>
        <w:t>August 2021</w:t>
      </w:r>
    </w:p>
    <w:p w14:paraId="57221A73" w14:textId="77777777" w:rsidR="00CA79CF" w:rsidRPr="001B4766" w:rsidRDefault="00CA79CF" w:rsidP="00CA79CF">
      <w:pPr>
        <w:pStyle w:val="Subtitle"/>
        <w:sectPr w:rsidR="00CA79CF" w:rsidRPr="001B4766"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p>
    <w:p w14:paraId="6E77430E" w14:textId="058E5668" w:rsidR="00100F6D" w:rsidRPr="001B4766" w:rsidRDefault="00100F6D" w:rsidP="0048323A">
      <w:pPr>
        <w:pStyle w:val="Heading1"/>
      </w:pPr>
      <w:bookmarkStart w:id="0" w:name="_Toc77836956"/>
      <w:bookmarkStart w:id="1" w:name="_Toc77848140"/>
      <w:bookmarkStart w:id="2" w:name="_Toc77848284"/>
      <w:bookmarkStart w:id="3" w:name="_Toc80014104"/>
      <w:bookmarkStart w:id="4" w:name="_Toc80188654"/>
      <w:bookmarkStart w:id="5" w:name="_Toc80194294"/>
      <w:bookmarkStart w:id="6" w:name="_Toc80694358"/>
      <w:r w:rsidRPr="001B4766">
        <w:lastRenderedPageBreak/>
        <w:t>Contents</w:t>
      </w:r>
      <w:bookmarkEnd w:id="0"/>
      <w:bookmarkEnd w:id="1"/>
      <w:bookmarkEnd w:id="2"/>
      <w:bookmarkEnd w:id="3"/>
      <w:bookmarkEnd w:id="4"/>
      <w:bookmarkEnd w:id="5"/>
      <w:bookmarkEnd w:id="6"/>
    </w:p>
    <w:p w14:paraId="71644179" w14:textId="05886BAF" w:rsidR="004A2D34" w:rsidRDefault="001B35BF">
      <w:pPr>
        <w:pStyle w:val="TOC1"/>
        <w:rPr>
          <w:rFonts w:asciiTheme="minorHAnsi" w:eastAsiaTheme="minorEastAsia" w:hAnsiTheme="minorHAnsi" w:cstheme="minorBidi"/>
          <w:b w:val="0"/>
          <w:bCs w:val="0"/>
          <w:lang w:eastAsia="en-GB"/>
        </w:rPr>
      </w:pPr>
      <w:r w:rsidRPr="00AD6A09">
        <w:rPr>
          <w:iCs/>
        </w:rPr>
        <w:fldChar w:fldCharType="begin"/>
      </w:r>
      <w:r w:rsidRPr="00AD6A09">
        <w:instrText xml:space="preserve"> TOC \t "heading 1,1,heading 2,2" </w:instrText>
      </w:r>
      <w:r w:rsidRPr="00AD6A09">
        <w:rPr>
          <w:iCs/>
        </w:rPr>
        <w:fldChar w:fldCharType="separate"/>
      </w:r>
      <w:r w:rsidR="004A2D34">
        <w:t>Background</w:t>
      </w:r>
      <w:r w:rsidR="004A2D34">
        <w:tab/>
      </w:r>
      <w:r w:rsidR="004A2D34">
        <w:fldChar w:fldCharType="begin"/>
      </w:r>
      <w:r w:rsidR="004A2D34">
        <w:instrText xml:space="preserve"> PAGEREF _Toc80694359 \h </w:instrText>
      </w:r>
      <w:r w:rsidR="004A2D34">
        <w:fldChar w:fldCharType="separate"/>
      </w:r>
      <w:r w:rsidR="004A2D34">
        <w:t>1</w:t>
      </w:r>
      <w:r w:rsidR="004A2D34">
        <w:fldChar w:fldCharType="end"/>
      </w:r>
    </w:p>
    <w:p w14:paraId="2E30A71C" w14:textId="7B4EF583" w:rsidR="004A2D34" w:rsidRDefault="004A2D34">
      <w:pPr>
        <w:pStyle w:val="TOC2"/>
        <w:rPr>
          <w:rFonts w:asciiTheme="minorHAnsi" w:eastAsiaTheme="minorEastAsia" w:hAnsiTheme="minorHAnsi" w:cstheme="minorBidi"/>
          <w:b/>
          <w:bCs w:val="0"/>
          <w:sz w:val="24"/>
          <w:szCs w:val="24"/>
          <w:lang w:eastAsia="en-GB"/>
        </w:rPr>
      </w:pPr>
      <w:r>
        <w:t>Purpose of this report</w:t>
      </w:r>
      <w:r>
        <w:tab/>
      </w:r>
      <w:r>
        <w:fldChar w:fldCharType="begin"/>
      </w:r>
      <w:r>
        <w:instrText xml:space="preserve"> PAGEREF _Toc80694360 \h </w:instrText>
      </w:r>
      <w:r>
        <w:fldChar w:fldCharType="separate"/>
      </w:r>
      <w:r>
        <w:t>1</w:t>
      </w:r>
      <w:r>
        <w:fldChar w:fldCharType="end"/>
      </w:r>
    </w:p>
    <w:p w14:paraId="1B87A33B" w14:textId="7059FE2C" w:rsidR="004A2D34" w:rsidRDefault="004A2D34">
      <w:pPr>
        <w:pStyle w:val="TOC2"/>
        <w:rPr>
          <w:rFonts w:asciiTheme="minorHAnsi" w:eastAsiaTheme="minorEastAsia" w:hAnsiTheme="minorHAnsi" w:cstheme="minorBidi"/>
          <w:b/>
          <w:bCs w:val="0"/>
          <w:sz w:val="24"/>
          <w:szCs w:val="24"/>
          <w:lang w:eastAsia="en-GB"/>
        </w:rPr>
      </w:pPr>
      <w:r>
        <w:t>Proposed model</w:t>
      </w:r>
      <w:r>
        <w:tab/>
      </w:r>
      <w:r>
        <w:fldChar w:fldCharType="begin"/>
      </w:r>
      <w:r>
        <w:instrText xml:space="preserve"> PAGEREF _Toc80694361 \h </w:instrText>
      </w:r>
      <w:r>
        <w:fldChar w:fldCharType="separate"/>
      </w:r>
      <w:r>
        <w:t>1</w:t>
      </w:r>
      <w:r>
        <w:fldChar w:fldCharType="end"/>
      </w:r>
    </w:p>
    <w:p w14:paraId="3D8DE1E7" w14:textId="48D1B943" w:rsidR="004A2D34" w:rsidRDefault="004A2D34">
      <w:pPr>
        <w:pStyle w:val="TOC1"/>
        <w:rPr>
          <w:rFonts w:asciiTheme="minorHAnsi" w:eastAsiaTheme="minorEastAsia" w:hAnsiTheme="minorHAnsi" w:cstheme="minorBidi"/>
          <w:b w:val="0"/>
          <w:bCs w:val="0"/>
          <w:lang w:eastAsia="en-GB"/>
        </w:rPr>
      </w:pPr>
      <w:r>
        <w:t>Summary of stakeholder feedback</w:t>
      </w:r>
      <w:r>
        <w:tab/>
      </w:r>
      <w:r>
        <w:fldChar w:fldCharType="begin"/>
      </w:r>
      <w:r>
        <w:instrText xml:space="preserve"> PAGEREF _Toc80694362 \h </w:instrText>
      </w:r>
      <w:r>
        <w:fldChar w:fldCharType="separate"/>
      </w:r>
      <w:r>
        <w:t>3</w:t>
      </w:r>
      <w:r>
        <w:fldChar w:fldCharType="end"/>
      </w:r>
    </w:p>
    <w:p w14:paraId="07204219" w14:textId="12E6972C" w:rsidR="004A2D34" w:rsidRDefault="004A2D34">
      <w:pPr>
        <w:pStyle w:val="TOC1"/>
        <w:rPr>
          <w:rFonts w:asciiTheme="minorHAnsi" w:eastAsiaTheme="minorEastAsia" w:hAnsiTheme="minorHAnsi" w:cstheme="minorBidi"/>
          <w:b w:val="0"/>
          <w:bCs w:val="0"/>
          <w:lang w:eastAsia="en-GB"/>
        </w:rPr>
      </w:pPr>
      <w:r>
        <w:t>Considerations for implementing SIRS for in-home services</w:t>
      </w:r>
      <w:r>
        <w:tab/>
      </w:r>
      <w:r>
        <w:fldChar w:fldCharType="begin"/>
      </w:r>
      <w:r>
        <w:instrText xml:space="preserve"> PAGEREF _Toc80694363 \h </w:instrText>
      </w:r>
      <w:r>
        <w:fldChar w:fldCharType="separate"/>
      </w:r>
      <w:r>
        <w:t>4</w:t>
      </w:r>
      <w:r>
        <w:fldChar w:fldCharType="end"/>
      </w:r>
    </w:p>
    <w:p w14:paraId="7B947120" w14:textId="317EA46D" w:rsidR="004A2D34" w:rsidRDefault="004A2D34">
      <w:pPr>
        <w:pStyle w:val="TOC1"/>
        <w:rPr>
          <w:rFonts w:asciiTheme="minorHAnsi" w:eastAsiaTheme="minorEastAsia" w:hAnsiTheme="minorHAnsi" w:cstheme="minorBidi"/>
          <w:b w:val="0"/>
          <w:bCs w:val="0"/>
          <w:lang w:eastAsia="en-GB"/>
        </w:rPr>
      </w:pPr>
      <w:r>
        <w:t>Managing and preventing incidents</w:t>
      </w:r>
      <w:r>
        <w:tab/>
      </w:r>
      <w:r>
        <w:fldChar w:fldCharType="begin"/>
      </w:r>
      <w:r>
        <w:instrText xml:space="preserve"> PAGEREF _Toc80694364 \h </w:instrText>
      </w:r>
      <w:r>
        <w:fldChar w:fldCharType="separate"/>
      </w:r>
      <w:r>
        <w:t>5</w:t>
      </w:r>
      <w:r>
        <w:fldChar w:fldCharType="end"/>
      </w:r>
    </w:p>
    <w:p w14:paraId="08C4D3BC" w14:textId="48461D37" w:rsidR="004A2D34" w:rsidRDefault="004A2D34">
      <w:pPr>
        <w:pStyle w:val="TOC2"/>
        <w:rPr>
          <w:rFonts w:asciiTheme="minorHAnsi" w:eastAsiaTheme="minorEastAsia" w:hAnsiTheme="minorHAnsi" w:cstheme="minorBidi"/>
          <w:b/>
          <w:bCs w:val="0"/>
          <w:sz w:val="24"/>
          <w:szCs w:val="24"/>
          <w:lang w:eastAsia="en-GB"/>
        </w:rPr>
      </w:pPr>
      <w:r>
        <w:t>Incident management requirements</w:t>
      </w:r>
      <w:r>
        <w:tab/>
      </w:r>
      <w:r>
        <w:fldChar w:fldCharType="begin"/>
      </w:r>
      <w:r>
        <w:instrText xml:space="preserve"> PAGEREF _Toc80694365 \h </w:instrText>
      </w:r>
      <w:r>
        <w:fldChar w:fldCharType="separate"/>
      </w:r>
      <w:r>
        <w:t>5</w:t>
      </w:r>
      <w:r>
        <w:fldChar w:fldCharType="end"/>
      </w:r>
    </w:p>
    <w:p w14:paraId="01FB9790" w14:textId="32C290E9" w:rsidR="004A2D34" w:rsidRDefault="004A2D34">
      <w:pPr>
        <w:pStyle w:val="TOC2"/>
        <w:rPr>
          <w:rFonts w:asciiTheme="minorHAnsi" w:eastAsiaTheme="minorEastAsia" w:hAnsiTheme="minorHAnsi" w:cstheme="minorBidi"/>
          <w:b/>
          <w:bCs w:val="0"/>
          <w:sz w:val="24"/>
          <w:szCs w:val="24"/>
          <w:lang w:eastAsia="en-GB"/>
        </w:rPr>
      </w:pPr>
      <w:r>
        <w:t>Scope of incidents</w:t>
      </w:r>
      <w:r>
        <w:tab/>
      </w:r>
      <w:r>
        <w:fldChar w:fldCharType="begin"/>
      </w:r>
      <w:r>
        <w:instrText xml:space="preserve"> PAGEREF _Toc80694366 \h </w:instrText>
      </w:r>
      <w:r>
        <w:fldChar w:fldCharType="separate"/>
      </w:r>
      <w:r>
        <w:t>6</w:t>
      </w:r>
      <w:r>
        <w:fldChar w:fldCharType="end"/>
      </w:r>
    </w:p>
    <w:p w14:paraId="2BF20EA2" w14:textId="5AFE823F" w:rsidR="004A2D34" w:rsidRDefault="004A2D34">
      <w:pPr>
        <w:pStyle w:val="TOC1"/>
        <w:rPr>
          <w:rFonts w:asciiTheme="minorHAnsi" w:eastAsiaTheme="minorEastAsia" w:hAnsiTheme="minorHAnsi" w:cstheme="minorBidi"/>
          <w:b w:val="0"/>
          <w:bCs w:val="0"/>
          <w:lang w:eastAsia="en-GB"/>
        </w:rPr>
      </w:pPr>
      <w:r>
        <w:t>Notifying police and others of incidents</w:t>
      </w:r>
      <w:r>
        <w:tab/>
      </w:r>
      <w:r>
        <w:fldChar w:fldCharType="begin"/>
      </w:r>
      <w:r>
        <w:instrText xml:space="preserve"> PAGEREF _Toc80694367 \h </w:instrText>
      </w:r>
      <w:r>
        <w:fldChar w:fldCharType="separate"/>
      </w:r>
      <w:r>
        <w:t>8</w:t>
      </w:r>
      <w:r>
        <w:fldChar w:fldCharType="end"/>
      </w:r>
    </w:p>
    <w:p w14:paraId="002833DA" w14:textId="31014CF0" w:rsidR="004A2D34" w:rsidRDefault="004A2D34">
      <w:pPr>
        <w:pStyle w:val="TOC2"/>
        <w:rPr>
          <w:rFonts w:asciiTheme="minorHAnsi" w:eastAsiaTheme="minorEastAsia" w:hAnsiTheme="minorHAnsi" w:cstheme="minorBidi"/>
          <w:b/>
          <w:bCs w:val="0"/>
          <w:sz w:val="24"/>
          <w:szCs w:val="24"/>
          <w:lang w:eastAsia="en-GB"/>
        </w:rPr>
      </w:pPr>
      <w:r>
        <w:t>Consumer role in reporting</w:t>
      </w:r>
      <w:r>
        <w:tab/>
      </w:r>
      <w:r>
        <w:fldChar w:fldCharType="begin"/>
      </w:r>
      <w:r>
        <w:instrText xml:space="preserve"> PAGEREF _Toc80694368 \h </w:instrText>
      </w:r>
      <w:r>
        <w:fldChar w:fldCharType="separate"/>
      </w:r>
      <w:r>
        <w:t>8</w:t>
      </w:r>
      <w:r>
        <w:fldChar w:fldCharType="end"/>
      </w:r>
    </w:p>
    <w:p w14:paraId="2159D1E4" w14:textId="349C3C58" w:rsidR="004A2D34" w:rsidRDefault="004A2D34">
      <w:pPr>
        <w:pStyle w:val="TOC2"/>
        <w:rPr>
          <w:rFonts w:asciiTheme="minorHAnsi" w:eastAsiaTheme="minorEastAsia" w:hAnsiTheme="minorHAnsi" w:cstheme="minorBidi"/>
          <w:b/>
          <w:bCs w:val="0"/>
          <w:sz w:val="24"/>
          <w:szCs w:val="24"/>
          <w:lang w:eastAsia="en-GB"/>
        </w:rPr>
      </w:pPr>
      <w:r>
        <w:t>Consumer consent</w:t>
      </w:r>
      <w:r>
        <w:tab/>
      </w:r>
      <w:r>
        <w:fldChar w:fldCharType="begin"/>
      </w:r>
      <w:r>
        <w:instrText xml:space="preserve"> PAGEREF _Toc80694369 \h </w:instrText>
      </w:r>
      <w:r>
        <w:fldChar w:fldCharType="separate"/>
      </w:r>
      <w:r>
        <w:t>8</w:t>
      </w:r>
      <w:r>
        <w:fldChar w:fldCharType="end"/>
      </w:r>
    </w:p>
    <w:p w14:paraId="0DD5EB4E" w14:textId="04450C45" w:rsidR="004A2D34" w:rsidRDefault="004A2D34">
      <w:pPr>
        <w:pStyle w:val="TOC1"/>
        <w:rPr>
          <w:rFonts w:asciiTheme="minorHAnsi" w:eastAsiaTheme="minorEastAsia" w:hAnsiTheme="minorHAnsi" w:cstheme="minorBidi"/>
          <w:b w:val="0"/>
          <w:bCs w:val="0"/>
          <w:lang w:eastAsia="en-GB"/>
        </w:rPr>
      </w:pPr>
      <w:r>
        <w:t>Notifying the Commission of reportable incidents</w:t>
      </w:r>
      <w:r>
        <w:tab/>
      </w:r>
      <w:r>
        <w:fldChar w:fldCharType="begin"/>
      </w:r>
      <w:r>
        <w:instrText xml:space="preserve"> PAGEREF _Toc80694370 \h </w:instrText>
      </w:r>
      <w:r>
        <w:fldChar w:fldCharType="separate"/>
      </w:r>
      <w:r>
        <w:t>10</w:t>
      </w:r>
      <w:r>
        <w:fldChar w:fldCharType="end"/>
      </w:r>
    </w:p>
    <w:p w14:paraId="62B0B82C" w14:textId="63E9EA57" w:rsidR="004A2D34" w:rsidRDefault="004A2D34">
      <w:pPr>
        <w:pStyle w:val="TOC2"/>
        <w:rPr>
          <w:rFonts w:asciiTheme="minorHAnsi" w:eastAsiaTheme="minorEastAsia" w:hAnsiTheme="minorHAnsi" w:cstheme="minorBidi"/>
          <w:b/>
          <w:bCs w:val="0"/>
          <w:sz w:val="24"/>
          <w:szCs w:val="24"/>
          <w:lang w:eastAsia="en-GB"/>
        </w:rPr>
      </w:pPr>
      <w:r>
        <w:t>Multiple providers</w:t>
      </w:r>
      <w:r>
        <w:tab/>
      </w:r>
      <w:r>
        <w:fldChar w:fldCharType="begin"/>
      </w:r>
      <w:r>
        <w:instrText xml:space="preserve"> PAGEREF _Toc80694371 \h </w:instrText>
      </w:r>
      <w:r>
        <w:fldChar w:fldCharType="separate"/>
      </w:r>
      <w:r>
        <w:t>10</w:t>
      </w:r>
      <w:r>
        <w:fldChar w:fldCharType="end"/>
      </w:r>
    </w:p>
    <w:p w14:paraId="3096499A" w14:textId="53C4E8FB" w:rsidR="004A2D34" w:rsidRDefault="004A2D34">
      <w:pPr>
        <w:pStyle w:val="TOC1"/>
        <w:rPr>
          <w:rFonts w:asciiTheme="minorHAnsi" w:eastAsiaTheme="minorEastAsia" w:hAnsiTheme="minorHAnsi" w:cstheme="minorBidi"/>
          <w:b w:val="0"/>
          <w:bCs w:val="0"/>
          <w:lang w:eastAsia="en-GB"/>
        </w:rPr>
      </w:pPr>
      <w:r>
        <w:t>Scope of reportable incidents</w:t>
      </w:r>
      <w:r>
        <w:tab/>
      </w:r>
      <w:r>
        <w:fldChar w:fldCharType="begin"/>
      </w:r>
      <w:r>
        <w:instrText xml:space="preserve"> PAGEREF _Toc80694372 \h </w:instrText>
      </w:r>
      <w:r>
        <w:fldChar w:fldCharType="separate"/>
      </w:r>
      <w:r>
        <w:t>12</w:t>
      </w:r>
      <w:r>
        <w:fldChar w:fldCharType="end"/>
      </w:r>
    </w:p>
    <w:p w14:paraId="109255B7" w14:textId="4EBA4B82" w:rsidR="004A2D34" w:rsidRDefault="004A2D34">
      <w:pPr>
        <w:pStyle w:val="TOC2"/>
        <w:rPr>
          <w:rFonts w:asciiTheme="minorHAnsi" w:eastAsiaTheme="minorEastAsia" w:hAnsiTheme="minorHAnsi" w:cstheme="minorBidi"/>
          <w:b/>
          <w:bCs w:val="0"/>
          <w:sz w:val="24"/>
          <w:szCs w:val="24"/>
          <w:lang w:eastAsia="en-GB"/>
        </w:rPr>
      </w:pPr>
      <w:r>
        <w:t>Reportable incidents</w:t>
      </w:r>
      <w:r>
        <w:tab/>
      </w:r>
      <w:r>
        <w:fldChar w:fldCharType="begin"/>
      </w:r>
      <w:r>
        <w:instrText xml:space="preserve"> PAGEREF _Toc80694373 \h </w:instrText>
      </w:r>
      <w:r>
        <w:fldChar w:fldCharType="separate"/>
      </w:r>
      <w:r>
        <w:t>12</w:t>
      </w:r>
      <w:r>
        <w:fldChar w:fldCharType="end"/>
      </w:r>
    </w:p>
    <w:p w14:paraId="58EF0CDE" w14:textId="3272E6CC" w:rsidR="004A2D34" w:rsidRDefault="004A2D34">
      <w:pPr>
        <w:pStyle w:val="TOC2"/>
        <w:rPr>
          <w:rFonts w:asciiTheme="minorHAnsi" w:eastAsiaTheme="minorEastAsia" w:hAnsiTheme="minorHAnsi" w:cstheme="minorBidi"/>
          <w:b/>
          <w:bCs w:val="0"/>
          <w:sz w:val="24"/>
          <w:szCs w:val="24"/>
          <w:lang w:eastAsia="en-GB"/>
        </w:rPr>
      </w:pPr>
      <w:r>
        <w:t>Unreasonable use of force</w:t>
      </w:r>
      <w:r>
        <w:tab/>
      </w:r>
      <w:r>
        <w:fldChar w:fldCharType="begin"/>
      </w:r>
      <w:r>
        <w:instrText xml:space="preserve"> PAGEREF _Toc80694374 \h </w:instrText>
      </w:r>
      <w:r>
        <w:fldChar w:fldCharType="separate"/>
      </w:r>
      <w:r>
        <w:t>12</w:t>
      </w:r>
      <w:r>
        <w:fldChar w:fldCharType="end"/>
      </w:r>
    </w:p>
    <w:p w14:paraId="65CD941C" w14:textId="674E787E" w:rsidR="004A2D34" w:rsidRDefault="004A2D34">
      <w:pPr>
        <w:pStyle w:val="TOC2"/>
        <w:rPr>
          <w:rFonts w:asciiTheme="minorHAnsi" w:eastAsiaTheme="minorEastAsia" w:hAnsiTheme="minorHAnsi" w:cstheme="minorBidi"/>
          <w:b/>
          <w:bCs w:val="0"/>
          <w:sz w:val="24"/>
          <w:szCs w:val="24"/>
          <w:lang w:eastAsia="en-GB"/>
        </w:rPr>
      </w:pPr>
      <w:r>
        <w:t>Unlawful sexual contact or inappropriate sexual conduct</w:t>
      </w:r>
      <w:r>
        <w:tab/>
      </w:r>
      <w:r>
        <w:fldChar w:fldCharType="begin"/>
      </w:r>
      <w:r>
        <w:instrText xml:space="preserve"> PAGEREF _Toc80694375 \h </w:instrText>
      </w:r>
      <w:r>
        <w:fldChar w:fldCharType="separate"/>
      </w:r>
      <w:r>
        <w:t>13</w:t>
      </w:r>
      <w:r>
        <w:fldChar w:fldCharType="end"/>
      </w:r>
    </w:p>
    <w:p w14:paraId="1AB7F2DB" w14:textId="1D7A58A6" w:rsidR="004A2D34" w:rsidRDefault="004A2D34">
      <w:pPr>
        <w:pStyle w:val="TOC2"/>
        <w:rPr>
          <w:rFonts w:asciiTheme="minorHAnsi" w:eastAsiaTheme="minorEastAsia" w:hAnsiTheme="minorHAnsi" w:cstheme="minorBidi"/>
          <w:b/>
          <w:bCs w:val="0"/>
          <w:sz w:val="24"/>
          <w:szCs w:val="24"/>
          <w:lang w:eastAsia="en-GB"/>
        </w:rPr>
      </w:pPr>
      <w:r>
        <w:t>Psychological or emotional abuse</w:t>
      </w:r>
      <w:r>
        <w:tab/>
      </w:r>
      <w:r>
        <w:fldChar w:fldCharType="begin"/>
      </w:r>
      <w:r>
        <w:instrText xml:space="preserve"> PAGEREF _Toc80694376 \h </w:instrText>
      </w:r>
      <w:r>
        <w:fldChar w:fldCharType="separate"/>
      </w:r>
      <w:r>
        <w:t>13</w:t>
      </w:r>
      <w:r>
        <w:fldChar w:fldCharType="end"/>
      </w:r>
    </w:p>
    <w:p w14:paraId="1DEC78A1" w14:textId="662C066E" w:rsidR="004A2D34" w:rsidRDefault="004A2D34">
      <w:pPr>
        <w:pStyle w:val="TOC2"/>
        <w:rPr>
          <w:rFonts w:asciiTheme="minorHAnsi" w:eastAsiaTheme="minorEastAsia" w:hAnsiTheme="minorHAnsi" w:cstheme="minorBidi"/>
          <w:b/>
          <w:bCs w:val="0"/>
          <w:sz w:val="24"/>
          <w:szCs w:val="24"/>
          <w:lang w:eastAsia="en-GB"/>
        </w:rPr>
      </w:pPr>
      <w:r>
        <w:t>Unexpected death</w:t>
      </w:r>
      <w:r>
        <w:tab/>
      </w:r>
      <w:r>
        <w:fldChar w:fldCharType="begin"/>
      </w:r>
      <w:r>
        <w:instrText xml:space="preserve"> PAGEREF _Toc80694377 \h </w:instrText>
      </w:r>
      <w:r>
        <w:fldChar w:fldCharType="separate"/>
      </w:r>
      <w:r>
        <w:t>14</w:t>
      </w:r>
      <w:r>
        <w:fldChar w:fldCharType="end"/>
      </w:r>
    </w:p>
    <w:p w14:paraId="13DC6D64" w14:textId="3F5ADBE5" w:rsidR="004A2D34" w:rsidRDefault="004A2D34">
      <w:pPr>
        <w:pStyle w:val="TOC2"/>
        <w:rPr>
          <w:rFonts w:asciiTheme="minorHAnsi" w:eastAsiaTheme="minorEastAsia" w:hAnsiTheme="minorHAnsi" w:cstheme="minorBidi"/>
          <w:b/>
          <w:bCs w:val="0"/>
          <w:sz w:val="24"/>
          <w:szCs w:val="24"/>
          <w:lang w:eastAsia="en-GB"/>
        </w:rPr>
      </w:pPr>
      <w:r>
        <w:t>Stealing or financial coercion by a staff member</w:t>
      </w:r>
      <w:r>
        <w:tab/>
      </w:r>
      <w:r>
        <w:fldChar w:fldCharType="begin"/>
      </w:r>
      <w:r>
        <w:instrText xml:space="preserve"> PAGEREF _Toc80694378 \h </w:instrText>
      </w:r>
      <w:r>
        <w:fldChar w:fldCharType="separate"/>
      </w:r>
      <w:r>
        <w:t>16</w:t>
      </w:r>
      <w:r>
        <w:fldChar w:fldCharType="end"/>
      </w:r>
    </w:p>
    <w:p w14:paraId="0A5D51F3" w14:textId="13C7AA5A" w:rsidR="004A2D34" w:rsidRDefault="004A2D34">
      <w:pPr>
        <w:pStyle w:val="TOC2"/>
        <w:rPr>
          <w:rFonts w:asciiTheme="minorHAnsi" w:eastAsiaTheme="minorEastAsia" w:hAnsiTheme="minorHAnsi" w:cstheme="minorBidi"/>
          <w:b/>
          <w:bCs w:val="0"/>
          <w:sz w:val="24"/>
          <w:szCs w:val="24"/>
          <w:lang w:eastAsia="en-GB"/>
        </w:rPr>
      </w:pPr>
      <w:r>
        <w:t>Neglect</w:t>
      </w:r>
      <w:r>
        <w:tab/>
      </w:r>
      <w:r>
        <w:fldChar w:fldCharType="begin"/>
      </w:r>
      <w:r>
        <w:instrText xml:space="preserve"> PAGEREF _Toc80694379 \h </w:instrText>
      </w:r>
      <w:r>
        <w:fldChar w:fldCharType="separate"/>
      </w:r>
      <w:r>
        <w:t>16</w:t>
      </w:r>
      <w:r>
        <w:fldChar w:fldCharType="end"/>
      </w:r>
    </w:p>
    <w:p w14:paraId="391D88BB" w14:textId="60950264" w:rsidR="004A2D34" w:rsidRDefault="004A2D34">
      <w:pPr>
        <w:pStyle w:val="TOC2"/>
        <w:rPr>
          <w:rFonts w:asciiTheme="minorHAnsi" w:eastAsiaTheme="minorEastAsia" w:hAnsiTheme="minorHAnsi" w:cstheme="minorBidi"/>
          <w:b/>
          <w:bCs w:val="0"/>
          <w:sz w:val="24"/>
          <w:szCs w:val="24"/>
          <w:lang w:eastAsia="en-GB"/>
        </w:rPr>
      </w:pPr>
      <w:r>
        <w:t>Inappropriate use of restrictive practices</w:t>
      </w:r>
      <w:r>
        <w:tab/>
      </w:r>
      <w:r>
        <w:fldChar w:fldCharType="begin"/>
      </w:r>
      <w:r>
        <w:instrText xml:space="preserve"> PAGEREF _Toc80694380 \h </w:instrText>
      </w:r>
      <w:r>
        <w:fldChar w:fldCharType="separate"/>
      </w:r>
      <w:r>
        <w:t>18</w:t>
      </w:r>
      <w:r>
        <w:fldChar w:fldCharType="end"/>
      </w:r>
    </w:p>
    <w:p w14:paraId="3D134347" w14:textId="2CE738E3" w:rsidR="004A2D34" w:rsidRDefault="004A2D34">
      <w:pPr>
        <w:pStyle w:val="TOC2"/>
        <w:rPr>
          <w:rFonts w:asciiTheme="minorHAnsi" w:eastAsiaTheme="minorEastAsia" w:hAnsiTheme="minorHAnsi" w:cstheme="minorBidi"/>
          <w:b/>
          <w:bCs w:val="0"/>
          <w:sz w:val="24"/>
          <w:szCs w:val="24"/>
          <w:lang w:eastAsia="en-GB"/>
        </w:rPr>
      </w:pPr>
      <w:r>
        <w:t>Unexplained absence</w:t>
      </w:r>
      <w:r>
        <w:tab/>
      </w:r>
      <w:r>
        <w:fldChar w:fldCharType="begin"/>
      </w:r>
      <w:r>
        <w:instrText xml:space="preserve"> PAGEREF _Toc80694381 \h </w:instrText>
      </w:r>
      <w:r>
        <w:fldChar w:fldCharType="separate"/>
      </w:r>
      <w:r>
        <w:t>19</w:t>
      </w:r>
      <w:r>
        <w:fldChar w:fldCharType="end"/>
      </w:r>
    </w:p>
    <w:p w14:paraId="2708D05D" w14:textId="0200313C" w:rsidR="004A2D34" w:rsidRDefault="004A2D34">
      <w:pPr>
        <w:pStyle w:val="TOC1"/>
        <w:rPr>
          <w:rFonts w:asciiTheme="minorHAnsi" w:eastAsiaTheme="minorEastAsia" w:hAnsiTheme="minorHAnsi" w:cstheme="minorBidi"/>
          <w:b w:val="0"/>
          <w:bCs w:val="0"/>
          <w:lang w:eastAsia="en-GB"/>
        </w:rPr>
      </w:pPr>
      <w:r>
        <w:t>Notification timeframes and priority categories</w:t>
      </w:r>
      <w:r>
        <w:tab/>
      </w:r>
      <w:r>
        <w:fldChar w:fldCharType="begin"/>
      </w:r>
      <w:r>
        <w:instrText xml:space="preserve"> PAGEREF _Toc80694382 \h </w:instrText>
      </w:r>
      <w:r>
        <w:fldChar w:fldCharType="separate"/>
      </w:r>
      <w:r>
        <w:t>21</w:t>
      </w:r>
      <w:r>
        <w:fldChar w:fldCharType="end"/>
      </w:r>
    </w:p>
    <w:p w14:paraId="182E43E6" w14:textId="0F08C96D" w:rsidR="004A2D34" w:rsidRDefault="004A2D34">
      <w:pPr>
        <w:pStyle w:val="TOC1"/>
        <w:rPr>
          <w:rFonts w:asciiTheme="minorHAnsi" w:eastAsiaTheme="minorEastAsia" w:hAnsiTheme="minorHAnsi" w:cstheme="minorBidi"/>
          <w:b w:val="0"/>
          <w:bCs w:val="0"/>
          <w:lang w:eastAsia="en-GB"/>
        </w:rPr>
      </w:pPr>
      <w:r>
        <w:t>Other considerations</w:t>
      </w:r>
      <w:r>
        <w:tab/>
      </w:r>
      <w:r>
        <w:fldChar w:fldCharType="begin"/>
      </w:r>
      <w:r>
        <w:instrText xml:space="preserve"> PAGEREF _Toc80694383 \h </w:instrText>
      </w:r>
      <w:r>
        <w:fldChar w:fldCharType="separate"/>
      </w:r>
      <w:r>
        <w:t>23</w:t>
      </w:r>
      <w:r>
        <w:fldChar w:fldCharType="end"/>
      </w:r>
    </w:p>
    <w:p w14:paraId="41EF864D" w14:textId="3426B5C2" w:rsidR="004A2D34" w:rsidRDefault="004A2D34">
      <w:pPr>
        <w:pStyle w:val="TOC2"/>
        <w:rPr>
          <w:rFonts w:asciiTheme="minorHAnsi" w:eastAsiaTheme="minorEastAsia" w:hAnsiTheme="minorHAnsi" w:cstheme="minorBidi"/>
          <w:b/>
          <w:bCs w:val="0"/>
          <w:sz w:val="24"/>
          <w:szCs w:val="24"/>
          <w:lang w:eastAsia="en-GB"/>
        </w:rPr>
      </w:pPr>
      <w:r>
        <w:t>SIRS for residential services</w:t>
      </w:r>
      <w:r>
        <w:tab/>
      </w:r>
      <w:r>
        <w:fldChar w:fldCharType="begin"/>
      </w:r>
      <w:r>
        <w:instrText xml:space="preserve"> PAGEREF _Toc80694384 \h </w:instrText>
      </w:r>
      <w:r>
        <w:fldChar w:fldCharType="separate"/>
      </w:r>
      <w:r>
        <w:t>23</w:t>
      </w:r>
      <w:r>
        <w:fldChar w:fldCharType="end"/>
      </w:r>
    </w:p>
    <w:p w14:paraId="1D001735" w14:textId="1F3B8245" w:rsidR="004A2D34" w:rsidRDefault="004A2D34">
      <w:pPr>
        <w:pStyle w:val="TOC2"/>
        <w:rPr>
          <w:rFonts w:asciiTheme="minorHAnsi" w:eastAsiaTheme="minorEastAsia" w:hAnsiTheme="minorHAnsi" w:cstheme="minorBidi"/>
          <w:b/>
          <w:bCs w:val="0"/>
          <w:sz w:val="24"/>
          <w:szCs w:val="24"/>
          <w:lang w:eastAsia="en-GB"/>
        </w:rPr>
      </w:pPr>
      <w:r>
        <w:t>Support for providers</w:t>
      </w:r>
      <w:r>
        <w:tab/>
      </w:r>
      <w:r>
        <w:fldChar w:fldCharType="begin"/>
      </w:r>
      <w:r>
        <w:instrText xml:space="preserve"> PAGEREF _Toc80694385 \h </w:instrText>
      </w:r>
      <w:r>
        <w:fldChar w:fldCharType="separate"/>
      </w:r>
      <w:r>
        <w:t>23</w:t>
      </w:r>
      <w:r>
        <w:fldChar w:fldCharType="end"/>
      </w:r>
    </w:p>
    <w:p w14:paraId="278720ED" w14:textId="13710AF4" w:rsidR="004A2D34" w:rsidRDefault="004A2D34">
      <w:pPr>
        <w:pStyle w:val="TOC2"/>
        <w:rPr>
          <w:rFonts w:asciiTheme="minorHAnsi" w:eastAsiaTheme="minorEastAsia" w:hAnsiTheme="minorHAnsi" w:cstheme="minorBidi"/>
          <w:b/>
          <w:bCs w:val="0"/>
          <w:sz w:val="24"/>
          <w:szCs w:val="24"/>
          <w:lang w:eastAsia="en-GB"/>
        </w:rPr>
      </w:pPr>
      <w:r>
        <w:t>Role of the Commission</w:t>
      </w:r>
      <w:r>
        <w:tab/>
      </w:r>
      <w:r>
        <w:fldChar w:fldCharType="begin"/>
      </w:r>
      <w:r>
        <w:instrText xml:space="preserve"> PAGEREF _Toc80694386 \h </w:instrText>
      </w:r>
      <w:r>
        <w:fldChar w:fldCharType="separate"/>
      </w:r>
      <w:r>
        <w:t>24</w:t>
      </w:r>
      <w:r>
        <w:fldChar w:fldCharType="end"/>
      </w:r>
    </w:p>
    <w:p w14:paraId="0606E151" w14:textId="48188928" w:rsidR="004A2D34" w:rsidRDefault="004A2D34">
      <w:pPr>
        <w:pStyle w:val="TOC1"/>
        <w:rPr>
          <w:rFonts w:asciiTheme="minorHAnsi" w:eastAsiaTheme="minorEastAsia" w:hAnsiTheme="minorHAnsi" w:cstheme="minorBidi"/>
          <w:b w:val="0"/>
          <w:bCs w:val="0"/>
          <w:lang w:eastAsia="en-GB"/>
        </w:rPr>
      </w:pPr>
      <w:r>
        <w:t>Next Steps</w:t>
      </w:r>
      <w:r>
        <w:tab/>
      </w:r>
      <w:r>
        <w:fldChar w:fldCharType="begin"/>
      </w:r>
      <w:r>
        <w:instrText xml:space="preserve"> PAGEREF _Toc80694387 \h </w:instrText>
      </w:r>
      <w:r>
        <w:fldChar w:fldCharType="separate"/>
      </w:r>
      <w:r>
        <w:t>25</w:t>
      </w:r>
      <w:r>
        <w:fldChar w:fldCharType="end"/>
      </w:r>
    </w:p>
    <w:p w14:paraId="50FEA343" w14:textId="45F4777C" w:rsidR="004A2D34" w:rsidRDefault="004A2D34">
      <w:pPr>
        <w:pStyle w:val="TOC1"/>
        <w:rPr>
          <w:rFonts w:asciiTheme="minorHAnsi" w:eastAsiaTheme="minorEastAsia" w:hAnsiTheme="minorHAnsi" w:cstheme="minorBidi"/>
          <w:b w:val="0"/>
          <w:bCs w:val="0"/>
          <w:lang w:eastAsia="en-GB"/>
        </w:rPr>
      </w:pPr>
      <w:r>
        <w:t>Attachment A: Profile of stakeholders responding to the survey</w:t>
      </w:r>
      <w:r>
        <w:tab/>
      </w:r>
      <w:r>
        <w:fldChar w:fldCharType="begin"/>
      </w:r>
      <w:r>
        <w:instrText xml:space="preserve"> PAGEREF _Toc80694388 \h </w:instrText>
      </w:r>
      <w:r>
        <w:fldChar w:fldCharType="separate"/>
      </w:r>
      <w:r>
        <w:t>26</w:t>
      </w:r>
      <w:r>
        <w:fldChar w:fldCharType="end"/>
      </w:r>
    </w:p>
    <w:p w14:paraId="53CA1C14" w14:textId="44D13918" w:rsidR="004A2D34" w:rsidRDefault="004A2D34">
      <w:pPr>
        <w:pStyle w:val="TOC1"/>
        <w:rPr>
          <w:rFonts w:asciiTheme="minorHAnsi" w:eastAsiaTheme="minorEastAsia" w:hAnsiTheme="minorHAnsi" w:cstheme="minorBidi"/>
          <w:b w:val="0"/>
          <w:bCs w:val="0"/>
          <w:lang w:eastAsia="en-GB"/>
        </w:rPr>
      </w:pPr>
      <w:r>
        <w:t>Glossary</w:t>
      </w:r>
      <w:r>
        <w:tab/>
      </w:r>
      <w:r>
        <w:fldChar w:fldCharType="begin"/>
      </w:r>
      <w:r>
        <w:instrText xml:space="preserve"> PAGEREF _Toc80694389 \h </w:instrText>
      </w:r>
      <w:r>
        <w:fldChar w:fldCharType="separate"/>
      </w:r>
      <w:r>
        <w:t>29</w:t>
      </w:r>
      <w:r>
        <w:fldChar w:fldCharType="end"/>
      </w:r>
    </w:p>
    <w:p w14:paraId="2BF109F4" w14:textId="0BA403D6" w:rsidR="001B35BF" w:rsidRPr="00AD6A09" w:rsidRDefault="001B35BF" w:rsidP="00E14444">
      <w:pPr>
        <w:rPr>
          <w:rFonts w:cs="Arial"/>
        </w:rPr>
      </w:pPr>
      <w:r w:rsidRPr="00AD6A09">
        <w:rPr>
          <w:rFonts w:cs="Arial"/>
        </w:rPr>
        <w:fldChar w:fldCharType="end"/>
      </w:r>
    </w:p>
    <w:p w14:paraId="1F88642B" w14:textId="1D505609" w:rsidR="00ED4162" w:rsidRPr="00AD6A09" w:rsidRDefault="00ED4162" w:rsidP="00E14444">
      <w:pPr>
        <w:rPr>
          <w:rFonts w:cs="Arial"/>
        </w:rPr>
      </w:pPr>
    </w:p>
    <w:p w14:paraId="4B452F2B" w14:textId="77777777" w:rsidR="00CF14A6" w:rsidRPr="001B4766" w:rsidRDefault="00CF14A6" w:rsidP="00E14444">
      <w:pPr>
        <w:sectPr w:rsidR="00CF14A6" w:rsidRPr="001B4766" w:rsidSect="00CF14A6">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709" w:gutter="0"/>
          <w:pgNumType w:fmt="lowerRoman"/>
          <w:cols w:space="708"/>
          <w:docGrid w:linePitch="360"/>
        </w:sectPr>
      </w:pPr>
    </w:p>
    <w:p w14:paraId="79A932E4" w14:textId="16EF48AB" w:rsidR="00CF14A6" w:rsidRPr="001B4766" w:rsidRDefault="00E00591" w:rsidP="0048323A">
      <w:pPr>
        <w:pStyle w:val="Heading1"/>
      </w:pPr>
      <w:bookmarkStart w:id="7" w:name="_Toc77848142"/>
      <w:bookmarkStart w:id="8" w:name="_Toc80694359"/>
      <w:r w:rsidRPr="001B4766">
        <w:lastRenderedPageBreak/>
        <w:t>Background</w:t>
      </w:r>
      <w:bookmarkEnd w:id="7"/>
      <w:bookmarkEnd w:id="8"/>
    </w:p>
    <w:p w14:paraId="7F576334" w14:textId="77777777" w:rsidR="0048323A" w:rsidRDefault="0048323A" w:rsidP="0048323A">
      <w:bookmarkStart w:id="9" w:name="_Toc77848143"/>
    </w:p>
    <w:p w14:paraId="68AA6E40" w14:textId="4BB524F3" w:rsidR="00CF14A6" w:rsidRPr="001B4766" w:rsidRDefault="00ED4162" w:rsidP="0048323A">
      <w:pPr>
        <w:pStyle w:val="Heading2"/>
      </w:pPr>
      <w:bookmarkStart w:id="10" w:name="_Toc80694360"/>
      <w:r w:rsidRPr="001B4766">
        <w:t xml:space="preserve">Purpose of </w:t>
      </w:r>
      <w:r w:rsidRPr="0048323A">
        <w:t>this</w:t>
      </w:r>
      <w:r w:rsidRPr="001B4766">
        <w:t xml:space="preserve"> report</w:t>
      </w:r>
      <w:bookmarkEnd w:id="9"/>
      <w:bookmarkEnd w:id="10"/>
    </w:p>
    <w:p w14:paraId="6C32FDB1" w14:textId="77777777" w:rsidR="00C80BD9" w:rsidRPr="001B4766" w:rsidRDefault="00C80BD9" w:rsidP="00E14444"/>
    <w:p w14:paraId="22921D33" w14:textId="2B33AEED" w:rsidR="00195EC4" w:rsidRDefault="00C80BD9" w:rsidP="00E14444">
      <w:r w:rsidRPr="001B4766">
        <w:t xml:space="preserve">The purpose of this report is to describe the key themes and findings from </w:t>
      </w:r>
      <w:r w:rsidR="00195EC4" w:rsidRPr="001B4766">
        <w:t>consultation</w:t>
      </w:r>
      <w:r w:rsidRPr="001B4766">
        <w:t xml:space="preserve"> with </w:t>
      </w:r>
      <w:r w:rsidR="00195EC4" w:rsidRPr="001B4766">
        <w:t xml:space="preserve">stakeholders </w:t>
      </w:r>
      <w:r w:rsidRPr="001B4766">
        <w:t xml:space="preserve">regarding the </w:t>
      </w:r>
      <w:r w:rsidR="00195EC4" w:rsidRPr="001B4766">
        <w:t>key elements</w:t>
      </w:r>
      <w:r w:rsidRPr="001B4766">
        <w:t xml:space="preserve"> of a Serious Incident Response Scheme </w:t>
      </w:r>
      <w:r w:rsidR="00195EC4" w:rsidRPr="001B4766">
        <w:t xml:space="preserve">(SIRS) </w:t>
      </w:r>
      <w:r w:rsidRPr="001B4766">
        <w:t>for Commonwealth funded in-home services.</w:t>
      </w:r>
    </w:p>
    <w:p w14:paraId="67E41EE1" w14:textId="35818750" w:rsidR="005669DE" w:rsidRDefault="005669DE" w:rsidP="00E14444"/>
    <w:p w14:paraId="7EF2911D" w14:textId="0CD64CA1" w:rsidR="005669DE" w:rsidRPr="00D71D55" w:rsidRDefault="005669DE" w:rsidP="00E14444">
      <w:r>
        <w:t>The outcomes of this consultation will further</w:t>
      </w:r>
      <w:r w:rsidRPr="00D71D55">
        <w:t xml:space="preserve"> inform advice to </w:t>
      </w:r>
      <w:r w:rsidR="00100053">
        <w:t xml:space="preserve">the Australian </w:t>
      </w:r>
      <w:r w:rsidRPr="00D71D55">
        <w:t>Government</w:t>
      </w:r>
      <w:r>
        <w:t xml:space="preserve"> on the development of the SIRS for in-home services,</w:t>
      </w:r>
      <w:r w:rsidRPr="00D71D55">
        <w:t xml:space="preserve"> including the </w:t>
      </w:r>
      <w:r>
        <w:t>requirements</w:t>
      </w:r>
      <w:r w:rsidRPr="00D71D55">
        <w:t xml:space="preserve"> </w:t>
      </w:r>
      <w:r>
        <w:t>of</w:t>
      </w:r>
      <w:r w:rsidRPr="00D71D55">
        <w:t xml:space="preserve"> the </w:t>
      </w:r>
      <w:r w:rsidR="00100053">
        <w:t>s</w:t>
      </w:r>
      <w:r w:rsidRPr="00D71D55">
        <w:t xml:space="preserve">cheme, </w:t>
      </w:r>
      <w:r>
        <w:t xml:space="preserve">alignment and differences between the SIRS for residential care (and reasons for any differences) and the matters to support the implementation of the </w:t>
      </w:r>
      <w:r w:rsidR="00100053">
        <w:t>s</w:t>
      </w:r>
      <w:r>
        <w:t>cheme</w:t>
      </w:r>
      <w:r w:rsidRPr="00D71D55">
        <w:t>.</w:t>
      </w:r>
    </w:p>
    <w:p w14:paraId="1CE63EEB" w14:textId="4D145ED8" w:rsidR="000C15B5" w:rsidRDefault="000C15B5" w:rsidP="00E14444"/>
    <w:p w14:paraId="62E87F6A" w14:textId="18ED4275" w:rsidR="000C15B5" w:rsidRDefault="000C15B5" w:rsidP="00E14444">
      <w:r w:rsidRPr="001B4766">
        <w:t>For the purposes of th</w:t>
      </w:r>
      <w:r>
        <w:t>e consultation</w:t>
      </w:r>
      <w:r w:rsidRPr="001B4766">
        <w:t>, in-home</w:t>
      </w:r>
      <w:r w:rsidR="00A831CD">
        <w:t xml:space="preserve"> </w:t>
      </w:r>
      <w:r w:rsidRPr="001B4766">
        <w:t>services refers to any Commonwealth funded aged care services delivered in the home or community and includes care delivered through home care packages, the Commonwealth Home Support Program</w:t>
      </w:r>
      <w:r w:rsidR="009E2F5E">
        <w:t>me</w:t>
      </w:r>
      <w:r w:rsidRPr="001B4766">
        <w:t xml:space="preserve"> (CHSP) and flexible care delivered in a home </w:t>
      </w:r>
      <w:r w:rsidR="002329A7">
        <w:t xml:space="preserve">or community </w:t>
      </w:r>
      <w:r w:rsidRPr="001B4766">
        <w:t xml:space="preserve">setting (including Multi-Purpose </w:t>
      </w:r>
      <w:r w:rsidR="009E2F5E">
        <w:t>S</w:t>
      </w:r>
      <w:r w:rsidRPr="001B4766">
        <w:t xml:space="preserve">ervices (MPS), </w:t>
      </w:r>
      <w:r w:rsidR="009E2F5E">
        <w:t>S</w:t>
      </w:r>
      <w:r w:rsidRPr="001B4766">
        <w:t xml:space="preserve">hort </w:t>
      </w:r>
      <w:r w:rsidR="009E2F5E">
        <w:t>T</w:t>
      </w:r>
      <w:r w:rsidRPr="001B4766">
        <w:t xml:space="preserve">erm </w:t>
      </w:r>
      <w:r w:rsidR="009E2F5E">
        <w:t>R</w:t>
      </w:r>
      <w:r w:rsidRPr="001B4766">
        <w:t xml:space="preserve">estorative </w:t>
      </w:r>
      <w:r w:rsidR="009E2F5E">
        <w:t>C</w:t>
      </w:r>
      <w:r w:rsidRPr="001B4766">
        <w:t xml:space="preserve">are (STRC), National Aboriginal and Torres Strait Islander Flexible Aged Care Program (NATSIFACP) and </w:t>
      </w:r>
      <w:r w:rsidR="009E2F5E">
        <w:t>the T</w:t>
      </w:r>
      <w:r w:rsidRPr="001B4766">
        <w:t xml:space="preserve">ransition </w:t>
      </w:r>
      <w:r w:rsidR="009E2F5E">
        <w:t>C</w:t>
      </w:r>
      <w:r w:rsidRPr="001B4766">
        <w:t xml:space="preserve">are </w:t>
      </w:r>
      <w:r w:rsidR="009E2F5E">
        <w:t>P</w:t>
      </w:r>
      <w:r w:rsidRPr="001B4766">
        <w:t xml:space="preserve">rogram (TCP). </w:t>
      </w:r>
    </w:p>
    <w:p w14:paraId="628E1A65" w14:textId="77777777" w:rsidR="0048323A" w:rsidRPr="001B4766" w:rsidRDefault="0048323A" w:rsidP="00E14444"/>
    <w:p w14:paraId="668B8ADE" w14:textId="52F2D615" w:rsidR="00ED4162" w:rsidRPr="001B4766" w:rsidRDefault="00822786" w:rsidP="0048323A">
      <w:pPr>
        <w:pStyle w:val="Heading2"/>
      </w:pPr>
      <w:bookmarkStart w:id="11" w:name="_Toc80694361"/>
      <w:r w:rsidRPr="001B4766">
        <w:t>Proposed model</w:t>
      </w:r>
      <w:bookmarkEnd w:id="11"/>
    </w:p>
    <w:p w14:paraId="4F60A795" w14:textId="77777777" w:rsidR="0048323A" w:rsidRDefault="0048323A" w:rsidP="00E14444">
      <w:pPr>
        <w:pStyle w:val="mpcNormal"/>
      </w:pPr>
    </w:p>
    <w:p w14:paraId="243222FE" w14:textId="674F4508" w:rsidR="00F2572E" w:rsidRPr="00E14444" w:rsidRDefault="00F2572E" w:rsidP="00E14444">
      <w:pPr>
        <w:pStyle w:val="mpcNormal"/>
      </w:pPr>
      <w:r w:rsidRPr="00E14444">
        <w:t xml:space="preserve">On </w:t>
      </w:r>
      <w:r w:rsidR="00EE781A">
        <w:t>12 July</w:t>
      </w:r>
      <w:r w:rsidRPr="00E14444">
        <w:t xml:space="preserve"> 2021, the </w:t>
      </w:r>
      <w:r w:rsidR="0048323A">
        <w:t xml:space="preserve">Department of Health (the </w:t>
      </w:r>
      <w:r w:rsidR="008C4207">
        <w:t>D</w:t>
      </w:r>
      <w:r w:rsidRPr="00E14444">
        <w:t>epartment</w:t>
      </w:r>
      <w:r w:rsidR="0048323A">
        <w:t xml:space="preserve">) </w:t>
      </w:r>
      <w:r w:rsidRPr="00E14444">
        <w:t xml:space="preserve">released an online consultation paper seeking public comment on the details of a SIRS for Commonwealth funded in-home services. Online consultation closed on </w:t>
      </w:r>
      <w:r w:rsidR="00E14444">
        <w:t>9 August</w:t>
      </w:r>
      <w:r w:rsidRPr="00E14444">
        <w:t xml:space="preserve"> 2021.</w:t>
      </w:r>
    </w:p>
    <w:p w14:paraId="688F78E6" w14:textId="77777777" w:rsidR="00E14444" w:rsidRDefault="00E14444" w:rsidP="00E14444"/>
    <w:p w14:paraId="2E304E85" w14:textId="254DC223" w:rsidR="00822786" w:rsidRDefault="00E80C1B" w:rsidP="00E14444">
      <w:r w:rsidRPr="00E14444">
        <w:t>As described in the</w:t>
      </w:r>
      <w:r w:rsidR="00822786" w:rsidRPr="00E14444">
        <w:t xml:space="preserve"> consultation paper</w:t>
      </w:r>
      <w:r w:rsidRPr="00E14444">
        <w:t>,</w:t>
      </w:r>
      <w:r w:rsidR="00822786" w:rsidRPr="00E14444">
        <w:t xml:space="preserve"> the SIRS for residential care</w:t>
      </w:r>
      <w:r w:rsidR="00694523" w:rsidRPr="00E14444">
        <w:t xml:space="preserve"> (including flexible care delivered in a residential setting), which commenced on 1 April 2021, </w:t>
      </w:r>
      <w:r w:rsidRPr="00E14444">
        <w:t xml:space="preserve">provides </w:t>
      </w:r>
      <w:r w:rsidR="00A71731" w:rsidRPr="00E14444">
        <w:t>a</w:t>
      </w:r>
      <w:r w:rsidRPr="00E14444">
        <w:t xml:space="preserve"> basis for the SIRS for in-home services</w:t>
      </w:r>
      <w:r w:rsidR="00822786" w:rsidRPr="00E14444">
        <w:t>.</w:t>
      </w:r>
    </w:p>
    <w:p w14:paraId="20ED7732" w14:textId="77777777" w:rsidR="00E14444" w:rsidRPr="00E14444" w:rsidRDefault="00E14444" w:rsidP="00E14444"/>
    <w:p w14:paraId="233A7216" w14:textId="67182B9B" w:rsidR="00A71731" w:rsidRDefault="000A782F" w:rsidP="00E14444">
      <w:r w:rsidRPr="00E14444">
        <w:t>Noting the benefits of adopting a common framework and arrangements across all aged care types</w:t>
      </w:r>
      <w:r w:rsidR="00822786" w:rsidRPr="00E14444">
        <w:t xml:space="preserve">, </w:t>
      </w:r>
      <w:r w:rsidR="00E80C1B" w:rsidRPr="00E14444">
        <w:t>the consultation paper also recognised</w:t>
      </w:r>
      <w:r w:rsidR="00822786" w:rsidRPr="00E14444">
        <w:t xml:space="preserve"> the significant contextual differences between residential care and in-home </w:t>
      </w:r>
      <w:r w:rsidR="00995D0F" w:rsidRPr="00E14444">
        <w:t>services</w:t>
      </w:r>
      <w:r w:rsidR="00A71731" w:rsidRPr="00E14444">
        <w:t>, including:</w:t>
      </w:r>
    </w:p>
    <w:p w14:paraId="379E7AF9" w14:textId="77777777" w:rsidR="00E14444" w:rsidRPr="00E14444" w:rsidRDefault="00E14444" w:rsidP="00E14444"/>
    <w:p w14:paraId="179E7DF3" w14:textId="331D709D" w:rsidR="00A71731" w:rsidRPr="00E14444" w:rsidRDefault="00A71731" w:rsidP="00C866C1">
      <w:pPr>
        <w:pStyle w:val="ListBullet"/>
      </w:pPr>
      <w:r w:rsidRPr="00E14444">
        <w:t>providers of in-home services have less control over the care environment, including the nature or set up of a home, where the consumer goes outside their home and who visits consumers</w:t>
      </w:r>
    </w:p>
    <w:p w14:paraId="36529331" w14:textId="77777777" w:rsidR="00A71731" w:rsidRPr="00E14444" w:rsidRDefault="00A71731" w:rsidP="00C866C1">
      <w:pPr>
        <w:pStyle w:val="ListBullet"/>
      </w:pPr>
      <w:r w:rsidRPr="00E14444">
        <w:t>providers may deliver services through sub-contracted individuals/organisations</w:t>
      </w:r>
    </w:p>
    <w:p w14:paraId="18E59652" w14:textId="77777777" w:rsidR="00A71731" w:rsidRPr="00E14444" w:rsidRDefault="00A71731" w:rsidP="00C866C1">
      <w:pPr>
        <w:pStyle w:val="ListBullet"/>
      </w:pPr>
      <w:r w:rsidRPr="00E14444">
        <w:t>staff from multiple providers may be delivering care and services to a consumer</w:t>
      </w:r>
    </w:p>
    <w:p w14:paraId="0A8FD485" w14:textId="385E9773" w:rsidR="00A71731" w:rsidRPr="00E14444" w:rsidRDefault="00A71731" w:rsidP="00C866C1">
      <w:pPr>
        <w:pStyle w:val="ListBullet"/>
      </w:pPr>
      <w:r w:rsidRPr="00E14444">
        <w:t>a provider’s ability to investigate and prevent incidents is more limited where care is delivered in the home (e.g. where the provider has limited day-to-day contact with consumers and where multiple parties may be delivering care and services).</w:t>
      </w:r>
    </w:p>
    <w:p w14:paraId="536F38B1" w14:textId="77777777" w:rsidR="00A71731" w:rsidRPr="00E14444" w:rsidRDefault="00A71731" w:rsidP="00E14444"/>
    <w:p w14:paraId="793A91C2" w14:textId="611B3CDF" w:rsidR="00822786" w:rsidRDefault="00EE30A0" w:rsidP="00E14444">
      <w:r>
        <w:t>Given</w:t>
      </w:r>
      <w:r w:rsidR="00A71731" w:rsidRPr="00E14444">
        <w:t xml:space="preserve"> </w:t>
      </w:r>
      <w:r>
        <w:t>such</w:t>
      </w:r>
      <w:r w:rsidR="00A71731" w:rsidRPr="00E14444">
        <w:t xml:space="preserve"> differences, stakeholder feedback was sought on</w:t>
      </w:r>
      <w:r w:rsidR="00E3452C" w:rsidRPr="00E14444">
        <w:t xml:space="preserve"> key</w:t>
      </w:r>
      <w:r w:rsidR="00A71731" w:rsidRPr="00E14444">
        <w:t xml:space="preserve"> </w:t>
      </w:r>
      <w:r w:rsidR="00742932" w:rsidRPr="00E14444">
        <w:t>areas</w:t>
      </w:r>
      <w:r w:rsidR="00A71731" w:rsidRPr="00E14444">
        <w:t xml:space="preserve"> in which changes may be required to ensure the</w:t>
      </w:r>
      <w:r w:rsidR="00E3452C" w:rsidRPr="00E14444">
        <w:t xml:space="preserve"> SIRS</w:t>
      </w:r>
      <w:r w:rsidR="00A71731" w:rsidRPr="00E14444">
        <w:t xml:space="preserve"> is appropriate in the context of care and services delivered in a consumer’s home. </w:t>
      </w:r>
      <w:r w:rsidR="00112C89" w:rsidRPr="00E14444">
        <w:t xml:space="preserve">Feedback was sought </w:t>
      </w:r>
      <w:r w:rsidR="00A71731" w:rsidRPr="00E14444">
        <w:t>in relation to</w:t>
      </w:r>
      <w:r w:rsidR="00112C89" w:rsidRPr="00E14444">
        <w:t xml:space="preserve"> five main elements of the proposed </w:t>
      </w:r>
      <w:r w:rsidR="001A3857">
        <w:t>s</w:t>
      </w:r>
      <w:r w:rsidR="00112C89" w:rsidRPr="00E14444">
        <w:t>cheme</w:t>
      </w:r>
      <w:r w:rsidR="00822786" w:rsidRPr="00E14444">
        <w:t>:</w:t>
      </w:r>
    </w:p>
    <w:p w14:paraId="3016566E" w14:textId="77777777" w:rsidR="00E14444" w:rsidRPr="00E14444" w:rsidRDefault="00E14444" w:rsidP="00E14444"/>
    <w:p w14:paraId="6937C9F0" w14:textId="77777777" w:rsidR="00822786" w:rsidRPr="00E14444" w:rsidRDefault="00822786" w:rsidP="00E14444">
      <w:pPr>
        <w:pStyle w:val="ListParagraph"/>
        <w:numPr>
          <w:ilvl w:val="0"/>
          <w:numId w:val="10"/>
        </w:numPr>
        <w:spacing w:before="0" w:after="0" w:line="240" w:lineRule="auto"/>
        <w:rPr>
          <w:sz w:val="22"/>
        </w:rPr>
      </w:pPr>
      <w:r w:rsidRPr="00E14444">
        <w:rPr>
          <w:sz w:val="22"/>
        </w:rPr>
        <w:t xml:space="preserve">responsibilities for managing incidents and taking reasonable steps to prevent incidents, including through implementing and maintaining an incident management system </w:t>
      </w:r>
    </w:p>
    <w:p w14:paraId="45942999" w14:textId="00F3A383" w:rsidR="00822786" w:rsidRPr="00E14444" w:rsidRDefault="00822786" w:rsidP="00E14444">
      <w:pPr>
        <w:pStyle w:val="ListParagraph"/>
        <w:numPr>
          <w:ilvl w:val="0"/>
          <w:numId w:val="10"/>
        </w:numPr>
        <w:spacing w:before="0" w:after="0" w:line="240" w:lineRule="auto"/>
        <w:rPr>
          <w:sz w:val="22"/>
        </w:rPr>
      </w:pPr>
      <w:r w:rsidRPr="00E14444">
        <w:rPr>
          <w:sz w:val="22"/>
        </w:rPr>
        <w:t xml:space="preserve">notifying the </w:t>
      </w:r>
      <w:r w:rsidR="00100053">
        <w:rPr>
          <w:sz w:val="22"/>
        </w:rPr>
        <w:t xml:space="preserve">Aged Care Quality and Safety </w:t>
      </w:r>
      <w:r w:rsidRPr="00E14444">
        <w:rPr>
          <w:sz w:val="22"/>
        </w:rPr>
        <w:t>Commission</w:t>
      </w:r>
      <w:r w:rsidR="00100053">
        <w:rPr>
          <w:sz w:val="22"/>
        </w:rPr>
        <w:t xml:space="preserve"> (</w:t>
      </w:r>
      <w:r w:rsidR="00130742">
        <w:rPr>
          <w:sz w:val="22"/>
        </w:rPr>
        <w:t xml:space="preserve">the </w:t>
      </w:r>
      <w:r w:rsidR="00100053">
        <w:rPr>
          <w:sz w:val="22"/>
        </w:rPr>
        <w:t>Commission)</w:t>
      </w:r>
      <w:r w:rsidRPr="00E14444">
        <w:rPr>
          <w:sz w:val="22"/>
        </w:rPr>
        <w:t xml:space="preserve"> of reportable incidents </w:t>
      </w:r>
    </w:p>
    <w:p w14:paraId="0054A173" w14:textId="2057A068" w:rsidR="00822786" w:rsidRPr="00E14444" w:rsidRDefault="00822786" w:rsidP="00E14444">
      <w:pPr>
        <w:pStyle w:val="ListParagraph"/>
        <w:numPr>
          <w:ilvl w:val="0"/>
          <w:numId w:val="10"/>
        </w:numPr>
        <w:spacing w:before="0" w:after="0" w:line="240" w:lineRule="auto"/>
        <w:rPr>
          <w:sz w:val="22"/>
        </w:rPr>
      </w:pPr>
      <w:r w:rsidRPr="00E14444">
        <w:rPr>
          <w:sz w:val="22"/>
        </w:rPr>
        <w:lastRenderedPageBreak/>
        <w:t>notifying others of incidents</w:t>
      </w:r>
      <w:r w:rsidR="00F533DE" w:rsidRPr="00E14444">
        <w:rPr>
          <w:sz w:val="22"/>
        </w:rPr>
        <w:t xml:space="preserve"> (e.g. </w:t>
      </w:r>
      <w:r w:rsidR="00800A86">
        <w:rPr>
          <w:sz w:val="22"/>
        </w:rPr>
        <w:t>p</w:t>
      </w:r>
      <w:r w:rsidR="00F533DE" w:rsidRPr="00E14444">
        <w:rPr>
          <w:sz w:val="22"/>
        </w:rPr>
        <w:t>olice, Coroner</w:t>
      </w:r>
      <w:r w:rsidR="00C1063B" w:rsidRPr="00E14444">
        <w:rPr>
          <w:sz w:val="22"/>
        </w:rPr>
        <w:t>,</w:t>
      </w:r>
      <w:r w:rsidR="00F533DE" w:rsidRPr="00E14444">
        <w:rPr>
          <w:sz w:val="22"/>
        </w:rPr>
        <w:t xml:space="preserve"> etc.)</w:t>
      </w:r>
    </w:p>
    <w:p w14:paraId="600CB303" w14:textId="22229C35" w:rsidR="00822786" w:rsidRPr="00E14444" w:rsidRDefault="00822786" w:rsidP="00E14444">
      <w:pPr>
        <w:pStyle w:val="ListParagraph"/>
        <w:numPr>
          <w:ilvl w:val="0"/>
          <w:numId w:val="10"/>
        </w:numPr>
        <w:spacing w:before="0" w:after="0" w:line="240" w:lineRule="auto"/>
        <w:rPr>
          <w:sz w:val="22"/>
        </w:rPr>
      </w:pPr>
      <w:r w:rsidRPr="00E14444">
        <w:rPr>
          <w:sz w:val="22"/>
        </w:rPr>
        <w:t xml:space="preserve">the scope of incidents to be notified to the Commission </w:t>
      </w:r>
    </w:p>
    <w:p w14:paraId="623C7186" w14:textId="633FE32D" w:rsidR="00822786" w:rsidRDefault="00822786" w:rsidP="00E14444">
      <w:pPr>
        <w:pStyle w:val="ListParagraph"/>
        <w:numPr>
          <w:ilvl w:val="0"/>
          <w:numId w:val="10"/>
        </w:numPr>
        <w:spacing w:before="0" w:after="0" w:line="240" w:lineRule="auto"/>
        <w:rPr>
          <w:sz w:val="22"/>
        </w:rPr>
      </w:pPr>
      <w:r w:rsidRPr="00E14444">
        <w:rPr>
          <w:sz w:val="22"/>
        </w:rPr>
        <w:t>notification timeframes and priority categories.</w:t>
      </w:r>
    </w:p>
    <w:p w14:paraId="24FB3062" w14:textId="6587085B" w:rsidR="00E14444" w:rsidRDefault="00E14444" w:rsidP="00E14444"/>
    <w:p w14:paraId="08587948" w14:textId="175D94FA" w:rsidR="00E14444" w:rsidRPr="00E14444" w:rsidRDefault="00E14444" w:rsidP="00E14444">
      <w:r>
        <w:t>Stakeholder feedback in response to the consultation paper was sought through four stakeholder forums</w:t>
      </w:r>
      <w:r w:rsidR="00A831CD">
        <w:t xml:space="preserve"> (including with consumers, providers and other Government agencies)</w:t>
      </w:r>
      <w:r>
        <w:t xml:space="preserve"> and through </w:t>
      </w:r>
      <w:r w:rsidR="00A831CD">
        <w:t xml:space="preserve">a public </w:t>
      </w:r>
      <w:r>
        <w:t>online survey</w:t>
      </w:r>
      <w:r w:rsidR="00D371AF">
        <w:t xml:space="preserve"> undertaken on the Department</w:t>
      </w:r>
      <w:r w:rsidR="00130742">
        <w:t xml:space="preserve">’s </w:t>
      </w:r>
      <w:r w:rsidR="00D371AF">
        <w:t>Consultation Hub</w:t>
      </w:r>
      <w:r>
        <w:t xml:space="preserve">. </w:t>
      </w:r>
      <w:r w:rsidRPr="001B4766">
        <w:t xml:space="preserve">See </w:t>
      </w:r>
      <w:r w:rsidRPr="001B4766">
        <w:rPr>
          <w:u w:val="single"/>
        </w:rPr>
        <w:t>Attachment A</w:t>
      </w:r>
      <w:r w:rsidRPr="001B4766">
        <w:t xml:space="preserve"> for more detailed information regarding the profile of stakeholders responding to the online survey.</w:t>
      </w:r>
    </w:p>
    <w:p w14:paraId="7C41F146" w14:textId="5D0BF526" w:rsidR="00BF7E04" w:rsidRPr="001B4766" w:rsidRDefault="00BF7E04" w:rsidP="0048323A">
      <w:pPr>
        <w:pStyle w:val="Heading1"/>
      </w:pPr>
      <w:r w:rsidRPr="001B4766">
        <w:br w:type="column"/>
      </w:r>
      <w:bookmarkStart w:id="12" w:name="_Toc77848152"/>
      <w:bookmarkStart w:id="13" w:name="_Toc80694362"/>
      <w:r w:rsidRPr="001B4766">
        <w:lastRenderedPageBreak/>
        <w:t>Summary of stakeholder feedback</w:t>
      </w:r>
      <w:bookmarkEnd w:id="12"/>
      <w:bookmarkEnd w:id="13"/>
    </w:p>
    <w:p w14:paraId="4CDAF96D" w14:textId="77777777" w:rsidR="0048323A" w:rsidRDefault="0048323A" w:rsidP="00E14444">
      <w:pPr>
        <w:pStyle w:val="mpcNormal"/>
      </w:pPr>
      <w:bookmarkStart w:id="14" w:name="_Toc77848156"/>
    </w:p>
    <w:p w14:paraId="7A0A6010" w14:textId="2ED21634" w:rsidR="00CA7DD1" w:rsidRDefault="007D20C5" w:rsidP="00E14444">
      <w:pPr>
        <w:pStyle w:val="mpcNormal"/>
      </w:pPr>
      <w:r>
        <w:t>Most</w:t>
      </w:r>
      <w:r w:rsidR="00E04831">
        <w:t xml:space="preserve"> stakeholders supported the introduction of the SIRS for in-home services</w:t>
      </w:r>
      <w:r w:rsidR="00097A4A">
        <w:t>;</w:t>
      </w:r>
      <w:r w:rsidR="00C93F80">
        <w:t xml:space="preserve"> highlight</w:t>
      </w:r>
      <w:r>
        <w:t>ing</w:t>
      </w:r>
      <w:r w:rsidR="00C93F80">
        <w:t xml:space="preserve"> that the expansion to in-home services should be aligned as much as possible with the requirements currently applicable in residential services,</w:t>
      </w:r>
      <w:r>
        <w:t xml:space="preserve"> </w:t>
      </w:r>
      <w:r w:rsidR="00E20B38">
        <w:t>balanced with the</w:t>
      </w:r>
      <w:r w:rsidR="00C93F80">
        <w:t xml:space="preserve"> specific nuances and differences </w:t>
      </w:r>
      <w:r w:rsidR="00EE30A0">
        <w:t>of</w:t>
      </w:r>
      <w:r w:rsidR="00C93F80">
        <w:t xml:space="preserve"> in-home services</w:t>
      </w:r>
      <w:r w:rsidR="009E6F7A">
        <w:t>.</w:t>
      </w:r>
    </w:p>
    <w:p w14:paraId="33481358" w14:textId="77777777" w:rsidR="000E36DC" w:rsidRDefault="000E36DC" w:rsidP="00E14444"/>
    <w:p w14:paraId="0B35B52D" w14:textId="7C290286" w:rsidR="00AF1AC7" w:rsidRDefault="00BE0AFF" w:rsidP="00E14444">
      <w:pPr>
        <w:pStyle w:val="mpcNormal"/>
      </w:pPr>
      <w:r>
        <w:t>Overall</w:t>
      </w:r>
      <w:r w:rsidR="00EB3A11">
        <w:t>, s</w:t>
      </w:r>
      <w:r w:rsidR="000E36DC">
        <w:t>takeholders considered the proposed incident management and prevention requirements (consistent with those in residential care)</w:t>
      </w:r>
      <w:r>
        <w:t xml:space="preserve"> to be reasonable</w:t>
      </w:r>
      <w:r w:rsidR="000E36DC">
        <w:t>. However,</w:t>
      </w:r>
      <w:r w:rsidR="009E6F7A">
        <w:t xml:space="preserve"> stakeholders </w:t>
      </w:r>
      <w:r w:rsidR="00EE30A0">
        <w:t>felt</w:t>
      </w:r>
      <w:r w:rsidR="009E6F7A">
        <w:t xml:space="preserve"> that the scope of incidents to be captured under the SIRS for in-home</w:t>
      </w:r>
      <w:r w:rsidR="00D371AF">
        <w:t xml:space="preserve"> </w:t>
      </w:r>
      <w:r w:rsidR="009E6F7A">
        <w:t xml:space="preserve">services needed to be more tightly defined than in residential care. For example, by tying incidents directly to the actions of the provider or </w:t>
      </w:r>
      <w:r w:rsidR="00EE30A0">
        <w:t>where incidents are</w:t>
      </w:r>
      <w:r w:rsidR="009E6F7A">
        <w:t xml:space="preserve"> a direct consequence of the care and services.</w:t>
      </w:r>
      <w:r w:rsidR="00C93F80">
        <w:t xml:space="preserve"> </w:t>
      </w:r>
    </w:p>
    <w:p w14:paraId="29B0C00E" w14:textId="7CC4B3BF" w:rsidR="00C93F80" w:rsidRDefault="00C93F80" w:rsidP="00E14444">
      <w:pPr>
        <w:pStyle w:val="mpcNormal"/>
      </w:pPr>
    </w:p>
    <w:p w14:paraId="21309E59" w14:textId="0B75FDD9" w:rsidR="00C93F80" w:rsidRPr="001B4766" w:rsidRDefault="000E36DC" w:rsidP="00E14444">
      <w:pPr>
        <w:pStyle w:val="mpcNormal"/>
      </w:pPr>
      <w:r>
        <w:t xml:space="preserve">While stakeholders proposed adjustments and clarifications to the proposed definitions </w:t>
      </w:r>
      <w:r w:rsidR="00097A4A">
        <w:t>of</w:t>
      </w:r>
      <w:r>
        <w:t xml:space="preserve"> reportable incidents, stakeholders generally felt that </w:t>
      </w:r>
      <w:r w:rsidR="00097A4A">
        <w:t>all</w:t>
      </w:r>
      <w:r>
        <w:t xml:space="preserve"> the proposed categories of reportable incident</w:t>
      </w:r>
      <w:r w:rsidR="00097A4A">
        <w:t>s</w:t>
      </w:r>
      <w:r>
        <w:t xml:space="preserve"> were applicable for the SIRS for in-home services. Stakeholders also considered that</w:t>
      </w:r>
      <w:r w:rsidR="005E7EA4">
        <w:t>, broadly speaking,</w:t>
      </w:r>
      <w:r>
        <w:t xml:space="preserve"> the reporting timeframes </w:t>
      </w:r>
      <w:r w:rsidR="00BE0AFF">
        <w:t xml:space="preserve">in the </w:t>
      </w:r>
      <w:r>
        <w:t xml:space="preserve">SIRS </w:t>
      </w:r>
      <w:r w:rsidR="00BE0AFF">
        <w:t>for</w:t>
      </w:r>
      <w:r>
        <w:t xml:space="preserve"> residential care were appropriate for in-home services.</w:t>
      </w:r>
    </w:p>
    <w:p w14:paraId="1865C12A" w14:textId="77777777" w:rsidR="00AF1AC7" w:rsidRDefault="00AF1AC7" w:rsidP="00E14444">
      <w:pPr>
        <w:pStyle w:val="mpcNormal"/>
      </w:pPr>
    </w:p>
    <w:p w14:paraId="2A7F24E5" w14:textId="2DFEA8DA" w:rsidR="00C93F80" w:rsidRDefault="000E36DC" w:rsidP="00E14444">
      <w:pPr>
        <w:pStyle w:val="mpcNormal"/>
      </w:pPr>
      <w:r>
        <w:t>Some</w:t>
      </w:r>
      <w:r w:rsidR="00E04831">
        <w:t xml:space="preserve"> providers noted </w:t>
      </w:r>
      <w:r w:rsidR="00A93558">
        <w:t xml:space="preserve">that </w:t>
      </w:r>
      <w:r w:rsidR="00E04831">
        <w:t xml:space="preserve">they already </w:t>
      </w:r>
      <w:r w:rsidR="00C93F80">
        <w:t xml:space="preserve">have </w:t>
      </w:r>
      <w:r w:rsidR="00E04831">
        <w:t>incident management systems in place</w:t>
      </w:r>
      <w:r w:rsidR="00A93558">
        <w:t xml:space="preserve"> (consistent with the requirement in </w:t>
      </w:r>
      <w:r w:rsidR="00100053">
        <w:t xml:space="preserve">Aged Care Quality </w:t>
      </w:r>
      <w:r w:rsidR="00A93558">
        <w:t xml:space="preserve">Standard 8) </w:t>
      </w:r>
      <w:r w:rsidR="00E04831">
        <w:t>and undertake reporting as required under other programs (</w:t>
      </w:r>
      <w:r w:rsidR="00A93558">
        <w:t>e.g.</w:t>
      </w:r>
      <w:r w:rsidR="00E04831">
        <w:t xml:space="preserve"> the N</w:t>
      </w:r>
      <w:r w:rsidR="00100053">
        <w:t xml:space="preserve">ational </w:t>
      </w:r>
      <w:r w:rsidR="00E04831">
        <w:t>D</w:t>
      </w:r>
      <w:r w:rsidR="00100053">
        <w:t xml:space="preserve">isability </w:t>
      </w:r>
      <w:r w:rsidR="00E04831">
        <w:t>I</w:t>
      </w:r>
      <w:r w:rsidR="00100053">
        <w:t xml:space="preserve">nsurance </w:t>
      </w:r>
      <w:r w:rsidR="00E04831">
        <w:t>S</w:t>
      </w:r>
      <w:r w:rsidR="00100053">
        <w:t>cheme (NDIS)</w:t>
      </w:r>
      <w:r w:rsidR="00E04831">
        <w:t>)</w:t>
      </w:r>
      <w:r w:rsidR="00C93F80">
        <w:t>, such that the introduction of the SIRS</w:t>
      </w:r>
      <w:r w:rsidR="005E7EA4">
        <w:t xml:space="preserve"> for in-home services</w:t>
      </w:r>
      <w:r w:rsidR="00A93558">
        <w:t xml:space="preserve"> would</w:t>
      </w:r>
      <w:r w:rsidR="00C93F80">
        <w:t xml:space="preserve"> be fairly straightforward. Whereas others highlighted the significant change the SIRS represent</w:t>
      </w:r>
      <w:r>
        <w:t>s</w:t>
      </w:r>
      <w:r w:rsidR="00C93F80">
        <w:t xml:space="preserve"> for their organisation and emphasised the support and training that would be required to implement it</w:t>
      </w:r>
      <w:r w:rsidR="00E04831">
        <w:t>.</w:t>
      </w:r>
      <w:r w:rsidR="00C93F80">
        <w:t xml:space="preserve"> </w:t>
      </w:r>
    </w:p>
    <w:p w14:paraId="0F119496" w14:textId="77777777" w:rsidR="00C93F80" w:rsidRDefault="00C93F80" w:rsidP="00E14444">
      <w:pPr>
        <w:pStyle w:val="mpcNormal"/>
      </w:pPr>
    </w:p>
    <w:p w14:paraId="0C751D44" w14:textId="4C52C85D" w:rsidR="00E04831" w:rsidRDefault="00896BC6" w:rsidP="00E14444">
      <w:pPr>
        <w:pStyle w:val="mpcNormal"/>
      </w:pPr>
      <w:r>
        <w:t>S</w:t>
      </w:r>
      <w:r w:rsidR="00C93F80">
        <w:t xml:space="preserve">takeholders highlighted the importance of robust and consistent guidance, particularly to support providers to understand what is and </w:t>
      </w:r>
      <w:r w:rsidR="00246FCB">
        <w:t xml:space="preserve">what </w:t>
      </w:r>
      <w:r w:rsidR="00C93F80">
        <w:t>is</w:t>
      </w:r>
      <w:r w:rsidR="00100053">
        <w:t xml:space="preserve"> not</w:t>
      </w:r>
      <w:r w:rsidR="00C93F80">
        <w:t xml:space="preserve"> a ‘reportable incident’. Stakeholders also considered that communications for providers, workers, consumers and their families would be important to ensure all parties have a consistent understanding</w:t>
      </w:r>
      <w:r w:rsidR="00246FCB">
        <w:t xml:space="preserve"> of,</w:t>
      </w:r>
      <w:r w:rsidR="00C93F80">
        <w:t xml:space="preserve"> and expectations regarding</w:t>
      </w:r>
      <w:r w:rsidR="00246FCB">
        <w:t>,</w:t>
      </w:r>
      <w:r w:rsidR="00C93F80">
        <w:t xml:space="preserve"> what will be required under the SIRS.</w:t>
      </w:r>
    </w:p>
    <w:p w14:paraId="09F60C1F" w14:textId="3F3BB962" w:rsidR="00097A4A" w:rsidRDefault="00097A4A" w:rsidP="00E14444">
      <w:pPr>
        <w:pStyle w:val="mpcNormal"/>
      </w:pPr>
    </w:p>
    <w:p w14:paraId="4F35A37D" w14:textId="1EDD7107" w:rsidR="00097A4A" w:rsidRDefault="00097A4A" w:rsidP="00E14444">
      <w:r>
        <w:t>In considering the broader environment, stakeholders noted that the SIRS for in-home services:</w:t>
      </w:r>
    </w:p>
    <w:p w14:paraId="3F0385CF" w14:textId="77777777" w:rsidR="00E14444" w:rsidRDefault="00E14444" w:rsidP="00E14444"/>
    <w:p w14:paraId="57CDD7F0" w14:textId="479D1644" w:rsidR="00097A4A" w:rsidRDefault="00097A4A" w:rsidP="00C866C1">
      <w:pPr>
        <w:pStyle w:val="ListBullet"/>
      </w:pPr>
      <w:r w:rsidRPr="00F53136">
        <w:t xml:space="preserve">needs to be positioned in the broader context in which </w:t>
      </w:r>
      <w:r w:rsidR="00896BC6">
        <w:t xml:space="preserve">many </w:t>
      </w:r>
      <w:r w:rsidRPr="00F53136">
        <w:t>workers have professional standards, providers have duty of care and</w:t>
      </w:r>
      <w:r w:rsidRPr="00212362">
        <w:t xml:space="preserve"> jurisdictions impose various reporting requirements</w:t>
      </w:r>
    </w:p>
    <w:p w14:paraId="0EE1F0C0" w14:textId="41671BB3" w:rsidR="00097A4A" w:rsidRPr="00AF07F2" w:rsidRDefault="00097A4A" w:rsidP="00C866C1">
      <w:pPr>
        <w:pStyle w:val="ListBullet"/>
      </w:pPr>
      <w:r>
        <w:t xml:space="preserve">needs to be </w:t>
      </w:r>
      <w:r w:rsidRPr="00097A4A">
        <w:t>presented</w:t>
      </w:r>
      <w:r w:rsidRPr="00276E67">
        <w:t xml:space="preserve"> as one component of a broader agenda to tackle elder abuse, highlighting</w:t>
      </w:r>
      <w:r w:rsidR="00276E67">
        <w:t xml:space="preserve"> the relevance of</w:t>
      </w:r>
      <w:r w:rsidRPr="00276E67">
        <w:t xml:space="preserve"> other mechanisms for managing and reporting incidents of elder abuse outside the control of the provider (such as by members of consumers’ families or household</w:t>
      </w:r>
      <w:r w:rsidRPr="00F2572E">
        <w:t>)</w:t>
      </w:r>
      <w:r w:rsidRPr="00AF07F2">
        <w:t xml:space="preserve"> </w:t>
      </w:r>
    </w:p>
    <w:p w14:paraId="7143C050" w14:textId="76064EC2" w:rsidR="00097A4A" w:rsidRDefault="00276E67" w:rsidP="00C866C1">
      <w:pPr>
        <w:pStyle w:val="ListBullet"/>
      </w:pPr>
      <w:r>
        <w:t>i</w:t>
      </w:r>
      <w:r w:rsidR="00097A4A">
        <w:t xml:space="preserve">ntersects with the </w:t>
      </w:r>
      <w:r w:rsidR="00097A4A" w:rsidRPr="00097A4A">
        <w:t>role of the Attorney-General</w:t>
      </w:r>
      <w:r w:rsidR="00AD6A09">
        <w:t xml:space="preserve">, highlighting </w:t>
      </w:r>
      <w:r w:rsidR="00097A4A" w:rsidRPr="00097A4A">
        <w:t>the need for</w:t>
      </w:r>
      <w:r w:rsidR="00097A4A" w:rsidRPr="00276E67">
        <w:t xml:space="preserve"> coordin</w:t>
      </w:r>
      <w:r w:rsidR="00097A4A" w:rsidRPr="005669DE">
        <w:t>ated government efforts</w:t>
      </w:r>
      <w:r w:rsidR="00097A4A" w:rsidRPr="00F2572E">
        <w:t xml:space="preserve"> in actionin</w:t>
      </w:r>
      <w:r w:rsidR="00097A4A" w:rsidRPr="00AF07F2">
        <w:t>g a national elder abuse plan</w:t>
      </w:r>
      <w:r w:rsidR="00097A4A" w:rsidRPr="003F1EFC">
        <w:t>.</w:t>
      </w:r>
    </w:p>
    <w:p w14:paraId="0CC5123C" w14:textId="77777777" w:rsidR="0048323A" w:rsidRPr="00E14444" w:rsidRDefault="0048323A" w:rsidP="00C866C1">
      <w:pPr>
        <w:pStyle w:val="ListBullet"/>
        <w:numPr>
          <w:ilvl w:val="0"/>
          <w:numId w:val="0"/>
        </w:numPr>
        <w:ind w:left="426"/>
      </w:pPr>
    </w:p>
    <w:p w14:paraId="26296AEC" w14:textId="37F819CB" w:rsidR="001B35BF" w:rsidRPr="001B4766" w:rsidRDefault="00C866C1" w:rsidP="00C866C1">
      <w:pPr>
        <w:pStyle w:val="Heading1"/>
      </w:pPr>
      <w:r>
        <w:br w:type="column"/>
      </w:r>
      <w:bookmarkStart w:id="15" w:name="_Toc80694363"/>
      <w:r w:rsidR="001B35BF" w:rsidRPr="001B4766">
        <w:lastRenderedPageBreak/>
        <w:t>Considerations for implementing SIRS for in-home services</w:t>
      </w:r>
      <w:bookmarkEnd w:id="14"/>
      <w:bookmarkEnd w:id="15"/>
    </w:p>
    <w:p w14:paraId="1CF341BA" w14:textId="77777777" w:rsidR="0048323A" w:rsidRDefault="0048323A" w:rsidP="0048323A">
      <w:pPr>
        <w:keepNext/>
      </w:pPr>
    </w:p>
    <w:p w14:paraId="54386330" w14:textId="489813E5" w:rsidR="008A2209" w:rsidRPr="001B4766" w:rsidRDefault="007B24DF" w:rsidP="0048323A">
      <w:pPr>
        <w:keepNext/>
      </w:pPr>
      <w:r>
        <w:t>Building on the examples in the consultation paper,</w:t>
      </w:r>
      <w:r w:rsidR="000D06C5" w:rsidRPr="001B4766">
        <w:t xml:space="preserve"> stakeholders highlighted </w:t>
      </w:r>
      <w:r>
        <w:t>a number of</w:t>
      </w:r>
      <w:r w:rsidR="000D06C5" w:rsidRPr="001B4766">
        <w:t xml:space="preserve"> differences between residential care and in</w:t>
      </w:r>
      <w:r w:rsidR="000D06C5" w:rsidRPr="001B4766">
        <w:noBreakHyphen/>
        <w:t xml:space="preserve">home services that </w:t>
      </w:r>
      <w:r w:rsidR="002A133B">
        <w:t xml:space="preserve">should </w:t>
      </w:r>
      <w:r w:rsidR="008A2209">
        <w:t>be considered in the</w:t>
      </w:r>
      <w:r w:rsidR="002A133B">
        <w:t xml:space="preserve"> design of the </w:t>
      </w:r>
      <w:r w:rsidR="000D06C5" w:rsidRPr="001B4766">
        <w:t>SIRS for in-home services:</w:t>
      </w:r>
      <w:r w:rsidR="008A2209" w:rsidRPr="008A2209">
        <w:t xml:space="preserve"> </w:t>
      </w:r>
    </w:p>
    <w:p w14:paraId="1B11A5F3" w14:textId="0F182443" w:rsidR="000D06C5" w:rsidRPr="001B4766" w:rsidRDefault="000D06C5" w:rsidP="00E14444"/>
    <w:p w14:paraId="45D9B805" w14:textId="0D401C86" w:rsidR="009112D5" w:rsidRPr="001B4766" w:rsidRDefault="00EE781A" w:rsidP="00C866C1">
      <w:pPr>
        <w:pStyle w:val="ListBullet"/>
      </w:pPr>
      <w:r>
        <w:t>p</w:t>
      </w:r>
      <w:r w:rsidR="00D77680" w:rsidRPr="001B4766">
        <w:t xml:space="preserve">roviders </w:t>
      </w:r>
      <w:r w:rsidR="009112D5" w:rsidRPr="001B4766">
        <w:t>of in-home</w:t>
      </w:r>
      <w:r w:rsidR="004C63B3">
        <w:t xml:space="preserve"> </w:t>
      </w:r>
      <w:r w:rsidR="009112D5" w:rsidRPr="001B4766">
        <w:t xml:space="preserve">services </w:t>
      </w:r>
      <w:r w:rsidR="00D77680" w:rsidRPr="001B4766">
        <w:t xml:space="preserve">will usually have much more limited interaction with consumers, particularly </w:t>
      </w:r>
      <w:r w:rsidR="00870609">
        <w:t xml:space="preserve">for some </w:t>
      </w:r>
      <w:r w:rsidR="00D77680" w:rsidRPr="001B4766">
        <w:t>CHSP services (such as transport, maintenance, etc.)</w:t>
      </w:r>
      <w:r>
        <w:t>, impacting</w:t>
      </w:r>
      <w:r w:rsidR="00D77680" w:rsidRPr="001B4766">
        <w:t xml:space="preserve"> the provider’s ability to</w:t>
      </w:r>
      <w:r w:rsidR="009112D5" w:rsidRPr="001B4766">
        <w:t>:</w:t>
      </w:r>
    </w:p>
    <w:p w14:paraId="254BD916" w14:textId="483CCF09" w:rsidR="009112D5" w:rsidRPr="0048323A" w:rsidRDefault="009112D5" w:rsidP="0048323A">
      <w:pPr>
        <w:pStyle w:val="ListBullet2"/>
      </w:pPr>
      <w:r w:rsidRPr="0048323A">
        <w:t>i</w:t>
      </w:r>
      <w:r w:rsidR="00D77680" w:rsidRPr="0048323A">
        <w:t>dentify</w:t>
      </w:r>
      <w:r w:rsidRPr="0048323A">
        <w:t xml:space="preserve"> whe</w:t>
      </w:r>
      <w:r w:rsidR="008B3950" w:rsidRPr="0048323A">
        <w:t>n</w:t>
      </w:r>
      <w:r w:rsidRPr="0048323A">
        <w:t xml:space="preserve"> an incident has occurred</w:t>
      </w:r>
    </w:p>
    <w:p w14:paraId="7628892F" w14:textId="753636F3" w:rsidR="009112D5" w:rsidRPr="0048323A" w:rsidRDefault="00D77680" w:rsidP="0048323A">
      <w:pPr>
        <w:pStyle w:val="ListBullet2"/>
      </w:pPr>
      <w:r w:rsidRPr="0048323A">
        <w:t>assess</w:t>
      </w:r>
      <w:r w:rsidR="009112D5" w:rsidRPr="0048323A">
        <w:t xml:space="preserve"> or </w:t>
      </w:r>
      <w:r w:rsidRPr="0048323A">
        <w:t>investigate</w:t>
      </w:r>
      <w:r w:rsidR="009112D5" w:rsidRPr="0048323A">
        <w:t xml:space="preserve"> an incident, including to identify the perpetrator/cause of an incident and to understand the impact of the incident on the consumer’s health and wellbeing</w:t>
      </w:r>
    </w:p>
    <w:p w14:paraId="43197801" w14:textId="53A6D4CD" w:rsidR="00D77680" w:rsidRPr="0048323A" w:rsidRDefault="00D77680" w:rsidP="0048323A">
      <w:pPr>
        <w:pStyle w:val="ListBullet2"/>
      </w:pPr>
      <w:r w:rsidRPr="0048323A">
        <w:t>respond to and report incidents in an effective and timely way</w:t>
      </w:r>
    </w:p>
    <w:p w14:paraId="4C5B8F42" w14:textId="24BE2AC8" w:rsidR="009112D5" w:rsidRPr="001B4766" w:rsidRDefault="00EE781A" w:rsidP="00C866C1">
      <w:pPr>
        <w:pStyle w:val="ListBullet"/>
      </w:pPr>
      <w:r>
        <w:t>p</w:t>
      </w:r>
      <w:r w:rsidR="009112D5" w:rsidRPr="001B4766">
        <w:t>roviders of in-home services have limited control over the consumer’s environment, impacting their ability to prevent and manage risks to the consumer’s health, safety and well-being</w:t>
      </w:r>
    </w:p>
    <w:p w14:paraId="44C7AC90" w14:textId="1CC802A1" w:rsidR="00D5186F" w:rsidRPr="001B4766" w:rsidRDefault="00EE781A" w:rsidP="00C866C1">
      <w:pPr>
        <w:pStyle w:val="ListBullet"/>
      </w:pPr>
      <w:r>
        <w:t>s</w:t>
      </w:r>
      <w:r w:rsidR="00D5186F" w:rsidRPr="001B4766">
        <w:t xml:space="preserve">ome CHSP providers may provide very infrequent </w:t>
      </w:r>
      <w:r>
        <w:t xml:space="preserve">(or one-off) </w:t>
      </w:r>
      <w:r w:rsidR="00D5186F" w:rsidRPr="001B4766">
        <w:t xml:space="preserve">services to a consumer (for example, some services </w:t>
      </w:r>
      <w:r w:rsidR="00A610A5">
        <w:t>may be</w:t>
      </w:r>
      <w:r w:rsidR="00D5186F" w:rsidRPr="001B4766">
        <w:t xml:space="preserve"> provided </w:t>
      </w:r>
      <w:r w:rsidR="00A610A5">
        <w:t xml:space="preserve">only </w:t>
      </w:r>
      <w:r w:rsidR="00D5186F" w:rsidRPr="001B4766">
        <w:t xml:space="preserve">every </w:t>
      </w:r>
      <w:r>
        <w:t xml:space="preserve">four to </w:t>
      </w:r>
      <w:r w:rsidR="00A610A5">
        <w:t>twelve</w:t>
      </w:r>
      <w:r w:rsidR="00D5186F" w:rsidRPr="001B4766">
        <w:t xml:space="preserve"> weeks) and may not always interact with the consumer during service delivery (for example, where garden maintenance services are provided)</w:t>
      </w:r>
    </w:p>
    <w:p w14:paraId="1760C3E6" w14:textId="45A3C2E4" w:rsidR="009112D5" w:rsidRPr="001B4766" w:rsidRDefault="00EE30A0" w:rsidP="00C866C1">
      <w:pPr>
        <w:pStyle w:val="ListBullet"/>
      </w:pPr>
      <w:r>
        <w:t>there is the potential of</w:t>
      </w:r>
      <w:r w:rsidR="009112D5" w:rsidRPr="001B4766">
        <w:t xml:space="preserve"> elder abuse</w:t>
      </w:r>
      <w:r>
        <w:t xml:space="preserve"> in home</w:t>
      </w:r>
      <w:r w:rsidR="007A061B">
        <w:t xml:space="preserve"> settings</w:t>
      </w:r>
      <w:r w:rsidR="006D3A84">
        <w:t>, including</w:t>
      </w:r>
      <w:r w:rsidR="009112D5" w:rsidRPr="001B4766">
        <w:t xml:space="preserve"> domestic violence</w:t>
      </w:r>
      <w:r w:rsidR="00A3733B">
        <w:t xml:space="preserve"> by those living with, or related to, the consumer</w:t>
      </w:r>
    </w:p>
    <w:p w14:paraId="4E8AF3C5" w14:textId="4F2FEBA5" w:rsidR="009112D5" w:rsidRPr="008E0BA9" w:rsidRDefault="00EE781A" w:rsidP="00C866C1">
      <w:pPr>
        <w:pStyle w:val="ListBullet"/>
      </w:pPr>
      <w:r>
        <w:t>t</w:t>
      </w:r>
      <w:r w:rsidR="009112D5" w:rsidRPr="001B4766">
        <w:t>he potential conflict between the concepts of consumer choice and dignity and mandatory reporting of incidents where consumers</w:t>
      </w:r>
      <w:r w:rsidR="009112D5" w:rsidRPr="008E0BA9">
        <w:t xml:space="preserve"> do not wish for a report to be made </w:t>
      </w:r>
    </w:p>
    <w:p w14:paraId="6DA3FA22" w14:textId="775BA927" w:rsidR="000D06C5" w:rsidRPr="001B4766" w:rsidRDefault="00EE781A" w:rsidP="00C866C1">
      <w:pPr>
        <w:pStyle w:val="ListBullet"/>
      </w:pPr>
      <w:r>
        <w:t>c</w:t>
      </w:r>
      <w:r w:rsidR="000D06C5" w:rsidRPr="001B4766">
        <w:t xml:space="preserve">onsumers are </w:t>
      </w:r>
      <w:r w:rsidR="00AA6AB7">
        <w:t xml:space="preserve">potentially </w:t>
      </w:r>
      <w:r w:rsidR="00B9084D" w:rsidRPr="001B4766">
        <w:t>at</w:t>
      </w:r>
      <w:r w:rsidR="000337E0" w:rsidRPr="001B4766">
        <w:t xml:space="preserve"> greater</w:t>
      </w:r>
      <w:r w:rsidR="00B9084D" w:rsidRPr="001B4766">
        <w:t xml:space="preserve"> risk of retribution in response to a report being made (to police</w:t>
      </w:r>
      <w:r w:rsidR="00AA6AB7">
        <w:t>,</w:t>
      </w:r>
      <w:r w:rsidR="00B9084D" w:rsidRPr="001B4766">
        <w:t xml:space="preserve"> the Commission or another body)</w:t>
      </w:r>
      <w:r>
        <w:t>.</w:t>
      </w:r>
      <w:r w:rsidR="00B9084D" w:rsidRPr="001B4766">
        <w:t xml:space="preserve"> For example, where:</w:t>
      </w:r>
    </w:p>
    <w:p w14:paraId="03E6FDEC" w14:textId="480164EA" w:rsidR="00B9084D" w:rsidRPr="001B4766" w:rsidRDefault="00A3733B" w:rsidP="0048323A">
      <w:pPr>
        <w:pStyle w:val="ListBullet2"/>
      </w:pPr>
      <w:r>
        <w:t>t</w:t>
      </w:r>
      <w:r w:rsidR="000337E0" w:rsidRPr="001B4766">
        <w:t>he consumer live</w:t>
      </w:r>
      <w:r w:rsidR="006F2A56">
        <w:t>s</w:t>
      </w:r>
      <w:r w:rsidR="000337E0" w:rsidRPr="001B4766">
        <w:t xml:space="preserve"> in the same household as the perpetrator of an incident</w:t>
      </w:r>
    </w:p>
    <w:p w14:paraId="62B97865" w14:textId="78895133" w:rsidR="000337E0" w:rsidRPr="001B4766" w:rsidRDefault="00A3733B" w:rsidP="0048323A">
      <w:pPr>
        <w:pStyle w:val="ListBullet2"/>
      </w:pPr>
      <w:r>
        <w:t>s</w:t>
      </w:r>
      <w:r w:rsidR="000337E0" w:rsidRPr="001B4766">
        <w:t xml:space="preserve">taff who </w:t>
      </w:r>
      <w:r w:rsidR="00FF2F58" w:rsidRPr="001B4766">
        <w:t xml:space="preserve">are suspected or alleged to </w:t>
      </w:r>
      <w:r w:rsidR="000337E0" w:rsidRPr="001B4766">
        <w:t xml:space="preserve">have perpetrated an </w:t>
      </w:r>
      <w:r w:rsidR="00FF2F58" w:rsidRPr="001B4766">
        <w:t>incident</w:t>
      </w:r>
      <w:r w:rsidR="000337E0" w:rsidRPr="001B4766">
        <w:t xml:space="preserve"> have access to the consumer’s home</w:t>
      </w:r>
    </w:p>
    <w:p w14:paraId="1B0AB5FE" w14:textId="127522C6" w:rsidR="000337E0" w:rsidRPr="001B4766" w:rsidRDefault="00A3733B" w:rsidP="0048323A">
      <w:pPr>
        <w:pStyle w:val="ListBullet2"/>
      </w:pPr>
      <w:r>
        <w:t>p</w:t>
      </w:r>
      <w:r w:rsidR="000337E0" w:rsidRPr="001B4766">
        <w:t>roviders may withdraw services, leaving consumers without the care and services they need</w:t>
      </w:r>
    </w:p>
    <w:p w14:paraId="15BDDBCB" w14:textId="43BA0F50" w:rsidR="00EC770A" w:rsidRPr="008E0BA9" w:rsidRDefault="00EC770A" w:rsidP="00C866C1">
      <w:pPr>
        <w:pStyle w:val="ListBullet"/>
      </w:pPr>
      <w:r>
        <w:t>providers are likely to be providing in-home services to a greater volume of consumers than in residential services (noting that some providers are supporting more than one thousand consumers in their homes)</w:t>
      </w:r>
    </w:p>
    <w:p w14:paraId="522C43DE" w14:textId="2326775C" w:rsidR="00EE781A" w:rsidRPr="008E0BA9" w:rsidRDefault="00EE781A" w:rsidP="00C866C1">
      <w:pPr>
        <w:pStyle w:val="ListBullet"/>
      </w:pPr>
      <w:r>
        <w:t>t</w:t>
      </w:r>
      <w:r w:rsidR="00F179BB" w:rsidRPr="001B4766">
        <w:t xml:space="preserve">here may be other individuals/organisations involved in a consumer’s care and services, impacting on the </w:t>
      </w:r>
      <w:r w:rsidR="00A3733B">
        <w:t>provider’s</w:t>
      </w:r>
      <w:r w:rsidR="00F179BB" w:rsidRPr="001B4766">
        <w:t xml:space="preserve"> ability to manage risks to the consumer and to ensure the provider has appropriate oversight of the consumer’s care and services</w:t>
      </w:r>
    </w:p>
    <w:p w14:paraId="45DD2472" w14:textId="4668853E" w:rsidR="0012032A" w:rsidRPr="008E0BA9" w:rsidRDefault="00EE781A" w:rsidP="00C866C1">
      <w:pPr>
        <w:pStyle w:val="ListBullet"/>
      </w:pPr>
      <w:r w:rsidRPr="008E0BA9">
        <w:t>i</w:t>
      </w:r>
      <w:r w:rsidR="0012032A" w:rsidRPr="008E0BA9">
        <w:t xml:space="preserve">n-home services may be provided by a range of workers </w:t>
      </w:r>
      <w:r w:rsidR="00D5186F" w:rsidRPr="008E0BA9">
        <w:t>(</w:t>
      </w:r>
      <w:r w:rsidR="0012032A" w:rsidRPr="008E0BA9">
        <w:t>including volunteers</w:t>
      </w:r>
      <w:r w:rsidR="00D5186F" w:rsidRPr="008E0BA9">
        <w:t xml:space="preserve">) who are not necessarily skilled in identifying or responding to incidents due to the type of services </w:t>
      </w:r>
      <w:r w:rsidR="00272E98" w:rsidRPr="008E0BA9">
        <w:t>they provide</w:t>
      </w:r>
      <w:r w:rsidR="00D5186F" w:rsidRPr="008E0BA9">
        <w:t xml:space="preserve"> (e.g. workers making home modifications </w:t>
      </w:r>
      <w:r w:rsidR="00CB12A1" w:rsidRPr="008E0BA9">
        <w:t xml:space="preserve">that are provided to the community more broadly, such that specific knowledge of expectations regarding incidents is not </w:t>
      </w:r>
      <w:r w:rsidR="00896BC6">
        <w:t xml:space="preserve">always well </w:t>
      </w:r>
      <w:r w:rsidR="00CB12A1" w:rsidRPr="008E0BA9">
        <w:t>understood)</w:t>
      </w:r>
    </w:p>
    <w:p w14:paraId="6C8FE019" w14:textId="46DC4E76" w:rsidR="00CB12A1" w:rsidRPr="00CB12A1" w:rsidRDefault="006D3A84" w:rsidP="00C866C1">
      <w:pPr>
        <w:pStyle w:val="ListBullet"/>
      </w:pPr>
      <w:r>
        <w:t xml:space="preserve">in some instances, </w:t>
      </w:r>
      <w:r w:rsidR="00EE781A">
        <w:t>c</w:t>
      </w:r>
      <w:r w:rsidR="00CB12A1" w:rsidRPr="001B4766">
        <w:t xml:space="preserve">onsumers may have limited or no interaction with others beyond the worker providing their care and services, such that negligent or inappropriate practices/incidents </w:t>
      </w:r>
      <w:r w:rsidR="00CB12A1" w:rsidRPr="008E0BA9">
        <w:t>perpetrated</w:t>
      </w:r>
      <w:r w:rsidR="00CB12A1" w:rsidRPr="001B4766">
        <w:t xml:space="preserve"> by their care worker go unidentified and unreported</w:t>
      </w:r>
      <w:r w:rsidR="00EE781A">
        <w:t>.</w:t>
      </w:r>
    </w:p>
    <w:p w14:paraId="2D2914C2" w14:textId="4C89E1AB" w:rsidR="0012032A" w:rsidRPr="001B4766" w:rsidRDefault="0012032A" w:rsidP="00E14444"/>
    <w:p w14:paraId="2EC89C28" w14:textId="064AFC32" w:rsidR="00BF7E04" w:rsidRPr="001B4766" w:rsidRDefault="00B56DD3" w:rsidP="00C866C1">
      <w:pPr>
        <w:pStyle w:val="Heading1"/>
      </w:pPr>
      <w:bookmarkStart w:id="16" w:name="_Toc77848157"/>
      <w:r w:rsidRPr="001B4766">
        <w:br w:type="column"/>
      </w:r>
      <w:bookmarkStart w:id="17" w:name="_Toc80694364"/>
      <w:r w:rsidR="00D16E81" w:rsidRPr="001B4766">
        <w:lastRenderedPageBreak/>
        <w:t>M</w:t>
      </w:r>
      <w:r w:rsidR="00BF7E04" w:rsidRPr="001B4766">
        <w:t>anag</w:t>
      </w:r>
      <w:r w:rsidR="00D16E81" w:rsidRPr="001B4766">
        <w:t>ing</w:t>
      </w:r>
      <w:r w:rsidR="00BF7E04" w:rsidRPr="001B4766">
        <w:t xml:space="preserve"> and prevent</w:t>
      </w:r>
      <w:r w:rsidR="00D16E81" w:rsidRPr="001B4766">
        <w:t>ing</w:t>
      </w:r>
      <w:r w:rsidR="00BF7E04" w:rsidRPr="001B4766">
        <w:t xml:space="preserve"> incidents</w:t>
      </w:r>
      <w:bookmarkEnd w:id="16"/>
      <w:bookmarkEnd w:id="17"/>
    </w:p>
    <w:p w14:paraId="09A24031" w14:textId="77777777" w:rsidR="0048323A" w:rsidRDefault="0048323A" w:rsidP="0048323A">
      <w:pPr>
        <w:pStyle w:val="mpcNormal"/>
      </w:pPr>
      <w:bookmarkStart w:id="18" w:name="_Toc77848158"/>
    </w:p>
    <w:p w14:paraId="5B2C9058" w14:textId="3ACEB760" w:rsidR="006C3D4D" w:rsidRDefault="00E41FAE" w:rsidP="0048323A">
      <w:r>
        <w:t>As described in the consultation paper, u</w:t>
      </w:r>
      <w:r w:rsidR="00983EF7" w:rsidRPr="001B4766">
        <w:t xml:space="preserve">nder the </w:t>
      </w:r>
      <w:r w:rsidR="00F939F2">
        <w:t xml:space="preserve">Aged Care Quality </w:t>
      </w:r>
      <w:r w:rsidR="00983EF7" w:rsidRPr="001B4766">
        <w:t>Standards, all providers are required to have effective risk management systems and practices for preventing and managing incidents.</w:t>
      </w:r>
      <w:r>
        <w:t xml:space="preserve"> </w:t>
      </w:r>
      <w:r w:rsidR="00983EF7" w:rsidRPr="001B4766">
        <w:t>In</w:t>
      </w:r>
      <w:r>
        <w:t xml:space="preserve"> addition, providers of</w:t>
      </w:r>
      <w:r w:rsidR="00983EF7" w:rsidRPr="001B4766">
        <w:t xml:space="preserve"> residential care also have specific responsibilities relating to incident management and prevention</w:t>
      </w:r>
      <w:r>
        <w:t>.</w:t>
      </w:r>
    </w:p>
    <w:p w14:paraId="06063E74" w14:textId="3A41A483" w:rsidR="006C3D4D" w:rsidRPr="001A10AC" w:rsidRDefault="006C3D4D" w:rsidP="00E14444"/>
    <w:p w14:paraId="06B5BB5A" w14:textId="6F92FC78" w:rsidR="00983EF7" w:rsidRPr="001B4766" w:rsidRDefault="006A3198" w:rsidP="00E14444">
      <w:r>
        <w:t>The consultation paper</w:t>
      </w:r>
      <w:r w:rsidR="00983EF7" w:rsidRPr="001B4766">
        <w:t xml:space="preserve"> proposed that these</w:t>
      </w:r>
      <w:r w:rsidR="00A631CB">
        <w:t xml:space="preserve"> same</w:t>
      </w:r>
      <w:r w:rsidR="00983EF7" w:rsidRPr="001B4766">
        <w:t xml:space="preserve"> responsibilities </w:t>
      </w:r>
      <w:r w:rsidR="00A631CB">
        <w:t>be</w:t>
      </w:r>
      <w:r w:rsidR="00983EF7" w:rsidRPr="001B4766">
        <w:t xml:space="preserve"> appl</w:t>
      </w:r>
      <w:r w:rsidR="00A631CB">
        <w:t>ied</w:t>
      </w:r>
      <w:r w:rsidR="00983EF7" w:rsidRPr="001B4766">
        <w:t xml:space="preserve"> to providers of in-home services in respect of:</w:t>
      </w:r>
    </w:p>
    <w:p w14:paraId="3D73C523" w14:textId="106F9630" w:rsidR="00983EF7" w:rsidRDefault="00983EF7" w:rsidP="00E14444"/>
    <w:p w14:paraId="2C9FAA0B" w14:textId="77777777" w:rsidR="00C866C1" w:rsidRPr="00C866C1" w:rsidRDefault="00C866C1" w:rsidP="00C866C1">
      <w:pPr>
        <w:ind w:left="360" w:right="990"/>
        <w:rPr>
          <w:i/>
          <w:iCs/>
        </w:rPr>
      </w:pPr>
      <w:r w:rsidRPr="00C866C1">
        <w:rPr>
          <w:i/>
          <w:iCs/>
        </w:rPr>
        <w:t xml:space="preserve">Any act, omission, event or circumstance that occurs </w:t>
      </w:r>
      <w:r w:rsidRPr="00C866C1">
        <w:rPr>
          <w:b/>
          <w:i/>
          <w:iCs/>
        </w:rPr>
        <w:t>in connection with</w:t>
      </w:r>
      <w:r w:rsidRPr="00C866C1">
        <w:rPr>
          <w:i/>
          <w:iCs/>
        </w:rPr>
        <w:t xml:space="preserve"> </w:t>
      </w:r>
      <w:r w:rsidRPr="00C866C1">
        <w:rPr>
          <w:b/>
          <w:i/>
          <w:iCs/>
        </w:rPr>
        <w:t>the provision of care or services</w:t>
      </w:r>
      <w:r w:rsidRPr="00C866C1">
        <w:rPr>
          <w:i/>
          <w:iCs/>
        </w:rPr>
        <w:t xml:space="preserve"> that:</w:t>
      </w:r>
    </w:p>
    <w:p w14:paraId="044B370D" w14:textId="77777777" w:rsidR="00C866C1" w:rsidRPr="00C866C1" w:rsidRDefault="00C866C1" w:rsidP="00C866C1">
      <w:pPr>
        <w:ind w:left="360" w:right="990"/>
        <w:rPr>
          <w:i/>
          <w:iCs/>
        </w:rPr>
      </w:pPr>
    </w:p>
    <w:p w14:paraId="548B9309" w14:textId="77777777" w:rsidR="00C866C1" w:rsidRPr="00C866C1" w:rsidRDefault="00C866C1" w:rsidP="00C866C1">
      <w:pPr>
        <w:pStyle w:val="ListBullet"/>
        <w:ind w:left="720" w:right="990"/>
        <w:rPr>
          <w:i/>
          <w:iCs/>
        </w:rPr>
      </w:pPr>
      <w:r w:rsidRPr="00C866C1">
        <w:rPr>
          <w:i/>
          <w:iCs/>
        </w:rPr>
        <w:t>has (or could reasonably be expected to have) caused harm to a consumer or another person (such as a staff member), or</w:t>
      </w:r>
    </w:p>
    <w:p w14:paraId="6F6CA115" w14:textId="77777777" w:rsidR="00C866C1" w:rsidRPr="00C866C1" w:rsidRDefault="00C866C1" w:rsidP="00C866C1">
      <w:pPr>
        <w:pStyle w:val="ListBullet"/>
        <w:ind w:left="720" w:right="990"/>
        <w:rPr>
          <w:i/>
          <w:iCs/>
        </w:rPr>
      </w:pPr>
      <w:r w:rsidRPr="00C866C1">
        <w:rPr>
          <w:i/>
          <w:iCs/>
        </w:rPr>
        <w:t>is suspected or alleged to have (or could reasonably be expected to have) caused harm to a consumer or another person, or</w:t>
      </w:r>
    </w:p>
    <w:p w14:paraId="23E17A85" w14:textId="4CD701CB" w:rsidR="00C866C1" w:rsidRPr="00C866C1" w:rsidRDefault="00C866C1" w:rsidP="00C866C1">
      <w:pPr>
        <w:pStyle w:val="ListBullet"/>
        <w:ind w:left="720" w:right="990"/>
        <w:rPr>
          <w:i/>
          <w:iCs/>
        </w:rPr>
      </w:pPr>
      <w:r w:rsidRPr="00C866C1">
        <w:rPr>
          <w:i/>
          <w:iCs/>
        </w:rPr>
        <w:t>the provider becomes aware of and that has caused harm to the consumer.</w:t>
      </w:r>
    </w:p>
    <w:p w14:paraId="770C4428" w14:textId="77777777" w:rsidR="00C866C1" w:rsidRPr="001B4766" w:rsidRDefault="00C866C1" w:rsidP="00E14444"/>
    <w:p w14:paraId="1E09784C" w14:textId="1904362E" w:rsidR="00983EF7" w:rsidRDefault="001A10AC" w:rsidP="00E14444">
      <w:r w:rsidRPr="001A10AC">
        <w:rPr>
          <w:bCs/>
        </w:rPr>
        <w:t>Under the proposed requirements,</w:t>
      </w:r>
      <w:r>
        <w:rPr>
          <w:b/>
        </w:rPr>
        <w:t xml:space="preserve"> </w:t>
      </w:r>
      <w:r w:rsidR="00983EF7" w:rsidRPr="001B4766">
        <w:rPr>
          <w:b/>
        </w:rPr>
        <w:t>‘</w:t>
      </w:r>
      <w:r>
        <w:rPr>
          <w:b/>
        </w:rPr>
        <w:t>i</w:t>
      </w:r>
      <w:r w:rsidR="00983EF7" w:rsidRPr="001B4766">
        <w:rPr>
          <w:b/>
        </w:rPr>
        <w:t>n connection with’</w:t>
      </w:r>
      <w:r w:rsidR="00983EF7" w:rsidRPr="001B4766">
        <w:t xml:space="preserve"> is intended to capture incidents that have occurred during the course of providing care and services, or due to the omission of care and services, including incidents that:</w:t>
      </w:r>
    </w:p>
    <w:p w14:paraId="4422C07E" w14:textId="77777777" w:rsidR="001A10AC" w:rsidRPr="001B4766" w:rsidRDefault="001A10AC" w:rsidP="00E14444"/>
    <w:p w14:paraId="6C58B946" w14:textId="77777777" w:rsidR="00983EF7" w:rsidRPr="0048323A" w:rsidRDefault="00983EF7" w:rsidP="00C866C1">
      <w:pPr>
        <w:pStyle w:val="ListBullet"/>
      </w:pPr>
      <w:r w:rsidRPr="0048323A">
        <w:t>may have occurred during the course of supports or services being provided</w:t>
      </w:r>
    </w:p>
    <w:p w14:paraId="22C89F14" w14:textId="5917165D" w:rsidR="00983EF7" w:rsidRPr="0048323A" w:rsidRDefault="00983EF7" w:rsidP="00C866C1">
      <w:pPr>
        <w:pStyle w:val="ListBullet"/>
      </w:pPr>
      <w:r w:rsidRPr="0048323A">
        <w:t xml:space="preserve">arise out of the provision, alteration or withdrawal of supports or services or </w:t>
      </w:r>
    </w:p>
    <w:p w14:paraId="058B846E" w14:textId="136E3BBB" w:rsidR="00983EF7" w:rsidRDefault="00983EF7" w:rsidP="00C866C1">
      <w:pPr>
        <w:pStyle w:val="ListBullet"/>
      </w:pPr>
      <w:r w:rsidRPr="0048323A">
        <w:t>may not have occurred during the provision of supports or services but are connected because it arose out of the provision of supports or services.</w:t>
      </w:r>
    </w:p>
    <w:p w14:paraId="06F63B38" w14:textId="77777777" w:rsidR="0048323A" w:rsidRPr="0048323A" w:rsidRDefault="0048323A" w:rsidP="00C866C1">
      <w:pPr>
        <w:pStyle w:val="ListBullet"/>
        <w:numPr>
          <w:ilvl w:val="0"/>
          <w:numId w:val="0"/>
        </w:numPr>
        <w:ind w:left="426"/>
      </w:pPr>
    </w:p>
    <w:p w14:paraId="0486B0D3" w14:textId="2F4A955B" w:rsidR="00035248" w:rsidRPr="0048323A" w:rsidRDefault="00035248" w:rsidP="00C866C1">
      <w:pPr>
        <w:pStyle w:val="Heading2"/>
      </w:pPr>
      <w:bookmarkStart w:id="19" w:name="_Toc80694365"/>
      <w:r w:rsidRPr="0048323A">
        <w:t>Incident management requirements</w:t>
      </w:r>
      <w:bookmarkEnd w:id="19"/>
    </w:p>
    <w:p w14:paraId="72E0B509" w14:textId="77777777" w:rsidR="0048323A" w:rsidRDefault="0048323A" w:rsidP="00E14444"/>
    <w:p w14:paraId="08950506" w14:textId="5DDCE6D5" w:rsidR="006A3198" w:rsidRDefault="00D16E81" w:rsidP="00E14444">
      <w:r w:rsidRPr="001B4766">
        <w:t xml:space="preserve">Broadly, stakeholders supported </w:t>
      </w:r>
      <w:r w:rsidR="00983EF7" w:rsidRPr="001B4766">
        <w:t xml:space="preserve">the </w:t>
      </w:r>
      <w:r w:rsidR="00035248" w:rsidRPr="001B4766">
        <w:t xml:space="preserve">proposed </w:t>
      </w:r>
      <w:r w:rsidR="00983EF7" w:rsidRPr="001B4766">
        <w:t>requirements for incident management and prevention</w:t>
      </w:r>
      <w:r w:rsidR="006A3198">
        <w:t>, noting that requirements for residential care</w:t>
      </w:r>
      <w:r w:rsidR="006A3198">
        <w:rPr>
          <w:rFonts w:cstheme="minorHAnsi"/>
        </w:rPr>
        <w:t xml:space="preserve"> could equally apply in the </w:t>
      </w:r>
      <w:r w:rsidR="007613AD">
        <w:rPr>
          <w:rFonts w:cstheme="minorHAnsi"/>
        </w:rPr>
        <w:t>in-</w:t>
      </w:r>
      <w:r w:rsidR="006A3198">
        <w:rPr>
          <w:rFonts w:cstheme="minorHAnsi"/>
        </w:rPr>
        <w:t>home services context</w:t>
      </w:r>
      <w:r w:rsidR="00DC12CA">
        <w:t>.</w:t>
      </w:r>
      <w:r w:rsidR="00977F76">
        <w:t xml:space="preserve"> </w:t>
      </w:r>
    </w:p>
    <w:p w14:paraId="729528A5" w14:textId="77777777" w:rsidR="006A3198" w:rsidRDefault="006A3198" w:rsidP="00E14444"/>
    <w:p w14:paraId="7D728FE2" w14:textId="57EE7897" w:rsidR="00D16E81" w:rsidRDefault="00977F76" w:rsidP="00E14444">
      <w:r>
        <w:t>Stakeholders commented that:</w:t>
      </w:r>
    </w:p>
    <w:p w14:paraId="55CFB221" w14:textId="41BC5BBA" w:rsidR="00DC12CA" w:rsidRDefault="00DC12CA" w:rsidP="00E14444"/>
    <w:p w14:paraId="7217B407" w14:textId="08C0A14F" w:rsidR="00977F76" w:rsidRDefault="00977F76" w:rsidP="00C866C1">
      <w:pPr>
        <w:pStyle w:val="ListBullet"/>
      </w:pPr>
      <w:r w:rsidRPr="00977F76">
        <w:t>“There should be strengthened language around specific provider responsibility for the efficient management of incidents and risk mitigation”.</w:t>
      </w:r>
    </w:p>
    <w:p w14:paraId="60F9103D" w14:textId="545F337A" w:rsidR="00977F76" w:rsidRPr="00977F76" w:rsidRDefault="00977F76" w:rsidP="00C866C1">
      <w:pPr>
        <w:pStyle w:val="ListBullet"/>
      </w:pPr>
      <w:r>
        <w:t>“People living in their own home are sometimes more vulnerable than those in residential care where there are many checks and balances and pairs of eyes watching”</w:t>
      </w:r>
      <w:r w:rsidR="0048323A">
        <w:t>.</w:t>
      </w:r>
    </w:p>
    <w:p w14:paraId="01D4D4E0" w14:textId="5CF7384A" w:rsidR="00977F76" w:rsidRDefault="00977F76" w:rsidP="00E14444"/>
    <w:p w14:paraId="13376174" w14:textId="4C780F45" w:rsidR="00977F76" w:rsidRDefault="00977F76" w:rsidP="00E14444">
      <w:pPr>
        <w:rPr>
          <w:rFonts w:cstheme="minorHAnsi"/>
        </w:rPr>
      </w:pPr>
      <w:r>
        <w:t xml:space="preserve">Stakeholders </w:t>
      </w:r>
      <w:r w:rsidR="006A3198">
        <w:t>also noted</w:t>
      </w:r>
      <w:r>
        <w:t xml:space="preserve"> the importance of training and development for workers to feel confident in assessing risk within the home and implementing strategies to mitigate risk and prevent incidents.</w:t>
      </w:r>
    </w:p>
    <w:p w14:paraId="00F2CC42" w14:textId="77777777" w:rsidR="00977F76" w:rsidRPr="001B4766" w:rsidRDefault="00977F76" w:rsidP="00E14444"/>
    <w:p w14:paraId="7D63C807" w14:textId="275DA5E2" w:rsidR="00DB1196" w:rsidRPr="001B4766" w:rsidRDefault="007613AD" w:rsidP="00E14444">
      <w:r>
        <w:t>Some</w:t>
      </w:r>
      <w:r w:rsidR="00272E98" w:rsidRPr="001B4766">
        <w:t xml:space="preserve"> stakeholders</w:t>
      </w:r>
      <w:r w:rsidR="00C52562" w:rsidRPr="001B4766">
        <w:t xml:space="preserve"> (particularly in-home service providers)</w:t>
      </w:r>
      <w:r w:rsidR="00272E98" w:rsidRPr="001B4766">
        <w:t xml:space="preserve"> were concerned that the proposed requirements were not necessarily feasible in the context of in-home services</w:t>
      </w:r>
      <w:r>
        <w:t>, particularly noting, f</w:t>
      </w:r>
      <w:r w:rsidR="00272E98" w:rsidRPr="001B4766">
        <w:t>or example:</w:t>
      </w:r>
    </w:p>
    <w:p w14:paraId="67DD0256" w14:textId="77777777" w:rsidR="007722AA" w:rsidRPr="001B4766" w:rsidRDefault="007722AA" w:rsidP="00E14444"/>
    <w:p w14:paraId="7115E269" w14:textId="622634FC" w:rsidR="00B06044" w:rsidRPr="001B4766" w:rsidRDefault="007613AD" w:rsidP="00C866C1">
      <w:pPr>
        <w:pStyle w:val="ListBullet"/>
      </w:pPr>
      <w:r>
        <w:t xml:space="preserve">the </w:t>
      </w:r>
      <w:r w:rsidR="00B06044" w:rsidRPr="001B4766">
        <w:t>nature of service delivery in a consumer’s home</w:t>
      </w:r>
      <w:r>
        <w:t xml:space="preserve"> limits the</w:t>
      </w:r>
      <w:r w:rsidR="00B06044" w:rsidRPr="001B4766">
        <w:t xml:space="preserve"> provider’s ability to manage and respond to incidents</w:t>
      </w:r>
    </w:p>
    <w:p w14:paraId="4C4F683F" w14:textId="04CF1AC0" w:rsidR="00D16E81" w:rsidRPr="001B4766" w:rsidRDefault="005B1224" w:rsidP="00C866C1">
      <w:pPr>
        <w:pStyle w:val="ListBullet"/>
      </w:pPr>
      <w:r w:rsidRPr="001B4766">
        <w:lastRenderedPageBreak/>
        <w:t xml:space="preserve">a </w:t>
      </w:r>
      <w:r w:rsidR="00DB1196" w:rsidRPr="001B4766">
        <w:t>provider</w:t>
      </w:r>
      <w:r w:rsidRPr="001B4766">
        <w:t>’s</w:t>
      </w:r>
      <w:r w:rsidR="00DB1196" w:rsidRPr="001B4766">
        <w:t xml:space="preserve"> responsibility to prevent and manage incidents should be proportionate to the services being delivered</w:t>
      </w:r>
      <w:r w:rsidR="00272E98" w:rsidRPr="001B4766">
        <w:t xml:space="preserve"> (noting the variety of service</w:t>
      </w:r>
      <w:r w:rsidR="00120855" w:rsidRPr="001B4766">
        <w:t xml:space="preserve"> type</w:t>
      </w:r>
      <w:r w:rsidR="00272E98" w:rsidRPr="001B4766">
        <w:t xml:space="preserve">s provided under </w:t>
      </w:r>
      <w:r w:rsidR="00120855" w:rsidRPr="001B4766">
        <w:t>in-home services)</w:t>
      </w:r>
    </w:p>
    <w:p w14:paraId="3EE1CA76" w14:textId="4F14548A" w:rsidR="00573CB0" w:rsidRPr="001A10AC" w:rsidRDefault="00573CB0" w:rsidP="0048323A">
      <w:pPr>
        <w:pStyle w:val="ListBullet2"/>
      </w:pPr>
      <w:r w:rsidRPr="001A10AC">
        <w:t xml:space="preserve">“If a provider provides domestic support or personal </w:t>
      </w:r>
      <w:r w:rsidR="001A10AC" w:rsidRPr="001A10AC">
        <w:t>care,</w:t>
      </w:r>
      <w:r w:rsidRPr="001A10AC">
        <w:t xml:space="preserve"> they would have a greater ability to comply to the new suggested SIRS policy but if provider is transport only or meals </w:t>
      </w:r>
      <w:r w:rsidR="001A10AC" w:rsidRPr="001A10AC">
        <w:t>only,</w:t>
      </w:r>
      <w:r w:rsidRPr="001A10AC">
        <w:t xml:space="preserve"> they would not be able to comply”</w:t>
      </w:r>
      <w:r w:rsidR="00A4210C">
        <w:t>.</w:t>
      </w:r>
    </w:p>
    <w:p w14:paraId="1720E5BC" w14:textId="59FC0993" w:rsidR="00573CB0" w:rsidRPr="001A10AC" w:rsidRDefault="00573CB0" w:rsidP="0048323A">
      <w:pPr>
        <w:pStyle w:val="ListBullet2"/>
      </w:pPr>
      <w:r w:rsidRPr="001A10AC">
        <w:t>“Only providers of home care packages should be required to comply with these requirements as they have a more significant role in providing care for consumers, whereas CHSP providers have minimal contact and care responsibilities and should not be asked to manage incidents for these clients”</w:t>
      </w:r>
      <w:r w:rsidR="00A4210C">
        <w:t>.</w:t>
      </w:r>
    </w:p>
    <w:p w14:paraId="451DFC32" w14:textId="40696018" w:rsidR="00573CB0" w:rsidRPr="001A10AC" w:rsidRDefault="00573CB0" w:rsidP="0048323A">
      <w:pPr>
        <w:pStyle w:val="ListBullet2"/>
      </w:pPr>
      <w:r w:rsidRPr="001A10AC">
        <w:t>“</w:t>
      </w:r>
      <w:r w:rsidRPr="001A10AC">
        <w:rPr>
          <w:lang w:eastAsia="en-AU"/>
        </w:rPr>
        <w:t>It is important to consider how this applied to providers who deliver non-care related services and who may only provide services one to two times a year or less frequently</w:t>
      </w:r>
      <w:r w:rsidR="00A4210C">
        <w:rPr>
          <w:lang w:eastAsia="en-AU"/>
        </w:rPr>
        <w:t>,</w:t>
      </w:r>
      <w:r w:rsidRPr="001A10AC">
        <w:rPr>
          <w:lang w:eastAsia="en-AU"/>
        </w:rPr>
        <w:t xml:space="preserve"> e.g. home modifications providers or good</w:t>
      </w:r>
      <w:r w:rsidR="007A061B">
        <w:rPr>
          <w:lang w:eastAsia="en-AU"/>
        </w:rPr>
        <w:t>s</w:t>
      </w:r>
      <w:r w:rsidRPr="001A10AC">
        <w:rPr>
          <w:lang w:eastAsia="en-AU"/>
        </w:rPr>
        <w:t>, equipment and assistive technology providers. These providers have minimal interaction with the consumer and while they have the same responsibility to report they should not necessarily be responsible for investigation and ongoing management of an incident”</w:t>
      </w:r>
      <w:r w:rsidR="00A4210C">
        <w:rPr>
          <w:lang w:eastAsia="en-AU"/>
        </w:rPr>
        <w:t>.</w:t>
      </w:r>
    </w:p>
    <w:p w14:paraId="107690DB" w14:textId="31132EBC" w:rsidR="005B1224" w:rsidRPr="001B4766" w:rsidRDefault="00AD6A09" w:rsidP="00C866C1">
      <w:pPr>
        <w:pStyle w:val="ListBullet"/>
      </w:pPr>
      <w:r>
        <w:t>s</w:t>
      </w:r>
      <w:r w:rsidR="00120855" w:rsidRPr="001B4766">
        <w:t xml:space="preserve">ome stakeholders were concerned that </w:t>
      </w:r>
      <w:r w:rsidR="005B1224" w:rsidRPr="001B4766">
        <w:t>a provider’s ability to investigate and assess an incident may be quite limited in this context, including where:</w:t>
      </w:r>
    </w:p>
    <w:p w14:paraId="54E93BD5" w14:textId="31000BA8" w:rsidR="001E2D5D" w:rsidRPr="001B4766" w:rsidRDefault="001E2D5D" w:rsidP="0048323A">
      <w:pPr>
        <w:pStyle w:val="ListBullet2"/>
      </w:pPr>
      <w:r w:rsidRPr="001B4766">
        <w:t>there is unlikely to be an independent witness to incidents</w:t>
      </w:r>
      <w:r w:rsidR="00B06044" w:rsidRPr="001B4766">
        <w:t xml:space="preserve"> occurring in the consumer’s home</w:t>
      </w:r>
    </w:p>
    <w:p w14:paraId="5631866C" w14:textId="55891C91" w:rsidR="00636BDC" w:rsidRPr="001B4766" w:rsidRDefault="00636BDC" w:rsidP="0048323A">
      <w:pPr>
        <w:pStyle w:val="ListBullet2"/>
      </w:pPr>
      <w:r w:rsidRPr="001B4766">
        <w:t>consumers with cognitive impairment d</w:t>
      </w:r>
      <w:r w:rsidR="00CC6F1F">
        <w:t>o</w:t>
      </w:r>
      <w:r w:rsidRPr="001B4766">
        <w:t xml:space="preserve"> not remember or </w:t>
      </w:r>
      <w:r w:rsidR="00CC6F1F">
        <w:t>can</w:t>
      </w:r>
      <w:r w:rsidRPr="001B4766">
        <w:t xml:space="preserve">not describe how an incident occurred </w:t>
      </w:r>
    </w:p>
    <w:p w14:paraId="571DB61A" w14:textId="61238C7B" w:rsidR="00636BDC" w:rsidRPr="001B4766" w:rsidRDefault="00636BDC" w:rsidP="0048323A">
      <w:pPr>
        <w:pStyle w:val="ListBullet2"/>
      </w:pPr>
      <w:r w:rsidRPr="001B4766">
        <w:t>consumers d</w:t>
      </w:r>
      <w:r w:rsidR="00573CB0" w:rsidRPr="001B4766">
        <w:t>o</w:t>
      </w:r>
      <w:r w:rsidRPr="001B4766">
        <w:t xml:space="preserve"> not wish for an incident to be investigated</w:t>
      </w:r>
      <w:r w:rsidR="00573CB0" w:rsidRPr="001B4766">
        <w:t xml:space="preserve"> or are not willing to be involved in the investigation</w:t>
      </w:r>
    </w:p>
    <w:p w14:paraId="2C016FD9" w14:textId="0819D007" w:rsidR="00573CB0" w:rsidRPr="001B4766" w:rsidRDefault="00573CB0" w:rsidP="0048323A">
      <w:pPr>
        <w:pStyle w:val="ListBullet2"/>
      </w:pPr>
      <w:r w:rsidRPr="001B4766">
        <w:t xml:space="preserve">workers only identify that an incident occurred </w:t>
      </w:r>
      <w:r w:rsidR="001A10AC" w:rsidRPr="001B4766">
        <w:t>sometime</w:t>
      </w:r>
      <w:r w:rsidRPr="001B4766">
        <w:t xml:space="preserve"> after it occurred, by which point an investigation may not be warranted</w:t>
      </w:r>
      <w:r w:rsidR="00B06044" w:rsidRPr="001B4766">
        <w:t>.</w:t>
      </w:r>
    </w:p>
    <w:p w14:paraId="29E6DF41" w14:textId="39CDFB23" w:rsidR="0048323A" w:rsidRDefault="0048323A" w:rsidP="0048323A">
      <w:pPr>
        <w:pStyle w:val="Heading4"/>
      </w:pPr>
    </w:p>
    <w:p w14:paraId="641AA9F7" w14:textId="47C25C31" w:rsidR="00D73BD9" w:rsidRDefault="00CD6D50" w:rsidP="00D73BD9">
      <w:pPr>
        <w:widowControl w:val="0"/>
        <w:snapToGrid w:val="0"/>
        <w:contextualSpacing/>
        <w:rPr>
          <w:rFonts w:cstheme="minorHAnsi"/>
        </w:rPr>
      </w:pPr>
      <w:r>
        <w:rPr>
          <w:rFonts w:cstheme="minorHAnsi"/>
        </w:rPr>
        <w:t>S</w:t>
      </w:r>
      <w:r w:rsidR="00D73BD9">
        <w:rPr>
          <w:rFonts w:cstheme="minorHAnsi"/>
        </w:rPr>
        <w:t xml:space="preserve">takeholders </w:t>
      </w:r>
      <w:r w:rsidR="00C513EA">
        <w:rPr>
          <w:rFonts w:cstheme="minorHAnsi"/>
        </w:rPr>
        <w:t>also noted</w:t>
      </w:r>
      <w:r w:rsidR="00D73BD9">
        <w:rPr>
          <w:rFonts w:cstheme="minorHAnsi"/>
        </w:rPr>
        <w:t xml:space="preserve"> that</w:t>
      </w:r>
      <w:r>
        <w:rPr>
          <w:rFonts w:cstheme="minorHAnsi"/>
        </w:rPr>
        <w:t>, in scenarios where care of a consumer is shared,</w:t>
      </w:r>
      <w:r w:rsidR="00D73BD9">
        <w:rPr>
          <w:rFonts w:cstheme="minorHAnsi"/>
        </w:rPr>
        <w:t xml:space="preserve"> a key issue for resolution is whether or not providers will be required to record allegations or suspicions relating to another provider in their own incident management system.</w:t>
      </w:r>
    </w:p>
    <w:p w14:paraId="5DA12F9D" w14:textId="77777777" w:rsidR="00D73BD9" w:rsidRPr="00D73BD9" w:rsidRDefault="00D73BD9" w:rsidP="00D73BD9"/>
    <w:p w14:paraId="388E632E" w14:textId="6346B050" w:rsidR="00983EF7" w:rsidRPr="001B4766" w:rsidRDefault="00035248" w:rsidP="00C866C1">
      <w:pPr>
        <w:pStyle w:val="Heading2"/>
      </w:pPr>
      <w:bookmarkStart w:id="20" w:name="_Toc80694366"/>
      <w:r w:rsidRPr="001B4766">
        <w:t>Scope of incidents</w:t>
      </w:r>
      <w:bookmarkEnd w:id="20"/>
    </w:p>
    <w:p w14:paraId="059CB1B7" w14:textId="77777777" w:rsidR="0048323A" w:rsidRDefault="0048323A" w:rsidP="00E14444"/>
    <w:p w14:paraId="1663A9FA" w14:textId="23C92749" w:rsidR="001F59B4" w:rsidRDefault="001F59B4" w:rsidP="00E14444">
      <w:r w:rsidRPr="001B4766">
        <w:t xml:space="preserve">Stakeholders </w:t>
      </w:r>
      <w:r w:rsidR="008E0BA9">
        <w:t>expressed differing views</w:t>
      </w:r>
      <w:r w:rsidRPr="001B4766">
        <w:t xml:space="preserve"> </w:t>
      </w:r>
      <w:r w:rsidR="008E0BA9">
        <w:t>as to</w:t>
      </w:r>
      <w:r w:rsidRPr="001B4766">
        <w:t xml:space="preserve"> whether the scope of ‘in connection with’ should be tied solely to incidents that have occurred as a result of the actions of the provider, or whether they should also include incidents perpetrated by other parties (such as family members, neighbours or other members of the household). </w:t>
      </w:r>
      <w:r w:rsidR="008E0BA9">
        <w:t>There were also mixed views as to whether the requirements should also include incidents about a person other than the care recipient.</w:t>
      </w:r>
    </w:p>
    <w:p w14:paraId="283B816C" w14:textId="77777777" w:rsidR="00AF1AC7" w:rsidRPr="001B4766" w:rsidRDefault="00AF1AC7" w:rsidP="00E14444"/>
    <w:p w14:paraId="0DE0D43E" w14:textId="7A59B6DF" w:rsidR="00AF1AC7" w:rsidRPr="001B4766" w:rsidRDefault="00AF1AC7" w:rsidP="00E14444">
      <w:r w:rsidRPr="001B4766">
        <w:t xml:space="preserve">Some stakeholders considered that the proposed scope was too broad or unclear and needed to be tightened, particularly to ensure that providers aren’t required to </w:t>
      </w:r>
      <w:r w:rsidR="003579A9">
        <w:t>assert</w:t>
      </w:r>
      <w:r w:rsidRPr="001B4766">
        <w:t xml:space="preserve"> control over aspects of consumers’ lives that they are not involved in. </w:t>
      </w:r>
      <w:r w:rsidRPr="001A10AC">
        <w:rPr>
          <w:i/>
          <w:iCs/>
          <w:lang w:eastAsia="en-AU"/>
        </w:rPr>
        <w:t>“It is unreasonable to expect providers to manage incidents in which they have had no part”.</w:t>
      </w:r>
    </w:p>
    <w:p w14:paraId="45249A2D" w14:textId="77777777" w:rsidR="00AF1AC7" w:rsidRPr="001B4766" w:rsidRDefault="00AF1AC7" w:rsidP="00E14444"/>
    <w:p w14:paraId="194620BC" w14:textId="0C4AAEF7" w:rsidR="00CC6F1F" w:rsidRPr="001B4766" w:rsidRDefault="003579A9" w:rsidP="00E14444">
      <w:r>
        <w:t>These stakeholders</w:t>
      </w:r>
      <w:r w:rsidR="00CC6F1F" w:rsidRPr="001B4766">
        <w:t xml:space="preserve"> suggested that incident management and prevention requirements be clarified</w:t>
      </w:r>
      <w:r w:rsidR="00CC6F1F">
        <w:t xml:space="preserve"> and </w:t>
      </w:r>
      <w:r w:rsidR="00CC6F1F" w:rsidRPr="001B4766">
        <w:t xml:space="preserve">more strongly tied to incidents that occur </w:t>
      </w:r>
      <w:r w:rsidR="00AD6DD2" w:rsidRPr="001B4766">
        <w:t>because of</w:t>
      </w:r>
      <w:r w:rsidR="00CC6F1F" w:rsidRPr="001B4766">
        <w:t xml:space="preserve"> the actions (or inaction) of the provider/worker. </w:t>
      </w:r>
      <w:r w:rsidR="00CC6F1F">
        <w:t>Stakeholders suggested that i</w:t>
      </w:r>
      <w:r w:rsidR="00CC6F1F" w:rsidRPr="001B4766">
        <w:t xml:space="preserve">ncidents to be managed and prevented by providers </w:t>
      </w:r>
      <w:r w:rsidR="00CC6F1F">
        <w:t>sh</w:t>
      </w:r>
      <w:r w:rsidR="00CC6F1F" w:rsidRPr="001B4766">
        <w:t>ould include:</w:t>
      </w:r>
    </w:p>
    <w:p w14:paraId="32629953" w14:textId="77777777" w:rsidR="00CC6F1F" w:rsidRPr="001B4766" w:rsidRDefault="00CC6F1F" w:rsidP="00E14444"/>
    <w:p w14:paraId="0BA0D481" w14:textId="77777777" w:rsidR="00CC6F1F" w:rsidRPr="001B4766" w:rsidRDefault="00CC6F1F" w:rsidP="00C866C1">
      <w:pPr>
        <w:pStyle w:val="ListBullet"/>
      </w:pPr>
      <w:r w:rsidRPr="001B4766">
        <w:t>incidents perpetrated by, or resulting from the conduct of, staff of the provider</w:t>
      </w:r>
    </w:p>
    <w:p w14:paraId="34051A0D" w14:textId="1F934930" w:rsidR="00CC6F1F" w:rsidRPr="001B4766" w:rsidRDefault="00CC6F1F" w:rsidP="00C866C1">
      <w:pPr>
        <w:pStyle w:val="ListBullet"/>
      </w:pPr>
      <w:r w:rsidRPr="001B4766">
        <w:t>incidents that have occurred</w:t>
      </w:r>
      <w:r w:rsidR="003579A9">
        <w:t xml:space="preserve"> during the provision of, or</w:t>
      </w:r>
      <w:r w:rsidRPr="001B4766">
        <w:t xml:space="preserve"> as a consequence of</w:t>
      </w:r>
      <w:r w:rsidR="003579A9">
        <w:t>,</w:t>
      </w:r>
      <w:r w:rsidRPr="001B4766">
        <w:t xml:space="preserve"> the care and services. For example:</w:t>
      </w:r>
    </w:p>
    <w:p w14:paraId="42C53F9C" w14:textId="77777777" w:rsidR="00CC6F1F" w:rsidRPr="0048323A" w:rsidRDefault="00CC6F1F" w:rsidP="0048323A">
      <w:pPr>
        <w:pStyle w:val="ListBullet2"/>
      </w:pPr>
      <w:r w:rsidRPr="0048323A">
        <w:lastRenderedPageBreak/>
        <w:t>where a consumer has fallen while being showered by a worker</w:t>
      </w:r>
    </w:p>
    <w:p w14:paraId="24262A2D" w14:textId="0BD067AA" w:rsidR="00CC6F1F" w:rsidRDefault="00CC6F1F" w:rsidP="0048323A">
      <w:pPr>
        <w:pStyle w:val="ListBullet2"/>
      </w:pPr>
      <w:r w:rsidRPr="0048323A">
        <w:t xml:space="preserve">where </w:t>
      </w:r>
      <w:r w:rsidR="003579A9">
        <w:t>a consumer is dropped while being moved</w:t>
      </w:r>
    </w:p>
    <w:p w14:paraId="55259DA1" w14:textId="072B36EF" w:rsidR="003579A9" w:rsidRPr="00CC6F1F" w:rsidRDefault="003579A9" w:rsidP="0048323A">
      <w:pPr>
        <w:pStyle w:val="ListBullet2"/>
      </w:pPr>
      <w:r>
        <w:rPr>
          <w:rFonts w:cstheme="minorHAnsi"/>
        </w:rPr>
        <w:t>where the provider installs a grab rail in the shower and</w:t>
      </w:r>
      <w:r w:rsidR="00AD6DD2">
        <w:rPr>
          <w:rFonts w:cstheme="minorHAnsi"/>
        </w:rPr>
        <w:t>,</w:t>
      </w:r>
      <w:r>
        <w:rPr>
          <w:rFonts w:cstheme="minorHAnsi"/>
        </w:rPr>
        <w:t xml:space="preserve"> due to poor installation, it </w:t>
      </w:r>
      <w:r w:rsidR="00AD6DD2">
        <w:rPr>
          <w:rFonts w:cstheme="minorHAnsi"/>
        </w:rPr>
        <w:t>collapses,</w:t>
      </w:r>
      <w:r>
        <w:rPr>
          <w:rFonts w:cstheme="minorHAnsi"/>
        </w:rPr>
        <w:t xml:space="preserve"> and the consumer is injured</w:t>
      </w:r>
    </w:p>
    <w:p w14:paraId="672CC667" w14:textId="77777777" w:rsidR="00CC6F1F" w:rsidRPr="001B4766" w:rsidRDefault="00CC6F1F" w:rsidP="00C866C1">
      <w:pPr>
        <w:pStyle w:val="ListBullet"/>
      </w:pPr>
      <w:r w:rsidRPr="00CC6F1F">
        <w:t>incidents that have occurred as a consequence of the provider failing</w:t>
      </w:r>
      <w:r w:rsidRPr="001B4766">
        <w:t xml:space="preserve"> to provide care and services in line with assessed care needs. For example:</w:t>
      </w:r>
    </w:p>
    <w:p w14:paraId="3BC45740" w14:textId="77777777" w:rsidR="00CC6F1F" w:rsidRPr="001B4766" w:rsidRDefault="00CC6F1F" w:rsidP="0048323A">
      <w:pPr>
        <w:pStyle w:val="ListBullet2"/>
      </w:pPr>
      <w:r w:rsidRPr="001B4766">
        <w:t xml:space="preserve">missed services for consumers where harm may reasonably be assumed to be a risk, e.g. missed transport to renal dialysis </w:t>
      </w:r>
    </w:p>
    <w:p w14:paraId="7654196C" w14:textId="5AA5CB7B" w:rsidR="00CC6F1F" w:rsidRPr="001B4766" w:rsidRDefault="00CC6F1F" w:rsidP="0048323A">
      <w:pPr>
        <w:pStyle w:val="ListBullet2"/>
      </w:pPr>
      <w:r w:rsidRPr="001B4766">
        <w:t xml:space="preserve">services that are not provided as per the consumer’s assessed care needs and preferences, e.g. </w:t>
      </w:r>
      <w:r w:rsidR="003579A9" w:rsidRPr="0048323A">
        <w:t>a consumer’s</w:t>
      </w:r>
      <w:r w:rsidR="003579A9" w:rsidRPr="00CC6F1F">
        <w:t xml:space="preserve"> wound has </w:t>
      </w:r>
      <w:r w:rsidR="003579A9">
        <w:t>increased in size because t</w:t>
      </w:r>
      <w:r w:rsidR="003579A9" w:rsidRPr="00CC6F1F">
        <w:t>he worker</w:t>
      </w:r>
      <w:r w:rsidR="003579A9">
        <w:t xml:space="preserve"> has</w:t>
      </w:r>
      <w:r w:rsidR="003579A9" w:rsidRPr="00CC6F1F">
        <w:t xml:space="preserve"> not follow</w:t>
      </w:r>
      <w:r w:rsidR="003579A9">
        <w:t>ed</w:t>
      </w:r>
      <w:r w:rsidR="003579A9" w:rsidRPr="00CC6F1F">
        <w:t xml:space="preserve"> </w:t>
      </w:r>
      <w:r w:rsidR="003579A9">
        <w:t>instructions</w:t>
      </w:r>
      <w:r w:rsidR="003579A9" w:rsidRPr="00CC6F1F">
        <w:t xml:space="preserve"> regarding how to dress and care for the wound</w:t>
      </w:r>
    </w:p>
    <w:p w14:paraId="13604903" w14:textId="4C63232F" w:rsidR="00CC6F1F" w:rsidRPr="001B4766" w:rsidRDefault="00CC6F1F" w:rsidP="00C866C1">
      <w:pPr>
        <w:pStyle w:val="ListBullet"/>
      </w:pPr>
      <w:r w:rsidRPr="001B4766">
        <w:t>incidents that have occurred as a consequence of the conduct of other consumers attending in-home services in the community (e.g. transport services or day therapy services).</w:t>
      </w:r>
    </w:p>
    <w:p w14:paraId="5DCEE476" w14:textId="77777777" w:rsidR="003579A9" w:rsidRPr="001B4766" w:rsidRDefault="003579A9" w:rsidP="00E14444"/>
    <w:p w14:paraId="4DB735CC" w14:textId="017F7EE0" w:rsidR="00C902B9" w:rsidRDefault="00C902B9" w:rsidP="00E14444">
      <w:r>
        <w:t>Some stakeholders highlighted other incidents that providers/workers may witness or become aware of, including:</w:t>
      </w:r>
    </w:p>
    <w:p w14:paraId="3E8AAFAC" w14:textId="77777777" w:rsidR="00C902B9" w:rsidRDefault="00C902B9" w:rsidP="00E14444"/>
    <w:p w14:paraId="4AEF113E" w14:textId="709613BC" w:rsidR="00C902B9" w:rsidRDefault="00CC6F1F" w:rsidP="00C866C1">
      <w:pPr>
        <w:pStyle w:val="ListBullet"/>
      </w:pPr>
      <w:r w:rsidRPr="001B4766">
        <w:t xml:space="preserve">incidents that </w:t>
      </w:r>
      <w:r w:rsidR="00C902B9">
        <w:t>occur</w:t>
      </w:r>
      <w:r w:rsidRPr="001B4766">
        <w:t xml:space="preserve"> </w:t>
      </w:r>
      <w:r w:rsidR="00C902B9">
        <w:t xml:space="preserve">during </w:t>
      </w:r>
      <w:r w:rsidRPr="001B4766">
        <w:t>service</w:t>
      </w:r>
      <w:r w:rsidR="00C902B9">
        <w:t xml:space="preserve"> delivery that are </w:t>
      </w:r>
      <w:r w:rsidR="00896BC6">
        <w:t xml:space="preserve">not </w:t>
      </w:r>
      <w:r w:rsidR="00C902B9">
        <w:t>connected to the worker and/or the care and services being delivered</w:t>
      </w:r>
    </w:p>
    <w:p w14:paraId="0464D2F7" w14:textId="77777777" w:rsidR="00C902B9" w:rsidRPr="00C902B9" w:rsidRDefault="00C902B9" w:rsidP="00C866C1">
      <w:pPr>
        <w:pStyle w:val="ListBullet"/>
      </w:pPr>
      <w:r>
        <w:t xml:space="preserve">incidents of elder abuse perpetrated by family or other members of the consumer’s household </w:t>
      </w:r>
    </w:p>
    <w:p w14:paraId="3A685A88" w14:textId="1B17FA67" w:rsidR="00C902B9" w:rsidRPr="00C902B9" w:rsidRDefault="00C902B9" w:rsidP="00C866C1">
      <w:pPr>
        <w:pStyle w:val="ListBullet"/>
      </w:pPr>
      <w:r>
        <w:t>incidents that are perpetrated by consumers against their informal carers (e.g. where the consumer has dementia)</w:t>
      </w:r>
      <w:r w:rsidRPr="00C902B9">
        <w:t>.</w:t>
      </w:r>
    </w:p>
    <w:p w14:paraId="3F9EA5B2" w14:textId="45906FCF" w:rsidR="00CC6F1F" w:rsidRDefault="00CC6F1F" w:rsidP="00E14444"/>
    <w:p w14:paraId="2FC2E978" w14:textId="26EC19F2" w:rsidR="00733BBE" w:rsidRDefault="00733BBE" w:rsidP="00E14444">
      <w:r w:rsidRPr="001B4766">
        <w:t>A number of</w:t>
      </w:r>
      <w:r w:rsidR="001F59B4" w:rsidRPr="001B4766">
        <w:t xml:space="preserve"> stakeholders highlighted that most incidents of elder abuse that occur in the home are perpetrated by family members or other members of the household, and that there should be a mechanism for managing and preventing such incidents. </w:t>
      </w:r>
      <w:r w:rsidR="00C902B9">
        <w:t xml:space="preserve">However, </w:t>
      </w:r>
      <w:r w:rsidR="008E0BA9">
        <w:t>it was</w:t>
      </w:r>
      <w:r w:rsidR="00675F84">
        <w:t xml:space="preserve"> generally</w:t>
      </w:r>
      <w:r w:rsidR="00C902B9">
        <w:t xml:space="preserve"> agreed that these should continue to be managed through existing mechanisms (such as reporting to police</w:t>
      </w:r>
      <w:r w:rsidR="00675F84">
        <w:t xml:space="preserve"> and in line with the national agenda</w:t>
      </w:r>
      <w:r w:rsidR="00C902B9">
        <w:t xml:space="preserve">) and that, while providers may choose to include such incidents in their </w:t>
      </w:r>
      <w:r w:rsidR="00675F84">
        <w:t>incident management systems</w:t>
      </w:r>
      <w:r w:rsidR="00C902B9">
        <w:t>, this should not be mandated under the SIRS due to limitations in the provider’s ability to manage and prevent such incidents.</w:t>
      </w:r>
    </w:p>
    <w:p w14:paraId="4B18DB9F" w14:textId="13AE4FA3" w:rsidR="00675F84" w:rsidRDefault="00675F84" w:rsidP="00E14444"/>
    <w:p w14:paraId="0F22E405" w14:textId="6536FFAE" w:rsidR="00675F84" w:rsidRDefault="008E0BA9" w:rsidP="00675F84">
      <w:pPr>
        <w:widowControl w:val="0"/>
        <w:snapToGrid w:val="0"/>
        <w:contextualSpacing/>
        <w:rPr>
          <w:rFonts w:cstheme="minorHAnsi"/>
        </w:rPr>
      </w:pPr>
      <w:r>
        <w:rPr>
          <w:rFonts w:cstheme="minorHAnsi"/>
        </w:rPr>
        <w:t xml:space="preserve">It </w:t>
      </w:r>
      <w:r w:rsidR="00675F84">
        <w:rPr>
          <w:rFonts w:cstheme="minorHAnsi"/>
        </w:rPr>
        <w:t xml:space="preserve">was </w:t>
      </w:r>
      <w:r>
        <w:rPr>
          <w:rFonts w:cstheme="minorHAnsi"/>
        </w:rPr>
        <w:t xml:space="preserve">also </w:t>
      </w:r>
      <w:r w:rsidR="00675F84">
        <w:rPr>
          <w:rFonts w:cstheme="minorHAnsi"/>
        </w:rPr>
        <w:t>generally agreed that the focus should be on incidents relating to the consumer as opposed to:</w:t>
      </w:r>
    </w:p>
    <w:p w14:paraId="48924E1C" w14:textId="77777777" w:rsidR="00675F84" w:rsidRDefault="00675F84" w:rsidP="00675F84">
      <w:pPr>
        <w:widowControl w:val="0"/>
        <w:snapToGrid w:val="0"/>
        <w:contextualSpacing/>
        <w:rPr>
          <w:rFonts w:cstheme="minorHAnsi"/>
        </w:rPr>
      </w:pPr>
    </w:p>
    <w:p w14:paraId="2FCB6E27" w14:textId="3BE390CB" w:rsidR="00675F84" w:rsidRPr="00AD6DD2" w:rsidRDefault="00675F84" w:rsidP="00C866C1">
      <w:pPr>
        <w:pStyle w:val="ListBullet"/>
      </w:pPr>
      <w:r w:rsidRPr="00AD6DD2">
        <w:t>incidents impacting another party (e.g. staff)</w:t>
      </w:r>
      <w:r>
        <w:t>, noting that</w:t>
      </w:r>
      <w:r w:rsidRPr="00AD6DD2">
        <w:t xml:space="preserve"> providers may choose to include incidents relating to staff in their </w:t>
      </w:r>
      <w:r>
        <w:t>incident management system</w:t>
      </w:r>
    </w:p>
    <w:p w14:paraId="2A4D89D0" w14:textId="7405EC6B" w:rsidR="00675F84" w:rsidRPr="00AD6DD2" w:rsidRDefault="00675F84" w:rsidP="00C866C1">
      <w:pPr>
        <w:pStyle w:val="ListBullet"/>
      </w:pPr>
      <w:r w:rsidRPr="00AD6DD2">
        <w:t xml:space="preserve">incidents involving the consumer but where the provider’s staff have not been involved (e.g. where the actions of another party such as </w:t>
      </w:r>
      <w:r w:rsidR="00C866C1" w:rsidRPr="00AD6DD2">
        <w:t>neighbours</w:t>
      </w:r>
      <w:r w:rsidRPr="00AD6DD2">
        <w:t xml:space="preserve">, family, other members of the household have caused harm to the consumer). In this case </w:t>
      </w:r>
      <w:r w:rsidR="00896BC6">
        <w:t xml:space="preserve">the provider would still be </w:t>
      </w:r>
      <w:r w:rsidRPr="00AD6DD2">
        <w:t>expect</w:t>
      </w:r>
      <w:r w:rsidR="00896BC6">
        <w:t xml:space="preserve">ed </w:t>
      </w:r>
      <w:r w:rsidRPr="00AD6DD2">
        <w:t>to offer necessary support to the consumer (and any injury to the consumer would need to be considered in terms of how care is delivered) however the incident that gave rise to the consumer’s condition would not need to be recorded in the provider’s IMS.</w:t>
      </w:r>
    </w:p>
    <w:p w14:paraId="0C332624" w14:textId="77777777" w:rsidR="00AA6BF8" w:rsidRDefault="00AA6BF8" w:rsidP="00E14444"/>
    <w:bookmarkEnd w:id="18"/>
    <w:p w14:paraId="20FDB114" w14:textId="4AAD0B2F" w:rsidR="00EA1539" w:rsidRPr="001B4766" w:rsidRDefault="00C866C1" w:rsidP="00C866C1">
      <w:pPr>
        <w:pStyle w:val="Heading1"/>
      </w:pPr>
      <w:r>
        <w:br w:type="column"/>
      </w:r>
      <w:bookmarkStart w:id="21" w:name="_Toc80694367"/>
      <w:r w:rsidR="00EA1539" w:rsidRPr="001B4766">
        <w:lastRenderedPageBreak/>
        <w:t xml:space="preserve">Notifying </w:t>
      </w:r>
      <w:r w:rsidR="00B94B6C" w:rsidRPr="001B4766">
        <w:t xml:space="preserve">police and </w:t>
      </w:r>
      <w:r w:rsidR="00EA1539" w:rsidRPr="001B4766">
        <w:t>others of incidents</w:t>
      </w:r>
      <w:bookmarkEnd w:id="21"/>
    </w:p>
    <w:p w14:paraId="20B91440" w14:textId="77777777" w:rsidR="00AA6BF8" w:rsidRPr="00AA6BF8" w:rsidRDefault="00AA6BF8" w:rsidP="00AA6BF8">
      <w:pPr>
        <w:pStyle w:val="mpcNormal"/>
      </w:pPr>
    </w:p>
    <w:p w14:paraId="0681E990" w14:textId="48FBC427" w:rsidR="00EA1539" w:rsidRPr="001B4766" w:rsidRDefault="00EA1539" w:rsidP="00E14444">
      <w:r w:rsidRPr="001B4766">
        <w:t xml:space="preserve">Consistent with current arrangements for residential care (and under any applicable state and territory laws) </w:t>
      </w:r>
      <w:r w:rsidR="00557681">
        <w:t>the consultation paper</w:t>
      </w:r>
      <w:r w:rsidRPr="001B4766">
        <w:t xml:space="preserve"> proposed that:</w:t>
      </w:r>
    </w:p>
    <w:p w14:paraId="40E9DB8E" w14:textId="77777777" w:rsidR="00EA1539" w:rsidRPr="001B4766" w:rsidRDefault="00EA1539" w:rsidP="00E14444"/>
    <w:p w14:paraId="6698B0CC" w14:textId="0090C317" w:rsidR="00EA1539" w:rsidRPr="001B4766" w:rsidRDefault="00EA1539" w:rsidP="00C866C1">
      <w:pPr>
        <w:pStyle w:val="ListBullet"/>
      </w:pPr>
      <w:r w:rsidRPr="001B4766">
        <w:t>if there are reasonable grounds to report an incident to police, a provider of in-home services will be required to notify police of the incident within 24 hours of becoming aware of the incident, irrespective of if they are responsible for the incident</w:t>
      </w:r>
    </w:p>
    <w:p w14:paraId="0AC376A0" w14:textId="26C33F2D" w:rsidR="00EA1539" w:rsidRDefault="00EA1539" w:rsidP="00C866C1">
      <w:pPr>
        <w:pStyle w:val="ListBullet"/>
      </w:pPr>
      <w:r w:rsidRPr="001B4766">
        <w:t>as part of the requirements for managing incidents, a provider must respond to an incident by assessing whether other persons or bodies should be notified of the incident and notifying them if appropriate.</w:t>
      </w:r>
    </w:p>
    <w:p w14:paraId="2B5B7A10" w14:textId="77777777" w:rsidR="00AA6BF8" w:rsidRPr="001B4766" w:rsidRDefault="00AA6BF8" w:rsidP="00C866C1">
      <w:pPr>
        <w:pStyle w:val="ListBullet"/>
        <w:numPr>
          <w:ilvl w:val="0"/>
          <w:numId w:val="0"/>
        </w:numPr>
        <w:ind w:left="426"/>
      </w:pPr>
    </w:p>
    <w:p w14:paraId="375266BE" w14:textId="03B632C0" w:rsidR="00EA1539" w:rsidRDefault="00EA1539" w:rsidP="00E14444">
      <w:pPr>
        <w:pStyle w:val="mpcNormal"/>
      </w:pPr>
      <w:r w:rsidRPr="001B4766">
        <w:t xml:space="preserve">Generally, </w:t>
      </w:r>
      <w:r w:rsidR="001A10AC">
        <w:t xml:space="preserve">stakeholders supported </w:t>
      </w:r>
      <w:r w:rsidRPr="001B4766">
        <w:t xml:space="preserve">the </w:t>
      </w:r>
      <w:r w:rsidR="00F404E2" w:rsidRPr="001B4766">
        <w:t>proposed</w:t>
      </w:r>
      <w:r w:rsidRPr="001B4766">
        <w:t xml:space="preserve"> requirements to notify police and others</w:t>
      </w:r>
      <w:r w:rsidR="001A10AC">
        <w:t xml:space="preserve">, with some </w:t>
      </w:r>
      <w:r w:rsidR="00557681">
        <w:t>differing</w:t>
      </w:r>
      <w:r w:rsidR="001A10AC">
        <w:t xml:space="preserve"> views regarding the consumer’s role in reporting and whether a provider may report incidents (to police/others or the Commission) without the consumer’s consent.</w:t>
      </w:r>
    </w:p>
    <w:p w14:paraId="6F2D5217" w14:textId="77777777" w:rsidR="00AA6BF8" w:rsidRPr="001B4766" w:rsidRDefault="00AA6BF8" w:rsidP="00E14444">
      <w:pPr>
        <w:pStyle w:val="mpcNormal"/>
      </w:pPr>
    </w:p>
    <w:p w14:paraId="187A9B44" w14:textId="1257ED30" w:rsidR="001E2D5D" w:rsidRPr="001B4766" w:rsidRDefault="001E2D5D" w:rsidP="00C866C1">
      <w:pPr>
        <w:pStyle w:val="Heading2"/>
      </w:pPr>
      <w:bookmarkStart w:id="22" w:name="_Toc80694368"/>
      <w:r w:rsidRPr="001B4766">
        <w:t>Consumer role in reporting</w:t>
      </w:r>
      <w:bookmarkEnd w:id="22"/>
    </w:p>
    <w:p w14:paraId="6F6694AB" w14:textId="77777777" w:rsidR="00576C18" w:rsidRDefault="00576C18" w:rsidP="00AA6BF8">
      <w:pPr>
        <w:pStyle w:val="mpcNormal"/>
        <w:keepNext/>
      </w:pPr>
    </w:p>
    <w:p w14:paraId="0D363102" w14:textId="2470F943" w:rsidR="001E2D5D" w:rsidRPr="001B4766" w:rsidRDefault="00D871AD" w:rsidP="00AA6BF8">
      <w:pPr>
        <w:pStyle w:val="mpcNormal"/>
        <w:keepNext/>
      </w:pPr>
      <w:r>
        <w:t>A limited number of</w:t>
      </w:r>
      <w:r w:rsidR="001E2D5D" w:rsidRPr="001B4766">
        <w:t xml:space="preserve"> stakeholders</w:t>
      </w:r>
      <w:r w:rsidR="000D7CBB">
        <w:t xml:space="preserve"> </w:t>
      </w:r>
      <w:r w:rsidR="00576C18">
        <w:t>noted</w:t>
      </w:r>
      <w:r w:rsidR="001E2D5D" w:rsidRPr="001B4766">
        <w:t xml:space="preserve"> that consumers should be able to self-report incidents to police and others </w:t>
      </w:r>
      <w:r>
        <w:t>(</w:t>
      </w:r>
      <w:r w:rsidR="00557681" w:rsidRPr="001B4766">
        <w:t>and</w:t>
      </w:r>
      <w:r w:rsidR="00B06044" w:rsidRPr="001B4766">
        <w:t xml:space="preserve"> to the Commission</w:t>
      </w:r>
      <w:r w:rsidR="001E2D5D" w:rsidRPr="001B4766">
        <w:t xml:space="preserve"> under the SIRS</w:t>
      </w:r>
      <w:r>
        <w:t>)</w:t>
      </w:r>
      <w:r w:rsidR="000D7CBB">
        <w:t xml:space="preserve">, noting </w:t>
      </w:r>
      <w:r w:rsidR="001E2D5D" w:rsidRPr="001B4766">
        <w:t>that consumers receiving in</w:t>
      </w:r>
      <w:r w:rsidR="001E2D5D" w:rsidRPr="001B4766">
        <w:noBreakHyphen/>
        <w:t>home services</w:t>
      </w:r>
      <w:r>
        <w:t xml:space="preserve"> </w:t>
      </w:r>
      <w:r w:rsidRPr="001B4766">
        <w:t xml:space="preserve">(especially those in self-managed packages) </w:t>
      </w:r>
      <w:r w:rsidR="001E2D5D" w:rsidRPr="001B4766">
        <w:t xml:space="preserve">usually have sufficient capacity to self-report and should be </w:t>
      </w:r>
      <w:r w:rsidR="00557681">
        <w:t>given</w:t>
      </w:r>
      <w:r w:rsidR="001E2D5D" w:rsidRPr="001B4766">
        <w:t xml:space="preserve"> autonomy over </w:t>
      </w:r>
      <w:r w:rsidR="00557681">
        <w:t>the</w:t>
      </w:r>
      <w:r w:rsidR="001E2D5D" w:rsidRPr="001B4766">
        <w:t xml:space="preserve"> report</w:t>
      </w:r>
      <w:r w:rsidR="00557681">
        <w:t>ing of</w:t>
      </w:r>
      <w:r w:rsidR="001E2D5D" w:rsidRPr="001B4766">
        <w:t xml:space="preserve"> incidents.</w:t>
      </w:r>
    </w:p>
    <w:p w14:paraId="7302D5AB" w14:textId="77777777" w:rsidR="001E2D5D" w:rsidRPr="001B4766" w:rsidRDefault="001E2D5D" w:rsidP="00E14444">
      <w:pPr>
        <w:pStyle w:val="mpcNormal"/>
      </w:pPr>
    </w:p>
    <w:p w14:paraId="0BDE08F1" w14:textId="302538E4" w:rsidR="000D7CBB" w:rsidRDefault="00D871AD" w:rsidP="00E14444">
      <w:pPr>
        <w:pStyle w:val="mpcNormal"/>
      </w:pPr>
      <w:r>
        <w:t>Overall, w</w:t>
      </w:r>
      <w:r w:rsidR="001E2D5D" w:rsidRPr="001B4766">
        <w:t xml:space="preserve">hile </w:t>
      </w:r>
      <w:r w:rsidR="004F16FE" w:rsidRPr="001B4766">
        <w:t>stakeholders</w:t>
      </w:r>
      <w:r w:rsidR="001E2D5D" w:rsidRPr="001B4766">
        <w:t xml:space="preserve"> recognised that many consumers </w:t>
      </w:r>
      <w:r>
        <w:t>have capacity</w:t>
      </w:r>
      <w:r w:rsidR="001E2D5D" w:rsidRPr="001B4766">
        <w:t xml:space="preserve"> to self-report and there should be no barriers to</w:t>
      </w:r>
      <w:r w:rsidR="00576C18">
        <w:t xml:space="preserve"> this</w:t>
      </w:r>
      <w:r w:rsidR="001E2D5D" w:rsidRPr="001B4766">
        <w:t xml:space="preserve">, </w:t>
      </w:r>
      <w:r w:rsidR="000D7CBB">
        <w:t>stakeholders</w:t>
      </w:r>
      <w:r w:rsidR="001E2D5D" w:rsidRPr="001B4766">
        <w:t xml:space="preserve"> recognised the importance of</w:t>
      </w:r>
      <w:r w:rsidR="000D7CBB">
        <w:t>:</w:t>
      </w:r>
      <w:r w:rsidR="001E2D5D" w:rsidRPr="001B4766">
        <w:t xml:space="preserve"> </w:t>
      </w:r>
    </w:p>
    <w:p w14:paraId="722E3AA4" w14:textId="77777777" w:rsidR="000D7CBB" w:rsidRDefault="000D7CBB" w:rsidP="00E14444">
      <w:pPr>
        <w:pStyle w:val="mpcNormal"/>
      </w:pPr>
    </w:p>
    <w:p w14:paraId="18AEB1B1" w14:textId="31921206" w:rsidR="000D7CBB" w:rsidRDefault="001E2D5D" w:rsidP="000D7CBB">
      <w:pPr>
        <w:pStyle w:val="mpcNormal"/>
        <w:numPr>
          <w:ilvl w:val="0"/>
          <w:numId w:val="44"/>
        </w:numPr>
      </w:pPr>
      <w:r w:rsidRPr="001B4766">
        <w:t>clear requirements regarding who must report</w:t>
      </w:r>
      <w:r w:rsidR="00576C18">
        <w:t>,</w:t>
      </w:r>
      <w:r w:rsidRPr="001B4766">
        <w:t xml:space="preserve"> and to whom </w:t>
      </w:r>
    </w:p>
    <w:p w14:paraId="4346585A" w14:textId="1ACC6BF4" w:rsidR="000D7CBB" w:rsidRDefault="00576C18" w:rsidP="000D7CBB">
      <w:pPr>
        <w:pStyle w:val="mpcNormal"/>
        <w:numPr>
          <w:ilvl w:val="0"/>
          <w:numId w:val="44"/>
        </w:numPr>
      </w:pPr>
      <w:r>
        <w:t>reports</w:t>
      </w:r>
      <w:r w:rsidR="001E2D5D" w:rsidRPr="001B4766">
        <w:t xml:space="preserve"> </w:t>
      </w:r>
      <w:r w:rsidR="000D7CBB">
        <w:t>being made</w:t>
      </w:r>
      <w:r w:rsidR="001E2D5D" w:rsidRPr="001B4766">
        <w:t xml:space="preserve"> via a centralised mechanism</w:t>
      </w:r>
      <w:r>
        <w:t xml:space="preserve"> (</w:t>
      </w:r>
      <w:r w:rsidR="006B4519">
        <w:t xml:space="preserve">or </w:t>
      </w:r>
      <w:r>
        <w:t>recognised avenue)</w:t>
      </w:r>
      <w:r w:rsidR="000D7CBB">
        <w:t xml:space="preserve">, </w:t>
      </w:r>
      <w:r w:rsidR="001E2D5D" w:rsidRPr="001B4766">
        <w:t xml:space="preserve">and </w:t>
      </w:r>
    </w:p>
    <w:p w14:paraId="303DD5BD" w14:textId="0124D1FA" w:rsidR="00D871AD" w:rsidRDefault="001E2D5D" w:rsidP="00742A3F">
      <w:pPr>
        <w:pStyle w:val="mpcNormal"/>
        <w:numPr>
          <w:ilvl w:val="0"/>
          <w:numId w:val="44"/>
        </w:numPr>
      </w:pPr>
      <w:r w:rsidRPr="001B4766">
        <w:t>information</w:t>
      </w:r>
      <w:r w:rsidR="000D7CBB">
        <w:t xml:space="preserve"> being</w:t>
      </w:r>
      <w:r w:rsidRPr="001B4766">
        <w:t xml:space="preserve"> joined up</w:t>
      </w:r>
      <w:r w:rsidR="00576C18">
        <w:t xml:space="preserve"> (including within the Commission where a notification is made</w:t>
      </w:r>
      <w:r w:rsidR="00896BC6">
        <w:t xml:space="preserve"> by a provider via the SIRS or by a consumer via a complaint</w:t>
      </w:r>
      <w:r w:rsidR="00576C18">
        <w:t>)</w:t>
      </w:r>
      <w:r w:rsidRPr="001B4766">
        <w:t xml:space="preserve"> to support transparent and consistent treatment of incidents</w:t>
      </w:r>
      <w:r w:rsidR="00742A3F">
        <w:t>.</w:t>
      </w:r>
    </w:p>
    <w:p w14:paraId="0741FAFC" w14:textId="77777777" w:rsidR="00D871AD" w:rsidRPr="001B4766" w:rsidRDefault="00D871AD" w:rsidP="00E14444">
      <w:pPr>
        <w:pStyle w:val="mpcNormal"/>
      </w:pPr>
    </w:p>
    <w:p w14:paraId="7A61D862" w14:textId="40EB286C" w:rsidR="00F404E2" w:rsidRPr="001B4766" w:rsidRDefault="00F404E2" w:rsidP="00C866C1">
      <w:pPr>
        <w:pStyle w:val="Heading2"/>
      </w:pPr>
      <w:bookmarkStart w:id="23" w:name="_Toc80694369"/>
      <w:r w:rsidRPr="001B4766">
        <w:t>Consumer consent</w:t>
      </w:r>
      <w:bookmarkEnd w:id="23"/>
    </w:p>
    <w:p w14:paraId="7BF73DFC" w14:textId="7DD0C478" w:rsidR="00AA6BF8" w:rsidRDefault="00AA6BF8" w:rsidP="00E14444">
      <w:pPr>
        <w:pStyle w:val="mpcNormal"/>
      </w:pPr>
    </w:p>
    <w:p w14:paraId="739FCCA8" w14:textId="5F85911D" w:rsidR="00742A3F" w:rsidRDefault="00742A3F" w:rsidP="00742A3F">
      <w:pPr>
        <w:pStyle w:val="mpcNormal"/>
        <w:keepNext/>
      </w:pPr>
      <w:r>
        <w:t xml:space="preserve">While views on consumer consent were varied, on the whole stakeholders did not </w:t>
      </w:r>
      <w:r w:rsidR="003F61DC">
        <w:t>consider</w:t>
      </w:r>
      <w:r>
        <w:t xml:space="preserve"> consumer consent </w:t>
      </w:r>
      <w:r w:rsidR="003F61DC">
        <w:t>should be a</w:t>
      </w:r>
      <w:r>
        <w:t xml:space="preserve"> ‘precondition’ to reporting incidents to police and other</w:t>
      </w:r>
      <w:r w:rsidR="00F16D1D">
        <w:t>s</w:t>
      </w:r>
      <w:r>
        <w:t xml:space="preserve"> (or notifying a reportable incident to the Commission).</w:t>
      </w:r>
    </w:p>
    <w:p w14:paraId="3A49207D" w14:textId="22703C98" w:rsidR="003F1683" w:rsidRDefault="003F1683" w:rsidP="00E14444">
      <w:pPr>
        <w:pStyle w:val="mpcNormal"/>
      </w:pPr>
    </w:p>
    <w:p w14:paraId="7972C412" w14:textId="25560CE6" w:rsidR="003F1683" w:rsidRPr="001B4766" w:rsidRDefault="003F1683" w:rsidP="00E14444">
      <w:pPr>
        <w:pStyle w:val="mpcNormal"/>
      </w:pPr>
      <w:r>
        <w:t xml:space="preserve">Stakeholders </w:t>
      </w:r>
      <w:r w:rsidRPr="001B4766">
        <w:t xml:space="preserve">reasoned that, while </w:t>
      </w:r>
      <w:r w:rsidR="00855445">
        <w:t>it is important for reporting</w:t>
      </w:r>
      <w:r w:rsidR="005A12FC">
        <w:t xml:space="preserve"> of incidents</w:t>
      </w:r>
      <w:r w:rsidR="00855445">
        <w:t xml:space="preserve"> to be discussed with consumers</w:t>
      </w:r>
      <w:r w:rsidR="00F16D1D">
        <w:t xml:space="preserve"> where </w:t>
      </w:r>
      <w:r w:rsidR="003F61DC">
        <w:t>possible,</w:t>
      </w:r>
      <w:r w:rsidRPr="001B4766">
        <w:t xml:space="preserve"> providers should have the ability to make reports without the consumer’s consent </w:t>
      </w:r>
      <w:r w:rsidR="00855445">
        <w:t>for a range of reasons</w:t>
      </w:r>
      <w:r w:rsidRPr="001B4766">
        <w:t>:</w:t>
      </w:r>
    </w:p>
    <w:p w14:paraId="42D8DB5A" w14:textId="77777777" w:rsidR="003F1683" w:rsidRPr="001B4766" w:rsidRDefault="003F1683" w:rsidP="00E14444">
      <w:pPr>
        <w:pStyle w:val="mpcNormal"/>
      </w:pPr>
    </w:p>
    <w:p w14:paraId="1463EC6E" w14:textId="690A0E52" w:rsidR="003F1683" w:rsidRDefault="00AD6A09" w:rsidP="00E14444">
      <w:pPr>
        <w:pStyle w:val="mpcNormal"/>
        <w:numPr>
          <w:ilvl w:val="0"/>
          <w:numId w:val="11"/>
        </w:numPr>
      </w:pPr>
      <w:r>
        <w:t>s</w:t>
      </w:r>
      <w:r w:rsidR="003F1683">
        <w:t>ome consumers may not be willing or able to provide consent, leaving them at risk of harm, including where:</w:t>
      </w:r>
    </w:p>
    <w:p w14:paraId="5871FE8B" w14:textId="77777777" w:rsidR="003F1683" w:rsidRPr="004059D0" w:rsidRDefault="003F1683" w:rsidP="0048323A">
      <w:pPr>
        <w:pStyle w:val="ListBullet2"/>
      </w:pPr>
      <w:r>
        <w:t>t</w:t>
      </w:r>
      <w:r w:rsidRPr="004059D0">
        <w:t xml:space="preserve">he perpetrator is a family member, member of their household or otherwise has </w:t>
      </w:r>
      <w:r>
        <w:t xml:space="preserve">unrestricted </w:t>
      </w:r>
      <w:r w:rsidRPr="004059D0">
        <w:t>access to the</w:t>
      </w:r>
      <w:r>
        <w:t xml:space="preserve"> consumer’s</w:t>
      </w:r>
      <w:r w:rsidRPr="004059D0">
        <w:t xml:space="preserve"> house</w:t>
      </w:r>
    </w:p>
    <w:p w14:paraId="283EF862" w14:textId="77777777" w:rsidR="003F1683" w:rsidRDefault="003F1683" w:rsidP="0048323A">
      <w:pPr>
        <w:pStyle w:val="ListBullet2"/>
      </w:pPr>
      <w:r w:rsidRPr="004059D0">
        <w:t xml:space="preserve">the consumer does not believe they’re at risk of </w:t>
      </w:r>
      <w:r>
        <w:t xml:space="preserve">serious </w:t>
      </w:r>
      <w:r w:rsidRPr="004059D0">
        <w:t>harm</w:t>
      </w:r>
    </w:p>
    <w:p w14:paraId="12CB91EF" w14:textId="77777777" w:rsidR="003F1683" w:rsidRDefault="003F1683" w:rsidP="0048323A">
      <w:pPr>
        <w:pStyle w:val="ListBullet2"/>
      </w:pPr>
      <w:r>
        <w:t xml:space="preserve">the consumer is afraid of retribution from the perpetrator </w:t>
      </w:r>
    </w:p>
    <w:p w14:paraId="26AA387F" w14:textId="41D46131" w:rsidR="003F1683" w:rsidRPr="004059D0" w:rsidRDefault="003F1683" w:rsidP="0048323A">
      <w:pPr>
        <w:pStyle w:val="ListBullet2"/>
      </w:pPr>
      <w:r>
        <w:t>the consumer is cognitively impaired</w:t>
      </w:r>
    </w:p>
    <w:p w14:paraId="3C4B9B92" w14:textId="32EEED24" w:rsidR="00EC770A" w:rsidRDefault="00EC770A" w:rsidP="00E14444">
      <w:pPr>
        <w:pStyle w:val="mpcNormal"/>
        <w:numPr>
          <w:ilvl w:val="0"/>
          <w:numId w:val="11"/>
        </w:numPr>
      </w:pPr>
      <w:r>
        <w:t xml:space="preserve">some </w:t>
      </w:r>
      <w:r w:rsidR="0013791A">
        <w:t>perpetrators</w:t>
      </w:r>
      <w:r>
        <w:t xml:space="preserve"> may use “coercive control” to intimidate </w:t>
      </w:r>
      <w:r w:rsidR="0013791A">
        <w:t>consumers and prevent them from providing consent</w:t>
      </w:r>
    </w:p>
    <w:p w14:paraId="6B461C3A" w14:textId="4E3E04D1" w:rsidR="003F1683" w:rsidRPr="001B4766" w:rsidRDefault="00AD6A09" w:rsidP="00E14444">
      <w:pPr>
        <w:pStyle w:val="mpcNormal"/>
        <w:numPr>
          <w:ilvl w:val="0"/>
          <w:numId w:val="11"/>
        </w:numPr>
      </w:pPr>
      <w:r>
        <w:lastRenderedPageBreak/>
        <w:t>w</w:t>
      </w:r>
      <w:r w:rsidR="003F1683" w:rsidRPr="001B4766">
        <w:t>orkers felt strongly that they have a duty of care to the consumer to report where they witness or suspect an incident has occurred (e.g. where they have reason to believe the consumer has been subjected to harm)</w:t>
      </w:r>
    </w:p>
    <w:p w14:paraId="7BB5D0D5" w14:textId="2224F8FA" w:rsidR="003F1683" w:rsidRPr="004059D0" w:rsidRDefault="003F1683" w:rsidP="0048323A">
      <w:pPr>
        <w:pStyle w:val="ListBullet2"/>
      </w:pPr>
      <w:r w:rsidRPr="004059D0">
        <w:t xml:space="preserve">“Consumers </w:t>
      </w:r>
      <w:r w:rsidRPr="004059D0">
        <w:rPr>
          <w:lang w:eastAsia="en-AU"/>
        </w:rPr>
        <w:t>are</w:t>
      </w:r>
      <w:r w:rsidRPr="004059D0">
        <w:t xml:space="preserve"> vulnerable and should be protected from harm”</w:t>
      </w:r>
      <w:r w:rsidR="00A4210C">
        <w:t>.</w:t>
      </w:r>
    </w:p>
    <w:p w14:paraId="09196DA6" w14:textId="7F70582C" w:rsidR="003F1683" w:rsidRPr="004059D0" w:rsidRDefault="003F1683" w:rsidP="0048323A">
      <w:pPr>
        <w:pStyle w:val="ListBullet2"/>
      </w:pPr>
      <w:r w:rsidRPr="004059D0">
        <w:t>“If consumers don’t consent to incidents being reported, it may remain a silent and ongoing issue (e.g. elder abuse)”</w:t>
      </w:r>
      <w:r w:rsidR="00A4210C">
        <w:t>.</w:t>
      </w:r>
    </w:p>
    <w:p w14:paraId="2F902CEE" w14:textId="2CB5CFEF" w:rsidR="003F1683" w:rsidRPr="001B4766" w:rsidRDefault="00AD6A09" w:rsidP="00E14444">
      <w:pPr>
        <w:pStyle w:val="mpcNormal"/>
        <w:numPr>
          <w:ilvl w:val="0"/>
          <w:numId w:val="11"/>
        </w:numPr>
      </w:pPr>
      <w:r>
        <w:t>t</w:t>
      </w:r>
      <w:r w:rsidR="003F1683">
        <w:t>he provider</w:t>
      </w:r>
      <w:r w:rsidR="003F1683" w:rsidRPr="001B4766">
        <w:t xml:space="preserve"> may </w:t>
      </w:r>
      <w:r w:rsidR="003F1683">
        <w:t>be more likely to</w:t>
      </w:r>
      <w:r w:rsidR="003F1683" w:rsidRPr="001B4766">
        <w:t xml:space="preserve"> mak</w:t>
      </w:r>
      <w:r w:rsidR="003F1683">
        <w:t>e</w:t>
      </w:r>
      <w:r w:rsidR="003F1683" w:rsidRPr="001B4766">
        <w:t xml:space="preserve"> a confidential report to police</w:t>
      </w:r>
      <w:r w:rsidR="003F1683">
        <w:t xml:space="preserve"> or </w:t>
      </w:r>
      <w:r w:rsidR="003F1683" w:rsidRPr="001B4766">
        <w:t>the Commission rather than raising issues directly with the consumer</w:t>
      </w:r>
      <w:r w:rsidR="003F1683">
        <w:t xml:space="preserve"> or their </w:t>
      </w:r>
      <w:r w:rsidR="003F1683" w:rsidRPr="001B4766">
        <w:t>representative/family</w:t>
      </w:r>
      <w:r w:rsidR="003F1683">
        <w:t xml:space="preserve"> (e.g. where the situation is sensitive)</w:t>
      </w:r>
    </w:p>
    <w:p w14:paraId="49188612" w14:textId="77777777" w:rsidR="003F1683" w:rsidRPr="001B4766" w:rsidRDefault="003F1683" w:rsidP="0048323A">
      <w:pPr>
        <w:pStyle w:val="ListBullet2"/>
      </w:pPr>
      <w:r w:rsidRPr="001B4766">
        <w:t>Some noted th</w:t>
      </w:r>
      <w:r>
        <w:t>e importance of</w:t>
      </w:r>
      <w:r w:rsidRPr="001B4766">
        <w:t xml:space="preserve"> protections for workers </w:t>
      </w:r>
      <w:r>
        <w:t>who</w:t>
      </w:r>
      <w:r w:rsidRPr="001B4766">
        <w:t xml:space="preserve"> make reports (e.g. where </w:t>
      </w:r>
      <w:r>
        <w:t>the</w:t>
      </w:r>
      <w:r w:rsidRPr="001B4766">
        <w:t xml:space="preserve"> </w:t>
      </w:r>
      <w:r>
        <w:t xml:space="preserve">perpetrator of an incident </w:t>
      </w:r>
      <w:r w:rsidRPr="001B4766">
        <w:t>may seek to intimidate or scapegoat a worker).</w:t>
      </w:r>
    </w:p>
    <w:p w14:paraId="4CDC31B0" w14:textId="5B084A7F" w:rsidR="003F1683" w:rsidRDefault="003F1683" w:rsidP="00E14444">
      <w:pPr>
        <w:pStyle w:val="mpcNormal"/>
      </w:pPr>
    </w:p>
    <w:p w14:paraId="266AC18E" w14:textId="588C25B8" w:rsidR="003F1683" w:rsidRPr="001B4766" w:rsidRDefault="003F61DC" w:rsidP="00E14444">
      <w:pPr>
        <w:pStyle w:val="mpcNormal"/>
      </w:pPr>
      <w:r>
        <w:t xml:space="preserve">Others felt </w:t>
      </w:r>
      <w:r w:rsidR="003F1683" w:rsidRPr="001B4766">
        <w:t xml:space="preserve">that reports should only be made with the consumer’s consent, </w:t>
      </w:r>
      <w:r w:rsidR="00BD45ED">
        <w:t xml:space="preserve">variously </w:t>
      </w:r>
      <w:r w:rsidR="003F1683" w:rsidRPr="001B4766">
        <w:t>noting that:</w:t>
      </w:r>
    </w:p>
    <w:p w14:paraId="68903236" w14:textId="77777777" w:rsidR="003F1683" w:rsidRPr="001B4766" w:rsidRDefault="003F1683" w:rsidP="00E14444">
      <w:pPr>
        <w:pStyle w:val="mpcNormal"/>
      </w:pPr>
    </w:p>
    <w:p w14:paraId="7EE32259" w14:textId="15528F40" w:rsidR="003F1683" w:rsidRPr="001B4766" w:rsidRDefault="00AD6A09" w:rsidP="000566EA">
      <w:pPr>
        <w:pStyle w:val="mpcNormal"/>
        <w:numPr>
          <w:ilvl w:val="0"/>
          <w:numId w:val="11"/>
        </w:numPr>
      </w:pPr>
      <w:r>
        <w:t>c</w:t>
      </w:r>
      <w:r w:rsidR="003F1683" w:rsidRPr="001B4766">
        <w:t>onsumers should have the right to say they do not want something reported and mandatory reporting is in conflict with the concept of consumer empowerment and consumer directed care</w:t>
      </w:r>
    </w:p>
    <w:p w14:paraId="6AA99D47" w14:textId="13F38985" w:rsidR="003F1683" w:rsidRPr="004059D0" w:rsidRDefault="003F1683" w:rsidP="0048323A">
      <w:pPr>
        <w:pStyle w:val="ListBullet2"/>
      </w:pPr>
      <w:r w:rsidRPr="004059D0">
        <w:rPr>
          <w:lang w:eastAsia="en-AU"/>
        </w:rPr>
        <w:t xml:space="preserve">“This </w:t>
      </w:r>
      <w:r w:rsidRPr="004059D0">
        <w:t>would</w:t>
      </w:r>
      <w:r w:rsidRPr="004059D0">
        <w:rPr>
          <w:lang w:eastAsia="en-AU"/>
        </w:rPr>
        <w:t xml:space="preserve"> undermine the consumer's independence and right to make decisions for themselves”</w:t>
      </w:r>
      <w:r w:rsidR="00A4210C">
        <w:rPr>
          <w:lang w:eastAsia="en-AU"/>
        </w:rPr>
        <w:t>.</w:t>
      </w:r>
    </w:p>
    <w:p w14:paraId="08038AD5" w14:textId="6C3074EE" w:rsidR="003F1683" w:rsidRDefault="00AD6A09" w:rsidP="000566EA">
      <w:pPr>
        <w:pStyle w:val="mpcNormal"/>
        <w:numPr>
          <w:ilvl w:val="0"/>
          <w:numId w:val="11"/>
        </w:numPr>
      </w:pPr>
      <w:r>
        <w:t>w</w:t>
      </w:r>
      <w:r w:rsidR="003F1683" w:rsidRPr="001B4766">
        <w:t xml:space="preserve">here providers report an incident without the consumer’s consent, </w:t>
      </w:r>
      <w:r w:rsidR="003F1683">
        <w:t>the consumer may not wish to participate in any investigation of the incident, such that it can’t be resolved</w:t>
      </w:r>
    </w:p>
    <w:p w14:paraId="0AF1BF49" w14:textId="7853FFD0" w:rsidR="003F1683" w:rsidRPr="001B4766" w:rsidRDefault="00AD6A09" w:rsidP="000566EA">
      <w:pPr>
        <w:pStyle w:val="mpcNormal"/>
        <w:numPr>
          <w:ilvl w:val="0"/>
          <w:numId w:val="11"/>
        </w:numPr>
      </w:pPr>
      <w:r>
        <w:t>w</w:t>
      </w:r>
      <w:r w:rsidR="003F1683" w:rsidRPr="001B4766">
        <w:t>here providers report an incident without the consumer’s consent, this could impact on the consumer’s trust in the provider</w:t>
      </w:r>
    </w:p>
    <w:p w14:paraId="774405F1" w14:textId="3CF1E3E0" w:rsidR="003F1683" w:rsidRPr="001B4766" w:rsidRDefault="00AD6A09" w:rsidP="000566EA">
      <w:pPr>
        <w:pStyle w:val="mpcNormal"/>
        <w:numPr>
          <w:ilvl w:val="0"/>
          <w:numId w:val="11"/>
        </w:numPr>
      </w:pPr>
      <w:r>
        <w:t>c</w:t>
      </w:r>
      <w:r w:rsidR="003F1683" w:rsidRPr="001B4766">
        <w:t xml:space="preserve">onsumers receiving in-home services </w:t>
      </w:r>
      <w:r w:rsidR="00BD45ED">
        <w:t>may be</w:t>
      </w:r>
      <w:r w:rsidR="003F1683" w:rsidRPr="001B4766">
        <w:t xml:space="preserve"> more vulnerable to reprisal (e.g. the staff have access to their home, there is a risk that services </w:t>
      </w:r>
      <w:r w:rsidR="003F1683">
        <w:t>could be dis</w:t>
      </w:r>
      <w:r w:rsidR="003F1683" w:rsidRPr="001B4766">
        <w:t>continued</w:t>
      </w:r>
      <w:r w:rsidR="00BD45ED">
        <w:t xml:space="preserve"> etc.</w:t>
      </w:r>
      <w:r w:rsidR="003F1683" w:rsidRPr="001B4766">
        <w:t>)</w:t>
      </w:r>
      <w:r w:rsidR="00BD45ED">
        <w:t xml:space="preserve"> </w:t>
      </w:r>
    </w:p>
    <w:p w14:paraId="07A4F81F" w14:textId="09F167BE" w:rsidR="003F1683" w:rsidRDefault="00AD6A09" w:rsidP="000566EA">
      <w:pPr>
        <w:pStyle w:val="mpcNormal"/>
        <w:numPr>
          <w:ilvl w:val="0"/>
          <w:numId w:val="11"/>
        </w:numPr>
      </w:pPr>
      <w:r>
        <w:t>w</w:t>
      </w:r>
      <w:r w:rsidR="003F1683" w:rsidRPr="001B4766">
        <w:t>here a consumer is not capable of consenting, the consumer’s next of kin should be notified to determine appropriate treatment/reporting of an incident</w:t>
      </w:r>
      <w:r w:rsidR="003F1683">
        <w:t xml:space="preserve"> (noting that some stakeholders commented on the consumer’s right to not involve their representatives/families in certain matters)</w:t>
      </w:r>
    </w:p>
    <w:p w14:paraId="0E61CD0C" w14:textId="4FBAC723" w:rsidR="002B5F72" w:rsidRPr="001B4766" w:rsidRDefault="00AD6A09" w:rsidP="000566EA">
      <w:pPr>
        <w:pStyle w:val="mpcNormal"/>
        <w:numPr>
          <w:ilvl w:val="0"/>
          <w:numId w:val="11"/>
        </w:numPr>
      </w:pPr>
      <w:r>
        <w:t>t</w:t>
      </w:r>
      <w:r w:rsidR="002B5F72">
        <w:t>his may act as a barrier to consumers accessing in-home services – where consumer information may be shared with Government without their consent</w:t>
      </w:r>
    </w:p>
    <w:p w14:paraId="5ECF839E" w14:textId="0C06966A" w:rsidR="003F1683" w:rsidRPr="001B4766" w:rsidRDefault="00AD6A09" w:rsidP="000566EA">
      <w:pPr>
        <w:pStyle w:val="mpcNormal"/>
        <w:numPr>
          <w:ilvl w:val="0"/>
          <w:numId w:val="11"/>
        </w:numPr>
      </w:pPr>
      <w:r>
        <w:t>o</w:t>
      </w:r>
      <w:r w:rsidR="003F1683" w:rsidRPr="001B4766">
        <w:t>nly very serious incidents (e.g. assault, sexual assault, murder) should be reported without the consumer’s consent.</w:t>
      </w:r>
    </w:p>
    <w:p w14:paraId="681EE28B" w14:textId="77777777" w:rsidR="003F1683" w:rsidRPr="001B4766" w:rsidRDefault="003F1683" w:rsidP="00E14444">
      <w:pPr>
        <w:pStyle w:val="mpcNormal"/>
      </w:pPr>
    </w:p>
    <w:p w14:paraId="51D3EE42" w14:textId="02ED2363" w:rsidR="00787AA2" w:rsidRDefault="003F1683" w:rsidP="00E14444">
      <w:pPr>
        <w:pStyle w:val="mpcNormal"/>
      </w:pPr>
      <w:r>
        <w:t>T</w:t>
      </w:r>
      <w:r w:rsidR="00BE4CDD">
        <w:t xml:space="preserve">he </w:t>
      </w:r>
      <w:r w:rsidRPr="001B4766">
        <w:t>importan</w:t>
      </w:r>
      <w:r w:rsidR="00BE4CDD">
        <w:t>ce</w:t>
      </w:r>
      <w:r w:rsidRPr="001B4766">
        <w:t xml:space="preserve"> </w:t>
      </w:r>
      <w:r w:rsidR="00BE4CDD">
        <w:t>of</w:t>
      </w:r>
      <w:r w:rsidRPr="001B4766">
        <w:t xml:space="preserve"> providers communicat</w:t>
      </w:r>
      <w:r w:rsidR="00BE4CDD">
        <w:t>ing</w:t>
      </w:r>
      <w:r w:rsidRPr="001B4766">
        <w:t xml:space="preserve"> with consumers and their representatives </w:t>
      </w:r>
      <w:r w:rsidR="00BE4CDD">
        <w:t>about the purpose of</w:t>
      </w:r>
      <w:r w:rsidRPr="001B4766">
        <w:t xml:space="preserve"> reporting </w:t>
      </w:r>
      <w:r w:rsidR="00BE4CDD">
        <w:t xml:space="preserve">was also noted as </w:t>
      </w:r>
      <w:r w:rsidR="00A53F0D">
        <w:t>key to</w:t>
      </w:r>
      <w:r w:rsidR="00BE4CDD">
        <w:t xml:space="preserve"> </w:t>
      </w:r>
      <w:r w:rsidR="00380BAD">
        <w:t xml:space="preserve">managing the </w:t>
      </w:r>
      <w:r w:rsidR="00BE4CDD">
        <w:t>complexities noted above.</w:t>
      </w:r>
      <w:r w:rsidR="00DE5D59">
        <w:t xml:space="preserve"> </w:t>
      </w:r>
    </w:p>
    <w:p w14:paraId="1981D725" w14:textId="77777777" w:rsidR="00787AA2" w:rsidRDefault="00787AA2" w:rsidP="00E14444">
      <w:pPr>
        <w:pStyle w:val="mpcNormal"/>
      </w:pPr>
    </w:p>
    <w:p w14:paraId="0F74CFFA" w14:textId="5E733965" w:rsidR="003F1683" w:rsidRDefault="003F1683" w:rsidP="00E14444">
      <w:pPr>
        <w:pStyle w:val="mpcNormal"/>
      </w:pPr>
      <w:r w:rsidRPr="001B4766">
        <w:t>The importance of privacy and confidentiality w</w:t>
      </w:r>
      <w:r w:rsidR="00BE4CDD">
        <w:t>as also raised</w:t>
      </w:r>
      <w:r w:rsidRPr="001B4766">
        <w:t xml:space="preserve"> </w:t>
      </w:r>
      <w:r w:rsidR="00BE4CDD">
        <w:t>in the context of</w:t>
      </w:r>
      <w:r w:rsidRPr="001B4766">
        <w:t xml:space="preserve"> reporting information about a consumer, particularly where there is not consent to report.</w:t>
      </w:r>
    </w:p>
    <w:p w14:paraId="660D6F90" w14:textId="77777777" w:rsidR="00AA6BF8" w:rsidRPr="001B4766" w:rsidRDefault="00AA6BF8" w:rsidP="00E14444">
      <w:pPr>
        <w:pStyle w:val="mpcNormal"/>
      </w:pPr>
    </w:p>
    <w:p w14:paraId="0F5B6817" w14:textId="3224E216" w:rsidR="003F1683" w:rsidRPr="001B4766" w:rsidRDefault="00C866C1" w:rsidP="00C866C1">
      <w:pPr>
        <w:pStyle w:val="Heading1"/>
      </w:pPr>
      <w:bookmarkStart w:id="24" w:name="_Toc77848160"/>
      <w:r>
        <w:br w:type="column"/>
      </w:r>
      <w:bookmarkStart w:id="25" w:name="_Toc80694370"/>
      <w:r w:rsidR="003F1683" w:rsidRPr="001B4766">
        <w:lastRenderedPageBreak/>
        <w:t>Notifying the Commission of reportable incidents</w:t>
      </w:r>
      <w:bookmarkEnd w:id="24"/>
      <w:bookmarkEnd w:id="25"/>
    </w:p>
    <w:p w14:paraId="1EF4EB98" w14:textId="6E818562" w:rsidR="00AA6BF8" w:rsidRDefault="00AA6BF8" w:rsidP="00E14444"/>
    <w:p w14:paraId="68B6A1D3" w14:textId="6DC74904" w:rsidR="00E55208" w:rsidRPr="001B4766" w:rsidRDefault="00E55208" w:rsidP="00E55208">
      <w:r w:rsidRPr="001B4766">
        <w:t>Stakeholders supported the</w:t>
      </w:r>
      <w:r>
        <w:t xml:space="preserve"> proposal for</w:t>
      </w:r>
      <w:r w:rsidRPr="001B4766">
        <w:t xml:space="preserve"> mandatory </w:t>
      </w:r>
      <w:r w:rsidR="00235860">
        <w:t>notification</w:t>
      </w:r>
      <w:r w:rsidRPr="001B4766">
        <w:t xml:space="preserve"> of a subset of incidents</w:t>
      </w:r>
      <w:r>
        <w:t xml:space="preserve"> (‘reportable incidents’)</w:t>
      </w:r>
      <w:r w:rsidRPr="001B4766">
        <w:t xml:space="preserve"> to the Commission</w:t>
      </w:r>
      <w:r>
        <w:t xml:space="preserve"> within specified timeframes</w:t>
      </w:r>
      <w:r w:rsidRPr="001B4766">
        <w:t xml:space="preserve">. </w:t>
      </w:r>
    </w:p>
    <w:p w14:paraId="6DAF758E" w14:textId="6F79E8D6" w:rsidR="00EA1539" w:rsidRPr="001B4766" w:rsidRDefault="00EA1539" w:rsidP="00E14444"/>
    <w:p w14:paraId="6EC021B5" w14:textId="750641E3" w:rsidR="00EA1539" w:rsidRDefault="006B4519" w:rsidP="00E14444">
      <w:r>
        <w:t>Stakeholders suggested that k</w:t>
      </w:r>
      <w:r w:rsidR="00EA1539" w:rsidRPr="001B4766">
        <w:t>ey considerations</w:t>
      </w:r>
      <w:r w:rsidR="00E55208">
        <w:t xml:space="preserve"> for applying this requirement</w:t>
      </w:r>
      <w:r w:rsidR="00EA1539" w:rsidRPr="001B4766">
        <w:t xml:space="preserve"> in relation to in-home services include:</w:t>
      </w:r>
    </w:p>
    <w:p w14:paraId="56B9F940" w14:textId="77777777" w:rsidR="001A10AC" w:rsidRPr="001B4766" w:rsidRDefault="001A10AC" w:rsidP="00E14444"/>
    <w:p w14:paraId="1B80888A" w14:textId="0F191E7C" w:rsidR="00EA1539" w:rsidRPr="001B4766" w:rsidRDefault="00EA1539" w:rsidP="000566EA">
      <w:pPr>
        <w:pStyle w:val="mpcNormal"/>
        <w:numPr>
          <w:ilvl w:val="0"/>
          <w:numId w:val="11"/>
        </w:numPr>
      </w:pPr>
      <w:r w:rsidRPr="001B4766">
        <w:t xml:space="preserve">situations </w:t>
      </w:r>
      <w:r w:rsidR="00E55208">
        <w:t xml:space="preserve">in which </w:t>
      </w:r>
      <w:r w:rsidRPr="001B4766">
        <w:t>staff members from multiple providers are delivering care to a consumer</w:t>
      </w:r>
      <w:r w:rsidR="00E55208">
        <w:t>, raising the need for</w:t>
      </w:r>
      <w:r w:rsidRPr="001B4766">
        <w:t xml:space="preserve"> clarity </w:t>
      </w:r>
      <w:r w:rsidR="00E55208">
        <w:t xml:space="preserve">as to </w:t>
      </w:r>
      <w:r w:rsidRPr="001B4766">
        <w:t>who is responsible for notifying the Commission of the incident and for managing the incident</w:t>
      </w:r>
    </w:p>
    <w:p w14:paraId="4BB49059" w14:textId="1BDE0715" w:rsidR="00EA1539" w:rsidRPr="001B4766" w:rsidRDefault="00EA1539" w:rsidP="000566EA">
      <w:pPr>
        <w:pStyle w:val="mpcNormal"/>
        <w:numPr>
          <w:ilvl w:val="0"/>
          <w:numId w:val="11"/>
        </w:numPr>
      </w:pPr>
      <w:r w:rsidRPr="001B4766">
        <w:t xml:space="preserve">use of subcontracted service providers and the need to ensure timely escalation and reporting </w:t>
      </w:r>
      <w:r w:rsidR="00F404E2" w:rsidRPr="001B4766">
        <w:t xml:space="preserve">between the provider and such organisations </w:t>
      </w:r>
    </w:p>
    <w:p w14:paraId="69127EAC" w14:textId="5DFDDD0A" w:rsidR="00EA1539" w:rsidRDefault="00EA1539" w:rsidP="000566EA">
      <w:pPr>
        <w:pStyle w:val="mpcNormal"/>
        <w:numPr>
          <w:ilvl w:val="0"/>
          <w:numId w:val="11"/>
        </w:numPr>
      </w:pPr>
      <w:r w:rsidRPr="001B4766">
        <w:t>the provider’s capacity to investigate, manage and prevent incidents in a consumer’s home, particularly where the provider has only limited involvement with the consumer, where there are multiple parties (providers and family members) responsible for the care of the consumer and/or where the consumer does not want the incident investigated further.</w:t>
      </w:r>
    </w:p>
    <w:p w14:paraId="5B087CC2" w14:textId="77777777" w:rsidR="00AA6BF8" w:rsidRDefault="00AA6BF8" w:rsidP="00E14444"/>
    <w:p w14:paraId="5EAE88CD" w14:textId="268A3F54" w:rsidR="00D83FCB" w:rsidRPr="00542D22" w:rsidRDefault="00835865" w:rsidP="00D83FCB">
      <w:pPr>
        <w:pStyle w:val="mpcNormal"/>
      </w:pPr>
      <w:r w:rsidRPr="001B4766">
        <w:rPr>
          <w:lang w:eastAsia="en-GB"/>
        </w:rPr>
        <w:t xml:space="preserve">Some stakeholders </w:t>
      </w:r>
      <w:r w:rsidR="00F4125A">
        <w:rPr>
          <w:lang w:eastAsia="en-GB"/>
        </w:rPr>
        <w:t>considered</w:t>
      </w:r>
      <w:r w:rsidRPr="001B4766">
        <w:rPr>
          <w:lang w:eastAsia="en-GB"/>
        </w:rPr>
        <w:t xml:space="preserve"> that,</w:t>
      </w:r>
      <w:r w:rsidRPr="001B4766">
        <w:t xml:space="preserve"> where there is no evidence to support the </w:t>
      </w:r>
      <w:r w:rsidR="00235860">
        <w:t>alleged reportable incident</w:t>
      </w:r>
      <w:r w:rsidRPr="001B4766">
        <w:t xml:space="preserve"> (</w:t>
      </w:r>
      <w:r w:rsidR="00CC4C6F">
        <w:t xml:space="preserve">described by some as </w:t>
      </w:r>
      <w:r w:rsidRPr="001B4766">
        <w:t xml:space="preserve">only hearsay or gossip) then more information should be sought before </w:t>
      </w:r>
      <w:r w:rsidR="00235860">
        <w:t>notifying</w:t>
      </w:r>
      <w:r w:rsidRPr="001B4766">
        <w:t xml:space="preserve"> the Commission. </w:t>
      </w:r>
      <w:r w:rsidR="00D83FCB">
        <w:t xml:space="preserve">Others noted that not having all the information should not delay the notification; additional information can be provided as it becomes available. </w:t>
      </w:r>
    </w:p>
    <w:p w14:paraId="759395F2" w14:textId="77777777" w:rsidR="00AA6BF8" w:rsidRPr="001B4766" w:rsidRDefault="00AA6BF8" w:rsidP="00C866C1">
      <w:pPr>
        <w:pStyle w:val="ListBullet"/>
        <w:numPr>
          <w:ilvl w:val="0"/>
          <w:numId w:val="0"/>
        </w:numPr>
      </w:pPr>
    </w:p>
    <w:p w14:paraId="3E28F6DF" w14:textId="11825011" w:rsidR="00C94925" w:rsidRPr="001B4766" w:rsidRDefault="001B4766" w:rsidP="00C866C1">
      <w:pPr>
        <w:pStyle w:val="Heading2"/>
      </w:pPr>
      <w:bookmarkStart w:id="26" w:name="_Toc80694371"/>
      <w:r w:rsidRPr="001B4766">
        <w:t>Multiple</w:t>
      </w:r>
      <w:r w:rsidR="00C94925" w:rsidRPr="001B4766">
        <w:t xml:space="preserve"> providers</w:t>
      </w:r>
      <w:bookmarkEnd w:id="26"/>
    </w:p>
    <w:p w14:paraId="3B91516C" w14:textId="77777777" w:rsidR="00AA6BF8" w:rsidRDefault="00AA6BF8" w:rsidP="00E14444">
      <w:pPr>
        <w:pStyle w:val="mpcNormal"/>
      </w:pPr>
    </w:p>
    <w:p w14:paraId="4F6510FB" w14:textId="46F30A2C" w:rsidR="00D47964" w:rsidRDefault="00D47964" w:rsidP="00E14444">
      <w:pPr>
        <w:pStyle w:val="mpcNormal"/>
      </w:pPr>
      <w:r w:rsidRPr="001B4766">
        <w:t xml:space="preserve">Stakeholders </w:t>
      </w:r>
      <w:r w:rsidR="00CC4C6F">
        <w:t xml:space="preserve">broadly </w:t>
      </w:r>
      <w:r w:rsidRPr="001B4766">
        <w:t xml:space="preserve">agreed that, where multiple providers are providing care and services to a consumer, </w:t>
      </w:r>
      <w:r w:rsidR="003F1683" w:rsidRPr="001B4766">
        <w:t>the provider to whom the incident is reported or whose worker first identifies a suspected or actual incident should report it.</w:t>
      </w:r>
    </w:p>
    <w:p w14:paraId="0A1AF75F" w14:textId="4790B268" w:rsidR="003F1683" w:rsidRDefault="003F1683" w:rsidP="00E14444">
      <w:pPr>
        <w:pStyle w:val="mpcNormal"/>
      </w:pPr>
    </w:p>
    <w:p w14:paraId="489C90AD" w14:textId="71D90362" w:rsidR="00904CBE" w:rsidRDefault="003F1683" w:rsidP="00E14444">
      <w:pPr>
        <w:pStyle w:val="mpcNormal"/>
      </w:pPr>
      <w:r>
        <w:t xml:space="preserve">The majority of stakeholders considered that, </w:t>
      </w:r>
      <w:r w:rsidRPr="001B4766">
        <w:t>where Provider A suspects staff of Provider B may be involved in a reportable incident,</w:t>
      </w:r>
      <w:r>
        <w:t xml:space="preserve"> </w:t>
      </w:r>
      <w:r w:rsidRPr="001B4766">
        <w:t xml:space="preserve">Provider A should notify the Commission and the Commission should </w:t>
      </w:r>
      <w:r>
        <w:t xml:space="preserve">be responsible for notifying </w:t>
      </w:r>
      <w:r w:rsidRPr="001B4766">
        <w:t>Provider B</w:t>
      </w:r>
      <w:r>
        <w:t xml:space="preserve"> of the incident</w:t>
      </w:r>
      <w:r w:rsidR="003D6667">
        <w:t xml:space="preserve"> (and ensuring that Provider B undertakes appropriate investigation and management)</w:t>
      </w:r>
      <w:r w:rsidR="00904CBE" w:rsidRPr="001B4766">
        <w:t>, noting</w:t>
      </w:r>
      <w:r w:rsidR="00864871">
        <w:t xml:space="preserve"> that</w:t>
      </w:r>
      <w:r w:rsidR="00904CBE" w:rsidRPr="001B4766">
        <w:t>:</w:t>
      </w:r>
    </w:p>
    <w:p w14:paraId="108E6F87" w14:textId="77777777" w:rsidR="003D6667" w:rsidRPr="001B4766" w:rsidRDefault="003D6667" w:rsidP="00E14444">
      <w:pPr>
        <w:pStyle w:val="mpcNormal"/>
      </w:pPr>
    </w:p>
    <w:p w14:paraId="491FEF1A" w14:textId="5CB7E942" w:rsidR="00864871" w:rsidRDefault="00864871" w:rsidP="000566EA">
      <w:pPr>
        <w:pStyle w:val="mpcNormal"/>
        <w:numPr>
          <w:ilvl w:val="0"/>
          <w:numId w:val="11"/>
        </w:numPr>
        <w:rPr>
          <w:lang w:eastAsia="en-AU"/>
        </w:rPr>
      </w:pPr>
      <w:r>
        <w:rPr>
          <w:lang w:eastAsia="en-AU"/>
        </w:rPr>
        <w:t>the Commission is best placed to manage incident notifications</w:t>
      </w:r>
      <w:r w:rsidR="009B4465">
        <w:rPr>
          <w:lang w:eastAsia="en-AU"/>
        </w:rPr>
        <w:t xml:space="preserve"> and ensure relevant parties are made aware</w:t>
      </w:r>
    </w:p>
    <w:p w14:paraId="66E6DD15" w14:textId="77777777" w:rsidR="00977F76" w:rsidRPr="001B4766" w:rsidRDefault="00977F76" w:rsidP="0048323A">
      <w:pPr>
        <w:pStyle w:val="ListBullet2"/>
        <w:rPr>
          <w:lang w:eastAsia="en-AU"/>
        </w:rPr>
      </w:pPr>
      <w:r>
        <w:t>T</w:t>
      </w:r>
      <w:r w:rsidRPr="001B4766">
        <w:t>he</w:t>
      </w:r>
      <w:r w:rsidRPr="001B4766">
        <w:rPr>
          <w:lang w:eastAsia="en-AU"/>
        </w:rPr>
        <w:t xml:space="preserve"> Commission needs to be </w:t>
      </w:r>
      <w:r>
        <w:rPr>
          <w:lang w:eastAsia="en-AU"/>
        </w:rPr>
        <w:t>notified</w:t>
      </w:r>
      <w:r w:rsidRPr="001B4766">
        <w:rPr>
          <w:lang w:eastAsia="en-AU"/>
        </w:rPr>
        <w:t xml:space="preserve"> as soon as possible to </w:t>
      </w:r>
      <w:r>
        <w:rPr>
          <w:lang w:eastAsia="en-AU"/>
        </w:rPr>
        <w:t>ensure appropriate investigation/action is undertaken</w:t>
      </w:r>
      <w:r w:rsidRPr="001B4766">
        <w:rPr>
          <w:lang w:eastAsia="en-AU"/>
        </w:rPr>
        <w:t>.</w:t>
      </w:r>
    </w:p>
    <w:p w14:paraId="0E19AC94" w14:textId="5168DB0B" w:rsidR="00977F76" w:rsidRPr="00977F76" w:rsidRDefault="00CC4C6F" w:rsidP="0048323A">
      <w:pPr>
        <w:pStyle w:val="ListBullet2"/>
        <w:rPr>
          <w:lang w:eastAsia="en-AU"/>
        </w:rPr>
      </w:pPr>
      <w:r>
        <w:rPr>
          <w:lang w:eastAsia="en-AU"/>
        </w:rPr>
        <w:t>T</w:t>
      </w:r>
      <w:r w:rsidR="00977F76" w:rsidRPr="00977F76">
        <w:rPr>
          <w:lang w:eastAsia="en-AU"/>
        </w:rPr>
        <w:t xml:space="preserve">he Commission </w:t>
      </w:r>
      <w:r>
        <w:rPr>
          <w:lang w:eastAsia="en-AU"/>
        </w:rPr>
        <w:t xml:space="preserve">can </w:t>
      </w:r>
      <w:r w:rsidR="00977F76" w:rsidRPr="00977F76">
        <w:rPr>
          <w:lang w:eastAsia="en-AU"/>
        </w:rPr>
        <w:t xml:space="preserve">work with the instigator to manage the incident </w:t>
      </w:r>
      <w:r>
        <w:rPr>
          <w:lang w:eastAsia="en-AU"/>
        </w:rPr>
        <w:t>and</w:t>
      </w:r>
      <w:r w:rsidR="00977F76" w:rsidRPr="00977F76">
        <w:rPr>
          <w:lang w:eastAsia="en-AU"/>
        </w:rPr>
        <w:t xml:space="preserve"> report back to the original reporter. </w:t>
      </w:r>
    </w:p>
    <w:p w14:paraId="2ABD9BE4" w14:textId="77777777" w:rsidR="00864871" w:rsidRPr="00864871" w:rsidRDefault="00835865" w:rsidP="0048323A">
      <w:pPr>
        <w:pStyle w:val="ListBullet2"/>
        <w:rPr>
          <w:i/>
          <w:iCs/>
        </w:rPr>
      </w:pPr>
      <w:r w:rsidRPr="001B4766">
        <w:rPr>
          <w:lang w:eastAsia="en-AU"/>
        </w:rPr>
        <w:t xml:space="preserve">This </w:t>
      </w:r>
      <w:r w:rsidRPr="001B4766">
        <w:t>should</w:t>
      </w:r>
      <w:r w:rsidRPr="001B4766">
        <w:rPr>
          <w:lang w:eastAsia="en-AU"/>
        </w:rPr>
        <w:t xml:space="preserve"> be considered a </w:t>
      </w:r>
      <w:r w:rsidR="001A10AC" w:rsidRPr="001B4766">
        <w:rPr>
          <w:lang w:eastAsia="en-AU"/>
        </w:rPr>
        <w:t>third-party</w:t>
      </w:r>
      <w:r w:rsidRPr="001B4766">
        <w:rPr>
          <w:lang w:eastAsia="en-AU"/>
        </w:rPr>
        <w:t xml:space="preserve"> notification and the Commission should be responsible for accepting the notification of an alleged incident and notifying the other provider as part of the </w:t>
      </w:r>
      <w:r w:rsidR="001B4766" w:rsidRPr="001B4766">
        <w:rPr>
          <w:lang w:eastAsia="en-AU"/>
        </w:rPr>
        <w:t>follow up</w:t>
      </w:r>
      <w:r w:rsidRPr="001B4766">
        <w:rPr>
          <w:lang w:eastAsia="en-AU"/>
        </w:rPr>
        <w:t xml:space="preserve"> and investigation of a third</w:t>
      </w:r>
      <w:r w:rsidR="00864871">
        <w:rPr>
          <w:lang w:eastAsia="en-AU"/>
        </w:rPr>
        <w:t>-</w:t>
      </w:r>
      <w:r w:rsidRPr="001B4766">
        <w:rPr>
          <w:lang w:eastAsia="en-AU"/>
        </w:rPr>
        <w:t>party notification.</w:t>
      </w:r>
    </w:p>
    <w:p w14:paraId="2FB8B48B" w14:textId="565A2E8E" w:rsidR="00864871" w:rsidRDefault="00864871" w:rsidP="0048323A">
      <w:pPr>
        <w:pStyle w:val="ListBullet2"/>
      </w:pPr>
      <w:r w:rsidRPr="00864871">
        <w:t xml:space="preserve">If the matter is serious enough to be taken to the Commission, the Commission should decide how it is communicated to the other provider. </w:t>
      </w:r>
      <w:r w:rsidR="00CC4C6F">
        <w:t>One stakeholder noted that ‘t</w:t>
      </w:r>
      <w:r w:rsidRPr="00864871">
        <w:t>his minimises the risk of evidence being buried or lost before the Commission has the opportunity to act</w:t>
      </w:r>
      <w:r w:rsidR="00CC4C6F">
        <w:t>’</w:t>
      </w:r>
      <w:r w:rsidR="00A4210C">
        <w:t>.</w:t>
      </w:r>
    </w:p>
    <w:p w14:paraId="58B8AC21" w14:textId="277ADE8E" w:rsidR="00864871" w:rsidRPr="00864871" w:rsidRDefault="00864871" w:rsidP="0048323A">
      <w:pPr>
        <w:pStyle w:val="ListBullet2"/>
        <w:rPr>
          <w:i/>
          <w:iCs/>
        </w:rPr>
      </w:pPr>
      <w:r w:rsidRPr="001B4766">
        <w:rPr>
          <w:lang w:eastAsia="en-AU"/>
        </w:rPr>
        <w:t>Each provider should be responsible for recording or reporting their own experience of an incident. Differences in reports should be reconciled by the Commission.</w:t>
      </w:r>
    </w:p>
    <w:p w14:paraId="69CE2F49" w14:textId="4122A9C3" w:rsidR="00864871" w:rsidRDefault="00864871" w:rsidP="000566EA">
      <w:pPr>
        <w:pStyle w:val="mpcNormal"/>
        <w:numPr>
          <w:ilvl w:val="0"/>
          <w:numId w:val="11"/>
        </w:numPr>
      </w:pPr>
      <w:r>
        <w:t>this would help to preserve relationships and reduce conflicts between providers</w:t>
      </w:r>
    </w:p>
    <w:p w14:paraId="766AE11B" w14:textId="77777777" w:rsidR="00864871" w:rsidRDefault="00864871" w:rsidP="0048323A">
      <w:pPr>
        <w:pStyle w:val="ListBullet2"/>
      </w:pPr>
      <w:r w:rsidRPr="001B4766">
        <w:rPr>
          <w:lang w:eastAsia="en-AU"/>
        </w:rPr>
        <w:lastRenderedPageBreak/>
        <w:t>It's not appropriate for an allegation to be shared between providers, as this risks care relationships and could encourage pressure from one provider to another managing the allegation.</w:t>
      </w:r>
    </w:p>
    <w:p w14:paraId="4FD6964F" w14:textId="77777777" w:rsidR="00864871" w:rsidRDefault="00864871" w:rsidP="0048323A">
      <w:pPr>
        <w:pStyle w:val="ListBullet2"/>
      </w:pPr>
      <w:r w:rsidRPr="001B4766">
        <w:t>Providers need to maintain good working relationships with the other organisations involved in the care of consumers</w:t>
      </w:r>
      <w:r>
        <w:t xml:space="preserve"> and should not be required to report suspected incidents to other providers</w:t>
      </w:r>
      <w:r w:rsidRPr="001B4766">
        <w:t>.</w:t>
      </w:r>
    </w:p>
    <w:p w14:paraId="67CE7313" w14:textId="77777777" w:rsidR="00864871" w:rsidRDefault="00864871" w:rsidP="0048323A">
      <w:pPr>
        <w:pStyle w:val="ListBullet2"/>
      </w:pPr>
      <w:r w:rsidRPr="001B4766">
        <w:t>Providers are possibly in competition and reporting to each other could be a conflict.</w:t>
      </w:r>
    </w:p>
    <w:p w14:paraId="5B054534" w14:textId="403FB0D8" w:rsidR="00864871" w:rsidRPr="001B4766" w:rsidRDefault="00864871" w:rsidP="0048323A">
      <w:pPr>
        <w:pStyle w:val="ListBullet2"/>
      </w:pPr>
      <w:r w:rsidRPr="001B4766">
        <w:rPr>
          <w:lang w:eastAsia="en-AU"/>
        </w:rPr>
        <w:t>One provider should not report an incident to another provider as this may compromise an investigation by the Commission or police.</w:t>
      </w:r>
    </w:p>
    <w:p w14:paraId="32E91429" w14:textId="34D22EF2" w:rsidR="00864871" w:rsidRPr="001B4766" w:rsidRDefault="00864871" w:rsidP="000566EA">
      <w:pPr>
        <w:pStyle w:val="mpcNormal"/>
        <w:numPr>
          <w:ilvl w:val="0"/>
          <w:numId w:val="11"/>
        </w:numPr>
      </w:pPr>
      <w:r>
        <w:t>i</w:t>
      </w:r>
      <w:r w:rsidRPr="001B4766">
        <w:t>n practice, Provider A may not know how to contact Provider B</w:t>
      </w:r>
    </w:p>
    <w:p w14:paraId="6C6480F3" w14:textId="17275E03" w:rsidR="003D6667" w:rsidRPr="001B4766" w:rsidRDefault="00864871" w:rsidP="000566EA">
      <w:pPr>
        <w:pStyle w:val="mpcNormal"/>
        <w:numPr>
          <w:ilvl w:val="0"/>
          <w:numId w:val="11"/>
        </w:numPr>
      </w:pPr>
      <w:r>
        <w:t>t</w:t>
      </w:r>
      <w:r w:rsidR="003D6667" w:rsidRPr="001B4766">
        <w:t>his assures that the incident is reported rather than “covered up</w:t>
      </w:r>
      <w:r w:rsidR="003D6667">
        <w:t>”</w:t>
      </w:r>
      <w:r w:rsidR="003D6667" w:rsidRPr="001B4766">
        <w:t xml:space="preserve"> by the provider</w:t>
      </w:r>
      <w:r w:rsidR="003D6667">
        <w:t>.</w:t>
      </w:r>
    </w:p>
    <w:p w14:paraId="7E6ED2E2" w14:textId="2649DAB9" w:rsidR="00B56DD3" w:rsidRDefault="00B56DD3" w:rsidP="00E14444">
      <w:pPr>
        <w:pStyle w:val="mpcNormal"/>
      </w:pPr>
    </w:p>
    <w:p w14:paraId="48CED298" w14:textId="5ACB4DDA" w:rsidR="00C94925" w:rsidRDefault="00864871" w:rsidP="00E14444">
      <w:pPr>
        <w:pStyle w:val="mpcNormal"/>
      </w:pPr>
      <w:r>
        <w:t xml:space="preserve">A minority of stakeholders suggested that </w:t>
      </w:r>
      <w:r w:rsidR="00C94925" w:rsidRPr="001B4766">
        <w:t>Provider A should</w:t>
      </w:r>
      <w:r w:rsidR="00213279">
        <w:t xml:space="preserve"> be responsible for</w:t>
      </w:r>
      <w:r w:rsidR="00C94925" w:rsidRPr="001B4766">
        <w:t xml:space="preserve"> notify</w:t>
      </w:r>
      <w:r w:rsidR="00213279">
        <w:t>ing</w:t>
      </w:r>
      <w:r w:rsidR="00C94925" w:rsidRPr="001B4766">
        <w:t xml:space="preserve"> Provider B</w:t>
      </w:r>
      <w:r w:rsidR="00213279">
        <w:t xml:space="preserve"> (who would then be responsible for notifying the Commission)</w:t>
      </w:r>
      <w:r w:rsidR="00C94925" w:rsidRPr="001B4766">
        <w:t>, noting:</w:t>
      </w:r>
    </w:p>
    <w:p w14:paraId="6B2BC841" w14:textId="77777777" w:rsidR="00864871" w:rsidRPr="001B4766" w:rsidRDefault="00864871" w:rsidP="00E14444">
      <w:pPr>
        <w:pStyle w:val="mpcNormal"/>
      </w:pPr>
    </w:p>
    <w:p w14:paraId="6DA97480" w14:textId="51297E46" w:rsidR="00450FBD" w:rsidRPr="00864871" w:rsidRDefault="00701019" w:rsidP="000566EA">
      <w:pPr>
        <w:pStyle w:val="mpcNormal"/>
        <w:numPr>
          <w:ilvl w:val="0"/>
          <w:numId w:val="11"/>
        </w:numPr>
      </w:pPr>
      <w:r w:rsidRPr="00864871">
        <w:t>“</w:t>
      </w:r>
      <w:r w:rsidR="00450FBD" w:rsidRPr="00864871">
        <w:t xml:space="preserve">Open disclosure should be given to all parties </w:t>
      </w:r>
      <w:r w:rsidR="00C94925" w:rsidRPr="00864871">
        <w:t>– a</w:t>
      </w:r>
      <w:r w:rsidR="00450FBD" w:rsidRPr="00864871">
        <w:t>ll</w:t>
      </w:r>
      <w:r w:rsidR="00C94925" w:rsidRPr="00864871">
        <w:t xml:space="preserve"> </w:t>
      </w:r>
      <w:r w:rsidR="00450FBD" w:rsidRPr="00864871">
        <w:t>service providers have a responsibility to the consumer first and foremost</w:t>
      </w:r>
      <w:r w:rsidR="00C94925" w:rsidRPr="00864871">
        <w:t xml:space="preserve"> and should ensure </w:t>
      </w:r>
      <w:r w:rsidR="00450FBD" w:rsidRPr="00864871">
        <w:t xml:space="preserve">open and transparent communication to </w:t>
      </w:r>
      <w:r w:rsidR="00C94925" w:rsidRPr="00864871">
        <w:t>get the</w:t>
      </w:r>
      <w:r w:rsidR="00450FBD" w:rsidRPr="00864871">
        <w:t xml:space="preserve"> best outcome for </w:t>
      </w:r>
      <w:r w:rsidR="00C94925" w:rsidRPr="00864871">
        <w:t xml:space="preserve">the </w:t>
      </w:r>
      <w:r w:rsidR="00450FBD" w:rsidRPr="00864871">
        <w:t>consumer</w:t>
      </w:r>
      <w:r w:rsidRPr="00864871">
        <w:t>”</w:t>
      </w:r>
      <w:r w:rsidR="00A4210C">
        <w:t>.</w:t>
      </w:r>
    </w:p>
    <w:p w14:paraId="75285C64" w14:textId="3FDE2211" w:rsidR="0015093A" w:rsidRPr="00864871" w:rsidRDefault="0015093A" w:rsidP="000566EA">
      <w:pPr>
        <w:pStyle w:val="mpcNormal"/>
        <w:numPr>
          <w:ilvl w:val="0"/>
          <w:numId w:val="11"/>
        </w:numPr>
      </w:pPr>
      <w:r w:rsidRPr="00864871">
        <w:t>“The home care industry needs to be accountable for their services and responses accordingly”</w:t>
      </w:r>
      <w:r w:rsidR="00A4210C">
        <w:t>.</w:t>
      </w:r>
    </w:p>
    <w:p w14:paraId="2AE8AADF" w14:textId="5CB8E18A" w:rsidR="0015093A" w:rsidRPr="001B4766" w:rsidRDefault="00CC4C6F" w:rsidP="000566EA">
      <w:pPr>
        <w:pStyle w:val="mpcNormal"/>
        <w:numPr>
          <w:ilvl w:val="0"/>
          <w:numId w:val="11"/>
        </w:numPr>
      </w:pPr>
      <w:r>
        <w:t>P</w:t>
      </w:r>
      <w:r w:rsidR="00450FBD" w:rsidRPr="001B4766">
        <w:t xml:space="preserve">roviders </w:t>
      </w:r>
      <w:r w:rsidR="0015093A" w:rsidRPr="001B4766">
        <w:t>may need to consult with each other to find out all the details around an incident and determine whether it is reportable</w:t>
      </w:r>
      <w:r>
        <w:t>.</w:t>
      </w:r>
    </w:p>
    <w:p w14:paraId="24BADE0A" w14:textId="3BB150D0" w:rsidR="0015093A" w:rsidRPr="001B4766" w:rsidRDefault="00CC4C6F" w:rsidP="000566EA">
      <w:pPr>
        <w:pStyle w:val="mpcNormal"/>
        <w:numPr>
          <w:ilvl w:val="0"/>
          <w:numId w:val="11"/>
        </w:numPr>
      </w:pPr>
      <w:r>
        <w:t>T</w:t>
      </w:r>
      <w:r w:rsidR="0015093A" w:rsidRPr="001B4766">
        <w:t>his would help to ensure continuity of communication and that both providers are aware of the situation and can address such situations if they occur in the future.</w:t>
      </w:r>
    </w:p>
    <w:p w14:paraId="671F6DED" w14:textId="77777777" w:rsidR="00D812CA" w:rsidRPr="001B4766" w:rsidRDefault="00D812CA" w:rsidP="00E14444">
      <w:pPr>
        <w:pStyle w:val="mpcNormal"/>
      </w:pPr>
    </w:p>
    <w:p w14:paraId="29C747EF" w14:textId="2C533406" w:rsidR="00907B95" w:rsidRDefault="00835865" w:rsidP="00E14444">
      <w:pPr>
        <w:pStyle w:val="mpcNormal"/>
      </w:pPr>
      <w:r w:rsidRPr="001B4766">
        <w:t xml:space="preserve">Stakeholders </w:t>
      </w:r>
      <w:r w:rsidR="00864871">
        <w:t>agreed</w:t>
      </w:r>
      <w:r w:rsidRPr="001B4766">
        <w:t xml:space="preserve"> that guidance around the SIRS should include c</w:t>
      </w:r>
      <w:r w:rsidR="00904CBE" w:rsidRPr="001B4766">
        <w:t>lear communications around</w:t>
      </w:r>
      <w:r w:rsidR="00A34A85">
        <w:t xml:space="preserve"> the issues of multiple providers and the</w:t>
      </w:r>
      <w:r w:rsidR="00904CBE" w:rsidRPr="001B4766">
        <w:t xml:space="preserve"> </w:t>
      </w:r>
      <w:r w:rsidR="001B4766" w:rsidRPr="001B4766">
        <w:t>responsibilities</w:t>
      </w:r>
      <w:r w:rsidR="00904CBE" w:rsidRPr="001B4766">
        <w:t xml:space="preserve"> of providers in different scenarios.</w:t>
      </w:r>
    </w:p>
    <w:p w14:paraId="3670A1A8" w14:textId="77777777" w:rsidR="00AA6BF8" w:rsidRPr="001B4766" w:rsidRDefault="00AA6BF8" w:rsidP="00E14444">
      <w:pPr>
        <w:pStyle w:val="mpcNormal"/>
      </w:pPr>
    </w:p>
    <w:p w14:paraId="74CF38E1" w14:textId="4C022DC6" w:rsidR="00992E7D" w:rsidRPr="001B4766" w:rsidRDefault="00C866C1" w:rsidP="00C866C1">
      <w:pPr>
        <w:pStyle w:val="Heading1"/>
      </w:pPr>
      <w:bookmarkStart w:id="27" w:name="_Toc77848161"/>
      <w:r>
        <w:br w:type="column"/>
      </w:r>
      <w:bookmarkStart w:id="28" w:name="_Toc80694372"/>
      <w:r w:rsidR="00D16E81" w:rsidRPr="001B4766">
        <w:lastRenderedPageBreak/>
        <w:t>S</w:t>
      </w:r>
      <w:r w:rsidR="00992E7D" w:rsidRPr="001B4766">
        <w:t>cope of reportable incidents</w:t>
      </w:r>
      <w:bookmarkEnd w:id="27"/>
      <w:bookmarkEnd w:id="28"/>
    </w:p>
    <w:p w14:paraId="1DC11B21" w14:textId="77777777" w:rsidR="00AA6BF8" w:rsidRDefault="00AA6BF8" w:rsidP="00AA6BF8">
      <w:pPr>
        <w:pStyle w:val="mpcNormal"/>
      </w:pPr>
      <w:bookmarkStart w:id="29" w:name="_Toc77848162"/>
    </w:p>
    <w:p w14:paraId="008CB0CB" w14:textId="19F66D05" w:rsidR="00992E7D" w:rsidRPr="001B4766" w:rsidRDefault="00457249" w:rsidP="00C866C1">
      <w:pPr>
        <w:pStyle w:val="Heading2"/>
      </w:pPr>
      <w:bookmarkStart w:id="30" w:name="_Toc80694373"/>
      <w:r w:rsidRPr="001B4766">
        <w:t>Reportable incidents</w:t>
      </w:r>
      <w:bookmarkEnd w:id="29"/>
      <w:bookmarkEnd w:id="30"/>
    </w:p>
    <w:p w14:paraId="206E3F8E" w14:textId="77777777" w:rsidR="00AA6BF8" w:rsidRDefault="00AA6BF8" w:rsidP="00AA6BF8">
      <w:pPr>
        <w:pStyle w:val="mpcNormal"/>
      </w:pPr>
    </w:p>
    <w:p w14:paraId="4088DD3D" w14:textId="1841D8F2" w:rsidR="00AA6BF8" w:rsidRDefault="00F94818" w:rsidP="00AA6BF8">
      <w:r>
        <w:t>The consultation paper</w:t>
      </w:r>
      <w:r w:rsidR="00AA6BF8" w:rsidRPr="001B4766" w:rsidDel="00F720D4">
        <w:t xml:space="preserve"> proposed that the definition of a reportable incident under the SIRS for </w:t>
      </w:r>
      <w:r w:rsidR="00AA6BF8" w:rsidRPr="001B4766">
        <w:t>in-</w:t>
      </w:r>
      <w:r w:rsidR="00AA6BF8" w:rsidRPr="001B4766" w:rsidDel="00F720D4">
        <w:t>home</w:t>
      </w:r>
      <w:r w:rsidR="00AA6BF8" w:rsidRPr="001B4766">
        <w:t xml:space="preserve"> </w:t>
      </w:r>
      <w:r w:rsidR="00AA6BF8" w:rsidRPr="001B4766" w:rsidDel="00F720D4">
        <w:t>services be</w:t>
      </w:r>
      <w:r>
        <w:t xml:space="preserve"> as</w:t>
      </w:r>
      <w:r w:rsidR="00AA6BF8" w:rsidRPr="001B4766" w:rsidDel="00F720D4">
        <w:t xml:space="preserve"> consistent </w:t>
      </w:r>
      <w:r w:rsidR="00AA6BF8" w:rsidRPr="001B4766">
        <w:t xml:space="preserve">as possible </w:t>
      </w:r>
      <w:r w:rsidR="00AA6BF8" w:rsidRPr="001B4766" w:rsidDel="00F720D4">
        <w:t>with current arrangements for residential care.</w:t>
      </w:r>
    </w:p>
    <w:p w14:paraId="25E5791D" w14:textId="77777777" w:rsidR="00AA6BF8" w:rsidRDefault="00AA6BF8" w:rsidP="00AA6BF8">
      <w:pPr>
        <w:pStyle w:val="mpcNormal"/>
      </w:pPr>
    </w:p>
    <w:p w14:paraId="6E2817FD" w14:textId="3E9A8999" w:rsidR="00AA6BF8" w:rsidRDefault="00AA6BF8" w:rsidP="00AA6BF8">
      <w:pPr>
        <w:pStyle w:val="mpcNormal"/>
      </w:pPr>
      <w:r>
        <w:t xml:space="preserve">Stakeholder feedback was sought on </w:t>
      </w:r>
      <w:r w:rsidR="00F94818">
        <w:t>the</w:t>
      </w:r>
      <w:r>
        <w:t xml:space="preserve"> proposed definitions for </w:t>
      </w:r>
      <w:r w:rsidR="00F94818">
        <w:t xml:space="preserve">each of the </w:t>
      </w:r>
      <w:r>
        <w:t>different categories of reportable incident to be used for the SIRS for in-home services.</w:t>
      </w:r>
    </w:p>
    <w:p w14:paraId="46B0AA19" w14:textId="77777777" w:rsidR="00AA6BF8" w:rsidRDefault="00AA6BF8" w:rsidP="00AA6BF8">
      <w:pPr>
        <w:pStyle w:val="mpcNormal"/>
      </w:pPr>
    </w:p>
    <w:p w14:paraId="5B22FF74" w14:textId="6E477DAD" w:rsidR="00F4125A" w:rsidRPr="001B4766" w:rsidRDefault="00B61567" w:rsidP="00E14444">
      <w:r>
        <w:t xml:space="preserve">In addition to feedback on each of the </w:t>
      </w:r>
      <w:r w:rsidR="00F4125A">
        <w:t xml:space="preserve">proposed categories of </w:t>
      </w:r>
      <w:r w:rsidR="00F02754">
        <w:t xml:space="preserve">reportable </w:t>
      </w:r>
      <w:r w:rsidR="00F4125A">
        <w:t>inciden</w:t>
      </w:r>
      <w:r>
        <w:t>t</w:t>
      </w:r>
      <w:r w:rsidR="00F02754">
        <w:t>,</w:t>
      </w:r>
      <w:r w:rsidR="00F4125A" w:rsidRPr="001B4766">
        <w:t xml:space="preserve"> stakeholders </w:t>
      </w:r>
      <w:r>
        <w:t xml:space="preserve">also </w:t>
      </w:r>
      <w:r w:rsidR="00F4125A" w:rsidRPr="001B4766">
        <w:t>noted that:</w:t>
      </w:r>
    </w:p>
    <w:p w14:paraId="68AEF05C" w14:textId="77777777" w:rsidR="00F4125A" w:rsidRPr="001B4766" w:rsidRDefault="00F4125A" w:rsidP="00E14444"/>
    <w:p w14:paraId="1A47F6DB" w14:textId="56147428" w:rsidR="00F4125A" w:rsidRDefault="00C479E6" w:rsidP="00F94818">
      <w:pPr>
        <w:pStyle w:val="mpcNormal"/>
        <w:numPr>
          <w:ilvl w:val="0"/>
          <w:numId w:val="11"/>
        </w:numPr>
      </w:pPr>
      <w:r>
        <w:t xml:space="preserve">it should be </w:t>
      </w:r>
      <w:r w:rsidR="00F4125A">
        <w:t>explicit</w:t>
      </w:r>
      <w:r w:rsidR="00F4125A" w:rsidRPr="001B4766">
        <w:t xml:space="preserve"> that</w:t>
      </w:r>
      <w:r>
        <w:t xml:space="preserve"> the definition</w:t>
      </w:r>
      <w:r w:rsidR="00F4125A" w:rsidRPr="001B4766">
        <w:t xml:space="preserve"> only relates to actions by </w:t>
      </w:r>
      <w:r w:rsidR="00F4125A">
        <w:t>workers</w:t>
      </w:r>
      <w:r w:rsidR="00F4125A" w:rsidRPr="001B4766">
        <w:t xml:space="preserve"> of the provider, not others</w:t>
      </w:r>
    </w:p>
    <w:p w14:paraId="63585008" w14:textId="6988932F" w:rsidR="0013791A" w:rsidRDefault="005D3506" w:rsidP="00F94818">
      <w:pPr>
        <w:pStyle w:val="mpcNormal"/>
        <w:numPr>
          <w:ilvl w:val="0"/>
          <w:numId w:val="11"/>
        </w:numPr>
      </w:pPr>
      <w:r>
        <w:t>‘</w:t>
      </w:r>
      <w:r w:rsidR="0013791A">
        <w:t>workers</w:t>
      </w:r>
      <w:r w:rsidR="0013791A" w:rsidRPr="001B4766">
        <w:t xml:space="preserve"> of the provider</w:t>
      </w:r>
      <w:r>
        <w:t>’</w:t>
      </w:r>
      <w:r w:rsidR="0013791A">
        <w:t xml:space="preserve"> should include anyone providing care and services on behalf of the provider (including subcontracted individuals or organisations), those managing care coordination, administration</w:t>
      </w:r>
      <w:r w:rsidR="00A4210C">
        <w:t>,</w:t>
      </w:r>
      <w:r w:rsidR="00C479E6">
        <w:t xml:space="preserve"> </w:t>
      </w:r>
      <w:r w:rsidR="0013791A">
        <w:t>etc. and volunteers (except where explicitly stated otherwise)</w:t>
      </w:r>
    </w:p>
    <w:p w14:paraId="2D9DD892" w14:textId="1CDED085" w:rsidR="00A610A5" w:rsidRPr="001B4766" w:rsidRDefault="00C96BD0" w:rsidP="00F94818">
      <w:pPr>
        <w:pStyle w:val="mpcNormal"/>
        <w:numPr>
          <w:ilvl w:val="0"/>
          <w:numId w:val="11"/>
        </w:numPr>
      </w:pPr>
      <w:r>
        <w:t>specific guidance should be provided about incidents that occur due to factors outside of the provider’s control (e.g. where a consumer is not receiving the care and services they need because they are waiting for higher level of care to become available or where the consumer refuses to receive certain care and services)</w:t>
      </w:r>
    </w:p>
    <w:p w14:paraId="55D5E595" w14:textId="169CD9FA" w:rsidR="00F4125A" w:rsidRDefault="00F02754" w:rsidP="00F94818">
      <w:pPr>
        <w:pStyle w:val="mpcNormal"/>
        <w:numPr>
          <w:ilvl w:val="0"/>
          <w:numId w:val="11"/>
        </w:numPr>
      </w:pPr>
      <w:r>
        <w:t xml:space="preserve">guidance must </w:t>
      </w:r>
      <w:r w:rsidR="00F4125A" w:rsidRPr="001B4766">
        <w:t xml:space="preserve">include examples of what is and is not considered </w:t>
      </w:r>
      <w:r>
        <w:t>within scope of each category</w:t>
      </w:r>
      <w:r w:rsidR="00F4125A" w:rsidRPr="001B4766">
        <w:t xml:space="preserve"> </w:t>
      </w:r>
      <w:r w:rsidR="007D727B">
        <w:t>of reportable incident in</w:t>
      </w:r>
      <w:r w:rsidR="00F4125A" w:rsidRPr="001B4766">
        <w:t xml:space="preserve"> the in</w:t>
      </w:r>
      <w:r w:rsidR="00F4125A" w:rsidRPr="001B4766">
        <w:noBreakHyphen/>
        <w:t>home services environment</w:t>
      </w:r>
    </w:p>
    <w:p w14:paraId="54333A0C" w14:textId="3E5AFE5C" w:rsidR="00B13A4B" w:rsidRPr="00B13A4B" w:rsidRDefault="00B13A4B" w:rsidP="00B13A4B">
      <w:pPr>
        <w:pStyle w:val="mpcNormal"/>
        <w:numPr>
          <w:ilvl w:val="0"/>
          <w:numId w:val="11"/>
        </w:numPr>
      </w:pPr>
      <w:r>
        <w:t>it needs to be</w:t>
      </w:r>
      <w:r w:rsidRPr="00B13A4B">
        <w:t xml:space="preserve"> clearer</w:t>
      </w:r>
      <w:r>
        <w:t xml:space="preserve"> in the in-home services context</w:t>
      </w:r>
      <w:r w:rsidRPr="00B13A4B">
        <w:t xml:space="preserve"> that reportable incidents are those that have occurred, are alleged to have occurred, or are suspected of having occurred in connection with the provision of care and services to a consumer by the provider. </w:t>
      </w:r>
    </w:p>
    <w:p w14:paraId="59C28F17" w14:textId="77777777" w:rsidR="00AA6BF8" w:rsidRPr="001B4766" w:rsidRDefault="00AA6BF8" w:rsidP="00C866C1">
      <w:pPr>
        <w:pStyle w:val="ListBullet"/>
        <w:numPr>
          <w:ilvl w:val="0"/>
          <w:numId w:val="0"/>
        </w:numPr>
        <w:ind w:left="426"/>
      </w:pPr>
    </w:p>
    <w:p w14:paraId="0B66184F" w14:textId="17F85B5F" w:rsidR="00457249" w:rsidRDefault="00457249" w:rsidP="00C866C1">
      <w:pPr>
        <w:pStyle w:val="Heading2"/>
      </w:pPr>
      <w:bookmarkStart w:id="31" w:name="_Toc77848163"/>
      <w:bookmarkStart w:id="32" w:name="_Toc80694374"/>
      <w:r w:rsidRPr="001B4766">
        <w:t>Unreasonable use of force</w:t>
      </w:r>
      <w:bookmarkEnd w:id="31"/>
      <w:bookmarkEnd w:id="32"/>
    </w:p>
    <w:p w14:paraId="2DD60236" w14:textId="77777777" w:rsidR="00AA6BF8" w:rsidRPr="00AA6BF8" w:rsidRDefault="00AA6BF8" w:rsidP="00AA6BF8">
      <w:pPr>
        <w:pStyle w:val="mpcNormal"/>
      </w:pPr>
    </w:p>
    <w:p w14:paraId="257B409D" w14:textId="7CC145A3" w:rsidR="00457249" w:rsidRPr="001B4766" w:rsidRDefault="00AA6BF8" w:rsidP="00E14444">
      <w:r>
        <w:t>Stakeholder feedback was sought on the</w:t>
      </w:r>
      <w:r w:rsidR="007D727B">
        <w:t xml:space="preserve"> </w:t>
      </w:r>
      <w:r w:rsidR="00C95FE4">
        <w:t>proposed</w:t>
      </w:r>
      <w:r w:rsidR="007D727B">
        <w:t xml:space="preserve"> </w:t>
      </w:r>
      <w:r w:rsidR="00457249" w:rsidRPr="001B4766">
        <w:t>definition of ‘unreasonable use of force’</w:t>
      </w:r>
      <w:r w:rsidR="00875902">
        <w:t>:</w:t>
      </w:r>
    </w:p>
    <w:p w14:paraId="667E099F" w14:textId="77777777" w:rsidR="00457249" w:rsidRPr="001B4766" w:rsidRDefault="00457249" w:rsidP="00E14444"/>
    <w:p w14:paraId="42E40826" w14:textId="0898D111" w:rsidR="00C866C1" w:rsidRPr="00C866C1" w:rsidRDefault="00C866C1" w:rsidP="00C866C1">
      <w:pPr>
        <w:ind w:left="720" w:right="990"/>
        <w:rPr>
          <w:i/>
          <w:iCs/>
        </w:rPr>
      </w:pPr>
      <w:r w:rsidRPr="00C866C1">
        <w:rPr>
          <w:b/>
          <w:i/>
          <w:iCs/>
        </w:rPr>
        <w:t>Unreasonable use of force</w:t>
      </w:r>
      <w:r w:rsidRPr="00C866C1">
        <w:rPr>
          <w:i/>
          <w:iCs/>
        </w:rPr>
        <w:t xml:space="preserve"> against the consumer includes conduct ranging from a deliberate and violent physical attack to use of unwarranted physical force.</w:t>
      </w:r>
    </w:p>
    <w:p w14:paraId="6999211C" w14:textId="77777777" w:rsidR="00C866C1" w:rsidRPr="00C866C1" w:rsidRDefault="00C866C1" w:rsidP="00C866C1"/>
    <w:p w14:paraId="1C05138F" w14:textId="312C814D" w:rsidR="00341D3A" w:rsidRPr="001B4766" w:rsidRDefault="00D812CA" w:rsidP="00E14444">
      <w:r w:rsidRPr="001B4766">
        <w:t>Stakeholders</w:t>
      </w:r>
      <w:r w:rsidR="00336DED" w:rsidRPr="001B4766">
        <w:t xml:space="preserve"> broadly</w:t>
      </w:r>
      <w:r w:rsidRPr="001B4766">
        <w:t xml:space="preserve"> considered this definition </w:t>
      </w:r>
      <w:r w:rsidR="00853A57">
        <w:t>to be</w:t>
      </w:r>
      <w:r w:rsidRPr="001B4766">
        <w:t xml:space="preserve"> equally applicable to the in-home services context</w:t>
      </w:r>
      <w:r w:rsidR="00341D3A" w:rsidRPr="001B4766">
        <w:t xml:space="preserve"> </w:t>
      </w:r>
      <w:r w:rsidR="00853A57">
        <w:t>without any</w:t>
      </w:r>
      <w:r w:rsidR="00341D3A" w:rsidRPr="001B4766">
        <w:t xml:space="preserve"> adjustment</w:t>
      </w:r>
      <w:r w:rsidRPr="001B4766">
        <w:t xml:space="preserve">. </w:t>
      </w:r>
    </w:p>
    <w:p w14:paraId="75DEB313" w14:textId="77777777" w:rsidR="00341D3A" w:rsidRPr="001B4766" w:rsidRDefault="00341D3A" w:rsidP="00E14444"/>
    <w:p w14:paraId="585C8276" w14:textId="77D9D5EE" w:rsidR="00D812CA" w:rsidRPr="001B4766" w:rsidRDefault="00962F69" w:rsidP="00E14444">
      <w:r>
        <w:t>Consistent with the views about reportable incidents more broadly, s</w:t>
      </w:r>
      <w:r w:rsidR="00D812CA" w:rsidRPr="001B4766">
        <w:t xml:space="preserve">ome stakeholders </w:t>
      </w:r>
      <w:r>
        <w:t>commented</w:t>
      </w:r>
      <w:r w:rsidR="00D812CA" w:rsidRPr="001B4766">
        <w:t xml:space="preserve"> that the definition should:</w:t>
      </w:r>
    </w:p>
    <w:p w14:paraId="2C249C39" w14:textId="77777777" w:rsidR="00D812CA" w:rsidRPr="001B4766" w:rsidRDefault="00D812CA" w:rsidP="00E14444"/>
    <w:p w14:paraId="51A24311" w14:textId="648B86B7" w:rsidR="00D812CA" w:rsidRPr="001B4766" w:rsidRDefault="00D812CA" w:rsidP="00853A57">
      <w:pPr>
        <w:pStyle w:val="mpcNormal"/>
        <w:numPr>
          <w:ilvl w:val="0"/>
          <w:numId w:val="11"/>
        </w:numPr>
      </w:pPr>
      <w:r w:rsidRPr="001B4766">
        <w:t xml:space="preserve">be </w:t>
      </w:r>
      <w:r w:rsidR="00635F0E">
        <w:t>explicit</w:t>
      </w:r>
      <w:r w:rsidRPr="001B4766">
        <w:t xml:space="preserve"> that</w:t>
      </w:r>
      <w:r w:rsidR="00A75481" w:rsidRPr="001B4766">
        <w:t xml:space="preserve"> it only relates to actions by </w:t>
      </w:r>
      <w:r w:rsidR="00F4125A">
        <w:t>workers</w:t>
      </w:r>
      <w:r w:rsidR="00A75481" w:rsidRPr="001B4766">
        <w:t xml:space="preserve"> of the provider</w:t>
      </w:r>
    </w:p>
    <w:p w14:paraId="268A6AD6" w14:textId="1C28FAEE" w:rsidR="00D812CA" w:rsidRPr="001B4766" w:rsidRDefault="00D812CA" w:rsidP="00853A57">
      <w:pPr>
        <w:pStyle w:val="mpcNormal"/>
        <w:numPr>
          <w:ilvl w:val="0"/>
          <w:numId w:val="11"/>
        </w:numPr>
      </w:pPr>
      <w:r w:rsidRPr="001B4766">
        <w:t>include examples of what is and is not considered unreasonable use of force in the in</w:t>
      </w:r>
      <w:r w:rsidRPr="001B4766">
        <w:noBreakHyphen/>
        <w:t>home services environment.</w:t>
      </w:r>
    </w:p>
    <w:p w14:paraId="2E21E528" w14:textId="77777777" w:rsidR="00CF66A3" w:rsidRPr="001B4766" w:rsidRDefault="00CF66A3" w:rsidP="00E14444"/>
    <w:p w14:paraId="49918A21" w14:textId="0FBE0B1E" w:rsidR="00457249" w:rsidRPr="001B4766" w:rsidRDefault="00457249" w:rsidP="00C866C1">
      <w:pPr>
        <w:pStyle w:val="Heading2"/>
      </w:pPr>
      <w:bookmarkStart w:id="33" w:name="_Toc77848164"/>
      <w:bookmarkStart w:id="34" w:name="_Toc80694375"/>
      <w:r w:rsidRPr="001B4766">
        <w:lastRenderedPageBreak/>
        <w:t>Unlawful sexual contact or inappropriate sexual conduct</w:t>
      </w:r>
      <w:bookmarkEnd w:id="33"/>
      <w:bookmarkEnd w:id="34"/>
    </w:p>
    <w:p w14:paraId="37EDD340" w14:textId="77777777" w:rsidR="00AA6BF8" w:rsidRDefault="00AA6BF8" w:rsidP="00AA6BF8">
      <w:pPr>
        <w:pStyle w:val="mpcNormal"/>
        <w:keepNext/>
      </w:pPr>
    </w:p>
    <w:p w14:paraId="4B421BC3" w14:textId="3E573E4F" w:rsidR="00457249" w:rsidRPr="001B4766" w:rsidRDefault="00AA6BF8" w:rsidP="00AA6BF8">
      <w:pPr>
        <w:keepNext/>
      </w:pPr>
      <w:r>
        <w:t>Stakeholder feedback was sought on the proposed</w:t>
      </w:r>
      <w:r w:rsidRPr="001B4766">
        <w:t xml:space="preserve"> </w:t>
      </w:r>
      <w:r w:rsidR="00457249" w:rsidRPr="001B4766">
        <w:t>definition of ‘unlawful sexual contact, or inappropriate sexual conduct’</w:t>
      </w:r>
      <w:r w:rsidR="00875902">
        <w:t>:</w:t>
      </w:r>
    </w:p>
    <w:p w14:paraId="1BD266D5" w14:textId="77777777" w:rsidR="00457249" w:rsidRPr="001B4766" w:rsidRDefault="00457249" w:rsidP="00E14444"/>
    <w:p w14:paraId="4E11216A" w14:textId="1475536D" w:rsidR="00C866C1" w:rsidRDefault="00C866C1" w:rsidP="00C866C1">
      <w:pPr>
        <w:ind w:left="360" w:right="990"/>
        <w:rPr>
          <w:i/>
          <w:iCs/>
        </w:rPr>
      </w:pPr>
      <w:r w:rsidRPr="008F7A6D">
        <w:rPr>
          <w:b/>
          <w:bCs/>
          <w:i/>
          <w:iCs/>
        </w:rPr>
        <w:t>Unlawful sexual contact, or inappropriate sexual conduct</w:t>
      </w:r>
      <w:r w:rsidRPr="00C866C1">
        <w:rPr>
          <w:i/>
          <w:iCs/>
        </w:rPr>
        <w:t>, inflicted on the consumer includes:</w:t>
      </w:r>
    </w:p>
    <w:p w14:paraId="740E36BD" w14:textId="77777777" w:rsidR="00C866C1" w:rsidRPr="00C866C1" w:rsidRDefault="00C866C1" w:rsidP="00C866C1">
      <w:pPr>
        <w:ind w:left="360" w:right="990"/>
        <w:rPr>
          <w:i/>
          <w:iCs/>
        </w:rPr>
      </w:pPr>
    </w:p>
    <w:p w14:paraId="023BB1DC" w14:textId="77777777" w:rsidR="00C866C1" w:rsidRPr="00C866C1" w:rsidRDefault="00C866C1" w:rsidP="00C866C1">
      <w:pPr>
        <w:pStyle w:val="ListBullet"/>
        <w:ind w:left="720" w:right="990"/>
        <w:rPr>
          <w:i/>
          <w:iCs/>
        </w:rPr>
      </w:pPr>
      <w:r w:rsidRPr="00C866C1">
        <w:rPr>
          <w:i/>
          <w:iCs/>
        </w:rPr>
        <w:t>If the contact or conduct is inflicted by a staff member or other person providing care on behalf of the provider (such as a volunteer), the following:</w:t>
      </w:r>
    </w:p>
    <w:p w14:paraId="4722E9F0" w14:textId="77777777" w:rsidR="00C866C1" w:rsidRPr="00C866C1" w:rsidRDefault="00C866C1" w:rsidP="00C866C1">
      <w:pPr>
        <w:pStyle w:val="ListBullet2"/>
        <w:ind w:left="1080" w:right="990"/>
        <w:rPr>
          <w:i/>
          <w:iCs/>
        </w:rPr>
      </w:pPr>
      <w:r w:rsidRPr="00C866C1">
        <w:rPr>
          <w:i/>
          <w:iCs/>
        </w:rPr>
        <w:t>any conduct or contact of a sexual nature inflicted on the consumer, including (without limitation) sexual assault, an act of indecency or sharing of an intimate image of the consumer; or</w:t>
      </w:r>
    </w:p>
    <w:p w14:paraId="21756BB1" w14:textId="77777777" w:rsidR="00C866C1" w:rsidRPr="00C866C1" w:rsidRDefault="00C866C1" w:rsidP="00C866C1">
      <w:pPr>
        <w:pStyle w:val="ListBullet2"/>
        <w:ind w:left="1080" w:right="990"/>
        <w:rPr>
          <w:i/>
          <w:iCs/>
        </w:rPr>
      </w:pPr>
      <w:r w:rsidRPr="00C866C1">
        <w:rPr>
          <w:i/>
          <w:iCs/>
        </w:rPr>
        <w:t>any touching of the consumer’s genital area, anal area or breast in circumstances where this is not necessary to provide care or services to the consumer.</w:t>
      </w:r>
    </w:p>
    <w:p w14:paraId="30B12511" w14:textId="77777777" w:rsidR="00C866C1" w:rsidRPr="00C866C1" w:rsidRDefault="00C866C1" w:rsidP="00C866C1">
      <w:pPr>
        <w:pStyle w:val="ListBullet"/>
        <w:ind w:left="720" w:right="990"/>
        <w:rPr>
          <w:i/>
          <w:iCs/>
        </w:rPr>
      </w:pPr>
      <w:r w:rsidRPr="00C866C1">
        <w:rPr>
          <w:i/>
          <w:iCs/>
        </w:rPr>
        <w:t>any non-consensual contact or conduct of a sexual nature, including (without limitation) sexual assault, an act of indecency, or sharing of an intimate image of the consumer; and</w:t>
      </w:r>
    </w:p>
    <w:p w14:paraId="16E7C6C2" w14:textId="77777777" w:rsidR="00C866C1" w:rsidRPr="00C866C1" w:rsidRDefault="00C866C1" w:rsidP="00C866C1">
      <w:pPr>
        <w:pStyle w:val="ListBullet"/>
        <w:ind w:left="720" w:right="990"/>
        <w:rPr>
          <w:i/>
          <w:iCs/>
        </w:rPr>
      </w:pPr>
      <w:r w:rsidRPr="00C866C1">
        <w:rPr>
          <w:i/>
          <w:iCs/>
        </w:rPr>
        <w:t>engaging in conduct relating to the consumer with the intention of making it easier to procure the consumer to engage in sexual contact or conduct.</w:t>
      </w:r>
    </w:p>
    <w:p w14:paraId="54C0C230" w14:textId="77777777" w:rsidR="00C866C1" w:rsidRPr="001B4766" w:rsidRDefault="00C866C1" w:rsidP="00C866C1"/>
    <w:p w14:paraId="4BD958F3" w14:textId="1D3C4ADD" w:rsidR="00AA6BF8" w:rsidRDefault="005D3506" w:rsidP="00C866C1">
      <w:pPr>
        <w:pStyle w:val="mpcNormal"/>
      </w:pPr>
      <w:r>
        <w:t>T</w:t>
      </w:r>
      <w:r w:rsidR="00C866C1" w:rsidRPr="001B4766">
        <w:t>his does not include consensual contact or conduct of a sexual nature between a consumer and a person who is not a staff member, including another consumer, or a volunteer providing care on behalf of the provider (other than when that person is providing care or services).</w:t>
      </w:r>
    </w:p>
    <w:p w14:paraId="528EDF16" w14:textId="77777777" w:rsidR="00C866C1" w:rsidRDefault="00C866C1" w:rsidP="00AA6BF8">
      <w:pPr>
        <w:pStyle w:val="mpcNormal"/>
      </w:pPr>
    </w:p>
    <w:p w14:paraId="04C618A1" w14:textId="13692218" w:rsidR="001A10AC" w:rsidRPr="001B4766" w:rsidRDefault="00C6111A" w:rsidP="00E14444">
      <w:r>
        <w:t>For the most part, s</w:t>
      </w:r>
      <w:r w:rsidR="001A10AC" w:rsidRPr="001B4766">
        <w:t xml:space="preserve">takeholders considered this definition </w:t>
      </w:r>
      <w:r w:rsidR="00CB1D25">
        <w:t>to be</w:t>
      </w:r>
      <w:r w:rsidR="001A10AC" w:rsidRPr="001B4766">
        <w:t xml:space="preserve"> equally applicable to in</w:t>
      </w:r>
      <w:r w:rsidR="00D740B8">
        <w:noBreakHyphen/>
      </w:r>
      <w:r w:rsidR="001A10AC" w:rsidRPr="001B4766">
        <w:t>home services and did not require adjustment</w:t>
      </w:r>
      <w:r>
        <w:t>, noting that “having this definition consistent with the definition in residential care makes sense”.</w:t>
      </w:r>
    </w:p>
    <w:p w14:paraId="56871001" w14:textId="77777777" w:rsidR="001A10AC" w:rsidRDefault="001A10AC" w:rsidP="00E14444"/>
    <w:p w14:paraId="13440909" w14:textId="1D29FFFE" w:rsidR="00457249" w:rsidRPr="001B4766" w:rsidRDefault="008A42B7" w:rsidP="00E14444">
      <w:r w:rsidRPr="001B4766">
        <w:t>Some stakeholders considered that adjustments were required to this definition</w:t>
      </w:r>
      <w:r w:rsidR="00635F0E" w:rsidRPr="001B4766">
        <w:t>, or that further clarification could be included in guidance.</w:t>
      </w:r>
      <w:r w:rsidRPr="001B4766">
        <w:t xml:space="preserve"> For example</w:t>
      </w:r>
      <w:r w:rsidR="00635F0E">
        <w:t>,</w:t>
      </w:r>
      <w:r w:rsidRPr="001B4766">
        <w:t xml:space="preserve"> to:</w:t>
      </w:r>
    </w:p>
    <w:p w14:paraId="2F9619A2" w14:textId="5835AB2C" w:rsidR="008A42B7" w:rsidRPr="001B4766" w:rsidRDefault="008A42B7" w:rsidP="00E14444"/>
    <w:p w14:paraId="5B150C84" w14:textId="2D10CA3E" w:rsidR="00336DED" w:rsidRPr="001B4766" w:rsidRDefault="008A42B7" w:rsidP="002C4E33">
      <w:pPr>
        <w:pStyle w:val="mpcNormal"/>
        <w:numPr>
          <w:ilvl w:val="0"/>
          <w:numId w:val="11"/>
        </w:numPr>
      </w:pPr>
      <w:r w:rsidRPr="001B4766">
        <w:t>include</w:t>
      </w:r>
      <w:r w:rsidRPr="001B4766">
        <w:rPr>
          <w:lang w:eastAsia="en-AU"/>
        </w:rPr>
        <w:t xml:space="preserve"> those forms of contact that from a cultural/religious perspective may be considered inappropriate </w:t>
      </w:r>
    </w:p>
    <w:p w14:paraId="1DF49279" w14:textId="6C4F6DF2" w:rsidR="008A42B7" w:rsidRPr="001B4766" w:rsidRDefault="00336DED" w:rsidP="0048323A">
      <w:pPr>
        <w:pStyle w:val="ListBullet2"/>
      </w:pPr>
      <w:r w:rsidRPr="001B4766">
        <w:rPr>
          <w:lang w:eastAsia="en-AU"/>
        </w:rPr>
        <w:t>“</w:t>
      </w:r>
      <w:r w:rsidR="008A42B7" w:rsidRPr="001B4766">
        <w:rPr>
          <w:lang w:eastAsia="en-AU"/>
        </w:rPr>
        <w:t xml:space="preserve">For example: for </w:t>
      </w:r>
      <w:r w:rsidR="001A10AC" w:rsidRPr="001B4766">
        <w:rPr>
          <w:lang w:eastAsia="en-AU"/>
        </w:rPr>
        <w:t>an</w:t>
      </w:r>
      <w:r w:rsidR="008A42B7" w:rsidRPr="001B4766">
        <w:rPr>
          <w:lang w:eastAsia="en-AU"/>
        </w:rPr>
        <w:t xml:space="preserve"> </w:t>
      </w:r>
      <w:r w:rsidR="001A10AC" w:rsidRPr="001B4766">
        <w:rPr>
          <w:lang w:eastAsia="en-AU"/>
        </w:rPr>
        <w:t>Orthodox Jewish woman</w:t>
      </w:r>
      <w:r w:rsidRPr="001B4766">
        <w:rPr>
          <w:lang w:eastAsia="en-AU"/>
        </w:rPr>
        <w:t>,</w:t>
      </w:r>
      <w:r w:rsidR="008A42B7" w:rsidRPr="001B4766">
        <w:rPr>
          <w:lang w:eastAsia="en-AU"/>
        </w:rPr>
        <w:t xml:space="preserve"> shaking hands with a man that is not related to her is considered inappropriate</w:t>
      </w:r>
      <w:r w:rsidRPr="001B4766">
        <w:rPr>
          <w:lang w:eastAsia="en-AU"/>
        </w:rPr>
        <w:t>”</w:t>
      </w:r>
      <w:r w:rsidR="008A42B7" w:rsidRPr="001B4766">
        <w:rPr>
          <w:lang w:eastAsia="en-AU"/>
        </w:rPr>
        <w:t>.</w:t>
      </w:r>
    </w:p>
    <w:p w14:paraId="58F5F214" w14:textId="11A338A5" w:rsidR="008A42B7" w:rsidRDefault="00A75481" w:rsidP="002C4E33">
      <w:pPr>
        <w:pStyle w:val="mpcNormal"/>
        <w:numPr>
          <w:ilvl w:val="0"/>
          <w:numId w:val="11"/>
        </w:numPr>
      </w:pPr>
      <w:r w:rsidRPr="001B4766">
        <w:t xml:space="preserve">include </w:t>
      </w:r>
      <w:r w:rsidR="00F4125A">
        <w:t xml:space="preserve">consensual acts between consumers and </w:t>
      </w:r>
      <w:r w:rsidRPr="001B4766">
        <w:t>volunteers</w:t>
      </w:r>
      <w:r w:rsidR="002F4D67">
        <w:t xml:space="preserve"> as a reportable incident</w:t>
      </w:r>
      <w:r w:rsidR="00D812CA" w:rsidRPr="001B4766">
        <w:t>, noting t</w:t>
      </w:r>
      <w:r w:rsidRPr="001B4766">
        <w:t>here is a power differential between volunteers and consumers</w:t>
      </w:r>
      <w:r w:rsidR="00D812CA" w:rsidRPr="001B4766">
        <w:t xml:space="preserve"> (as t</w:t>
      </w:r>
      <w:r w:rsidRPr="001B4766">
        <w:t>hey are often in a similar position to employees</w:t>
      </w:r>
      <w:r w:rsidR="00D812CA" w:rsidRPr="001B4766">
        <w:t>)</w:t>
      </w:r>
    </w:p>
    <w:p w14:paraId="2E814597" w14:textId="6952EAA6" w:rsidR="00D812CA" w:rsidRDefault="00D740B8" w:rsidP="002C4E33">
      <w:pPr>
        <w:pStyle w:val="mpcNormal"/>
        <w:numPr>
          <w:ilvl w:val="0"/>
          <w:numId w:val="11"/>
        </w:numPr>
      </w:pPr>
      <w:r>
        <w:t>include acts that consumers are wrongly led to believe are being undertaken for medical purposes.</w:t>
      </w:r>
    </w:p>
    <w:p w14:paraId="170E1836" w14:textId="77777777" w:rsidR="00A00209" w:rsidRPr="001B4766" w:rsidRDefault="00A00209" w:rsidP="00C866C1">
      <w:pPr>
        <w:pStyle w:val="ListBullet"/>
        <w:numPr>
          <w:ilvl w:val="0"/>
          <w:numId w:val="0"/>
        </w:numPr>
      </w:pPr>
    </w:p>
    <w:p w14:paraId="16002EDA" w14:textId="77777777" w:rsidR="00457249" w:rsidRPr="001B4766" w:rsidRDefault="00457249" w:rsidP="00C866C1">
      <w:pPr>
        <w:pStyle w:val="Heading2"/>
      </w:pPr>
      <w:bookmarkStart w:id="35" w:name="_Toc76470057"/>
      <w:bookmarkStart w:id="36" w:name="_Toc77848165"/>
      <w:bookmarkStart w:id="37" w:name="_Toc80694376"/>
      <w:r w:rsidRPr="001B4766">
        <w:t>Psychological or emotional abuse</w:t>
      </w:r>
      <w:bookmarkEnd w:id="35"/>
      <w:bookmarkEnd w:id="36"/>
      <w:bookmarkEnd w:id="37"/>
    </w:p>
    <w:p w14:paraId="4A51FE16" w14:textId="77777777" w:rsidR="00AA6BF8" w:rsidRDefault="00AA6BF8" w:rsidP="00AA6BF8"/>
    <w:p w14:paraId="20123172" w14:textId="47D1F3C0" w:rsidR="00457249" w:rsidRPr="001B4766" w:rsidRDefault="00AA6BF8" w:rsidP="00E14444">
      <w:r>
        <w:t>Stakeholder feedback was sought on the proposed</w:t>
      </w:r>
      <w:r w:rsidR="00457249" w:rsidRPr="001B4766">
        <w:t xml:space="preserve"> definition of ‘psychological or emotional abuse’</w:t>
      </w:r>
      <w:r w:rsidR="00875902">
        <w:t>:</w:t>
      </w:r>
    </w:p>
    <w:p w14:paraId="58BE2E21" w14:textId="77777777" w:rsidR="00457249" w:rsidRPr="001B4766" w:rsidRDefault="00457249" w:rsidP="00E14444"/>
    <w:p w14:paraId="089EE14C" w14:textId="77777777" w:rsidR="00C866C1" w:rsidRPr="00C866C1" w:rsidRDefault="00C866C1" w:rsidP="00C866C1">
      <w:pPr>
        <w:ind w:left="720" w:right="990"/>
        <w:rPr>
          <w:i/>
          <w:iCs/>
        </w:rPr>
      </w:pPr>
      <w:r w:rsidRPr="00C866C1">
        <w:rPr>
          <w:b/>
          <w:i/>
          <w:iCs/>
        </w:rPr>
        <w:t>Psychological or emotional abuse</w:t>
      </w:r>
      <w:r w:rsidRPr="00C866C1">
        <w:rPr>
          <w:i/>
          <w:iCs/>
        </w:rPr>
        <w:t xml:space="preserve"> of a consumer includes conduct that has caused, or could reasonably be expected to have caused, the consumer psychological or emotional distress.</w:t>
      </w:r>
    </w:p>
    <w:p w14:paraId="5235DE59" w14:textId="77777777" w:rsidR="00C866C1" w:rsidRPr="00C866C1" w:rsidRDefault="00C866C1" w:rsidP="00C866C1">
      <w:pPr>
        <w:ind w:left="720" w:right="990"/>
        <w:rPr>
          <w:i/>
          <w:iCs/>
        </w:rPr>
      </w:pPr>
    </w:p>
    <w:p w14:paraId="779FEFF1" w14:textId="6AF7CBEE" w:rsidR="00C866C1" w:rsidRDefault="00C866C1" w:rsidP="00C866C1">
      <w:pPr>
        <w:ind w:left="720" w:right="990"/>
        <w:rPr>
          <w:i/>
          <w:iCs/>
        </w:rPr>
      </w:pPr>
      <w:r w:rsidRPr="00C866C1">
        <w:rPr>
          <w:i/>
          <w:iCs/>
        </w:rPr>
        <w:t>Conduct that is psychological or emotional abuse includes:</w:t>
      </w:r>
    </w:p>
    <w:p w14:paraId="3F57556F" w14:textId="77777777" w:rsidR="00C866C1" w:rsidRPr="00C866C1" w:rsidRDefault="00C866C1" w:rsidP="00C866C1">
      <w:pPr>
        <w:ind w:left="720" w:right="990"/>
        <w:rPr>
          <w:i/>
          <w:iCs/>
        </w:rPr>
      </w:pPr>
    </w:p>
    <w:p w14:paraId="4DC4FB2B" w14:textId="77777777" w:rsidR="00C866C1" w:rsidRPr="00C866C1" w:rsidRDefault="00C866C1" w:rsidP="00C866C1">
      <w:pPr>
        <w:pStyle w:val="ListBullet"/>
        <w:ind w:left="1080" w:right="990"/>
        <w:rPr>
          <w:i/>
          <w:iCs/>
        </w:rPr>
      </w:pPr>
      <w:r w:rsidRPr="00C866C1">
        <w:rPr>
          <w:i/>
          <w:iCs/>
        </w:rPr>
        <w:t>taunting, bullying, harassment or intimidations;</w:t>
      </w:r>
    </w:p>
    <w:p w14:paraId="18E47BF6" w14:textId="77777777" w:rsidR="00C866C1" w:rsidRPr="00C866C1" w:rsidRDefault="00C866C1" w:rsidP="00C866C1">
      <w:pPr>
        <w:pStyle w:val="ListBullet"/>
        <w:ind w:left="1080" w:right="990"/>
        <w:rPr>
          <w:i/>
          <w:iCs/>
        </w:rPr>
      </w:pPr>
      <w:r w:rsidRPr="00C866C1">
        <w:rPr>
          <w:i/>
          <w:iCs/>
        </w:rPr>
        <w:t>threats of maltreatment or retribution, including in relation to making complaints;</w:t>
      </w:r>
    </w:p>
    <w:p w14:paraId="10744FF5" w14:textId="77777777" w:rsidR="00C866C1" w:rsidRPr="00C866C1" w:rsidRDefault="00C866C1" w:rsidP="00C866C1">
      <w:pPr>
        <w:pStyle w:val="ListBullet"/>
        <w:ind w:left="1080" w:right="990"/>
        <w:rPr>
          <w:i/>
          <w:iCs/>
        </w:rPr>
      </w:pPr>
      <w:r w:rsidRPr="00C866C1">
        <w:rPr>
          <w:i/>
          <w:iCs/>
        </w:rPr>
        <w:t>humiliation;</w:t>
      </w:r>
    </w:p>
    <w:p w14:paraId="592C1756" w14:textId="77777777" w:rsidR="00C866C1" w:rsidRPr="00C866C1" w:rsidRDefault="00C866C1" w:rsidP="00C866C1">
      <w:pPr>
        <w:pStyle w:val="ListBullet"/>
        <w:ind w:left="1080" w:right="990"/>
        <w:rPr>
          <w:i/>
          <w:iCs/>
        </w:rPr>
      </w:pPr>
      <w:r w:rsidRPr="00C866C1">
        <w:rPr>
          <w:i/>
          <w:iCs/>
        </w:rPr>
        <w:t>unreasonable refusal to interact with the consumer or acknowledge the consumer’s presence;</w:t>
      </w:r>
    </w:p>
    <w:p w14:paraId="0B8813F7" w14:textId="77777777" w:rsidR="00C866C1" w:rsidRPr="00C866C1" w:rsidRDefault="00C866C1" w:rsidP="00C866C1">
      <w:pPr>
        <w:pStyle w:val="ListBullet"/>
        <w:ind w:left="1080" w:right="990"/>
        <w:rPr>
          <w:i/>
          <w:iCs/>
        </w:rPr>
      </w:pPr>
      <w:r w:rsidRPr="00C866C1">
        <w:rPr>
          <w:i/>
          <w:iCs/>
        </w:rPr>
        <w:t>unreasonable restriction of the consumer’s ability to engage socially or otherwise interact with people; or</w:t>
      </w:r>
    </w:p>
    <w:p w14:paraId="7E729669" w14:textId="77777777" w:rsidR="00C866C1" w:rsidRPr="00C866C1" w:rsidRDefault="00C866C1" w:rsidP="00C866C1">
      <w:pPr>
        <w:pStyle w:val="ListBullet"/>
        <w:ind w:left="1080" w:right="990"/>
        <w:rPr>
          <w:i/>
          <w:iCs/>
        </w:rPr>
      </w:pPr>
      <w:r w:rsidRPr="00C866C1">
        <w:rPr>
          <w:i/>
          <w:iCs/>
        </w:rPr>
        <w:t>repetitive conduct or contact which does not constitute unreasonable use of force but the repetition of which:</w:t>
      </w:r>
    </w:p>
    <w:p w14:paraId="77A9901D" w14:textId="77777777" w:rsidR="00C866C1" w:rsidRPr="00C866C1" w:rsidRDefault="00C866C1" w:rsidP="00C866C1">
      <w:pPr>
        <w:pStyle w:val="ListBullet2"/>
        <w:ind w:left="1440" w:right="990"/>
        <w:rPr>
          <w:i/>
          <w:iCs/>
        </w:rPr>
      </w:pPr>
      <w:r w:rsidRPr="00C866C1">
        <w:rPr>
          <w:i/>
          <w:iCs/>
        </w:rPr>
        <w:t>has caused the consumer psychological or emotional distress; or</w:t>
      </w:r>
    </w:p>
    <w:p w14:paraId="3827164E" w14:textId="1EDBF743" w:rsidR="00AA6BF8" w:rsidRPr="00C866C1" w:rsidRDefault="00C866C1" w:rsidP="00C866C1">
      <w:pPr>
        <w:pStyle w:val="ListBullet2"/>
        <w:ind w:left="1440" w:right="990"/>
        <w:rPr>
          <w:i/>
          <w:iCs/>
        </w:rPr>
      </w:pPr>
      <w:r w:rsidRPr="00C866C1">
        <w:rPr>
          <w:i/>
          <w:iCs/>
        </w:rPr>
        <w:t>could reasonably have caused a consumer psychological or emotional distress.</w:t>
      </w:r>
    </w:p>
    <w:p w14:paraId="7330AE9F" w14:textId="77777777" w:rsidR="00C866C1" w:rsidRPr="00C866C1" w:rsidRDefault="00C866C1" w:rsidP="00C866C1"/>
    <w:p w14:paraId="52D66128" w14:textId="434DB242" w:rsidR="00AA764D" w:rsidRPr="001B4766" w:rsidRDefault="00AA764D" w:rsidP="00E14444">
      <w:r w:rsidRPr="001B4766">
        <w:t xml:space="preserve">Stakeholders broadly considered this definition </w:t>
      </w:r>
      <w:r w:rsidR="00CB1D25">
        <w:t>to be</w:t>
      </w:r>
      <w:r w:rsidRPr="001B4766">
        <w:t xml:space="preserve"> equally applicable to the in-home services context </w:t>
      </w:r>
      <w:r w:rsidR="00CB1D25">
        <w:t xml:space="preserve">without any </w:t>
      </w:r>
      <w:r w:rsidRPr="001B4766">
        <w:t xml:space="preserve">adjustment. </w:t>
      </w:r>
    </w:p>
    <w:p w14:paraId="6CDB84B5" w14:textId="77777777" w:rsidR="00AA764D" w:rsidRPr="001B4766" w:rsidRDefault="00AA764D" w:rsidP="00E14444"/>
    <w:p w14:paraId="29797EBB" w14:textId="0B8D5C1C" w:rsidR="008A42B7" w:rsidRPr="001B4766" w:rsidRDefault="00CB1D25" w:rsidP="00E14444">
      <w:r>
        <w:t xml:space="preserve">Those who </w:t>
      </w:r>
      <w:r w:rsidR="008A42B7" w:rsidRPr="001B4766">
        <w:t>considered adjustments</w:t>
      </w:r>
      <w:r>
        <w:t xml:space="preserve"> could be made</w:t>
      </w:r>
      <w:r w:rsidR="00AA764D" w:rsidRPr="001B4766">
        <w:t>, or that further clarification could be included in guidanc</w:t>
      </w:r>
      <w:r>
        <w:t>e, noted the addition of</w:t>
      </w:r>
      <w:r w:rsidR="008A42B7" w:rsidRPr="001B4766">
        <w:t>:</w:t>
      </w:r>
    </w:p>
    <w:p w14:paraId="60134B07" w14:textId="5F323364" w:rsidR="00A57B69" w:rsidRPr="001B4766" w:rsidRDefault="00A57B69" w:rsidP="00E14444"/>
    <w:p w14:paraId="6321CA51" w14:textId="080215A0" w:rsidR="008A42B7" w:rsidRPr="001B4766" w:rsidRDefault="008A42B7" w:rsidP="00737F3E">
      <w:pPr>
        <w:pStyle w:val="mpcNormal"/>
        <w:numPr>
          <w:ilvl w:val="0"/>
          <w:numId w:val="11"/>
        </w:numPr>
      </w:pPr>
      <w:r w:rsidRPr="001B4766">
        <w:t>inappropriate, rude or obscene hand gestures</w:t>
      </w:r>
    </w:p>
    <w:p w14:paraId="3D08A533" w14:textId="7711B4F9" w:rsidR="00D812CA" w:rsidRPr="001B4766" w:rsidRDefault="00D812CA" w:rsidP="00737F3E">
      <w:pPr>
        <w:pStyle w:val="mpcNormal"/>
        <w:numPr>
          <w:ilvl w:val="0"/>
          <w:numId w:val="11"/>
        </w:numPr>
      </w:pPr>
      <w:r w:rsidRPr="001B4766">
        <w:t>‘gaslighting’, i.e. manipulating consumers into doubting their own sanity</w:t>
      </w:r>
      <w:r w:rsidR="00737F3E">
        <w:t>.</w:t>
      </w:r>
    </w:p>
    <w:p w14:paraId="2F50F46E" w14:textId="4FBDFC46" w:rsidR="00D812CA" w:rsidRPr="001B4766" w:rsidRDefault="00D812CA" w:rsidP="00C866C1">
      <w:pPr>
        <w:pStyle w:val="ListBullet"/>
        <w:numPr>
          <w:ilvl w:val="0"/>
          <w:numId w:val="0"/>
        </w:numPr>
        <w:ind w:left="284"/>
      </w:pPr>
    </w:p>
    <w:p w14:paraId="7F8E481A" w14:textId="7F09B580" w:rsidR="00A57B69" w:rsidRDefault="00D812CA" w:rsidP="00C866C1">
      <w:pPr>
        <w:pStyle w:val="ListBullet"/>
        <w:numPr>
          <w:ilvl w:val="0"/>
          <w:numId w:val="0"/>
        </w:numPr>
      </w:pPr>
      <w:r w:rsidRPr="001B4766">
        <w:t xml:space="preserve">Some stakeholders reported that it can be difficult to prove psychological or emotional abuse due to family </w:t>
      </w:r>
      <w:r w:rsidR="00544764" w:rsidRPr="001B4766">
        <w:t>dynamics</w:t>
      </w:r>
      <w:r w:rsidR="00544764">
        <w:t xml:space="preserve"> and</w:t>
      </w:r>
      <w:r w:rsidR="00BC601D">
        <w:t xml:space="preserve"> noted the importance of ensuring th</w:t>
      </w:r>
      <w:r w:rsidR="00545D09">
        <w:t>at the definition draws a</w:t>
      </w:r>
      <w:r w:rsidR="00BC601D" w:rsidRPr="004F50EE">
        <w:t xml:space="preserve"> close connection to the provision of care and services by the provider</w:t>
      </w:r>
      <w:r w:rsidRPr="001B4766">
        <w:t xml:space="preserve">. </w:t>
      </w:r>
      <w:r w:rsidR="00737F3E">
        <w:t xml:space="preserve">Others </w:t>
      </w:r>
      <w:r w:rsidRPr="001B4766">
        <w:t>felt that it was challenging for some workers to monitor the psychological or emotional status of consumers and considered that assessment tools may support this.</w:t>
      </w:r>
    </w:p>
    <w:p w14:paraId="00282731" w14:textId="77777777" w:rsidR="00AA6BF8" w:rsidRPr="001B4766" w:rsidRDefault="00AA6BF8" w:rsidP="00C866C1">
      <w:pPr>
        <w:pStyle w:val="ListBullet"/>
        <w:numPr>
          <w:ilvl w:val="0"/>
          <w:numId w:val="0"/>
        </w:numPr>
      </w:pPr>
    </w:p>
    <w:p w14:paraId="7599EEA7" w14:textId="77777777" w:rsidR="00457249" w:rsidRPr="001B4766" w:rsidRDefault="00457249" w:rsidP="00C866C1">
      <w:pPr>
        <w:pStyle w:val="Heading2"/>
      </w:pPr>
      <w:bookmarkStart w:id="38" w:name="_Toc76470058"/>
      <w:bookmarkStart w:id="39" w:name="_Toc77848166"/>
      <w:bookmarkStart w:id="40" w:name="_Toc80694377"/>
      <w:r w:rsidRPr="001B4766">
        <w:t>Unexpected death</w:t>
      </w:r>
      <w:bookmarkEnd w:id="38"/>
      <w:bookmarkEnd w:id="39"/>
      <w:bookmarkEnd w:id="40"/>
    </w:p>
    <w:p w14:paraId="1AF63658" w14:textId="77777777" w:rsidR="00AA6BF8" w:rsidRDefault="00AA6BF8" w:rsidP="00E14444"/>
    <w:p w14:paraId="2D656E09" w14:textId="642D8B45" w:rsidR="00457249" w:rsidRPr="001B4766" w:rsidRDefault="00AA6BF8" w:rsidP="00E14444">
      <w:r>
        <w:t>Stakeholder feedback was sought on the proposed</w:t>
      </w:r>
      <w:r w:rsidR="00457249" w:rsidRPr="001B4766">
        <w:t xml:space="preserve"> definition of ‘unexpected death’:</w:t>
      </w:r>
    </w:p>
    <w:p w14:paraId="50B8AD3E" w14:textId="77777777" w:rsidR="00457249" w:rsidRPr="001B4766" w:rsidRDefault="00457249" w:rsidP="00E14444"/>
    <w:p w14:paraId="06E8C5A1" w14:textId="5400420A" w:rsidR="008F7A6D" w:rsidRDefault="008F7A6D" w:rsidP="008F7A6D">
      <w:pPr>
        <w:ind w:left="720" w:right="848"/>
        <w:rPr>
          <w:i/>
          <w:iCs/>
        </w:rPr>
      </w:pPr>
      <w:r w:rsidRPr="008F7A6D">
        <w:rPr>
          <w:b/>
          <w:i/>
          <w:iCs/>
        </w:rPr>
        <w:t>Unexpected death</w:t>
      </w:r>
      <w:r w:rsidRPr="008F7A6D">
        <w:rPr>
          <w:i/>
          <w:iCs/>
        </w:rPr>
        <w:t xml:space="preserve"> of the consumer includes death in circumstances where: </w:t>
      </w:r>
    </w:p>
    <w:p w14:paraId="28F24FE1" w14:textId="77777777" w:rsidR="008F7A6D" w:rsidRPr="008F7A6D" w:rsidRDefault="008F7A6D" w:rsidP="008F7A6D">
      <w:pPr>
        <w:ind w:left="720" w:right="848"/>
        <w:rPr>
          <w:i/>
          <w:iCs/>
        </w:rPr>
      </w:pPr>
    </w:p>
    <w:p w14:paraId="2AF253E2" w14:textId="77777777" w:rsidR="008F7A6D" w:rsidRPr="008F7A6D" w:rsidRDefault="008F7A6D" w:rsidP="008F7A6D">
      <w:pPr>
        <w:pStyle w:val="ListBullet"/>
        <w:ind w:left="1080" w:right="848"/>
        <w:rPr>
          <w:i/>
          <w:iCs/>
        </w:rPr>
      </w:pPr>
      <w:r w:rsidRPr="008F7A6D">
        <w:rPr>
          <w:i/>
          <w:iCs/>
        </w:rPr>
        <w:t>reasonable steps were not taken by the provider to prevent the death; or</w:t>
      </w:r>
    </w:p>
    <w:p w14:paraId="2D88C6E4" w14:textId="77777777" w:rsidR="008F7A6D" w:rsidRPr="008F7A6D" w:rsidRDefault="008F7A6D" w:rsidP="008F7A6D">
      <w:pPr>
        <w:pStyle w:val="ListBullet"/>
        <w:ind w:left="1080" w:right="848"/>
        <w:rPr>
          <w:i/>
          <w:iCs/>
        </w:rPr>
      </w:pPr>
      <w:r w:rsidRPr="008F7A6D">
        <w:rPr>
          <w:i/>
          <w:iCs/>
        </w:rPr>
        <w:t>the death is the result of:</w:t>
      </w:r>
    </w:p>
    <w:p w14:paraId="7D8E37D1" w14:textId="77777777" w:rsidR="008F7A6D" w:rsidRPr="008F7A6D" w:rsidRDefault="008F7A6D" w:rsidP="008F7A6D">
      <w:pPr>
        <w:pStyle w:val="ListBullet2"/>
        <w:ind w:left="1080" w:right="848"/>
        <w:rPr>
          <w:i/>
          <w:iCs/>
        </w:rPr>
      </w:pPr>
      <w:r w:rsidRPr="008F7A6D">
        <w:rPr>
          <w:i/>
          <w:iCs/>
        </w:rPr>
        <w:t>care or services provided by the provider; or</w:t>
      </w:r>
    </w:p>
    <w:p w14:paraId="07D2D3AA" w14:textId="1327EBD0" w:rsidR="00AA6BF8" w:rsidRPr="008F7A6D" w:rsidRDefault="008F7A6D" w:rsidP="008F7A6D">
      <w:pPr>
        <w:pStyle w:val="ListBullet2"/>
        <w:ind w:left="1080" w:right="848"/>
        <w:rPr>
          <w:i/>
          <w:iCs/>
        </w:rPr>
      </w:pPr>
      <w:r w:rsidRPr="008F7A6D">
        <w:rPr>
          <w:i/>
          <w:iCs/>
        </w:rPr>
        <w:t>a failure of the provider to provide care or services.</w:t>
      </w:r>
    </w:p>
    <w:p w14:paraId="222F2D47" w14:textId="77777777" w:rsidR="008F7A6D" w:rsidRPr="008F7A6D" w:rsidRDefault="008F7A6D" w:rsidP="008F7A6D"/>
    <w:p w14:paraId="6AE89198" w14:textId="7B004A20" w:rsidR="00AA764D" w:rsidRDefault="00E971AD" w:rsidP="00E14444">
      <w:r>
        <w:t>Stakeholders expressed</w:t>
      </w:r>
      <w:r w:rsidR="00AA764D" w:rsidRPr="001B4766">
        <w:t xml:space="preserve"> mixed views as to whether there should be a category of unexpected death for in-home services.</w:t>
      </w:r>
    </w:p>
    <w:p w14:paraId="36755CDB" w14:textId="4F77FDFF" w:rsidR="00C6111A" w:rsidRDefault="00C6111A" w:rsidP="00E14444"/>
    <w:p w14:paraId="2924B293" w14:textId="16BC6904" w:rsidR="00F22D59" w:rsidRDefault="00C6111A" w:rsidP="00E14444">
      <w:pPr>
        <w:pStyle w:val="mpcNormal"/>
      </w:pPr>
      <w:r>
        <w:t xml:space="preserve">Stakeholders </w:t>
      </w:r>
      <w:r w:rsidR="00114CA9">
        <w:t>who considered that</w:t>
      </w:r>
      <w:r>
        <w:t xml:space="preserve"> this category should be retained for </w:t>
      </w:r>
      <w:r w:rsidR="00783FAB">
        <w:t>in-</w:t>
      </w:r>
      <w:r>
        <w:t xml:space="preserve">home services, </w:t>
      </w:r>
      <w:r w:rsidR="00114CA9">
        <w:t xml:space="preserve">felt </w:t>
      </w:r>
      <w:r>
        <w:t xml:space="preserve">it should be narrowed such that deaths are only </w:t>
      </w:r>
      <w:r w:rsidR="00783FAB">
        <w:t xml:space="preserve">a </w:t>
      </w:r>
      <w:r>
        <w:t>reportable</w:t>
      </w:r>
      <w:r w:rsidR="00783FAB">
        <w:t xml:space="preserve"> incident</w:t>
      </w:r>
      <w:r>
        <w:t xml:space="preserve"> if the death is, or could </w:t>
      </w:r>
      <w:r w:rsidR="00114CA9">
        <w:t>reasonably be considered</w:t>
      </w:r>
      <w:r>
        <w:t>, the result of care or services provided.</w:t>
      </w:r>
    </w:p>
    <w:p w14:paraId="5772DA6B" w14:textId="77777777" w:rsidR="00F22D59" w:rsidRDefault="00F22D59" w:rsidP="00E14444">
      <w:pPr>
        <w:pStyle w:val="mpcNormal"/>
      </w:pPr>
    </w:p>
    <w:p w14:paraId="39EA511F" w14:textId="7E452432" w:rsidR="00A610A5" w:rsidRDefault="004B264A" w:rsidP="00E14444">
      <w:pPr>
        <w:pStyle w:val="mpcNormal"/>
      </w:pPr>
      <w:r>
        <w:t>For example, it</w:t>
      </w:r>
      <w:r w:rsidR="00F22D59">
        <w:t xml:space="preserve"> was suggested that the definition should not include ‘failure of the approved provider to provide care or services’ because</w:t>
      </w:r>
      <w:r w:rsidR="00A610A5">
        <w:t>:</w:t>
      </w:r>
    </w:p>
    <w:p w14:paraId="6DA24369" w14:textId="77777777" w:rsidR="00A610A5" w:rsidRDefault="00A610A5" w:rsidP="00E14444">
      <w:pPr>
        <w:pStyle w:val="mpcNormal"/>
      </w:pPr>
    </w:p>
    <w:p w14:paraId="2E351CC1" w14:textId="16E15C1E" w:rsidR="00A610A5" w:rsidRDefault="00F22D59" w:rsidP="00783FAB">
      <w:pPr>
        <w:pStyle w:val="mpcNormal"/>
        <w:numPr>
          <w:ilvl w:val="0"/>
          <w:numId w:val="11"/>
        </w:numPr>
      </w:pPr>
      <w:r>
        <w:lastRenderedPageBreak/>
        <w:t>this could be very broad and capture circumstances</w:t>
      </w:r>
      <w:r w:rsidR="00D62D94">
        <w:t xml:space="preserve"> well</w:t>
      </w:r>
      <w:r>
        <w:t xml:space="preserve"> outside the provider’s control</w:t>
      </w:r>
    </w:p>
    <w:p w14:paraId="7A825927" w14:textId="62C3D7A2" w:rsidR="00A610A5" w:rsidRDefault="00A610A5" w:rsidP="00783FAB">
      <w:pPr>
        <w:pStyle w:val="mpcNormal"/>
        <w:numPr>
          <w:ilvl w:val="0"/>
          <w:numId w:val="11"/>
        </w:numPr>
      </w:pPr>
      <w:r>
        <w:t xml:space="preserve">this might </w:t>
      </w:r>
      <w:r w:rsidR="00D62D94">
        <w:t>inadvertently include</w:t>
      </w:r>
      <w:r>
        <w:t xml:space="preserve"> where a consumer’s services had been cancelled or rescheduled with the agreement of the consumer</w:t>
      </w:r>
    </w:p>
    <w:p w14:paraId="348CF773" w14:textId="5ADF773D" w:rsidR="00F22D59" w:rsidRDefault="00F22D59" w:rsidP="00783FAB">
      <w:pPr>
        <w:pStyle w:val="mpcNormal"/>
        <w:numPr>
          <w:ilvl w:val="0"/>
          <w:numId w:val="11"/>
        </w:numPr>
      </w:pPr>
      <w:r>
        <w:t xml:space="preserve">circumstances </w:t>
      </w:r>
      <w:r w:rsidR="00D62D94">
        <w:t>in which</w:t>
      </w:r>
      <w:r>
        <w:t xml:space="preserve"> the provider was remiss in their duty of care or had a pattern of missed care services that ultimately led to </w:t>
      </w:r>
      <w:r w:rsidR="00D62D94">
        <w:t xml:space="preserve">a consumer’s </w:t>
      </w:r>
      <w:r>
        <w:t>death</w:t>
      </w:r>
      <w:r w:rsidR="00D62D94">
        <w:t xml:space="preserve"> </w:t>
      </w:r>
      <w:r>
        <w:t xml:space="preserve">would be </w:t>
      </w:r>
      <w:r w:rsidR="00D62D94">
        <w:t xml:space="preserve">otherwise </w:t>
      </w:r>
      <w:r>
        <w:t>picked up through other categories such as neglect.</w:t>
      </w:r>
    </w:p>
    <w:p w14:paraId="7E5E565A" w14:textId="77777777" w:rsidR="00A55DB5" w:rsidRDefault="00A55DB5" w:rsidP="00C866C1">
      <w:pPr>
        <w:pStyle w:val="ListBullet"/>
        <w:numPr>
          <w:ilvl w:val="0"/>
          <w:numId w:val="0"/>
        </w:numPr>
        <w:ind w:left="284"/>
      </w:pPr>
    </w:p>
    <w:p w14:paraId="0423AB2B" w14:textId="37DD578B" w:rsidR="00A55DB5" w:rsidRPr="001B4766" w:rsidRDefault="00A55DB5" w:rsidP="00C866C1">
      <w:pPr>
        <w:pStyle w:val="ListBullet"/>
        <w:numPr>
          <w:ilvl w:val="0"/>
          <w:numId w:val="0"/>
        </w:numPr>
      </w:pPr>
      <w:r>
        <w:t>A number of stakeholders were</w:t>
      </w:r>
      <w:r w:rsidR="003568EC">
        <w:t xml:space="preserve"> also</w:t>
      </w:r>
      <w:r>
        <w:t xml:space="preserve"> concerned about the inclusion of “reasonable steps were not taken by the provider to prevent the death” in the definition, noting that this may place unreasonable expectations on providers (particularly where non-clinical service are provided). Stakeholders noted that</w:t>
      </w:r>
      <w:r w:rsidR="004B264A">
        <w:t xml:space="preserve"> if this language was included,</w:t>
      </w:r>
      <w:r>
        <w:t xml:space="preserve"> guidance should include clear descriptions of the ‘</w:t>
      </w:r>
      <w:r w:rsidRPr="001B4766">
        <w:t>reasonable steps to prevent death</w:t>
      </w:r>
      <w:r>
        <w:t>’</w:t>
      </w:r>
      <w:r w:rsidRPr="001B4766">
        <w:t xml:space="preserve"> </w:t>
      </w:r>
      <w:r>
        <w:t xml:space="preserve">that providers would be expected to take (e.g. </w:t>
      </w:r>
      <w:r w:rsidR="008A504B">
        <w:t xml:space="preserve">calling emergency services, </w:t>
      </w:r>
      <w:r>
        <w:t>making appropriate referrals in response to a consumer’s deterioration</w:t>
      </w:r>
      <w:r w:rsidR="008A504B">
        <w:t>, etc.</w:t>
      </w:r>
      <w:r>
        <w:t>).</w:t>
      </w:r>
    </w:p>
    <w:p w14:paraId="23D9BB3B" w14:textId="72F09ED9" w:rsidR="00F22D59" w:rsidRDefault="00F22D59" w:rsidP="00E14444">
      <w:pPr>
        <w:pStyle w:val="mpcNormal"/>
      </w:pPr>
    </w:p>
    <w:p w14:paraId="5DB4FD9C" w14:textId="52BDC54F" w:rsidR="00C6111A" w:rsidRPr="001B4766" w:rsidRDefault="00C6111A" w:rsidP="00E14444">
      <w:r w:rsidRPr="001B4766">
        <w:t xml:space="preserve">Some stakeholders suggested </w:t>
      </w:r>
      <w:r>
        <w:t xml:space="preserve">other </w:t>
      </w:r>
      <w:r w:rsidRPr="001B4766">
        <w:t>adjustments to the definition. For example, to specify that</w:t>
      </w:r>
      <w:r w:rsidR="00F4125A" w:rsidRPr="00F4125A">
        <w:t xml:space="preserve"> </w:t>
      </w:r>
      <w:r w:rsidR="00F4125A" w:rsidRPr="001B4766">
        <w:t>a death is only reportable where</w:t>
      </w:r>
      <w:r w:rsidRPr="001B4766">
        <w:t>:</w:t>
      </w:r>
    </w:p>
    <w:p w14:paraId="0372368C" w14:textId="77777777" w:rsidR="00C6111A" w:rsidRPr="001B4766" w:rsidRDefault="00C6111A" w:rsidP="00E14444"/>
    <w:p w14:paraId="464435F5" w14:textId="284B6C96" w:rsidR="00C6111A" w:rsidRPr="001B4766" w:rsidRDefault="00F4125A" w:rsidP="00783FAB">
      <w:pPr>
        <w:pStyle w:val="mpcNormal"/>
        <w:numPr>
          <w:ilvl w:val="0"/>
          <w:numId w:val="11"/>
        </w:numPr>
      </w:pPr>
      <w:r w:rsidRPr="001B4766">
        <w:t xml:space="preserve">the death </w:t>
      </w:r>
      <w:r w:rsidR="00C6111A" w:rsidRPr="001B4766">
        <w:t>has been deemed by police, a medical professional or the Coroner to be due to neglect or force</w:t>
      </w:r>
    </w:p>
    <w:p w14:paraId="69D06402" w14:textId="3B032B87" w:rsidR="00F4125A" w:rsidRDefault="00C6111A" w:rsidP="00783FAB">
      <w:pPr>
        <w:pStyle w:val="mpcNormal"/>
        <w:numPr>
          <w:ilvl w:val="0"/>
          <w:numId w:val="11"/>
        </w:numPr>
      </w:pPr>
      <w:r w:rsidRPr="001B4766">
        <w:t xml:space="preserve">the consumer’s </w:t>
      </w:r>
      <w:r w:rsidR="003568EC">
        <w:t>GP</w:t>
      </w:r>
      <w:r w:rsidRPr="001B4766">
        <w:t xml:space="preserve"> will not sign-off on it</w:t>
      </w:r>
    </w:p>
    <w:p w14:paraId="5E51DD91" w14:textId="77777777" w:rsidR="009E6A27" w:rsidRDefault="009E6A27" w:rsidP="00783FAB">
      <w:pPr>
        <w:pStyle w:val="mpcNormal"/>
        <w:numPr>
          <w:ilvl w:val="0"/>
          <w:numId w:val="11"/>
        </w:numPr>
      </w:pPr>
      <w:r>
        <w:t>the consumer is receiving clinical care or personal care</w:t>
      </w:r>
    </w:p>
    <w:p w14:paraId="49F4372E" w14:textId="51EA992F" w:rsidR="009E6A27" w:rsidRDefault="009E6A27" w:rsidP="00783FAB">
      <w:pPr>
        <w:pStyle w:val="mpcNormal"/>
        <w:numPr>
          <w:ilvl w:val="0"/>
          <w:numId w:val="11"/>
        </w:numPr>
      </w:pPr>
      <w:r>
        <w:t>the consumer is “fully dependent” on their care for activities of daily living</w:t>
      </w:r>
    </w:p>
    <w:p w14:paraId="3F032DB9" w14:textId="42DFA0F3" w:rsidR="00897A33" w:rsidRDefault="00897A33" w:rsidP="00C866C1">
      <w:pPr>
        <w:pStyle w:val="ListBullet"/>
      </w:pPr>
      <w:r>
        <w:t>the provider has knowledge of the death and has reason to believe that the death is, or could have been, the result of care and services provided.</w:t>
      </w:r>
    </w:p>
    <w:p w14:paraId="5FE6AA7E" w14:textId="77777777" w:rsidR="00C6111A" w:rsidRPr="001B4766" w:rsidRDefault="00C6111A" w:rsidP="00E14444"/>
    <w:p w14:paraId="47BD7EF5" w14:textId="3A5FFB46" w:rsidR="00904CBE" w:rsidRPr="001B4766" w:rsidRDefault="004B264A" w:rsidP="00E14444">
      <w:r>
        <w:t>Those s</w:t>
      </w:r>
      <w:r w:rsidR="00AA764D" w:rsidRPr="001B4766">
        <w:t xml:space="preserve">takeholders </w:t>
      </w:r>
      <w:r w:rsidR="00F4125A">
        <w:t>who</w:t>
      </w:r>
      <w:r w:rsidR="00904CBE" w:rsidRPr="001B4766">
        <w:t xml:space="preserve"> considered this category should not apply for in-home services noted:</w:t>
      </w:r>
    </w:p>
    <w:p w14:paraId="4BBC617B" w14:textId="77777777" w:rsidR="00904CBE" w:rsidRPr="001B4766" w:rsidRDefault="00904CBE" w:rsidP="00E14444"/>
    <w:p w14:paraId="2EC0E19A" w14:textId="1320C237" w:rsidR="00FE7060" w:rsidRPr="001B4766" w:rsidRDefault="00534E52" w:rsidP="003568EC">
      <w:pPr>
        <w:pStyle w:val="mpcNormal"/>
        <w:numPr>
          <w:ilvl w:val="0"/>
          <w:numId w:val="11"/>
        </w:numPr>
      </w:pPr>
      <w:r>
        <w:t>g</w:t>
      </w:r>
      <w:r w:rsidR="00FE7060" w:rsidRPr="001B4766">
        <w:t>iven the nature of in-home services provision, it would be challenging for providers to determine whether a consumer’s death meets this definition</w:t>
      </w:r>
    </w:p>
    <w:p w14:paraId="4D1C8F62" w14:textId="4B54C2ED" w:rsidR="00EE1DF0" w:rsidRPr="001B4766" w:rsidRDefault="00EE1DF0" w:rsidP="0048323A">
      <w:pPr>
        <w:pStyle w:val="ListBullet2"/>
        <w:rPr>
          <w:lang w:eastAsia="en-AU"/>
        </w:rPr>
      </w:pPr>
      <w:r w:rsidRPr="001B4766">
        <w:rPr>
          <w:lang w:eastAsia="en-AU"/>
        </w:rPr>
        <w:t>“There are so many extra and unknown variables to the cause of their death that the provider and potentially others won</w:t>
      </w:r>
      <w:r w:rsidR="008F7A6D">
        <w:rPr>
          <w:lang w:eastAsia="en-AU"/>
        </w:rPr>
        <w:t>’</w:t>
      </w:r>
      <w:r w:rsidRPr="001B4766">
        <w:rPr>
          <w:lang w:eastAsia="en-AU"/>
        </w:rPr>
        <w:t>t know about”</w:t>
      </w:r>
      <w:r w:rsidR="00A4210C">
        <w:rPr>
          <w:lang w:eastAsia="en-AU"/>
        </w:rPr>
        <w:t>.</w:t>
      </w:r>
    </w:p>
    <w:p w14:paraId="433F26EC" w14:textId="26DB2BA3" w:rsidR="00534E52" w:rsidRDefault="00534E52" w:rsidP="003568EC">
      <w:pPr>
        <w:pStyle w:val="mpcNormal"/>
        <w:numPr>
          <w:ilvl w:val="0"/>
          <w:numId w:val="11"/>
        </w:numPr>
      </w:pPr>
      <w:r>
        <w:t>many</w:t>
      </w:r>
      <w:r>
        <w:rPr>
          <w:lang w:eastAsia="en-AU"/>
        </w:rPr>
        <w:t xml:space="preserve"> providers of in-home services would not be aware of a consumer’s health issues (particularly where clinical services are not being provided) </w:t>
      </w:r>
    </w:p>
    <w:p w14:paraId="50C57C09" w14:textId="0DC6CEA6" w:rsidR="00534E52" w:rsidRPr="00635F0E" w:rsidRDefault="00534E52" w:rsidP="00534E52">
      <w:pPr>
        <w:pStyle w:val="ListBullet2"/>
      </w:pPr>
      <w:r w:rsidRPr="001B4766">
        <w:t>“</w:t>
      </w:r>
      <w:r w:rsidRPr="001B4766">
        <w:rPr>
          <w:lang w:eastAsia="en-AU"/>
        </w:rPr>
        <w:t>Consumers may choose not to disclose health issues relating to an unexpected death to their provider”</w:t>
      </w:r>
      <w:r w:rsidR="00A4210C">
        <w:rPr>
          <w:lang w:eastAsia="en-AU"/>
        </w:rPr>
        <w:t>.</w:t>
      </w:r>
    </w:p>
    <w:p w14:paraId="795655EA" w14:textId="0C2D5C6B" w:rsidR="00EE1DF0" w:rsidRPr="001B4766" w:rsidRDefault="00534E52" w:rsidP="003568EC">
      <w:pPr>
        <w:pStyle w:val="mpcNormal"/>
        <w:numPr>
          <w:ilvl w:val="0"/>
          <w:numId w:val="11"/>
        </w:numPr>
      </w:pPr>
      <w:r>
        <w:t>d</w:t>
      </w:r>
      <w:r w:rsidR="00635F0E">
        <w:t>etermining</w:t>
      </w:r>
      <w:r w:rsidR="00635F0E">
        <w:rPr>
          <w:lang w:eastAsia="en-AU"/>
        </w:rPr>
        <w:t xml:space="preserve"> cause of death may be</w:t>
      </w:r>
      <w:r w:rsidR="00EE1DF0" w:rsidRPr="001B4766">
        <w:rPr>
          <w:lang w:eastAsia="en-AU"/>
        </w:rPr>
        <w:t xml:space="preserve"> particularly </w:t>
      </w:r>
      <w:r w:rsidR="00635F0E">
        <w:rPr>
          <w:lang w:eastAsia="en-AU"/>
        </w:rPr>
        <w:t>difficult</w:t>
      </w:r>
      <w:r w:rsidR="00EE1DF0" w:rsidRPr="001B4766">
        <w:rPr>
          <w:lang w:eastAsia="en-AU"/>
        </w:rPr>
        <w:t xml:space="preserve"> where multiple providers</w:t>
      </w:r>
      <w:r>
        <w:rPr>
          <w:lang w:eastAsia="en-AU"/>
        </w:rPr>
        <w:t xml:space="preserve">, individuals or </w:t>
      </w:r>
      <w:r w:rsidR="00635F0E">
        <w:rPr>
          <w:lang w:eastAsia="en-AU"/>
        </w:rPr>
        <w:t>organisations</w:t>
      </w:r>
      <w:r w:rsidR="00EE1DF0" w:rsidRPr="001B4766">
        <w:rPr>
          <w:lang w:eastAsia="en-AU"/>
        </w:rPr>
        <w:t xml:space="preserve"> are involved in a consumer’s care</w:t>
      </w:r>
    </w:p>
    <w:p w14:paraId="2A606E09" w14:textId="1EF273E6" w:rsidR="00EE1DF0" w:rsidRDefault="00EE1DF0" w:rsidP="0048323A">
      <w:pPr>
        <w:pStyle w:val="ListBullet2"/>
        <w:rPr>
          <w:lang w:eastAsia="en-AU"/>
        </w:rPr>
      </w:pPr>
      <w:r w:rsidRPr="001B4766">
        <w:rPr>
          <w:lang w:eastAsia="en-AU"/>
        </w:rPr>
        <w:t>“Who determines whether a specific provider was at fault of not taking reasonable steps to prevent the death?”</w:t>
      </w:r>
      <w:r w:rsidR="00A4210C">
        <w:rPr>
          <w:lang w:eastAsia="en-AU"/>
        </w:rPr>
        <w:t>.</w:t>
      </w:r>
    </w:p>
    <w:p w14:paraId="02CC5DE8" w14:textId="4EB197EE" w:rsidR="00B8260B" w:rsidRDefault="00B8260B" w:rsidP="00B8260B">
      <w:pPr>
        <w:pStyle w:val="mpcNormal"/>
        <w:numPr>
          <w:ilvl w:val="0"/>
          <w:numId w:val="11"/>
        </w:numPr>
        <w:rPr>
          <w:lang w:eastAsia="en-AU"/>
        </w:rPr>
      </w:pPr>
      <w:r>
        <w:t>incidents</w:t>
      </w:r>
      <w:r>
        <w:rPr>
          <w:lang w:eastAsia="en-AU"/>
        </w:rPr>
        <w:t xml:space="preserve"> that result in an ‘unexpected death’ of a consumer would be reportable under other categories of incident (e.g. neglect</w:t>
      </w:r>
      <w:r w:rsidR="00115867">
        <w:rPr>
          <w:lang w:eastAsia="en-AU"/>
        </w:rPr>
        <w:t xml:space="preserve"> or unreasonable use of force</w:t>
      </w:r>
      <w:r>
        <w:rPr>
          <w:lang w:eastAsia="en-AU"/>
        </w:rPr>
        <w:t>)</w:t>
      </w:r>
      <w:r w:rsidR="00130742">
        <w:rPr>
          <w:lang w:eastAsia="en-AU"/>
        </w:rPr>
        <w:t>.</w:t>
      </w:r>
    </w:p>
    <w:p w14:paraId="51913F46" w14:textId="77777777" w:rsidR="00635F0E" w:rsidRPr="001B4766" w:rsidRDefault="00635F0E" w:rsidP="00534E52">
      <w:pPr>
        <w:pStyle w:val="ListBullet2"/>
        <w:numPr>
          <w:ilvl w:val="0"/>
          <w:numId w:val="0"/>
        </w:numPr>
        <w:rPr>
          <w:lang w:eastAsia="en-AU"/>
        </w:rPr>
      </w:pPr>
    </w:p>
    <w:p w14:paraId="1BA37F47" w14:textId="0E1E7495" w:rsidR="00EE1DF0" w:rsidRDefault="004B264A" w:rsidP="00C866C1">
      <w:pPr>
        <w:pStyle w:val="ListBullet"/>
        <w:numPr>
          <w:ilvl w:val="0"/>
          <w:numId w:val="0"/>
        </w:numPr>
      </w:pPr>
      <w:r>
        <w:t xml:space="preserve">Others </w:t>
      </w:r>
      <w:r w:rsidR="006B39C6">
        <w:t xml:space="preserve">still </w:t>
      </w:r>
      <w:r>
        <w:t xml:space="preserve">suggested that this </w:t>
      </w:r>
      <w:r w:rsidR="00EE1DF0" w:rsidRPr="001B4766">
        <w:t>category should not be applicable to all in-home services providers, particularly where contact with the consumer is very limited</w:t>
      </w:r>
      <w:r w:rsidR="00534E52">
        <w:t xml:space="preserve"> or services are </w:t>
      </w:r>
      <w:r w:rsidR="00635F0E">
        <w:t>non</w:t>
      </w:r>
      <w:r w:rsidR="00A4210C">
        <w:noBreakHyphen/>
      </w:r>
      <w:r w:rsidR="00996961">
        <w:t>ongoing,</w:t>
      </w:r>
      <w:r w:rsidR="00EE1DF0" w:rsidRPr="001B4766">
        <w:t xml:space="preserve"> and the provider would have no way of knowing if a death was </w:t>
      </w:r>
      <w:r w:rsidR="008F7A6D">
        <w:t>‘</w:t>
      </w:r>
      <w:r w:rsidR="00EE1DF0" w:rsidRPr="001B4766">
        <w:t>unexpected</w:t>
      </w:r>
      <w:r w:rsidR="008F7A6D">
        <w:t>’</w:t>
      </w:r>
      <w:r w:rsidR="00EE1DF0" w:rsidRPr="001B4766">
        <w:t xml:space="preserve"> (specifically citing home modifications or garden maintenance providers as examples of providers that should be exempt). Stakeholders noted that placing this responsibility on such providers may result in over-reporting of deaths and an increased burden on the </w:t>
      </w:r>
      <w:r w:rsidR="00115867">
        <w:t>s</w:t>
      </w:r>
      <w:r w:rsidR="00534E52">
        <w:t>cheme</w:t>
      </w:r>
      <w:r w:rsidR="00EE1DF0" w:rsidRPr="001B4766">
        <w:t>.</w:t>
      </w:r>
    </w:p>
    <w:p w14:paraId="39B993CE" w14:textId="77777777" w:rsidR="00AA6BF8" w:rsidRPr="001B4766" w:rsidRDefault="00AA6BF8" w:rsidP="00C866C1">
      <w:pPr>
        <w:pStyle w:val="ListBullet"/>
        <w:numPr>
          <w:ilvl w:val="0"/>
          <w:numId w:val="0"/>
        </w:numPr>
      </w:pPr>
    </w:p>
    <w:p w14:paraId="1BD571F1" w14:textId="77777777" w:rsidR="00457249" w:rsidRPr="001B4766" w:rsidRDefault="00457249" w:rsidP="008F7A6D">
      <w:pPr>
        <w:pStyle w:val="Heading2"/>
      </w:pPr>
      <w:bookmarkStart w:id="41" w:name="_Toc76470059"/>
      <w:bookmarkStart w:id="42" w:name="_Toc77848167"/>
      <w:bookmarkStart w:id="43" w:name="_Toc80694378"/>
      <w:r w:rsidRPr="001B4766">
        <w:lastRenderedPageBreak/>
        <w:t>Stealing or financial coercion by a staff member</w:t>
      </w:r>
      <w:bookmarkEnd w:id="41"/>
      <w:bookmarkEnd w:id="42"/>
      <w:bookmarkEnd w:id="43"/>
    </w:p>
    <w:p w14:paraId="7546E78A" w14:textId="77777777" w:rsidR="00AA6BF8" w:rsidRDefault="00AA6BF8" w:rsidP="008F7A6D">
      <w:pPr>
        <w:keepNext/>
      </w:pPr>
    </w:p>
    <w:p w14:paraId="6680E452" w14:textId="2ACF0CDF" w:rsidR="00457249" w:rsidRPr="001B4766" w:rsidRDefault="00AA6BF8" w:rsidP="008F7A6D">
      <w:pPr>
        <w:keepNext/>
      </w:pPr>
      <w:r>
        <w:t>Stakeholder feedback was sought on the proposed</w:t>
      </w:r>
      <w:r w:rsidR="00457249" w:rsidRPr="001B4766">
        <w:t xml:space="preserve"> definition of ‘stealing or financial coercion by a staff member’:</w:t>
      </w:r>
    </w:p>
    <w:p w14:paraId="6BA6D875" w14:textId="77777777" w:rsidR="00457249" w:rsidRPr="001B4766" w:rsidRDefault="00457249" w:rsidP="00E14444"/>
    <w:p w14:paraId="15783337" w14:textId="77777777" w:rsidR="008F7A6D" w:rsidRPr="008F7A6D" w:rsidRDefault="008F7A6D" w:rsidP="008F7A6D">
      <w:pPr>
        <w:ind w:left="720" w:right="990"/>
        <w:rPr>
          <w:i/>
          <w:iCs/>
        </w:rPr>
      </w:pPr>
      <w:r w:rsidRPr="008F7A6D">
        <w:rPr>
          <w:b/>
          <w:i/>
          <w:iCs/>
        </w:rPr>
        <w:t>Stealing from, or financial coercion of, the consumer by a staff member</w:t>
      </w:r>
      <w:r w:rsidRPr="008F7A6D">
        <w:rPr>
          <w:i/>
          <w:iCs/>
        </w:rPr>
        <w:t xml:space="preserve"> of the provider includes stealing from the consumer by a staff member of the provider; or</w:t>
      </w:r>
    </w:p>
    <w:p w14:paraId="78533991" w14:textId="3F517323" w:rsidR="00AA6BF8" w:rsidRPr="008F7A6D" w:rsidRDefault="008F7A6D" w:rsidP="008F7A6D">
      <w:pPr>
        <w:ind w:left="720" w:right="990"/>
        <w:rPr>
          <w:i/>
          <w:iCs/>
        </w:rPr>
      </w:pPr>
      <w:r w:rsidRPr="008F7A6D">
        <w:rPr>
          <w:i/>
          <w:iCs/>
        </w:rPr>
        <w:t>Conduct by a staff member of the provider that is coercive or deceptive in relation to the consumer’s financial affairs, or unreasonably controls the financial affairs of the consumer.</w:t>
      </w:r>
    </w:p>
    <w:p w14:paraId="2D8A5F18" w14:textId="77777777" w:rsidR="008F7A6D" w:rsidRDefault="008F7A6D" w:rsidP="00E14444"/>
    <w:p w14:paraId="64BCC288" w14:textId="17507727" w:rsidR="0063428E" w:rsidRPr="001B4766" w:rsidRDefault="0063428E" w:rsidP="00E14444">
      <w:r w:rsidRPr="001B4766">
        <w:t xml:space="preserve">Stakeholders broadly considered this definition </w:t>
      </w:r>
      <w:r w:rsidR="00A529F2">
        <w:t>to be</w:t>
      </w:r>
      <w:r w:rsidRPr="001B4766">
        <w:t xml:space="preserve"> equally applicable to in-home services and did not require adjustment. </w:t>
      </w:r>
    </w:p>
    <w:p w14:paraId="199A9E0F" w14:textId="77777777" w:rsidR="0063428E" w:rsidRPr="001B4766" w:rsidRDefault="0063428E" w:rsidP="00E14444"/>
    <w:p w14:paraId="34FF9956" w14:textId="55544399" w:rsidR="008A42B7" w:rsidRPr="001B4766" w:rsidRDefault="008A42B7" w:rsidP="00E14444">
      <w:r w:rsidRPr="001B4766">
        <w:t xml:space="preserve">Some stakeholders </w:t>
      </w:r>
      <w:r w:rsidR="008A6456">
        <w:t>provided additional examples</w:t>
      </w:r>
      <w:r w:rsidR="00A529F2">
        <w:t xml:space="preserve"> and </w:t>
      </w:r>
      <w:r w:rsidR="0096322F">
        <w:t>clarification</w:t>
      </w:r>
      <w:r w:rsidR="00A529F2">
        <w:t>s</w:t>
      </w:r>
      <w:r w:rsidR="008A6456">
        <w:t xml:space="preserve"> that </w:t>
      </w:r>
      <w:r w:rsidR="0063428E" w:rsidRPr="001B4766">
        <w:t>could be included in guidance</w:t>
      </w:r>
      <w:r w:rsidR="008A6456">
        <w:t>:</w:t>
      </w:r>
    </w:p>
    <w:p w14:paraId="07607780" w14:textId="1AD52080" w:rsidR="008A42B7" w:rsidRPr="001B4766" w:rsidRDefault="008A42B7" w:rsidP="00E14444"/>
    <w:p w14:paraId="7D4C8E69" w14:textId="3603852F" w:rsidR="008A42B7" w:rsidRDefault="008A42B7" w:rsidP="00C866C1">
      <w:pPr>
        <w:pStyle w:val="ListBullet"/>
      </w:pPr>
      <w:r w:rsidRPr="001B4766">
        <w:t xml:space="preserve">accessing </w:t>
      </w:r>
      <w:r w:rsidRPr="00C866C1">
        <w:t>funds</w:t>
      </w:r>
      <w:r w:rsidRPr="001B4766">
        <w:t xml:space="preserve"> through misusing a </w:t>
      </w:r>
      <w:r w:rsidR="0063428E" w:rsidRPr="001B4766">
        <w:t>consumer’s</w:t>
      </w:r>
      <w:r w:rsidRPr="001B4766">
        <w:t xml:space="preserve"> </w:t>
      </w:r>
      <w:r w:rsidR="00ED07BC" w:rsidRPr="001B4766">
        <w:t>credit/debit</w:t>
      </w:r>
      <w:r w:rsidRPr="001B4766">
        <w:t xml:space="preserve"> cards </w:t>
      </w:r>
    </w:p>
    <w:p w14:paraId="236A43D4" w14:textId="2798C8EF" w:rsidR="00F22D59" w:rsidRPr="00A529F2" w:rsidRDefault="00F22D59" w:rsidP="00A529F2">
      <w:pPr>
        <w:pStyle w:val="mpcNormal"/>
        <w:numPr>
          <w:ilvl w:val="0"/>
          <w:numId w:val="11"/>
        </w:numPr>
        <w:rPr>
          <w:lang w:eastAsia="en-AU"/>
        </w:rPr>
      </w:pPr>
      <w:r w:rsidRPr="007827B7">
        <w:rPr>
          <w:lang w:eastAsia="en-AU"/>
        </w:rPr>
        <w:t xml:space="preserve">conduct by a </w:t>
      </w:r>
      <w:r>
        <w:rPr>
          <w:lang w:eastAsia="en-AU"/>
        </w:rPr>
        <w:t>worker</w:t>
      </w:r>
      <w:r w:rsidRPr="007827B7">
        <w:rPr>
          <w:lang w:eastAsia="en-AU"/>
        </w:rPr>
        <w:t xml:space="preserve"> that is coercive or deceptive in relation to </w:t>
      </w:r>
      <w:r>
        <w:rPr>
          <w:lang w:eastAsia="en-AU"/>
        </w:rPr>
        <w:t>a</w:t>
      </w:r>
      <w:r w:rsidRPr="007827B7">
        <w:rPr>
          <w:lang w:eastAsia="en-AU"/>
        </w:rPr>
        <w:t xml:space="preserve"> consumer</w:t>
      </w:r>
      <w:r>
        <w:rPr>
          <w:lang w:eastAsia="en-AU"/>
        </w:rPr>
        <w:t>’</w:t>
      </w:r>
      <w:r w:rsidRPr="007827B7">
        <w:rPr>
          <w:lang w:eastAsia="en-AU"/>
        </w:rPr>
        <w:t xml:space="preserve">s financial affairs </w:t>
      </w:r>
    </w:p>
    <w:p w14:paraId="0034F2E1" w14:textId="77777777" w:rsidR="00062561" w:rsidRPr="00A529F2" w:rsidRDefault="00F22D59" w:rsidP="00A529F2">
      <w:pPr>
        <w:pStyle w:val="mpcNormal"/>
        <w:numPr>
          <w:ilvl w:val="0"/>
          <w:numId w:val="11"/>
        </w:numPr>
        <w:rPr>
          <w:lang w:eastAsia="en-AU"/>
        </w:rPr>
      </w:pPr>
      <w:r>
        <w:rPr>
          <w:lang w:eastAsia="en-AU"/>
        </w:rPr>
        <w:t xml:space="preserve">a worker’s </w:t>
      </w:r>
      <w:r w:rsidRPr="007827B7">
        <w:rPr>
          <w:lang w:eastAsia="en-AU"/>
        </w:rPr>
        <w:t>unreasonabl</w:t>
      </w:r>
      <w:r>
        <w:rPr>
          <w:lang w:eastAsia="en-AU"/>
        </w:rPr>
        <w:t>e</w:t>
      </w:r>
      <w:r w:rsidRPr="007827B7">
        <w:rPr>
          <w:lang w:eastAsia="en-AU"/>
        </w:rPr>
        <w:t xml:space="preserve"> control</w:t>
      </w:r>
      <w:r>
        <w:rPr>
          <w:lang w:eastAsia="en-AU"/>
        </w:rPr>
        <w:t xml:space="preserve"> of</w:t>
      </w:r>
      <w:r w:rsidRPr="007827B7">
        <w:rPr>
          <w:lang w:eastAsia="en-AU"/>
        </w:rPr>
        <w:t xml:space="preserve"> the financial affairs of </w:t>
      </w:r>
      <w:r>
        <w:rPr>
          <w:lang w:eastAsia="en-AU"/>
        </w:rPr>
        <w:t>a</w:t>
      </w:r>
      <w:r w:rsidRPr="007827B7">
        <w:rPr>
          <w:lang w:eastAsia="en-AU"/>
        </w:rPr>
        <w:t xml:space="preserve"> consumer</w:t>
      </w:r>
    </w:p>
    <w:p w14:paraId="52D1E7A8" w14:textId="734EA93C" w:rsidR="00062561" w:rsidRPr="00A529F2" w:rsidRDefault="00062561" w:rsidP="00A529F2">
      <w:pPr>
        <w:pStyle w:val="mpcNormal"/>
        <w:numPr>
          <w:ilvl w:val="0"/>
          <w:numId w:val="11"/>
        </w:numPr>
        <w:rPr>
          <w:lang w:eastAsia="en-AU"/>
        </w:rPr>
      </w:pPr>
      <w:r>
        <w:rPr>
          <w:lang w:eastAsia="en-AU"/>
        </w:rPr>
        <w:t xml:space="preserve">gifts or loans to workers </w:t>
      </w:r>
      <w:r w:rsidR="008A504B">
        <w:rPr>
          <w:lang w:eastAsia="en-AU"/>
        </w:rPr>
        <w:t>(noting providers require a robust gratuities policy to manage this)</w:t>
      </w:r>
    </w:p>
    <w:p w14:paraId="3E980FCF" w14:textId="71B9421A" w:rsidR="00F22D59" w:rsidRPr="00A529F2" w:rsidRDefault="00062561" w:rsidP="00A529F2">
      <w:pPr>
        <w:pStyle w:val="mpcNormal"/>
        <w:numPr>
          <w:ilvl w:val="0"/>
          <w:numId w:val="11"/>
        </w:numPr>
        <w:rPr>
          <w:lang w:eastAsia="en-AU"/>
        </w:rPr>
      </w:pPr>
      <w:r>
        <w:rPr>
          <w:lang w:eastAsia="en-AU"/>
        </w:rPr>
        <w:t>allowing use of a consumer’s personal property (for example, a consumer lending a worker their car to use for personal reasons)</w:t>
      </w:r>
      <w:r w:rsidR="00F22D59">
        <w:rPr>
          <w:lang w:eastAsia="en-AU"/>
        </w:rPr>
        <w:t>.</w:t>
      </w:r>
    </w:p>
    <w:p w14:paraId="4E1E117F" w14:textId="77777777" w:rsidR="00406F27" w:rsidRDefault="00406F27" w:rsidP="00C866C1">
      <w:pPr>
        <w:pStyle w:val="ListBullet"/>
        <w:numPr>
          <w:ilvl w:val="0"/>
          <w:numId w:val="0"/>
        </w:numPr>
      </w:pPr>
    </w:p>
    <w:p w14:paraId="3310147D" w14:textId="4E46E851" w:rsidR="00A42421" w:rsidRDefault="00F22D59" w:rsidP="00C866C1">
      <w:pPr>
        <w:pStyle w:val="ListBullet"/>
        <w:numPr>
          <w:ilvl w:val="0"/>
          <w:numId w:val="0"/>
        </w:numPr>
      </w:pPr>
      <w:r>
        <w:t xml:space="preserve">Stakeholders </w:t>
      </w:r>
      <w:r w:rsidR="005D3506">
        <w:t xml:space="preserve">broadly </w:t>
      </w:r>
      <w:r>
        <w:t xml:space="preserve">agreed that </w:t>
      </w:r>
      <w:r w:rsidR="0096322F" w:rsidRPr="007827B7">
        <w:t xml:space="preserve">the stealing or financial coercion </w:t>
      </w:r>
      <w:r>
        <w:t>should</w:t>
      </w:r>
      <w:r w:rsidR="0096322F" w:rsidRPr="007827B7">
        <w:t xml:space="preserve"> not have to occur in close connection with the delivery of care and services </w:t>
      </w:r>
      <w:r w:rsidR="0096322F">
        <w:t>(</w:t>
      </w:r>
      <w:r w:rsidR="0096322F" w:rsidRPr="007827B7">
        <w:t>e.g. when the staff member is at the home of the consumer</w:t>
      </w:r>
      <w:r w:rsidR="0096322F">
        <w:t>)</w:t>
      </w:r>
      <w:r w:rsidR="0096322F" w:rsidRPr="007827B7">
        <w:t xml:space="preserve"> but could occur outside the hours that </w:t>
      </w:r>
      <w:r w:rsidR="0096322F">
        <w:t>c</w:t>
      </w:r>
      <w:r w:rsidR="0096322F" w:rsidRPr="007827B7">
        <w:t>are is directly provided</w:t>
      </w:r>
      <w:r w:rsidR="00411BEE">
        <w:t>.</w:t>
      </w:r>
      <w:r w:rsidR="005D412E">
        <w:t xml:space="preserve"> </w:t>
      </w:r>
    </w:p>
    <w:p w14:paraId="0770452B" w14:textId="77777777" w:rsidR="00A42421" w:rsidRDefault="00A42421" w:rsidP="00C866C1">
      <w:pPr>
        <w:pStyle w:val="ListBullet"/>
        <w:numPr>
          <w:ilvl w:val="0"/>
          <w:numId w:val="0"/>
        </w:numPr>
      </w:pPr>
    </w:p>
    <w:p w14:paraId="401932C4" w14:textId="7E663A9B" w:rsidR="0096322F" w:rsidRPr="00A42421" w:rsidRDefault="005D412E" w:rsidP="00C866C1">
      <w:pPr>
        <w:pStyle w:val="ListBullet"/>
        <w:numPr>
          <w:ilvl w:val="0"/>
          <w:numId w:val="0"/>
        </w:numPr>
      </w:pPr>
      <w:r>
        <w:t>Some stakeholders suggested this definition should include stealing or financial coercion by volunteers</w:t>
      </w:r>
      <w:r w:rsidR="00A42421">
        <w:t xml:space="preserve">, and others felt </w:t>
      </w:r>
      <w:r w:rsidR="004B7C34">
        <w:t xml:space="preserve">it </w:t>
      </w:r>
      <w:r w:rsidR="00A42421">
        <w:t>should include over charging or fraudulent charging of consumers by the provider.</w:t>
      </w:r>
    </w:p>
    <w:p w14:paraId="44BEE548" w14:textId="6CB31D1E" w:rsidR="00ED07BC" w:rsidRPr="001B4766" w:rsidRDefault="00ED07BC" w:rsidP="00C866C1">
      <w:pPr>
        <w:pStyle w:val="ListBullet"/>
        <w:numPr>
          <w:ilvl w:val="0"/>
          <w:numId w:val="0"/>
        </w:numPr>
        <w:ind w:left="284"/>
      </w:pPr>
    </w:p>
    <w:p w14:paraId="607BBD56" w14:textId="4FBAE0B3" w:rsidR="00ED07BC" w:rsidRDefault="0063428E" w:rsidP="00C866C1">
      <w:pPr>
        <w:pStyle w:val="ListBullet"/>
        <w:numPr>
          <w:ilvl w:val="0"/>
          <w:numId w:val="0"/>
        </w:numPr>
      </w:pPr>
      <w:r w:rsidRPr="001B4766">
        <w:t>Some stakeholders queried whether this category should include accusations</w:t>
      </w:r>
      <w:r w:rsidR="005B2D11">
        <w:t xml:space="preserve"> or </w:t>
      </w:r>
      <w:r w:rsidR="008A6456">
        <w:t>suspicions</w:t>
      </w:r>
      <w:r w:rsidRPr="001B4766">
        <w:t xml:space="preserve"> of theft or only proven theft, noting that providers do not have control over who goes in and out of consumers’ homes</w:t>
      </w:r>
      <w:r w:rsidR="005B2D11">
        <w:t xml:space="preserve"> and that</w:t>
      </w:r>
      <w:r w:rsidRPr="001B4766">
        <w:t xml:space="preserve"> some consumers live in cluttered environments</w:t>
      </w:r>
      <w:r w:rsidR="005B2D11">
        <w:t>, which may lead to overreporting</w:t>
      </w:r>
      <w:r w:rsidR="008A6456">
        <w:t xml:space="preserve"> </w:t>
      </w:r>
      <w:r w:rsidR="005B2D11">
        <w:t xml:space="preserve">of </w:t>
      </w:r>
      <w:r w:rsidR="008A6456">
        <w:t>cases of suspected thef</w:t>
      </w:r>
      <w:r w:rsidR="005B2D11">
        <w:t>t</w:t>
      </w:r>
      <w:r w:rsidR="00114CA9">
        <w:t xml:space="preserve">. </w:t>
      </w:r>
      <w:r w:rsidR="00472E5D">
        <w:t xml:space="preserve">It was also noted </w:t>
      </w:r>
      <w:r w:rsidRPr="001B4766">
        <w:t xml:space="preserve">that repeated accusations of unfounded theft (for example, where the consumer is cognitively impaired) could be considered </w:t>
      </w:r>
      <w:r w:rsidR="00472E5D">
        <w:t>exempt</w:t>
      </w:r>
      <w:r w:rsidRPr="001B4766">
        <w:t xml:space="preserve"> from reporting.</w:t>
      </w:r>
    </w:p>
    <w:p w14:paraId="10C651A0" w14:textId="77777777" w:rsidR="00AA6BF8" w:rsidRPr="001B4766" w:rsidRDefault="00AA6BF8" w:rsidP="00C866C1">
      <w:pPr>
        <w:pStyle w:val="ListBullet"/>
        <w:numPr>
          <w:ilvl w:val="0"/>
          <w:numId w:val="0"/>
        </w:numPr>
      </w:pPr>
    </w:p>
    <w:p w14:paraId="681CA51C" w14:textId="77777777" w:rsidR="00457249" w:rsidRPr="001B4766" w:rsidRDefault="00457249" w:rsidP="00C866C1">
      <w:pPr>
        <w:pStyle w:val="Heading2"/>
      </w:pPr>
      <w:bookmarkStart w:id="44" w:name="_Toc76470060"/>
      <w:bookmarkStart w:id="45" w:name="_Toc77848168"/>
      <w:bookmarkStart w:id="46" w:name="_Toc80694379"/>
      <w:r w:rsidRPr="001B4766">
        <w:t>Neglect</w:t>
      </w:r>
      <w:bookmarkEnd w:id="44"/>
      <w:bookmarkEnd w:id="45"/>
      <w:bookmarkEnd w:id="46"/>
    </w:p>
    <w:p w14:paraId="167A2797" w14:textId="77777777" w:rsidR="00AA6BF8" w:rsidRDefault="00AA6BF8" w:rsidP="00E14444"/>
    <w:p w14:paraId="2DF7022F" w14:textId="169D4790" w:rsidR="00457249" w:rsidRPr="001B4766" w:rsidRDefault="00AA6BF8" w:rsidP="00E14444">
      <w:r>
        <w:t>Stakeholder feedback was sought on the proposed</w:t>
      </w:r>
      <w:r w:rsidRPr="001B4766">
        <w:t xml:space="preserve"> </w:t>
      </w:r>
      <w:r w:rsidR="00457249" w:rsidRPr="001B4766">
        <w:t>definition of ‘neglect’:</w:t>
      </w:r>
    </w:p>
    <w:p w14:paraId="738F97B6" w14:textId="77777777" w:rsidR="00457249" w:rsidRPr="001B4766" w:rsidRDefault="00457249" w:rsidP="00E14444"/>
    <w:p w14:paraId="47D3825C" w14:textId="77777777" w:rsidR="008F7A6D" w:rsidRPr="008F7A6D" w:rsidRDefault="008F7A6D" w:rsidP="008F7A6D">
      <w:pPr>
        <w:ind w:left="1080" w:right="990"/>
        <w:rPr>
          <w:i/>
          <w:iCs/>
        </w:rPr>
      </w:pPr>
      <w:r w:rsidRPr="008F7A6D">
        <w:rPr>
          <w:b/>
          <w:i/>
          <w:iCs/>
        </w:rPr>
        <w:t>Neglect</w:t>
      </w:r>
      <w:r w:rsidRPr="008F7A6D">
        <w:rPr>
          <w:i/>
          <w:iCs/>
        </w:rPr>
        <w:t xml:space="preserve"> of a consumer includes:</w:t>
      </w:r>
    </w:p>
    <w:p w14:paraId="5D98D270" w14:textId="77777777" w:rsidR="008F7A6D" w:rsidRPr="008F7A6D" w:rsidRDefault="008F7A6D" w:rsidP="008F7A6D">
      <w:pPr>
        <w:pStyle w:val="ListBullet"/>
        <w:ind w:left="1440" w:right="990"/>
        <w:rPr>
          <w:i/>
          <w:iCs/>
        </w:rPr>
      </w:pPr>
      <w:r w:rsidRPr="008F7A6D">
        <w:rPr>
          <w:i/>
          <w:iCs/>
        </w:rPr>
        <w:t xml:space="preserve">a breach of duty of care owed by the provider, or a staff member of the provider, to the consumer, or </w:t>
      </w:r>
    </w:p>
    <w:p w14:paraId="3009920C" w14:textId="16733A86" w:rsidR="00A00209" w:rsidRPr="008F7A6D" w:rsidRDefault="008F7A6D" w:rsidP="008F7A6D">
      <w:pPr>
        <w:pStyle w:val="ListBullet"/>
        <w:ind w:left="1440" w:right="990"/>
        <w:rPr>
          <w:i/>
          <w:iCs/>
        </w:rPr>
      </w:pPr>
      <w:r w:rsidRPr="008F7A6D">
        <w:rPr>
          <w:i/>
          <w:iCs/>
        </w:rPr>
        <w:t>a gross breach of professional standards by a staff member of a provider providing care or services to the consumer.</w:t>
      </w:r>
    </w:p>
    <w:p w14:paraId="55F23476" w14:textId="77777777" w:rsidR="008F7A6D" w:rsidRDefault="008F7A6D" w:rsidP="00E14444"/>
    <w:p w14:paraId="31531176" w14:textId="77777777" w:rsidR="009969DA" w:rsidRDefault="009969DA" w:rsidP="00E14444">
      <w:r>
        <w:lastRenderedPageBreak/>
        <w:t>Overall, s</w:t>
      </w:r>
      <w:r w:rsidR="0063428E" w:rsidRPr="001B4766">
        <w:t>takeholders were supportive of neglect being included as a reportable incident for in-home services</w:t>
      </w:r>
      <w:r>
        <w:t xml:space="preserve"> and did not want to see the category ‘watered down’. </w:t>
      </w:r>
    </w:p>
    <w:p w14:paraId="3B2BE74E" w14:textId="77777777" w:rsidR="009969DA" w:rsidRDefault="009969DA" w:rsidP="00E14444"/>
    <w:p w14:paraId="67374490" w14:textId="26A8FA8A" w:rsidR="0063428E" w:rsidRPr="001B4766" w:rsidRDefault="009969DA" w:rsidP="00E14444">
      <w:r>
        <w:t>Stakeholders noted several issues in the home setting that make the requirement more complex, including:</w:t>
      </w:r>
    </w:p>
    <w:p w14:paraId="21C442C0" w14:textId="569A722B" w:rsidR="008A42B7" w:rsidRPr="001B4766" w:rsidRDefault="008A42B7" w:rsidP="00C866C1">
      <w:pPr>
        <w:pStyle w:val="ListBullet"/>
        <w:numPr>
          <w:ilvl w:val="0"/>
          <w:numId w:val="0"/>
        </w:numPr>
        <w:ind w:left="284"/>
      </w:pPr>
    </w:p>
    <w:p w14:paraId="20BB9C9C" w14:textId="02D10B46" w:rsidR="00DD364F" w:rsidRPr="001B4766" w:rsidRDefault="00AD6A09" w:rsidP="004360A6">
      <w:pPr>
        <w:pStyle w:val="mpcNormal"/>
        <w:numPr>
          <w:ilvl w:val="0"/>
          <w:numId w:val="11"/>
        </w:numPr>
      </w:pPr>
      <w:r>
        <w:rPr>
          <w:lang w:eastAsia="en-AU"/>
        </w:rPr>
        <w:t>t</w:t>
      </w:r>
      <w:r w:rsidR="00DD364F" w:rsidRPr="001B4766">
        <w:rPr>
          <w:lang w:eastAsia="en-AU"/>
        </w:rPr>
        <w:t>here</w:t>
      </w:r>
      <w:r w:rsidR="00DD364F" w:rsidRPr="001B4766">
        <w:t xml:space="preserve"> may be other factors, events and individuals/organisations involved in a consumer’s care such that is more challenging to establish a link between an incident and duty of care</w:t>
      </w:r>
      <w:r w:rsidR="00B413A7" w:rsidRPr="001B4766">
        <w:t xml:space="preserve"> or </w:t>
      </w:r>
      <w:r w:rsidR="00DD364F" w:rsidRPr="001B4766">
        <w:t>the individual/organisation at fault</w:t>
      </w:r>
    </w:p>
    <w:p w14:paraId="62BDE58C" w14:textId="6A365514" w:rsidR="00B413A7" w:rsidRPr="001B4766" w:rsidRDefault="00B413A7" w:rsidP="0048323A">
      <w:pPr>
        <w:pStyle w:val="ListBullet2"/>
      </w:pPr>
      <w:r w:rsidRPr="001B4766">
        <w:rPr>
          <w:lang w:eastAsia="en-AU"/>
        </w:rPr>
        <w:t>Various</w:t>
      </w:r>
      <w:r w:rsidRPr="001B4766">
        <w:t xml:space="preserve"> factors can contribute to neglect in the home, including issues relating to the worker’s</w:t>
      </w:r>
      <w:r w:rsidRPr="001B4766">
        <w:rPr>
          <w:lang w:eastAsia="en-AU"/>
        </w:rPr>
        <w:t xml:space="preserve"> frequency of visits</w:t>
      </w:r>
      <w:r w:rsidR="0056775E">
        <w:rPr>
          <w:lang w:eastAsia="en-AU"/>
        </w:rPr>
        <w:t xml:space="preserve"> and </w:t>
      </w:r>
      <w:r w:rsidRPr="001B4766">
        <w:rPr>
          <w:lang w:eastAsia="en-AU"/>
        </w:rPr>
        <w:t xml:space="preserve">time spent with the consumer, care/services required or the worker’s lack of skills/ability/training. </w:t>
      </w:r>
    </w:p>
    <w:p w14:paraId="3D3C458D" w14:textId="7E7F0293" w:rsidR="00F416BE" w:rsidRPr="001B4766" w:rsidRDefault="00F416BE" w:rsidP="0048323A">
      <w:pPr>
        <w:pStyle w:val="ListBullet2"/>
        <w:rPr>
          <w:lang w:eastAsia="en-AU"/>
        </w:rPr>
      </w:pPr>
      <w:r>
        <w:t xml:space="preserve">The need for communication between providers/organisations/individuals involved in a consumer’s care is critical. For example, </w:t>
      </w:r>
      <w:r>
        <w:rPr>
          <w:lang w:eastAsia="en-AU"/>
        </w:rPr>
        <w:t xml:space="preserve">where a worker </w:t>
      </w:r>
      <w:r w:rsidRPr="00F416BE">
        <w:rPr>
          <w:lang w:eastAsia="en-AU"/>
        </w:rPr>
        <w:t>didn</w:t>
      </w:r>
      <w:r>
        <w:rPr>
          <w:lang w:eastAsia="en-AU"/>
        </w:rPr>
        <w:t>’</w:t>
      </w:r>
      <w:r w:rsidRPr="00F416BE">
        <w:rPr>
          <w:lang w:eastAsia="en-AU"/>
        </w:rPr>
        <w:t xml:space="preserve">t shower </w:t>
      </w:r>
      <w:r w:rsidR="00FA6E00">
        <w:rPr>
          <w:lang w:eastAsia="en-AU"/>
        </w:rPr>
        <w:t>a</w:t>
      </w:r>
      <w:r>
        <w:rPr>
          <w:lang w:eastAsia="en-AU"/>
        </w:rPr>
        <w:t xml:space="preserve"> consumer</w:t>
      </w:r>
      <w:r w:rsidRPr="00F416BE">
        <w:rPr>
          <w:lang w:eastAsia="en-AU"/>
        </w:rPr>
        <w:t xml:space="preserve"> because they </w:t>
      </w:r>
      <w:r w:rsidR="00FA6E00" w:rsidRPr="00F416BE">
        <w:rPr>
          <w:lang w:eastAsia="en-AU"/>
        </w:rPr>
        <w:t>refused,</w:t>
      </w:r>
      <w:r w:rsidRPr="00F416BE">
        <w:rPr>
          <w:lang w:eastAsia="en-AU"/>
        </w:rPr>
        <w:t xml:space="preserve"> and </w:t>
      </w:r>
      <w:r>
        <w:rPr>
          <w:lang w:eastAsia="en-AU"/>
        </w:rPr>
        <w:t>someone</w:t>
      </w:r>
      <w:r w:rsidR="00FA6E00">
        <w:rPr>
          <w:lang w:eastAsia="en-AU"/>
        </w:rPr>
        <w:t xml:space="preserve"> later</w:t>
      </w:r>
      <w:r>
        <w:rPr>
          <w:lang w:eastAsia="en-AU"/>
        </w:rPr>
        <w:t xml:space="preserve"> reports that </w:t>
      </w:r>
      <w:r w:rsidR="00FA6E00">
        <w:rPr>
          <w:lang w:eastAsia="en-AU"/>
        </w:rPr>
        <w:t>the</w:t>
      </w:r>
      <w:r>
        <w:rPr>
          <w:lang w:eastAsia="en-AU"/>
        </w:rPr>
        <w:t xml:space="preserve"> consumer was not </w:t>
      </w:r>
      <w:r w:rsidRPr="00F416BE">
        <w:rPr>
          <w:lang w:eastAsia="en-AU"/>
        </w:rPr>
        <w:t>shower</w:t>
      </w:r>
      <w:r>
        <w:rPr>
          <w:lang w:eastAsia="en-AU"/>
        </w:rPr>
        <w:t>ed.</w:t>
      </w:r>
    </w:p>
    <w:p w14:paraId="7017A8B2" w14:textId="2D1758C1" w:rsidR="00DD364F" w:rsidRDefault="009C286C" w:rsidP="000244F9">
      <w:pPr>
        <w:pStyle w:val="mpcNormal"/>
        <w:numPr>
          <w:ilvl w:val="0"/>
          <w:numId w:val="11"/>
        </w:numPr>
        <w:rPr>
          <w:lang w:eastAsia="en-AU"/>
        </w:rPr>
      </w:pPr>
      <w:r w:rsidRPr="001B4766">
        <w:rPr>
          <w:lang w:eastAsia="en-AU"/>
        </w:rPr>
        <w:t xml:space="preserve">neglect </w:t>
      </w:r>
      <w:r w:rsidR="00E4332F">
        <w:rPr>
          <w:lang w:eastAsia="en-AU"/>
        </w:rPr>
        <w:t>that</w:t>
      </w:r>
      <w:r w:rsidRPr="001B4766">
        <w:rPr>
          <w:lang w:eastAsia="en-AU"/>
        </w:rPr>
        <w:t xml:space="preserve"> occur</w:t>
      </w:r>
      <w:r w:rsidR="00E4332F">
        <w:rPr>
          <w:lang w:eastAsia="en-AU"/>
        </w:rPr>
        <w:t>s because</w:t>
      </w:r>
      <w:r w:rsidRPr="001B4766">
        <w:rPr>
          <w:lang w:eastAsia="en-AU"/>
        </w:rPr>
        <w:t xml:space="preserve"> service</w:t>
      </w:r>
      <w:r w:rsidR="00E4332F">
        <w:rPr>
          <w:lang w:eastAsia="en-AU"/>
        </w:rPr>
        <w:t>s</w:t>
      </w:r>
      <w:r w:rsidRPr="001B4766">
        <w:rPr>
          <w:lang w:eastAsia="en-AU"/>
        </w:rPr>
        <w:t xml:space="preserve"> </w:t>
      </w:r>
      <w:r w:rsidR="00E4332F">
        <w:rPr>
          <w:lang w:eastAsia="en-AU"/>
        </w:rPr>
        <w:t>were not</w:t>
      </w:r>
      <w:r w:rsidRPr="001B4766">
        <w:rPr>
          <w:lang w:eastAsia="en-AU"/>
        </w:rPr>
        <w:t xml:space="preserve"> provided as planned</w:t>
      </w:r>
      <w:r w:rsidR="00E4332F">
        <w:rPr>
          <w:lang w:eastAsia="en-AU"/>
        </w:rPr>
        <w:t xml:space="preserve"> might not be eviden</w:t>
      </w:r>
      <w:r w:rsidR="0056775E">
        <w:rPr>
          <w:lang w:eastAsia="en-AU"/>
        </w:rPr>
        <w:t>t</w:t>
      </w:r>
      <w:r w:rsidR="00E4332F">
        <w:rPr>
          <w:lang w:eastAsia="en-AU"/>
        </w:rPr>
        <w:t xml:space="preserve"> to anyone but the consumer and the worker</w:t>
      </w:r>
      <w:r w:rsidR="000244F9">
        <w:rPr>
          <w:lang w:eastAsia="en-AU"/>
        </w:rPr>
        <w:t>. Which can also mean that the</w:t>
      </w:r>
      <w:r w:rsidR="00DD364F" w:rsidRPr="001B4766">
        <w:rPr>
          <w:lang w:eastAsia="en-AU"/>
        </w:rPr>
        <w:t xml:space="preserve"> effects of ongoing neglect may not become obvious for some time – by which</w:t>
      </w:r>
      <w:r w:rsidR="0056775E">
        <w:rPr>
          <w:lang w:eastAsia="en-AU"/>
        </w:rPr>
        <w:t xml:space="preserve"> time</w:t>
      </w:r>
      <w:r w:rsidR="00DD364F" w:rsidRPr="001B4766">
        <w:rPr>
          <w:lang w:eastAsia="en-AU"/>
        </w:rPr>
        <w:t>, medical issues and secondary medical complications may cause hospitalisation and/or death.</w:t>
      </w:r>
    </w:p>
    <w:p w14:paraId="18BD09C7" w14:textId="77777777" w:rsidR="00062561" w:rsidRPr="001B4766" w:rsidRDefault="00062561" w:rsidP="00C866C1">
      <w:pPr>
        <w:pStyle w:val="ListBullet"/>
        <w:numPr>
          <w:ilvl w:val="0"/>
          <w:numId w:val="0"/>
        </w:numPr>
        <w:ind w:left="284"/>
      </w:pPr>
    </w:p>
    <w:p w14:paraId="6DAD4BCF" w14:textId="554FC3FA" w:rsidR="00DD364F" w:rsidRDefault="00DD364F" w:rsidP="00E14444">
      <w:pPr>
        <w:pStyle w:val="mpcNormal"/>
        <w:rPr>
          <w:lang w:eastAsia="en-AU"/>
        </w:rPr>
      </w:pPr>
      <w:r w:rsidRPr="001B4766">
        <w:rPr>
          <w:lang w:eastAsia="en-AU"/>
        </w:rPr>
        <w:t xml:space="preserve">Some examples of neglect that </w:t>
      </w:r>
      <w:r w:rsidR="001F7D2D" w:rsidRPr="001B4766">
        <w:rPr>
          <w:lang w:eastAsia="en-AU"/>
        </w:rPr>
        <w:t xml:space="preserve">stakeholders considered </w:t>
      </w:r>
      <w:r w:rsidRPr="001B4766">
        <w:rPr>
          <w:lang w:eastAsia="en-AU"/>
        </w:rPr>
        <w:t>should be reportable included:</w:t>
      </w:r>
    </w:p>
    <w:p w14:paraId="7DB64A5D" w14:textId="77777777" w:rsidR="00062561" w:rsidRPr="001B4766" w:rsidRDefault="00062561" w:rsidP="00E14444">
      <w:pPr>
        <w:pStyle w:val="mpcNormal"/>
      </w:pPr>
    </w:p>
    <w:p w14:paraId="64C34D09" w14:textId="154294FF" w:rsidR="00062561" w:rsidRDefault="00534E52" w:rsidP="006660D3">
      <w:pPr>
        <w:pStyle w:val="mpcNormal"/>
        <w:numPr>
          <w:ilvl w:val="0"/>
          <w:numId w:val="11"/>
        </w:numPr>
        <w:rPr>
          <w:lang w:eastAsia="en-AU"/>
        </w:rPr>
      </w:pPr>
      <w:r>
        <w:rPr>
          <w:lang w:eastAsia="en-AU"/>
        </w:rPr>
        <w:t>a</w:t>
      </w:r>
      <w:r w:rsidR="00062561" w:rsidRPr="001B4766">
        <w:rPr>
          <w:lang w:eastAsia="en-AU"/>
        </w:rPr>
        <w:t xml:space="preserve"> worker does not arrive to assist a consumer into bed, so the consumer remains in a wheelchair all night</w:t>
      </w:r>
    </w:p>
    <w:p w14:paraId="3A99847F" w14:textId="7866D9D4" w:rsidR="00AD6A09" w:rsidRPr="00534E52" w:rsidRDefault="00534E52" w:rsidP="006660D3">
      <w:pPr>
        <w:pStyle w:val="mpcNormal"/>
        <w:numPr>
          <w:ilvl w:val="0"/>
          <w:numId w:val="11"/>
        </w:numPr>
        <w:rPr>
          <w:lang w:eastAsia="en-AU"/>
        </w:rPr>
      </w:pPr>
      <w:r>
        <w:rPr>
          <w:lang w:eastAsia="en-AU"/>
        </w:rPr>
        <w:t>f</w:t>
      </w:r>
      <w:r w:rsidR="00AD6A09">
        <w:rPr>
          <w:lang w:eastAsia="en-AU"/>
        </w:rPr>
        <w:t xml:space="preserve">ailing to take the consumer to the toilet or change the consumer’s continence aids in a </w:t>
      </w:r>
      <w:r w:rsidR="00AD6A09" w:rsidRPr="00534E52">
        <w:rPr>
          <w:lang w:eastAsia="en-AU"/>
        </w:rPr>
        <w:t>timely way</w:t>
      </w:r>
      <w:r w:rsidRPr="00534E52">
        <w:rPr>
          <w:lang w:eastAsia="en-AU"/>
        </w:rPr>
        <w:t xml:space="preserve">, </w:t>
      </w:r>
      <w:r w:rsidR="00AD6A09" w:rsidRPr="00534E52">
        <w:rPr>
          <w:lang w:eastAsia="en-AU"/>
        </w:rPr>
        <w:t>impacting their emotional wellbeing as well as their physical wellbeing</w:t>
      </w:r>
    </w:p>
    <w:p w14:paraId="190E28D2" w14:textId="20A3D7E2" w:rsidR="0013791A" w:rsidRDefault="00534E52" w:rsidP="006660D3">
      <w:pPr>
        <w:pStyle w:val="mpcNormal"/>
        <w:numPr>
          <w:ilvl w:val="0"/>
          <w:numId w:val="11"/>
        </w:numPr>
        <w:rPr>
          <w:lang w:eastAsia="en-AU"/>
        </w:rPr>
      </w:pPr>
      <w:r w:rsidRPr="00534E52">
        <w:rPr>
          <w:lang w:eastAsia="en-AU"/>
        </w:rPr>
        <w:t>failing to provide personal care such as showering or oral care – noting this may not have a significant impact on the consumer if it occurs once, but where this is ongoing</w:t>
      </w:r>
      <w:r w:rsidR="00A4210C">
        <w:rPr>
          <w:lang w:eastAsia="en-AU"/>
        </w:rPr>
        <w:t>,</w:t>
      </w:r>
      <w:r w:rsidRPr="00534E52">
        <w:rPr>
          <w:lang w:eastAsia="en-AU"/>
        </w:rPr>
        <w:t xml:space="preserve"> would impact the consumer’s physical and emotional wellbeing</w:t>
      </w:r>
    </w:p>
    <w:p w14:paraId="64B35120" w14:textId="51083DE8" w:rsidR="005D412E" w:rsidRDefault="00406F27" w:rsidP="006660D3">
      <w:pPr>
        <w:pStyle w:val="mpcNormal"/>
        <w:numPr>
          <w:ilvl w:val="0"/>
          <w:numId w:val="11"/>
        </w:numPr>
        <w:rPr>
          <w:lang w:eastAsia="en-AU"/>
        </w:rPr>
      </w:pPr>
      <w:r>
        <w:rPr>
          <w:lang w:eastAsia="en-AU"/>
        </w:rPr>
        <w:t>cancelling,</w:t>
      </w:r>
      <w:r w:rsidR="0013791A">
        <w:rPr>
          <w:lang w:eastAsia="en-AU"/>
        </w:rPr>
        <w:t xml:space="preserve"> </w:t>
      </w:r>
      <w:r>
        <w:rPr>
          <w:lang w:eastAsia="en-AU"/>
        </w:rPr>
        <w:t>rescheduling</w:t>
      </w:r>
      <w:r w:rsidR="0013791A">
        <w:rPr>
          <w:lang w:eastAsia="en-AU"/>
        </w:rPr>
        <w:t xml:space="preserve"> </w:t>
      </w:r>
      <w:r>
        <w:rPr>
          <w:lang w:eastAsia="en-AU"/>
        </w:rPr>
        <w:t xml:space="preserve">or otherwise not delivering care and </w:t>
      </w:r>
      <w:r w:rsidR="0013791A">
        <w:rPr>
          <w:lang w:eastAsia="en-AU"/>
        </w:rPr>
        <w:t>services</w:t>
      </w:r>
      <w:r>
        <w:rPr>
          <w:lang w:eastAsia="en-AU"/>
        </w:rPr>
        <w:t xml:space="preserve"> without the agreement of the consumer</w:t>
      </w:r>
      <w:r w:rsidR="00534E52">
        <w:rPr>
          <w:lang w:eastAsia="en-AU"/>
        </w:rPr>
        <w:t>.</w:t>
      </w:r>
    </w:p>
    <w:p w14:paraId="6FF3910F" w14:textId="6E10E202" w:rsidR="00EC770A" w:rsidRDefault="00EC770A" w:rsidP="00C866C1">
      <w:pPr>
        <w:pStyle w:val="ListBullet"/>
        <w:numPr>
          <w:ilvl w:val="0"/>
          <w:numId w:val="0"/>
        </w:numPr>
        <w:ind w:left="426"/>
      </w:pPr>
    </w:p>
    <w:p w14:paraId="18BB66C8" w14:textId="214944F7" w:rsidR="00EC770A" w:rsidRDefault="00EC770A" w:rsidP="008F7A6D">
      <w:pPr>
        <w:pStyle w:val="ListBullet"/>
        <w:numPr>
          <w:ilvl w:val="0"/>
          <w:numId w:val="0"/>
        </w:numPr>
      </w:pPr>
      <w:r>
        <w:t>Some examples of neglect that</w:t>
      </w:r>
      <w:r w:rsidRPr="00EC770A">
        <w:t xml:space="preserve"> </w:t>
      </w:r>
      <w:r w:rsidRPr="001B4766">
        <w:t xml:space="preserve">stakeholders considered should </w:t>
      </w:r>
      <w:r>
        <w:t xml:space="preserve">not </w:t>
      </w:r>
      <w:r w:rsidRPr="001B4766">
        <w:t>be reportable included:</w:t>
      </w:r>
    </w:p>
    <w:p w14:paraId="12E78655" w14:textId="5719331C" w:rsidR="00EC770A" w:rsidRDefault="00EC770A" w:rsidP="00C866C1">
      <w:pPr>
        <w:pStyle w:val="ListBullet"/>
        <w:numPr>
          <w:ilvl w:val="0"/>
          <w:numId w:val="0"/>
        </w:numPr>
        <w:ind w:left="426"/>
      </w:pPr>
    </w:p>
    <w:p w14:paraId="190B00EB" w14:textId="17DFC23B" w:rsidR="00406F27" w:rsidRDefault="00406F27" w:rsidP="006660D3">
      <w:pPr>
        <w:pStyle w:val="mpcNormal"/>
        <w:numPr>
          <w:ilvl w:val="0"/>
          <w:numId w:val="11"/>
        </w:numPr>
        <w:rPr>
          <w:lang w:eastAsia="en-AU"/>
        </w:rPr>
      </w:pPr>
      <w:r>
        <w:rPr>
          <w:lang w:eastAsia="en-AU"/>
        </w:rPr>
        <w:t>where a consumer refuses to receive certain care or services or does not wish to partake in activities of daily living (such as showering)</w:t>
      </w:r>
    </w:p>
    <w:p w14:paraId="10C6B552" w14:textId="607C98DF" w:rsidR="00EC770A" w:rsidRPr="00534E52" w:rsidRDefault="00EC770A" w:rsidP="006660D3">
      <w:pPr>
        <w:pStyle w:val="mpcNormal"/>
        <w:numPr>
          <w:ilvl w:val="0"/>
          <w:numId w:val="11"/>
        </w:numPr>
        <w:rPr>
          <w:lang w:eastAsia="en-AU"/>
        </w:rPr>
      </w:pPr>
      <w:r>
        <w:rPr>
          <w:lang w:eastAsia="en-AU"/>
        </w:rPr>
        <w:t>allowing a consumer to live in cluttered homes or squalor where this is the consumer’s choice</w:t>
      </w:r>
      <w:r w:rsidR="006660D3">
        <w:rPr>
          <w:lang w:eastAsia="en-AU"/>
        </w:rPr>
        <w:t>.</w:t>
      </w:r>
    </w:p>
    <w:p w14:paraId="107548AF" w14:textId="64534D95" w:rsidR="001F7D2D" w:rsidRDefault="001F7D2D" w:rsidP="00C866C1">
      <w:pPr>
        <w:pStyle w:val="ListBullet"/>
        <w:numPr>
          <w:ilvl w:val="0"/>
          <w:numId w:val="0"/>
        </w:numPr>
      </w:pPr>
    </w:p>
    <w:p w14:paraId="6AD44456" w14:textId="47B73B5D" w:rsidR="00411BEE" w:rsidRDefault="005D412E" w:rsidP="00C866C1">
      <w:pPr>
        <w:pStyle w:val="Heading3"/>
      </w:pPr>
      <w:r>
        <w:t>Provider s</w:t>
      </w:r>
      <w:r w:rsidR="00411BEE" w:rsidRPr="00411BEE">
        <w:t xml:space="preserve">cope of responsibility </w:t>
      </w:r>
    </w:p>
    <w:p w14:paraId="0A36350C" w14:textId="77777777" w:rsidR="00411BEE" w:rsidRPr="00411BEE" w:rsidRDefault="00411BEE" w:rsidP="00C866C1">
      <w:pPr>
        <w:pStyle w:val="ListBullet"/>
        <w:numPr>
          <w:ilvl w:val="0"/>
          <w:numId w:val="0"/>
        </w:numPr>
      </w:pPr>
    </w:p>
    <w:p w14:paraId="2765FA65" w14:textId="10500EF1" w:rsidR="001F7D2D" w:rsidRPr="001B4766" w:rsidRDefault="001F7D2D" w:rsidP="00C866C1">
      <w:pPr>
        <w:pStyle w:val="ListBullet"/>
        <w:numPr>
          <w:ilvl w:val="0"/>
          <w:numId w:val="0"/>
        </w:numPr>
      </w:pPr>
      <w:r w:rsidRPr="001B4766">
        <w:t>Stakeholders emphasised that</w:t>
      </w:r>
      <w:r w:rsidR="00FC452D">
        <w:t xml:space="preserve"> </w:t>
      </w:r>
      <w:r w:rsidRPr="001B4766">
        <w:t>the provider’s scope of responsibility need</w:t>
      </w:r>
      <w:r w:rsidR="000244F9">
        <w:t>s</w:t>
      </w:r>
      <w:r w:rsidRPr="001B4766">
        <w:t xml:space="preserve"> to be clarified</w:t>
      </w:r>
      <w:r w:rsidR="00FC452D">
        <w:t xml:space="preserve"> within the category of ‘neglect’</w:t>
      </w:r>
      <w:r w:rsidRPr="001B4766">
        <w:t>. For example:</w:t>
      </w:r>
    </w:p>
    <w:p w14:paraId="567FF54E" w14:textId="77777777" w:rsidR="001F7D2D" w:rsidRPr="001B4766" w:rsidRDefault="001F7D2D" w:rsidP="00C866C1">
      <w:pPr>
        <w:pStyle w:val="ListBullet"/>
        <w:numPr>
          <w:ilvl w:val="0"/>
          <w:numId w:val="0"/>
        </w:numPr>
      </w:pPr>
    </w:p>
    <w:p w14:paraId="67896645" w14:textId="48BF8382" w:rsidR="00C3301C" w:rsidRPr="00411BEE" w:rsidRDefault="00AD6A09" w:rsidP="00B1709D">
      <w:pPr>
        <w:pStyle w:val="mpcNormal"/>
        <w:numPr>
          <w:ilvl w:val="0"/>
          <w:numId w:val="11"/>
        </w:numPr>
        <w:rPr>
          <w:lang w:eastAsia="en-AU"/>
        </w:rPr>
      </w:pPr>
      <w:r>
        <w:rPr>
          <w:lang w:eastAsia="en-AU"/>
        </w:rPr>
        <w:t>c</w:t>
      </w:r>
      <w:r w:rsidR="00C3301C" w:rsidRPr="001B4766">
        <w:rPr>
          <w:lang w:eastAsia="en-AU"/>
        </w:rPr>
        <w:t xml:space="preserve">onsumers </w:t>
      </w:r>
      <w:r w:rsidR="00060010">
        <w:rPr>
          <w:lang w:eastAsia="en-AU"/>
        </w:rPr>
        <w:t xml:space="preserve">may be </w:t>
      </w:r>
      <w:r w:rsidR="005555BF">
        <w:rPr>
          <w:lang w:eastAsia="en-AU"/>
        </w:rPr>
        <w:t>approved</w:t>
      </w:r>
      <w:r w:rsidR="00C3301C" w:rsidRPr="001B4766">
        <w:rPr>
          <w:lang w:eastAsia="en-AU"/>
        </w:rPr>
        <w:t xml:space="preserve"> for a higher level of</w:t>
      </w:r>
      <w:r w:rsidR="005555BF">
        <w:rPr>
          <w:lang w:eastAsia="en-AU"/>
        </w:rPr>
        <w:t xml:space="preserve"> </w:t>
      </w:r>
      <w:r w:rsidR="00C3301C" w:rsidRPr="001B4766">
        <w:rPr>
          <w:lang w:eastAsia="en-AU"/>
        </w:rPr>
        <w:t>care but</w:t>
      </w:r>
      <w:r w:rsidR="004A7988">
        <w:rPr>
          <w:lang w:eastAsia="en-AU"/>
        </w:rPr>
        <w:t xml:space="preserve"> are</w:t>
      </w:r>
      <w:r w:rsidR="00C3301C" w:rsidRPr="001B4766">
        <w:rPr>
          <w:lang w:eastAsia="en-AU"/>
        </w:rPr>
        <w:t xml:space="preserve"> waiting </w:t>
      </w:r>
      <w:r w:rsidR="004A7988">
        <w:rPr>
          <w:lang w:eastAsia="en-AU"/>
        </w:rPr>
        <w:t>to be prioritised for a</w:t>
      </w:r>
      <w:r w:rsidR="00C3301C" w:rsidRPr="001B4766">
        <w:rPr>
          <w:lang w:eastAsia="en-AU"/>
        </w:rPr>
        <w:t xml:space="preserve"> home care </w:t>
      </w:r>
      <w:r w:rsidR="00060010">
        <w:rPr>
          <w:lang w:eastAsia="en-AU"/>
        </w:rPr>
        <w:t>p</w:t>
      </w:r>
      <w:r w:rsidR="00C3301C" w:rsidRPr="00411BEE">
        <w:rPr>
          <w:lang w:eastAsia="en-AU"/>
        </w:rPr>
        <w:t>ackage or</w:t>
      </w:r>
      <w:r w:rsidR="005555BF">
        <w:rPr>
          <w:lang w:eastAsia="en-AU"/>
        </w:rPr>
        <w:t xml:space="preserve"> for a</w:t>
      </w:r>
      <w:r w:rsidR="00C3301C" w:rsidRPr="00411BEE">
        <w:rPr>
          <w:lang w:eastAsia="en-AU"/>
        </w:rPr>
        <w:t xml:space="preserve"> residential care place to become available</w:t>
      </w:r>
    </w:p>
    <w:p w14:paraId="3A9488D0" w14:textId="30EE707F" w:rsidR="00C3301C" w:rsidRPr="00411BEE" w:rsidRDefault="00AD6A09" w:rsidP="00B1709D">
      <w:pPr>
        <w:pStyle w:val="mpcNormal"/>
        <w:numPr>
          <w:ilvl w:val="0"/>
          <w:numId w:val="11"/>
        </w:numPr>
        <w:rPr>
          <w:lang w:eastAsia="en-AU"/>
        </w:rPr>
      </w:pPr>
      <w:r>
        <w:rPr>
          <w:lang w:eastAsia="en-AU"/>
        </w:rPr>
        <w:t>c</w:t>
      </w:r>
      <w:r w:rsidR="00C3301C" w:rsidRPr="00411BEE">
        <w:rPr>
          <w:lang w:eastAsia="en-AU"/>
        </w:rPr>
        <w:t xml:space="preserve">onsumers may </w:t>
      </w:r>
      <w:r w:rsidR="001A10AC" w:rsidRPr="00411BEE">
        <w:rPr>
          <w:lang w:eastAsia="en-AU"/>
        </w:rPr>
        <w:t>need</w:t>
      </w:r>
      <w:r w:rsidR="00C3301C" w:rsidRPr="00411BEE">
        <w:rPr>
          <w:lang w:eastAsia="en-AU"/>
        </w:rPr>
        <w:t xml:space="preserve"> certain </w:t>
      </w:r>
      <w:r w:rsidR="00060010" w:rsidRPr="00411BEE">
        <w:rPr>
          <w:lang w:eastAsia="en-AU"/>
        </w:rPr>
        <w:t>services,</w:t>
      </w:r>
      <w:r w:rsidR="00C3301C" w:rsidRPr="00411BEE">
        <w:rPr>
          <w:lang w:eastAsia="en-AU"/>
        </w:rPr>
        <w:t xml:space="preserve"> but their budget </w:t>
      </w:r>
      <w:r w:rsidR="001A10AC" w:rsidRPr="00411BEE">
        <w:rPr>
          <w:lang w:eastAsia="en-AU"/>
        </w:rPr>
        <w:t>may be</w:t>
      </w:r>
      <w:r w:rsidR="00C3301C" w:rsidRPr="00411BEE">
        <w:rPr>
          <w:lang w:eastAsia="en-AU"/>
        </w:rPr>
        <w:t xml:space="preserve"> insufficient to cover these and the consumer does not wish to pay for these</w:t>
      </w:r>
    </w:p>
    <w:p w14:paraId="235D2ED6" w14:textId="7236A0A6" w:rsidR="00B413A7" w:rsidRPr="00411BEE" w:rsidRDefault="00060010" w:rsidP="00B1709D">
      <w:pPr>
        <w:pStyle w:val="mpcNormal"/>
        <w:numPr>
          <w:ilvl w:val="0"/>
          <w:numId w:val="11"/>
        </w:numPr>
        <w:rPr>
          <w:lang w:eastAsia="en-AU"/>
        </w:rPr>
      </w:pPr>
      <w:r>
        <w:rPr>
          <w:lang w:eastAsia="en-AU"/>
        </w:rPr>
        <w:t xml:space="preserve">the impact of </w:t>
      </w:r>
      <w:r w:rsidR="00AD6A09">
        <w:rPr>
          <w:lang w:eastAsia="en-AU"/>
        </w:rPr>
        <w:t>c</w:t>
      </w:r>
      <w:r w:rsidR="00B413A7" w:rsidRPr="00411BEE">
        <w:rPr>
          <w:lang w:eastAsia="en-AU"/>
        </w:rPr>
        <w:t xml:space="preserve">onsumer choice </w:t>
      </w:r>
      <w:r w:rsidR="001F7D2D" w:rsidRPr="00411BEE">
        <w:rPr>
          <w:lang w:eastAsia="en-AU"/>
        </w:rPr>
        <w:t xml:space="preserve">(and the choices of </w:t>
      </w:r>
      <w:r w:rsidR="00B413A7" w:rsidRPr="00411BEE">
        <w:rPr>
          <w:lang w:eastAsia="en-AU"/>
        </w:rPr>
        <w:t>families/representatives</w:t>
      </w:r>
      <w:r w:rsidR="001F7D2D" w:rsidRPr="00411BEE">
        <w:rPr>
          <w:lang w:eastAsia="en-AU"/>
        </w:rPr>
        <w:t>)</w:t>
      </w:r>
      <w:r w:rsidR="00B413A7" w:rsidRPr="00411BEE">
        <w:rPr>
          <w:lang w:eastAsia="en-AU"/>
        </w:rPr>
        <w:t>, including where</w:t>
      </w:r>
      <w:r w:rsidR="00C3301C" w:rsidRPr="00411BEE">
        <w:rPr>
          <w:lang w:eastAsia="en-AU"/>
        </w:rPr>
        <w:t xml:space="preserve"> a consumer may choose to</w:t>
      </w:r>
      <w:r w:rsidR="00B413A7" w:rsidRPr="00411BEE">
        <w:rPr>
          <w:lang w:eastAsia="en-AU"/>
        </w:rPr>
        <w:t>:</w:t>
      </w:r>
    </w:p>
    <w:p w14:paraId="48DA8A6E" w14:textId="511D26F0" w:rsidR="00B413A7" w:rsidRPr="00411BEE" w:rsidRDefault="00B413A7" w:rsidP="0048323A">
      <w:pPr>
        <w:pStyle w:val="ListBullet2"/>
      </w:pPr>
      <w:r w:rsidRPr="00411BEE">
        <w:t>remain in their own home</w:t>
      </w:r>
      <w:r w:rsidR="00C3301C" w:rsidRPr="00411BEE">
        <w:t xml:space="preserve">, </w:t>
      </w:r>
      <w:r w:rsidRPr="00411BEE">
        <w:t>even where eligible for/in need of residential care</w:t>
      </w:r>
    </w:p>
    <w:p w14:paraId="02FD6AC4" w14:textId="4C026738" w:rsidR="00B413A7" w:rsidRPr="00411BEE" w:rsidRDefault="00B413A7" w:rsidP="0048323A">
      <w:pPr>
        <w:pStyle w:val="ListBullet2"/>
      </w:pPr>
      <w:r w:rsidRPr="00411BEE">
        <w:t>live in squalor/hoarding situations</w:t>
      </w:r>
    </w:p>
    <w:p w14:paraId="4EF59BA6" w14:textId="08D66DD2" w:rsidR="00B413A7" w:rsidRPr="00411BEE" w:rsidRDefault="00B413A7" w:rsidP="0048323A">
      <w:pPr>
        <w:pStyle w:val="ListBullet2"/>
      </w:pPr>
      <w:r w:rsidRPr="00411BEE">
        <w:lastRenderedPageBreak/>
        <w:t>live with risk</w:t>
      </w:r>
      <w:r w:rsidR="00C3301C" w:rsidRPr="00411BEE">
        <w:t xml:space="preserve">, e.g. by engaging (or not engaging) in certain activities </w:t>
      </w:r>
    </w:p>
    <w:p w14:paraId="3F60FCDC" w14:textId="432B6757" w:rsidR="00B413A7" w:rsidRPr="00411BEE" w:rsidRDefault="00B413A7" w:rsidP="0048323A">
      <w:pPr>
        <w:pStyle w:val="ListBullet2"/>
      </w:pPr>
      <w:r w:rsidRPr="00411BEE">
        <w:rPr>
          <w:lang w:eastAsia="en-AU"/>
        </w:rPr>
        <w:t>refuse a health professional’s recommendations or instructions</w:t>
      </w:r>
    </w:p>
    <w:p w14:paraId="3CE6BEF5" w14:textId="2C9E3877" w:rsidR="001F7D2D" w:rsidRPr="00411BEE" w:rsidRDefault="00B1709D" w:rsidP="00B1709D">
      <w:pPr>
        <w:pStyle w:val="mpcNormal"/>
        <w:numPr>
          <w:ilvl w:val="0"/>
          <w:numId w:val="11"/>
        </w:numPr>
      </w:pPr>
      <w:r>
        <w:t>s</w:t>
      </w:r>
      <w:r w:rsidR="001F7D2D" w:rsidRPr="00411BEE">
        <w:t xml:space="preserve">ome </w:t>
      </w:r>
      <w:r w:rsidR="001F7D2D" w:rsidRPr="00411BEE">
        <w:rPr>
          <w:lang w:eastAsia="en-AU"/>
        </w:rPr>
        <w:t>stakeholders</w:t>
      </w:r>
      <w:r w:rsidR="001F7D2D" w:rsidRPr="00411BEE">
        <w:t xml:space="preserve"> considered that families/representatives should also be held accountable for the consumer’s wellbeing.</w:t>
      </w:r>
    </w:p>
    <w:p w14:paraId="2727AE30" w14:textId="77777777" w:rsidR="00C3301C" w:rsidRPr="00411BEE" w:rsidRDefault="00C3301C" w:rsidP="00C3301C">
      <w:pPr>
        <w:pStyle w:val="Tablelistbullet"/>
        <w:numPr>
          <w:ilvl w:val="0"/>
          <w:numId w:val="0"/>
        </w:numPr>
        <w:spacing w:before="0" w:after="0"/>
        <w:rPr>
          <w:sz w:val="22"/>
          <w:szCs w:val="22"/>
        </w:rPr>
      </w:pPr>
    </w:p>
    <w:p w14:paraId="08452A75" w14:textId="77777777" w:rsidR="00C3301C" w:rsidRPr="00411BEE" w:rsidRDefault="00C3301C" w:rsidP="00C3301C">
      <w:pPr>
        <w:pStyle w:val="Tablelistbullet"/>
        <w:numPr>
          <w:ilvl w:val="0"/>
          <w:numId w:val="0"/>
        </w:numPr>
        <w:spacing w:before="0" w:after="0"/>
        <w:rPr>
          <w:sz w:val="22"/>
          <w:szCs w:val="22"/>
        </w:rPr>
      </w:pPr>
      <w:r w:rsidRPr="00411BEE">
        <w:rPr>
          <w:sz w:val="22"/>
          <w:szCs w:val="22"/>
        </w:rPr>
        <w:t>Stakeholders noted that guidance was required for providers regarding the relevant considerations and actions to be taken in the above circumstances.</w:t>
      </w:r>
    </w:p>
    <w:p w14:paraId="0D304277" w14:textId="77777777" w:rsidR="00411BEE" w:rsidRDefault="00411BEE" w:rsidP="00411BEE">
      <w:pPr>
        <w:pStyle w:val="Tablelistbullet"/>
        <w:numPr>
          <w:ilvl w:val="0"/>
          <w:numId w:val="0"/>
        </w:numPr>
        <w:spacing w:before="0" w:after="0"/>
        <w:rPr>
          <w:sz w:val="22"/>
          <w:szCs w:val="22"/>
        </w:rPr>
      </w:pPr>
    </w:p>
    <w:p w14:paraId="3AC39536" w14:textId="3A713736" w:rsidR="005D412E" w:rsidRDefault="00411BEE" w:rsidP="00411BEE">
      <w:pPr>
        <w:pStyle w:val="Tablelistbullet"/>
        <w:numPr>
          <w:ilvl w:val="0"/>
          <w:numId w:val="0"/>
        </w:numPr>
        <w:spacing w:before="0" w:after="0"/>
        <w:rPr>
          <w:sz w:val="22"/>
          <w:szCs w:val="22"/>
        </w:rPr>
      </w:pPr>
      <w:r w:rsidRPr="00411BEE">
        <w:rPr>
          <w:sz w:val="22"/>
          <w:szCs w:val="22"/>
        </w:rPr>
        <w:t xml:space="preserve">Some stakeholders also considered that more acknowledgement of the </w:t>
      </w:r>
      <w:r w:rsidR="005D412E">
        <w:rPr>
          <w:sz w:val="22"/>
          <w:szCs w:val="22"/>
        </w:rPr>
        <w:t>provider’s</w:t>
      </w:r>
      <w:r w:rsidRPr="00411BEE">
        <w:rPr>
          <w:sz w:val="22"/>
          <w:szCs w:val="22"/>
        </w:rPr>
        <w:t xml:space="preserve"> role in neglect was required, where matters outside the worker’s control can lead to neglectful practice</w:t>
      </w:r>
      <w:r w:rsidR="005D412E">
        <w:rPr>
          <w:sz w:val="22"/>
          <w:szCs w:val="22"/>
        </w:rPr>
        <w:t>. For example, by a provider:</w:t>
      </w:r>
    </w:p>
    <w:p w14:paraId="3FFA10B8" w14:textId="77777777" w:rsidR="005D412E" w:rsidRDefault="005D412E" w:rsidP="00411BEE">
      <w:pPr>
        <w:pStyle w:val="Tablelistbullet"/>
        <w:numPr>
          <w:ilvl w:val="0"/>
          <w:numId w:val="0"/>
        </w:numPr>
        <w:spacing w:before="0" w:after="0"/>
        <w:rPr>
          <w:sz w:val="22"/>
          <w:szCs w:val="22"/>
        </w:rPr>
      </w:pPr>
    </w:p>
    <w:p w14:paraId="2AA7243C" w14:textId="38A45BBF" w:rsidR="005D412E" w:rsidRDefault="005D412E" w:rsidP="00A920D8">
      <w:pPr>
        <w:pStyle w:val="mpcNormal"/>
        <w:numPr>
          <w:ilvl w:val="0"/>
          <w:numId w:val="11"/>
        </w:numPr>
      </w:pPr>
      <w:r>
        <w:t>having in</w:t>
      </w:r>
      <w:r w:rsidRPr="001B4766">
        <w:t>adequate polic</w:t>
      </w:r>
      <w:r>
        <w:t>ies or</w:t>
      </w:r>
      <w:r w:rsidRPr="001B4766">
        <w:t xml:space="preserve"> procedures </w:t>
      </w:r>
    </w:p>
    <w:p w14:paraId="77604C6A" w14:textId="6CA49107" w:rsidR="005D412E" w:rsidRDefault="005D412E" w:rsidP="00A920D8">
      <w:pPr>
        <w:pStyle w:val="mpcNormal"/>
        <w:numPr>
          <w:ilvl w:val="0"/>
          <w:numId w:val="11"/>
        </w:numPr>
      </w:pPr>
      <w:r>
        <w:t xml:space="preserve">not providing sufficient/appropriate </w:t>
      </w:r>
      <w:r w:rsidRPr="001B4766">
        <w:t xml:space="preserve">training </w:t>
      </w:r>
    </w:p>
    <w:p w14:paraId="17565FC7" w14:textId="3CE25E15" w:rsidR="005D412E" w:rsidRDefault="005D412E" w:rsidP="00A920D8">
      <w:pPr>
        <w:pStyle w:val="mpcNormal"/>
        <w:numPr>
          <w:ilvl w:val="0"/>
          <w:numId w:val="11"/>
        </w:numPr>
      </w:pPr>
      <w:r>
        <w:t>directing workers to undertake tasks outside the scope of their qualifications/training</w:t>
      </w:r>
    </w:p>
    <w:p w14:paraId="3E03649F" w14:textId="6263523A" w:rsidR="005D412E" w:rsidRDefault="005D412E" w:rsidP="00A920D8">
      <w:pPr>
        <w:pStyle w:val="mpcNormal"/>
        <w:numPr>
          <w:ilvl w:val="0"/>
          <w:numId w:val="11"/>
        </w:numPr>
      </w:pPr>
      <w:r>
        <w:t>not having the right equipment</w:t>
      </w:r>
    </w:p>
    <w:p w14:paraId="374EBADC" w14:textId="19808605" w:rsidR="005D412E" w:rsidRPr="005D412E" w:rsidRDefault="00411BEE" w:rsidP="00A920D8">
      <w:pPr>
        <w:pStyle w:val="mpcNormal"/>
        <w:numPr>
          <w:ilvl w:val="0"/>
          <w:numId w:val="11"/>
        </w:numPr>
      </w:pPr>
      <w:r w:rsidRPr="005D412E">
        <w:t>not having appropriate rostering or staffing</w:t>
      </w:r>
      <w:r w:rsidR="005D412E">
        <w:t>.</w:t>
      </w:r>
    </w:p>
    <w:p w14:paraId="593C7574" w14:textId="77777777" w:rsidR="00C3301C" w:rsidRPr="00411BEE" w:rsidRDefault="00C3301C" w:rsidP="00C3301C">
      <w:pPr>
        <w:pStyle w:val="Tablelistbullet"/>
        <w:numPr>
          <w:ilvl w:val="0"/>
          <w:numId w:val="0"/>
        </w:numPr>
        <w:spacing w:before="0" w:after="0"/>
        <w:rPr>
          <w:sz w:val="22"/>
          <w:szCs w:val="22"/>
        </w:rPr>
      </w:pPr>
    </w:p>
    <w:p w14:paraId="1C083374" w14:textId="77777777" w:rsidR="00411BEE" w:rsidRPr="00411BEE" w:rsidRDefault="00411BEE" w:rsidP="00C866C1">
      <w:pPr>
        <w:pStyle w:val="Heading3"/>
      </w:pPr>
      <w:r w:rsidRPr="00411BEE">
        <w:t>Impact on the consumer</w:t>
      </w:r>
    </w:p>
    <w:p w14:paraId="69507F29" w14:textId="77777777" w:rsidR="001F7D2D" w:rsidRPr="00411BEE" w:rsidRDefault="001F7D2D" w:rsidP="00E14444"/>
    <w:p w14:paraId="42856257" w14:textId="4AA26267" w:rsidR="00590D18" w:rsidRPr="00411BEE" w:rsidRDefault="00590D18" w:rsidP="00E14444">
      <w:r w:rsidRPr="00411BEE">
        <w:t>With regards to whether th</w:t>
      </w:r>
      <w:r w:rsidR="00C3301C" w:rsidRPr="00411BEE">
        <w:t>e</w:t>
      </w:r>
      <w:r w:rsidRPr="00411BEE">
        <w:t xml:space="preserve"> definition should include reference to impact, stakeholders noted:</w:t>
      </w:r>
    </w:p>
    <w:p w14:paraId="121A6EE9" w14:textId="77777777" w:rsidR="00590D18" w:rsidRPr="00411BEE" w:rsidRDefault="00590D18" w:rsidP="00E14444"/>
    <w:p w14:paraId="4619B092" w14:textId="426F7E09" w:rsidR="00590D18" w:rsidRPr="00411BEE" w:rsidRDefault="00AD6A09" w:rsidP="00A920D8">
      <w:pPr>
        <w:pStyle w:val="mpcNormal"/>
        <w:numPr>
          <w:ilvl w:val="0"/>
          <w:numId w:val="11"/>
        </w:numPr>
      </w:pPr>
      <w:r>
        <w:t>i</w:t>
      </w:r>
      <w:r w:rsidR="00590D18" w:rsidRPr="00411BEE">
        <w:t>f you add reference to the impact on the consumer</w:t>
      </w:r>
      <w:r w:rsidR="00B413A7" w:rsidRPr="00411BEE">
        <w:t xml:space="preserve">, the category </w:t>
      </w:r>
      <w:r w:rsidR="00590D18" w:rsidRPr="00411BEE">
        <w:t xml:space="preserve">becomes </w:t>
      </w:r>
      <w:r w:rsidR="001A10AC" w:rsidRPr="00411BEE">
        <w:t>subjective,</w:t>
      </w:r>
      <w:r w:rsidR="00590D18" w:rsidRPr="00411BEE">
        <w:t xml:space="preserve"> </w:t>
      </w:r>
      <w:r w:rsidR="00B413A7" w:rsidRPr="00411BEE">
        <w:t>and providers may not report incidents that are intended to be included in this category</w:t>
      </w:r>
    </w:p>
    <w:p w14:paraId="507670C8" w14:textId="65540B87" w:rsidR="00B413A7" w:rsidRDefault="00411BEE" w:rsidP="00A920D8">
      <w:pPr>
        <w:pStyle w:val="mpcNormal"/>
        <w:numPr>
          <w:ilvl w:val="0"/>
          <w:numId w:val="11"/>
        </w:numPr>
      </w:pPr>
      <w:r w:rsidRPr="00411BEE">
        <w:t>“</w:t>
      </w:r>
      <w:r w:rsidR="00B413A7" w:rsidRPr="00411BEE">
        <w:t>How should impact be measured? For example, losing a certain amount of weight, increasing size of wound, etc.</w:t>
      </w:r>
      <w:r w:rsidRPr="00411BEE">
        <w:t>”</w:t>
      </w:r>
    </w:p>
    <w:p w14:paraId="06E81646" w14:textId="2D0AB7CA" w:rsidR="00AD6A09" w:rsidRPr="00411BEE" w:rsidRDefault="00AD6A09" w:rsidP="00A920D8">
      <w:pPr>
        <w:pStyle w:val="mpcNormal"/>
        <w:numPr>
          <w:ilvl w:val="0"/>
          <w:numId w:val="11"/>
        </w:numPr>
      </w:pPr>
      <w:r>
        <w:t>“impact” should include impact on the consumer’s emotional wellbeing, as well as on their physical wellbeing</w:t>
      </w:r>
    </w:p>
    <w:p w14:paraId="501D8407" w14:textId="046D0F17" w:rsidR="008A42B7" w:rsidRDefault="00AD6A09" w:rsidP="00A920D8">
      <w:pPr>
        <w:pStyle w:val="mpcNormal"/>
        <w:numPr>
          <w:ilvl w:val="0"/>
          <w:numId w:val="11"/>
        </w:numPr>
      </w:pPr>
      <w:r>
        <w:t>i</w:t>
      </w:r>
      <w:r w:rsidR="00A75481" w:rsidRPr="00411BEE">
        <w:t>t may be very hard for providers of occasional services to</w:t>
      </w:r>
      <w:r w:rsidR="00A75481" w:rsidRPr="001B4766">
        <w:t xml:space="preserve"> assess impact.</w:t>
      </w:r>
    </w:p>
    <w:p w14:paraId="15E3C5D4" w14:textId="77777777" w:rsidR="00411BEE" w:rsidRDefault="00411BEE" w:rsidP="00E14444">
      <w:pPr>
        <w:pStyle w:val="mpcNormal"/>
      </w:pPr>
    </w:p>
    <w:p w14:paraId="52FB8952" w14:textId="1E525636" w:rsidR="00411BEE" w:rsidRDefault="00411BEE" w:rsidP="00E14444">
      <w:pPr>
        <w:pStyle w:val="mpcNormal"/>
      </w:pPr>
      <w:r>
        <w:t xml:space="preserve">Stakeholders felt that this definition should include “cumulative harm”, where one incident may not have a significant </w:t>
      </w:r>
      <w:r w:rsidR="00060010">
        <w:t>impact,</w:t>
      </w:r>
      <w:r>
        <w:t xml:space="preserve"> but a pattern of repeated incidents may lead to serious harm</w:t>
      </w:r>
      <w:r w:rsidR="00F22D59">
        <w:t xml:space="preserve"> to a consumer</w:t>
      </w:r>
      <w:r>
        <w:t xml:space="preserve"> (e.g. missed appointments).</w:t>
      </w:r>
    </w:p>
    <w:p w14:paraId="4FFFA13A" w14:textId="77777777" w:rsidR="00A00209" w:rsidRPr="001B4766" w:rsidRDefault="00A00209" w:rsidP="00E14444">
      <w:pPr>
        <w:pStyle w:val="mpcNormal"/>
      </w:pPr>
    </w:p>
    <w:p w14:paraId="0D721932" w14:textId="77777777" w:rsidR="00457249" w:rsidRPr="001B4766" w:rsidRDefault="00457249" w:rsidP="00C866C1">
      <w:pPr>
        <w:pStyle w:val="Heading2"/>
      </w:pPr>
      <w:bookmarkStart w:id="47" w:name="_Toc76470061"/>
      <w:bookmarkStart w:id="48" w:name="_Toc77848169"/>
      <w:bookmarkStart w:id="49" w:name="_Toc80694380"/>
      <w:r w:rsidRPr="001B4766">
        <w:t>Inappropriate use of restrictive practices</w:t>
      </w:r>
      <w:bookmarkEnd w:id="47"/>
      <w:bookmarkEnd w:id="48"/>
      <w:bookmarkEnd w:id="49"/>
    </w:p>
    <w:p w14:paraId="4F0238FA" w14:textId="77777777" w:rsidR="00A00209" w:rsidRDefault="00A00209" w:rsidP="00534E52">
      <w:pPr>
        <w:pStyle w:val="mpcNormal"/>
        <w:keepNext/>
      </w:pPr>
    </w:p>
    <w:p w14:paraId="7FF9F690" w14:textId="0513431C" w:rsidR="00A631CB" w:rsidRDefault="00AB6839" w:rsidP="00534E52">
      <w:pPr>
        <w:pStyle w:val="mpcNormal"/>
        <w:keepNext/>
      </w:pPr>
      <w:r w:rsidRPr="001B4766">
        <w:t xml:space="preserve">The current definition of ‘inappropriate use of restrictive practices’ under the SIRS for residential care refers to </w:t>
      </w:r>
      <w:r w:rsidR="00A631CB">
        <w:t xml:space="preserve">existing </w:t>
      </w:r>
      <w:r w:rsidRPr="001B4766">
        <w:t xml:space="preserve">requirements in </w:t>
      </w:r>
      <w:r w:rsidR="00A631CB">
        <w:t>the Quality of Care Principles</w:t>
      </w:r>
      <w:r w:rsidRPr="001B4766">
        <w:t xml:space="preserve"> that only apply to providers of residential care. </w:t>
      </w:r>
    </w:p>
    <w:p w14:paraId="2601C0E0" w14:textId="77777777" w:rsidR="00A631CB" w:rsidRDefault="00A631CB" w:rsidP="00A00209">
      <w:pPr>
        <w:pStyle w:val="mpcNormal"/>
      </w:pPr>
    </w:p>
    <w:p w14:paraId="1558AC86" w14:textId="1CD918D8" w:rsidR="00AB6839" w:rsidRDefault="00A631CB" w:rsidP="00A00209">
      <w:pPr>
        <w:pStyle w:val="mpcNormal"/>
      </w:pPr>
      <w:r>
        <w:t>Given that these requirements do not currently extend to providers of in-home services, stakeholder feedback was sought on how a reportable incident relating to inappropriate use of restrictive practices could be extended to in-home services</w:t>
      </w:r>
      <w:r w:rsidR="00AB6839" w:rsidRPr="001B4766">
        <w:t xml:space="preserve">. </w:t>
      </w:r>
    </w:p>
    <w:p w14:paraId="4F9AEA17" w14:textId="77777777" w:rsidR="00A00209" w:rsidRPr="001B4766" w:rsidRDefault="00A00209" w:rsidP="00A00209">
      <w:pPr>
        <w:pStyle w:val="mpcNormal"/>
      </w:pPr>
    </w:p>
    <w:p w14:paraId="48D67C8D" w14:textId="6F4CCABA" w:rsidR="001B2452" w:rsidRPr="001B4766" w:rsidRDefault="00144E33" w:rsidP="00A00209">
      <w:pPr>
        <w:pStyle w:val="mpcNormal"/>
      </w:pPr>
      <w:r w:rsidRPr="001B4766">
        <w:t>While s</w:t>
      </w:r>
      <w:r w:rsidR="001B2452" w:rsidRPr="001B4766">
        <w:t>takeholders had different views on whether this category of incident should apply for in</w:t>
      </w:r>
      <w:r w:rsidR="00AB6839" w:rsidRPr="001B4766">
        <w:noBreakHyphen/>
      </w:r>
      <w:r w:rsidR="001B2452" w:rsidRPr="001B4766">
        <w:t>home services</w:t>
      </w:r>
      <w:r w:rsidRPr="001B4766">
        <w:t>, the majority considered it should be included, noting:</w:t>
      </w:r>
    </w:p>
    <w:p w14:paraId="6171101C" w14:textId="77777777" w:rsidR="00AB6839" w:rsidRPr="001B4766" w:rsidRDefault="00AB6839" w:rsidP="00C866C1">
      <w:pPr>
        <w:pStyle w:val="ListBullet"/>
        <w:numPr>
          <w:ilvl w:val="0"/>
          <w:numId w:val="0"/>
        </w:numPr>
      </w:pPr>
    </w:p>
    <w:p w14:paraId="5EE85F83" w14:textId="43D0C0E8" w:rsidR="00AB6839" w:rsidRPr="001B4766" w:rsidRDefault="00A00209" w:rsidP="00060010">
      <w:pPr>
        <w:pStyle w:val="mpcNormal"/>
        <w:numPr>
          <w:ilvl w:val="0"/>
          <w:numId w:val="11"/>
        </w:numPr>
      </w:pPr>
      <w:r>
        <w:t>i</w:t>
      </w:r>
      <w:r w:rsidR="00AB6839" w:rsidRPr="001B4766">
        <w:t>nclusion of this category is an important reminder to providers that some existing practices must change and “just because it has been the practice for a significant period, does not make it acceptable”</w:t>
      </w:r>
    </w:p>
    <w:p w14:paraId="0068ED86" w14:textId="10D647CB" w:rsidR="00144E33" w:rsidRDefault="00A00209" w:rsidP="00060010">
      <w:pPr>
        <w:pStyle w:val="mpcNormal"/>
        <w:numPr>
          <w:ilvl w:val="0"/>
          <w:numId w:val="11"/>
        </w:numPr>
      </w:pPr>
      <w:r>
        <w:lastRenderedPageBreak/>
        <w:t>t</w:t>
      </w:r>
      <w:r w:rsidR="00144E33" w:rsidRPr="001B4766">
        <w:t>he same legislative requirements should be applied to both residential and in-home services (with one stakeholder noting that new legislation should be drafted if necessary)</w:t>
      </w:r>
    </w:p>
    <w:p w14:paraId="3D85BB6B" w14:textId="7DD308FF" w:rsidR="00144E33" w:rsidRPr="001B4766" w:rsidRDefault="00A00209" w:rsidP="00060010">
      <w:pPr>
        <w:pStyle w:val="mpcNormal"/>
        <w:numPr>
          <w:ilvl w:val="0"/>
          <w:numId w:val="11"/>
        </w:numPr>
      </w:pPr>
      <w:r>
        <w:t>r</w:t>
      </w:r>
      <w:r w:rsidR="00144E33" w:rsidRPr="001B4766">
        <w:t>estrictive practice of any kind should be "banned completely"</w:t>
      </w:r>
    </w:p>
    <w:p w14:paraId="0BAA651A" w14:textId="16D21287" w:rsidR="006B710D" w:rsidRPr="001B4766" w:rsidRDefault="00A00209" w:rsidP="00060010">
      <w:pPr>
        <w:pStyle w:val="mpcNormal"/>
        <w:numPr>
          <w:ilvl w:val="0"/>
          <w:numId w:val="11"/>
        </w:numPr>
      </w:pPr>
      <w:r>
        <w:t>r</w:t>
      </w:r>
      <w:r w:rsidR="006B710D" w:rsidRPr="001B4766">
        <w:t>estrictive practices should only be used if informed consent has been provided by the consumer or their legal representative, state laws relating to restrictive practices have been followed, or there is an emergency situation requiring urgent action</w:t>
      </w:r>
      <w:r w:rsidR="00060010">
        <w:t>.</w:t>
      </w:r>
    </w:p>
    <w:p w14:paraId="05661857" w14:textId="38C077C8" w:rsidR="00A00209" w:rsidRDefault="00A00209" w:rsidP="00C866C1">
      <w:pPr>
        <w:pStyle w:val="ListBullet"/>
        <w:numPr>
          <w:ilvl w:val="0"/>
          <w:numId w:val="0"/>
        </w:numPr>
      </w:pPr>
    </w:p>
    <w:p w14:paraId="31C23CC5" w14:textId="101367B3" w:rsidR="00AB6839" w:rsidRDefault="00144E33" w:rsidP="00C866C1">
      <w:pPr>
        <w:pStyle w:val="ListBullet"/>
        <w:numPr>
          <w:ilvl w:val="0"/>
          <w:numId w:val="0"/>
        </w:numPr>
      </w:pPr>
      <w:r w:rsidRPr="001B4766">
        <w:t xml:space="preserve">Stakeholders provided a number of examples that should be </w:t>
      </w:r>
      <w:r w:rsidR="00130742" w:rsidRPr="001B4766">
        <w:t xml:space="preserve">explored and </w:t>
      </w:r>
      <w:r w:rsidRPr="001B4766">
        <w:t xml:space="preserve">clarified </w:t>
      </w:r>
      <w:r w:rsidR="007C6799" w:rsidRPr="001B4766">
        <w:t>in an</w:t>
      </w:r>
      <w:r w:rsidR="007C6799">
        <w:t>y</w:t>
      </w:r>
      <w:r w:rsidR="007C6799" w:rsidRPr="001B4766">
        <w:t xml:space="preserve"> accompanying guidance</w:t>
      </w:r>
      <w:r w:rsidR="007C6799">
        <w:t xml:space="preserve"> </w:t>
      </w:r>
      <w:r w:rsidR="00130742">
        <w:t>(including to specify whether they would be considered ‘inappropriate use of restrictive practice’)</w:t>
      </w:r>
      <w:r w:rsidR="007C6799">
        <w:t>,</w:t>
      </w:r>
      <w:r w:rsidR="00942F17">
        <w:t xml:space="preserve"> such as</w:t>
      </w:r>
      <w:r w:rsidR="00AB6839" w:rsidRPr="001B4766">
        <w:t>:</w:t>
      </w:r>
    </w:p>
    <w:p w14:paraId="4072344F" w14:textId="77777777" w:rsidR="00A00209" w:rsidRPr="001B4766" w:rsidRDefault="00A00209" w:rsidP="00C866C1">
      <w:pPr>
        <w:pStyle w:val="ListBullet"/>
        <w:numPr>
          <w:ilvl w:val="0"/>
          <w:numId w:val="0"/>
        </w:numPr>
      </w:pPr>
    </w:p>
    <w:p w14:paraId="407533F5" w14:textId="4333E65D" w:rsidR="00AB6839" w:rsidRDefault="00AB6839" w:rsidP="00060010">
      <w:pPr>
        <w:pStyle w:val="mpcNormal"/>
        <w:numPr>
          <w:ilvl w:val="0"/>
          <w:numId w:val="11"/>
        </w:numPr>
      </w:pPr>
      <w:r w:rsidRPr="001B4766">
        <w:t xml:space="preserve">limiting/declining access to transport, social </w:t>
      </w:r>
      <w:r w:rsidR="001B4766" w:rsidRPr="001B4766">
        <w:t>interaction</w:t>
      </w:r>
      <w:r w:rsidRPr="001B4766">
        <w:t>, foods etc.</w:t>
      </w:r>
    </w:p>
    <w:p w14:paraId="557ED843" w14:textId="1EE2C304" w:rsidR="00406F27" w:rsidRPr="001B4766" w:rsidRDefault="00406F27" w:rsidP="00060010">
      <w:pPr>
        <w:pStyle w:val="mpcNormal"/>
        <w:numPr>
          <w:ilvl w:val="0"/>
          <w:numId w:val="11"/>
        </w:numPr>
      </w:pPr>
      <w:r>
        <w:t>seclusion or isolating a consumer</w:t>
      </w:r>
    </w:p>
    <w:p w14:paraId="27C73425" w14:textId="15E33ED6" w:rsidR="00AB6839" w:rsidRPr="001B4766" w:rsidRDefault="00AB6839" w:rsidP="00060010">
      <w:pPr>
        <w:pStyle w:val="mpcNormal"/>
        <w:numPr>
          <w:ilvl w:val="0"/>
          <w:numId w:val="11"/>
        </w:numPr>
      </w:pPr>
      <w:r w:rsidRPr="001B4766">
        <w:t xml:space="preserve">holding a consumer’s head in the shower longer they want when washing shampoo out </w:t>
      </w:r>
    </w:p>
    <w:p w14:paraId="376AEE85" w14:textId="28D4E269" w:rsidR="00144E33" w:rsidRPr="001B4766" w:rsidRDefault="006B710D" w:rsidP="00060010">
      <w:pPr>
        <w:pStyle w:val="mpcNormal"/>
        <w:numPr>
          <w:ilvl w:val="0"/>
          <w:numId w:val="11"/>
        </w:numPr>
      </w:pPr>
      <w:r w:rsidRPr="001B4766">
        <w:t>use of bed rails</w:t>
      </w:r>
      <w:r w:rsidR="00144E33" w:rsidRPr="001B4766">
        <w:t xml:space="preserve"> or placing a consumer’s bed against the wall, as per the consumer’s preference</w:t>
      </w:r>
    </w:p>
    <w:p w14:paraId="780D515F" w14:textId="600B3351" w:rsidR="00406F27" w:rsidRDefault="00406F27" w:rsidP="00060010">
      <w:pPr>
        <w:pStyle w:val="mpcNormal"/>
        <w:numPr>
          <w:ilvl w:val="0"/>
          <w:numId w:val="11"/>
        </w:numPr>
      </w:pPr>
      <w:r>
        <w:t>use of medications</w:t>
      </w:r>
      <w:r w:rsidR="001662F9">
        <w:t xml:space="preserve"> that have not been prescribed for the consumer</w:t>
      </w:r>
      <w:r>
        <w:t>, or overuse of prescribed medications</w:t>
      </w:r>
      <w:r w:rsidR="001662F9">
        <w:t>,</w:t>
      </w:r>
      <w:r w:rsidR="00A754B0">
        <w:t xml:space="preserve"> to control the behaviour of the consumer</w:t>
      </w:r>
    </w:p>
    <w:p w14:paraId="0C1D3BD0" w14:textId="1D3BFEAF" w:rsidR="00A754B0" w:rsidRDefault="00A754B0" w:rsidP="00060010">
      <w:pPr>
        <w:pStyle w:val="mpcNormal"/>
        <w:numPr>
          <w:ilvl w:val="0"/>
          <w:numId w:val="11"/>
        </w:numPr>
      </w:pPr>
      <w:r>
        <w:t>placing a consumer’s mobility aids out of reach</w:t>
      </w:r>
    </w:p>
    <w:p w14:paraId="64E5E22F" w14:textId="281CE86C" w:rsidR="00590D18" w:rsidRPr="001B4766" w:rsidRDefault="006B710D" w:rsidP="00060010">
      <w:pPr>
        <w:pStyle w:val="mpcNormal"/>
        <w:numPr>
          <w:ilvl w:val="0"/>
          <w:numId w:val="11"/>
        </w:numPr>
      </w:pPr>
      <w:r w:rsidRPr="001B4766">
        <w:t>f</w:t>
      </w:r>
      <w:r w:rsidR="00590D18" w:rsidRPr="001B4766">
        <w:t xml:space="preserve">or a community transport provider, ensuring clients wear seatbelts or refusing to transport a client who would not allow their wheelchair to be secured in the vehicle </w:t>
      </w:r>
    </w:p>
    <w:p w14:paraId="3BE07CA0" w14:textId="2A659C89" w:rsidR="006B710D" w:rsidRPr="001B4766" w:rsidRDefault="006B710D" w:rsidP="00060010">
      <w:pPr>
        <w:pStyle w:val="mpcNormal"/>
        <w:numPr>
          <w:ilvl w:val="0"/>
          <w:numId w:val="11"/>
        </w:numPr>
      </w:pPr>
      <w:r w:rsidRPr="001B4766">
        <w:t xml:space="preserve">services provided that go to keeping a consumer’s environment secure </w:t>
      </w:r>
    </w:p>
    <w:p w14:paraId="1A20B6AF" w14:textId="19BF69E5" w:rsidR="006B710D" w:rsidRPr="001B4766" w:rsidRDefault="006B710D" w:rsidP="00060010">
      <w:pPr>
        <w:pStyle w:val="mpcNormal"/>
        <w:numPr>
          <w:ilvl w:val="0"/>
          <w:numId w:val="11"/>
        </w:numPr>
      </w:pPr>
      <w:r w:rsidRPr="001B4766">
        <w:t>locking doors or gates</w:t>
      </w:r>
      <w:r w:rsidR="00144E33" w:rsidRPr="001B4766">
        <w:t xml:space="preserve"> to manage behaviours </w:t>
      </w:r>
      <w:r w:rsidRPr="001B4766">
        <w:t>for consumers with cognitive impairment</w:t>
      </w:r>
      <w:r w:rsidR="00144E33" w:rsidRPr="001B4766">
        <w:t>.</w:t>
      </w:r>
    </w:p>
    <w:p w14:paraId="552B2E14" w14:textId="77777777" w:rsidR="00A00209" w:rsidRDefault="00A00209" w:rsidP="00C866C1">
      <w:pPr>
        <w:pStyle w:val="ListBullet"/>
        <w:numPr>
          <w:ilvl w:val="0"/>
          <w:numId w:val="0"/>
        </w:numPr>
      </w:pPr>
    </w:p>
    <w:p w14:paraId="5F3F3021" w14:textId="47354631" w:rsidR="008A42B7" w:rsidRPr="001B4766" w:rsidRDefault="006B710D" w:rsidP="00C866C1">
      <w:pPr>
        <w:pStyle w:val="ListBullet"/>
        <w:numPr>
          <w:ilvl w:val="0"/>
          <w:numId w:val="0"/>
        </w:numPr>
      </w:pPr>
      <w:r w:rsidRPr="001B4766">
        <w:t xml:space="preserve">Stakeholders </w:t>
      </w:r>
      <w:r w:rsidR="00A00209">
        <w:t xml:space="preserve">also </w:t>
      </w:r>
      <w:r w:rsidRPr="001B4766">
        <w:t>suggested that this definition could be strengthened with examples specific to different types of CHSP services.</w:t>
      </w:r>
    </w:p>
    <w:p w14:paraId="6048DEB8" w14:textId="310CF30B" w:rsidR="00425304" w:rsidRPr="001B4766" w:rsidRDefault="00425304" w:rsidP="00E14444"/>
    <w:p w14:paraId="58708D8F" w14:textId="77777777" w:rsidR="006B710D" w:rsidRPr="001B4766" w:rsidRDefault="006B710D" w:rsidP="00E14444">
      <w:r w:rsidRPr="001B4766">
        <w:t>Some stakeholders queried what the provider’s scope of responsibility would be with respect to use of restrictive practices, noting:</w:t>
      </w:r>
    </w:p>
    <w:p w14:paraId="4B60D75F" w14:textId="77777777" w:rsidR="006B710D" w:rsidRPr="001B4766" w:rsidRDefault="006B710D" w:rsidP="00E14444"/>
    <w:p w14:paraId="5D3324C3" w14:textId="2EC9DB97" w:rsidR="006B710D" w:rsidRPr="001B4766" w:rsidRDefault="00A00209" w:rsidP="00060010">
      <w:pPr>
        <w:pStyle w:val="mpcNormal"/>
        <w:numPr>
          <w:ilvl w:val="0"/>
          <w:numId w:val="11"/>
        </w:numPr>
      </w:pPr>
      <w:r>
        <w:t>t</w:t>
      </w:r>
      <w:r w:rsidR="006B710D" w:rsidRPr="001B4766">
        <w:t xml:space="preserve">he definition should only include practices implemented by the provider/worker, i.e. it should not include where a consumer’s GP has prescribed psychotropic </w:t>
      </w:r>
      <w:r w:rsidR="001B4766" w:rsidRPr="001B4766">
        <w:t>medications</w:t>
      </w:r>
      <w:r w:rsidR="006B710D" w:rsidRPr="001B4766">
        <w:t xml:space="preserve"> or where a consumer’s family uses restrictive practices</w:t>
      </w:r>
    </w:p>
    <w:p w14:paraId="0E163119" w14:textId="6A23AD55" w:rsidR="006B710D" w:rsidRPr="001B4766" w:rsidRDefault="00A00209" w:rsidP="00060010">
      <w:pPr>
        <w:pStyle w:val="mpcNormal"/>
        <w:numPr>
          <w:ilvl w:val="0"/>
          <w:numId w:val="11"/>
        </w:numPr>
      </w:pPr>
      <w:r>
        <w:t>s</w:t>
      </w:r>
      <w:r w:rsidR="006B710D" w:rsidRPr="001B4766">
        <w:t>ome workers may not know what medication a consumer is taking, nor what is considered a psychotropic medication</w:t>
      </w:r>
    </w:p>
    <w:p w14:paraId="046640E9" w14:textId="02FD2EC8" w:rsidR="006B710D" w:rsidRPr="001B4766" w:rsidRDefault="00A00209" w:rsidP="00060010">
      <w:pPr>
        <w:pStyle w:val="mpcNormal"/>
        <w:numPr>
          <w:ilvl w:val="0"/>
          <w:numId w:val="11"/>
        </w:numPr>
      </w:pPr>
      <w:r>
        <w:t>s</w:t>
      </w:r>
      <w:r w:rsidR="006B710D" w:rsidRPr="001B4766">
        <w:t xml:space="preserve">ome stakeholders queried whether providers would be required to monitor, assess and review the restrictive practice (as is required in residential care). </w:t>
      </w:r>
    </w:p>
    <w:p w14:paraId="27F38CD7" w14:textId="174BF6EA" w:rsidR="00144E33" w:rsidRPr="001B4766" w:rsidRDefault="006B710D" w:rsidP="00E14444">
      <w:r w:rsidRPr="001B4766">
        <w:t xml:space="preserve"> </w:t>
      </w:r>
    </w:p>
    <w:p w14:paraId="456ED272" w14:textId="52D10BEF" w:rsidR="00144E33" w:rsidRPr="001B4766" w:rsidRDefault="00144E33" w:rsidP="00E14444">
      <w:r w:rsidRPr="001B4766">
        <w:t xml:space="preserve">Stakeholders </w:t>
      </w:r>
      <w:r w:rsidR="008F7A6D">
        <w:t>who</w:t>
      </w:r>
      <w:r w:rsidRPr="001B4766">
        <w:t xml:space="preserve"> considered this category should not apply for in-home services noted:</w:t>
      </w:r>
    </w:p>
    <w:p w14:paraId="478C3E0C" w14:textId="77777777" w:rsidR="00144E33" w:rsidRPr="001B4766" w:rsidRDefault="00144E33" w:rsidP="00E14444"/>
    <w:p w14:paraId="6A353C02" w14:textId="65B9B9F0" w:rsidR="00144E33" w:rsidRDefault="00A00209" w:rsidP="00E35E52">
      <w:pPr>
        <w:pStyle w:val="mpcNormal"/>
        <w:numPr>
          <w:ilvl w:val="0"/>
          <w:numId w:val="11"/>
        </w:numPr>
      </w:pPr>
      <w:r>
        <w:t>a</w:t>
      </w:r>
      <w:r w:rsidR="00144E33" w:rsidRPr="001B4766">
        <w:t xml:space="preserve"> worker may only be able to cope with a consumer’s challenging behaviours/wandering by locking doors, restricting community access, etc.</w:t>
      </w:r>
    </w:p>
    <w:p w14:paraId="4CEE097A" w14:textId="784AB5AB" w:rsidR="006B710D" w:rsidRDefault="00A00209" w:rsidP="00E35E52">
      <w:pPr>
        <w:pStyle w:val="mpcNormal"/>
        <w:numPr>
          <w:ilvl w:val="0"/>
          <w:numId w:val="11"/>
        </w:numPr>
      </w:pPr>
      <w:r>
        <w:t>t</w:t>
      </w:r>
      <w:r w:rsidR="00F416BE">
        <w:t>his could be covered under the categories of ‘unreasonable use of force’ or ‘neglect’</w:t>
      </w:r>
      <w:r w:rsidR="00F416BE">
        <w:rPr>
          <w:lang w:eastAsia="en-AU"/>
        </w:rPr>
        <w:t>.</w:t>
      </w:r>
    </w:p>
    <w:p w14:paraId="6528576E" w14:textId="77777777" w:rsidR="00A00209" w:rsidRPr="001B4766" w:rsidRDefault="00A00209" w:rsidP="00C866C1">
      <w:pPr>
        <w:pStyle w:val="ListBullet"/>
        <w:numPr>
          <w:ilvl w:val="0"/>
          <w:numId w:val="0"/>
        </w:numPr>
        <w:ind w:left="426"/>
      </w:pPr>
    </w:p>
    <w:p w14:paraId="5B6B1381" w14:textId="57AF0FF8" w:rsidR="00457249" w:rsidRDefault="00457249" w:rsidP="00C866C1">
      <w:pPr>
        <w:pStyle w:val="Heading2"/>
      </w:pPr>
      <w:bookmarkStart w:id="50" w:name="_Toc76470062"/>
      <w:bookmarkStart w:id="51" w:name="_Toc77848170"/>
      <w:bookmarkStart w:id="52" w:name="_Toc80694381"/>
      <w:r w:rsidRPr="001B4766">
        <w:t>Unexplained absence</w:t>
      </w:r>
      <w:bookmarkEnd w:id="50"/>
      <w:bookmarkEnd w:id="51"/>
      <w:bookmarkEnd w:id="52"/>
    </w:p>
    <w:p w14:paraId="72048458" w14:textId="77777777" w:rsidR="00A00209" w:rsidRPr="00A00209" w:rsidRDefault="00A00209" w:rsidP="00A00209">
      <w:pPr>
        <w:pStyle w:val="mpcNormal"/>
      </w:pPr>
    </w:p>
    <w:p w14:paraId="35D8328D" w14:textId="5B14ACB8" w:rsidR="00457249" w:rsidRPr="001B4766" w:rsidRDefault="00A00209" w:rsidP="00E14444">
      <w:r>
        <w:t>Stakeholder feedback was sought on the proposed</w:t>
      </w:r>
      <w:r w:rsidRPr="001B4766">
        <w:t xml:space="preserve"> </w:t>
      </w:r>
      <w:r w:rsidR="00457249" w:rsidRPr="001B4766">
        <w:t>definition of ‘unexplained absence’:</w:t>
      </w:r>
    </w:p>
    <w:p w14:paraId="06D04CB0" w14:textId="77777777" w:rsidR="00457249" w:rsidRPr="001B4766" w:rsidRDefault="00457249" w:rsidP="00E14444"/>
    <w:p w14:paraId="17DDDC28" w14:textId="25449952" w:rsidR="00A00209" w:rsidRPr="00C866C1" w:rsidRDefault="00C866C1" w:rsidP="00C866C1">
      <w:pPr>
        <w:ind w:left="720" w:right="1132"/>
        <w:rPr>
          <w:i/>
          <w:iCs/>
        </w:rPr>
      </w:pPr>
      <w:r w:rsidRPr="00C866C1">
        <w:rPr>
          <w:b/>
          <w:i/>
          <w:iCs/>
        </w:rPr>
        <w:t>Unexplained absence</w:t>
      </w:r>
      <w:r w:rsidRPr="00C866C1">
        <w:rPr>
          <w:i/>
          <w:iCs/>
        </w:rPr>
        <w:t xml:space="preserve"> of the consumer from the care of the provider means an absence of the consumer from the care in circumstances where there are reasonable grounds to report the absence to police.</w:t>
      </w:r>
    </w:p>
    <w:p w14:paraId="53BAAE5D" w14:textId="77777777" w:rsidR="00C866C1" w:rsidRDefault="00C866C1" w:rsidP="00E14444"/>
    <w:p w14:paraId="65D46BDD" w14:textId="4333089A" w:rsidR="0096322F" w:rsidRDefault="00C417AA" w:rsidP="00E14444">
      <w:r w:rsidRPr="001B4766">
        <w:lastRenderedPageBreak/>
        <w:t>A number of stakeholders</w:t>
      </w:r>
      <w:r w:rsidR="004A281A" w:rsidRPr="001B4766">
        <w:t xml:space="preserve"> had concerns regarding this definition and the inclusion of unexplained absence as a category of reportable incident. </w:t>
      </w:r>
    </w:p>
    <w:p w14:paraId="6A80EB1A" w14:textId="77777777" w:rsidR="0096322F" w:rsidRDefault="0096322F" w:rsidP="00E14444"/>
    <w:p w14:paraId="075505D5" w14:textId="77777777" w:rsidR="0096322F" w:rsidRPr="001B4766" w:rsidRDefault="0096322F" w:rsidP="00C866C1">
      <w:pPr>
        <w:pStyle w:val="ListBullet"/>
        <w:numPr>
          <w:ilvl w:val="0"/>
          <w:numId w:val="0"/>
        </w:numPr>
      </w:pPr>
      <w:r w:rsidRPr="001B4766">
        <w:t>Stakeholders felt that the definition could be narrowed such that only unexplained absences that arise during the delivery of care and services are notified, i.e. where a consumer is absent without explanation while in the care of the provider (e.g. when receiving transport services, at a day therapy centre, in overnight respite or while on an outing).</w:t>
      </w:r>
    </w:p>
    <w:p w14:paraId="142C63E9" w14:textId="77777777" w:rsidR="0096322F" w:rsidRDefault="0096322F" w:rsidP="00E14444"/>
    <w:p w14:paraId="3B08F01C" w14:textId="045D1174" w:rsidR="00A57B69" w:rsidRPr="001B4766" w:rsidRDefault="00A57B69" w:rsidP="00E14444">
      <w:r w:rsidRPr="001B4766">
        <w:t xml:space="preserve">Stakeholders </w:t>
      </w:r>
      <w:r w:rsidR="008F7A6D">
        <w:t>who</w:t>
      </w:r>
      <w:r w:rsidRPr="001B4766">
        <w:t xml:space="preserve"> considered </w:t>
      </w:r>
      <w:r w:rsidR="0096322F">
        <w:t xml:space="preserve">the current definition was not appropriate or that </w:t>
      </w:r>
      <w:r w:rsidRPr="001B4766">
        <w:t xml:space="preserve">this category should not apply for in-home services </w:t>
      </w:r>
      <w:r w:rsidR="0096322F">
        <w:t>highlighted that</w:t>
      </w:r>
      <w:r w:rsidRPr="001B4766">
        <w:t>:</w:t>
      </w:r>
    </w:p>
    <w:p w14:paraId="184D7D96" w14:textId="35494A99" w:rsidR="00457249" w:rsidRPr="001B4766" w:rsidRDefault="00457249" w:rsidP="00E14444"/>
    <w:p w14:paraId="7BD9C35C" w14:textId="51919916" w:rsidR="00A57B69" w:rsidRPr="001B4766" w:rsidRDefault="00AD6A09" w:rsidP="00E35E52">
      <w:pPr>
        <w:pStyle w:val="mpcNormal"/>
        <w:numPr>
          <w:ilvl w:val="0"/>
          <w:numId w:val="11"/>
        </w:numPr>
      </w:pPr>
      <w:r>
        <w:t>p</w:t>
      </w:r>
      <w:r w:rsidR="00904CBE" w:rsidRPr="001B4766">
        <w:t xml:space="preserve">roviders have policies in place to manage instances of consumers </w:t>
      </w:r>
      <w:r w:rsidR="00590D18" w:rsidRPr="001B4766">
        <w:t xml:space="preserve">not being at home or </w:t>
      </w:r>
      <w:r w:rsidR="00904CBE" w:rsidRPr="001B4766">
        <w:t xml:space="preserve">missing a scheduled visit, including </w:t>
      </w:r>
      <w:r w:rsidR="004A281A" w:rsidRPr="001B4766">
        <w:t>contacting the consumer, co</w:t>
      </w:r>
      <w:r w:rsidR="00B94862" w:rsidRPr="001B4766">
        <w:t>n</w:t>
      </w:r>
      <w:r w:rsidR="004A281A" w:rsidRPr="001B4766">
        <w:t xml:space="preserve">tacting representatives/families and </w:t>
      </w:r>
      <w:r w:rsidR="00904CBE" w:rsidRPr="001B4766">
        <w:t xml:space="preserve">requesting police conduct a welfare check as </w:t>
      </w:r>
      <w:r w:rsidR="00A57B69" w:rsidRPr="001B4766">
        <w:t>a last resort</w:t>
      </w:r>
      <w:r w:rsidR="004A281A" w:rsidRPr="001B4766">
        <w:t>.</w:t>
      </w:r>
      <w:r w:rsidR="00B94862" w:rsidRPr="001B4766">
        <w:t xml:space="preserve"> These processes are discussed with the consumer and adapted to suit their preferences/circumstances. Introducing a mandatory reporting requirement may contradict consumer choice and impede on consumer privacy</w:t>
      </w:r>
    </w:p>
    <w:p w14:paraId="5124E6A1" w14:textId="33BBC36F" w:rsidR="00B94862" w:rsidRPr="001B4766" w:rsidRDefault="00B94862" w:rsidP="0048323A">
      <w:pPr>
        <w:pStyle w:val="ListBullet2"/>
      </w:pPr>
      <w:r w:rsidRPr="001B4766">
        <w:t>“People should be allowed to come and go from their own homes whenever they like without telling anyone. These are private matters. In practice it could be very intrusive on the practical liberties of older people as it currently is in residential care”</w:t>
      </w:r>
      <w:r w:rsidR="00A4210C">
        <w:t>.</w:t>
      </w:r>
    </w:p>
    <w:p w14:paraId="0539EB04" w14:textId="5419AE4C" w:rsidR="00590D18" w:rsidRPr="001B4766" w:rsidRDefault="00AD6A09" w:rsidP="00E35E52">
      <w:pPr>
        <w:pStyle w:val="mpcNormal"/>
        <w:numPr>
          <w:ilvl w:val="0"/>
          <w:numId w:val="11"/>
        </w:numPr>
      </w:pPr>
      <w:r>
        <w:t>c</w:t>
      </w:r>
      <w:r w:rsidR="00590D18" w:rsidRPr="001B4766">
        <w:t xml:space="preserve">onsumers often forget to cancel their services when they’re away or otherwise occupied and reporting a consumer’s unexplained absence could put extreme pressure on the provider and the </w:t>
      </w:r>
      <w:r w:rsidR="00B321C7">
        <w:t>s</w:t>
      </w:r>
      <w:r w:rsidR="00534E52">
        <w:t>cheme</w:t>
      </w:r>
    </w:p>
    <w:p w14:paraId="2E23B53A" w14:textId="2242E8FB" w:rsidR="004A281A" w:rsidRDefault="00AD6A09" w:rsidP="00E35E52">
      <w:pPr>
        <w:pStyle w:val="mpcNormal"/>
        <w:numPr>
          <w:ilvl w:val="0"/>
          <w:numId w:val="11"/>
        </w:numPr>
      </w:pPr>
      <w:r>
        <w:t>u</w:t>
      </w:r>
      <w:r w:rsidR="00B94862" w:rsidRPr="001B4766">
        <w:t>sing a threshold of whether an absence should be reported to</w:t>
      </w:r>
      <w:r w:rsidR="00800A86">
        <w:t xml:space="preserve"> </w:t>
      </w:r>
      <w:r w:rsidR="00B94862" w:rsidRPr="001B4766">
        <w:t xml:space="preserve">police as means for determining reportability requires providers to apply their own notion of risk and may still result in a high number of </w:t>
      </w:r>
      <w:r w:rsidR="001B4766" w:rsidRPr="001B4766">
        <w:t>unnecessary</w:t>
      </w:r>
      <w:r w:rsidR="00B94862" w:rsidRPr="001B4766">
        <w:t xml:space="preserve"> reports.</w:t>
      </w:r>
    </w:p>
    <w:p w14:paraId="652EF565" w14:textId="77777777" w:rsidR="00A00209" w:rsidRPr="001B4766" w:rsidRDefault="00A00209" w:rsidP="00C866C1">
      <w:pPr>
        <w:pStyle w:val="ListBullet"/>
        <w:numPr>
          <w:ilvl w:val="0"/>
          <w:numId w:val="0"/>
        </w:numPr>
        <w:ind w:left="426"/>
      </w:pPr>
    </w:p>
    <w:p w14:paraId="0E8FEA32" w14:textId="3BBFFBE1" w:rsidR="00992E7D" w:rsidRPr="001B4766" w:rsidRDefault="00C866C1" w:rsidP="00C866C1">
      <w:pPr>
        <w:pStyle w:val="Heading1"/>
      </w:pPr>
      <w:bookmarkStart w:id="53" w:name="_Toc77848171"/>
      <w:r>
        <w:br w:type="column"/>
      </w:r>
      <w:bookmarkStart w:id="54" w:name="_Toc80694382"/>
      <w:r w:rsidR="00266B72">
        <w:lastRenderedPageBreak/>
        <w:t>Notification</w:t>
      </w:r>
      <w:r w:rsidR="00992E7D" w:rsidRPr="001B4766">
        <w:t xml:space="preserve"> timeframes and priority categories</w:t>
      </w:r>
      <w:bookmarkEnd w:id="53"/>
      <w:bookmarkEnd w:id="54"/>
    </w:p>
    <w:p w14:paraId="067B392A" w14:textId="77777777" w:rsidR="00A00209" w:rsidRDefault="00A00209" w:rsidP="00E14444">
      <w:bookmarkStart w:id="55" w:name="_Toc77848172"/>
    </w:p>
    <w:p w14:paraId="221C774F" w14:textId="6D48D386" w:rsidR="004A0442" w:rsidRDefault="00A00209" w:rsidP="00E14444">
      <w:r>
        <w:t>Stakeholder feedback was sought on two proposed</w:t>
      </w:r>
      <w:r w:rsidR="004A0442" w:rsidRPr="001B4766">
        <w:t xml:space="preserve"> options in relation to the timeframes for </w:t>
      </w:r>
      <w:r w:rsidR="00266B72">
        <w:t>notification</w:t>
      </w:r>
      <w:r w:rsidR="004A0442" w:rsidRPr="001B4766">
        <w:t>:</w:t>
      </w:r>
    </w:p>
    <w:p w14:paraId="696FCC0B" w14:textId="77777777" w:rsidR="00A00209" w:rsidRPr="001B4766" w:rsidRDefault="00A00209" w:rsidP="00A00209"/>
    <w:p w14:paraId="6448A026" w14:textId="169164C1" w:rsidR="00AD6A09" w:rsidRPr="00AD6A09" w:rsidRDefault="00AD6A09" w:rsidP="00AD6A09">
      <w:pPr>
        <w:pStyle w:val="ListParagraph"/>
        <w:numPr>
          <w:ilvl w:val="0"/>
          <w:numId w:val="18"/>
        </w:numPr>
        <w:spacing w:before="0" w:after="0" w:line="240" w:lineRule="auto"/>
        <w:ind w:left="357" w:hanging="357"/>
        <w:rPr>
          <w:sz w:val="22"/>
        </w:rPr>
      </w:pPr>
      <w:r w:rsidRPr="00A00209">
        <w:rPr>
          <w:sz w:val="22"/>
          <w:szCs w:val="24"/>
        </w:rPr>
        <w:t>Adopt requirements consistent with residential care, where priority</w:t>
      </w:r>
      <w:r>
        <w:rPr>
          <w:sz w:val="22"/>
          <w:szCs w:val="24"/>
        </w:rPr>
        <w:t> </w:t>
      </w:r>
      <w:r w:rsidRPr="00A00209">
        <w:rPr>
          <w:sz w:val="22"/>
          <w:szCs w:val="24"/>
        </w:rPr>
        <w:t xml:space="preserve">1 incidents are </w:t>
      </w:r>
      <w:r w:rsidRPr="00AD6A09">
        <w:rPr>
          <w:sz w:val="22"/>
        </w:rPr>
        <w:t xml:space="preserve">required to be </w:t>
      </w:r>
      <w:r w:rsidR="00266B72">
        <w:rPr>
          <w:sz w:val="22"/>
        </w:rPr>
        <w:t>notified to the Commission</w:t>
      </w:r>
      <w:r w:rsidRPr="00AD6A09">
        <w:rPr>
          <w:sz w:val="22"/>
        </w:rPr>
        <w:t xml:space="preserve"> within 24 hours and priority 2 incidents are required to be </w:t>
      </w:r>
      <w:r w:rsidR="00266B72">
        <w:rPr>
          <w:sz w:val="22"/>
        </w:rPr>
        <w:t>notified</w:t>
      </w:r>
      <w:r w:rsidRPr="00AD6A09">
        <w:rPr>
          <w:sz w:val="22"/>
        </w:rPr>
        <w:t xml:space="preserve"> within 30 days</w:t>
      </w:r>
    </w:p>
    <w:p w14:paraId="3E00625C" w14:textId="270AB0B8" w:rsidR="00A00209" w:rsidRPr="00AD6A09" w:rsidRDefault="00AD6A09" w:rsidP="00AD6A09">
      <w:pPr>
        <w:pStyle w:val="ListParagraph"/>
        <w:numPr>
          <w:ilvl w:val="0"/>
          <w:numId w:val="18"/>
        </w:numPr>
        <w:spacing w:before="0" w:after="0" w:line="240" w:lineRule="auto"/>
        <w:ind w:left="357" w:hanging="357"/>
        <w:rPr>
          <w:sz w:val="22"/>
        </w:rPr>
      </w:pPr>
      <w:r w:rsidRPr="00AD6A09">
        <w:rPr>
          <w:sz w:val="22"/>
        </w:rPr>
        <w:t xml:space="preserve">Have all incidents </w:t>
      </w:r>
      <w:r w:rsidR="00266B72">
        <w:rPr>
          <w:sz w:val="22"/>
        </w:rPr>
        <w:t>notified</w:t>
      </w:r>
      <w:r w:rsidRPr="00AD6A09">
        <w:rPr>
          <w:sz w:val="22"/>
        </w:rPr>
        <w:t xml:space="preserve"> within a consistent timeframe (e.g. 24 or 72 hours).</w:t>
      </w:r>
    </w:p>
    <w:p w14:paraId="19F80F38" w14:textId="77777777" w:rsidR="00AD6A09" w:rsidRPr="00AD6A09" w:rsidRDefault="00AD6A09" w:rsidP="00AD6A09"/>
    <w:bookmarkEnd w:id="55"/>
    <w:p w14:paraId="29BD0B4B" w14:textId="17ED84BA" w:rsidR="00B5091A" w:rsidRDefault="004A0442" w:rsidP="00E14444">
      <w:r w:rsidRPr="00AD6A09">
        <w:t>Stakeholder views regarding incident categorisation</w:t>
      </w:r>
      <w:r w:rsidRPr="001B4766">
        <w:t xml:space="preserve"> and </w:t>
      </w:r>
      <w:r w:rsidR="00E51CF8">
        <w:t>notification</w:t>
      </w:r>
      <w:r w:rsidRPr="001B4766">
        <w:t xml:space="preserve"> timeframes were varied.</w:t>
      </w:r>
      <w:r w:rsidR="0096322F">
        <w:t xml:space="preserve"> </w:t>
      </w:r>
    </w:p>
    <w:p w14:paraId="0F5A379A" w14:textId="77777777" w:rsidR="00B5091A" w:rsidRDefault="00B5091A" w:rsidP="00E14444"/>
    <w:p w14:paraId="26183551" w14:textId="6D22F29A" w:rsidR="00B5091A" w:rsidRDefault="0096322F" w:rsidP="00E14444">
      <w:pPr>
        <w:rPr>
          <w:bCs/>
        </w:rPr>
      </w:pPr>
      <w:r>
        <w:t>However, on balance</w:t>
      </w:r>
      <w:r w:rsidR="00B5091A">
        <w:t>,</w:t>
      </w:r>
      <w:r>
        <w:t xml:space="preserve"> </w:t>
      </w:r>
      <w:r w:rsidR="005D3506">
        <w:t xml:space="preserve">the majority of </w:t>
      </w:r>
      <w:r>
        <w:t xml:space="preserve">stakeholders considered there should be </w:t>
      </w:r>
      <w:r w:rsidRPr="00D703F7">
        <w:t>consiste</w:t>
      </w:r>
      <w:r>
        <w:t>nt</w:t>
      </w:r>
      <w:r w:rsidRPr="00D703F7">
        <w:t xml:space="preserve"> </w:t>
      </w:r>
      <w:r>
        <w:t xml:space="preserve">notification </w:t>
      </w:r>
      <w:r w:rsidRPr="00D703F7">
        <w:t xml:space="preserve">timeframes </w:t>
      </w:r>
      <w:r>
        <w:t>across residential care and in-home services</w:t>
      </w:r>
      <w:r w:rsidR="00B5091A">
        <w:t xml:space="preserve"> (as proposed</w:t>
      </w:r>
      <w:r w:rsidR="00721205">
        <w:t xml:space="preserve"> in</w:t>
      </w:r>
      <w:r w:rsidR="00B5091A">
        <w:t xml:space="preserve"> option 1)</w:t>
      </w:r>
      <w:r>
        <w:t xml:space="preserve">. This includes </w:t>
      </w:r>
      <w:r>
        <w:rPr>
          <w:bCs/>
        </w:rPr>
        <w:t>retaining a 24-hour notification period (</w:t>
      </w:r>
      <w:r w:rsidRPr="00340554">
        <w:rPr>
          <w:bCs/>
        </w:rPr>
        <w:t xml:space="preserve">from the time the provider becomes aware of the incident) </w:t>
      </w:r>
      <w:r>
        <w:rPr>
          <w:bCs/>
        </w:rPr>
        <w:t>for the most serious of incidents</w:t>
      </w:r>
      <w:r w:rsidR="00B5091A">
        <w:rPr>
          <w:bCs/>
        </w:rPr>
        <w:t xml:space="preserve"> (</w:t>
      </w:r>
      <w:r w:rsidR="00721205">
        <w:rPr>
          <w:bCs/>
        </w:rPr>
        <w:t xml:space="preserve">known as, </w:t>
      </w:r>
      <w:r w:rsidR="00B5091A">
        <w:rPr>
          <w:bCs/>
        </w:rPr>
        <w:t>priority 1 incidents)</w:t>
      </w:r>
      <w:r>
        <w:rPr>
          <w:bCs/>
        </w:rPr>
        <w:t>.</w:t>
      </w:r>
      <w:r w:rsidR="00B5091A">
        <w:rPr>
          <w:bCs/>
        </w:rPr>
        <w:t xml:space="preserve"> </w:t>
      </w:r>
    </w:p>
    <w:p w14:paraId="2AD9740E" w14:textId="7D0700FC" w:rsidR="0096322F" w:rsidRPr="0096322F" w:rsidRDefault="0096322F" w:rsidP="00E14444"/>
    <w:p w14:paraId="24F14005" w14:textId="74D934C0" w:rsidR="004A0442" w:rsidRPr="001B4766" w:rsidRDefault="004A0442" w:rsidP="00E14444">
      <w:r w:rsidRPr="001B4766">
        <w:t xml:space="preserve">Those in support of option 1 </w:t>
      </w:r>
      <w:r w:rsidR="00B5091A">
        <w:t>highlighted</w:t>
      </w:r>
      <w:r w:rsidRPr="001B4766">
        <w:t xml:space="preserve"> that:</w:t>
      </w:r>
    </w:p>
    <w:p w14:paraId="68140F06" w14:textId="363195E3" w:rsidR="004A0442" w:rsidRPr="001B4766" w:rsidRDefault="004A0442" w:rsidP="00E14444"/>
    <w:p w14:paraId="684C5886" w14:textId="07FFFE2A" w:rsidR="00A55DB5" w:rsidRPr="001B4766" w:rsidRDefault="00A55DB5" w:rsidP="00721205">
      <w:pPr>
        <w:pStyle w:val="mpcNormal"/>
        <w:numPr>
          <w:ilvl w:val="0"/>
          <w:numId w:val="11"/>
        </w:numPr>
      </w:pPr>
      <w:r>
        <w:t>r</w:t>
      </w:r>
      <w:r w:rsidRPr="001B4766">
        <w:t xml:space="preserve">equirements for </w:t>
      </w:r>
      <w:r w:rsidR="00E51CF8">
        <w:t>notification</w:t>
      </w:r>
      <w:r w:rsidRPr="001B4766">
        <w:t xml:space="preserve"> should be consistent for residential and in-home services</w:t>
      </w:r>
    </w:p>
    <w:p w14:paraId="274FF33E" w14:textId="53AA95A9" w:rsidR="00B330D9" w:rsidRPr="001B4766" w:rsidRDefault="00AD6A09" w:rsidP="00721205">
      <w:pPr>
        <w:pStyle w:val="mpcNormal"/>
        <w:numPr>
          <w:ilvl w:val="0"/>
          <w:numId w:val="11"/>
        </w:numPr>
      </w:pPr>
      <w:r>
        <w:t>t</w:t>
      </w:r>
      <w:r w:rsidR="00B330D9" w:rsidRPr="001B4766">
        <w:t xml:space="preserve">iered reporting exists and works </w:t>
      </w:r>
      <w:r w:rsidR="00B5091A">
        <w:t xml:space="preserve">effectively </w:t>
      </w:r>
      <w:r w:rsidR="00B330D9" w:rsidRPr="001B4766">
        <w:t>in other sectors (e.g. the NDIS, Child Protection, etc.)</w:t>
      </w:r>
    </w:p>
    <w:p w14:paraId="5D84D5F3" w14:textId="6CDC7230" w:rsidR="00B330D9" w:rsidRPr="001B4766" w:rsidRDefault="00A55DB5" w:rsidP="00226559">
      <w:pPr>
        <w:pStyle w:val="mpcNormal"/>
        <w:numPr>
          <w:ilvl w:val="0"/>
          <w:numId w:val="11"/>
        </w:numPr>
      </w:pPr>
      <w:r w:rsidRPr="001B4766">
        <w:t xml:space="preserve">24 hours is a reasonable timeframe for </w:t>
      </w:r>
      <w:r w:rsidR="00E51CF8">
        <w:t>notifying</w:t>
      </w:r>
      <w:r w:rsidRPr="001B4766">
        <w:t xml:space="preserve"> priority 1 incidents where there is capacity for the provider to make a "preliminary </w:t>
      </w:r>
      <w:r>
        <w:t>notification</w:t>
      </w:r>
      <w:r w:rsidRPr="001B4766">
        <w:t xml:space="preserve">" to the Commission, followed by a more comprehensive </w:t>
      </w:r>
      <w:r w:rsidR="005F5E9B">
        <w:t>report</w:t>
      </w:r>
      <w:r w:rsidRPr="001B4766">
        <w:t xml:space="preserve"> </w:t>
      </w:r>
      <w:r w:rsidR="00AD6A09">
        <w:t>where a</w:t>
      </w:r>
      <w:r w:rsidR="005C5F72" w:rsidRPr="001B4766">
        <w:t>dditional information could be added to the report as it is gathered</w:t>
      </w:r>
    </w:p>
    <w:p w14:paraId="404DFBA7" w14:textId="1FF8EC95" w:rsidR="001662F9" w:rsidRDefault="001662F9" w:rsidP="001662F9">
      <w:pPr>
        <w:pStyle w:val="mpcNormal"/>
        <w:numPr>
          <w:ilvl w:val="0"/>
          <w:numId w:val="11"/>
        </w:numPr>
      </w:pPr>
      <w:r>
        <w:t>it should be clarified that the 24-hour notification period commences once the provider’s management has been notified of an incident, rather than when the worker becomes aware of an incident (noting that providers would need to have robust internal processes to ensure the timely reporting/escalation of incidents within the organisation).</w:t>
      </w:r>
    </w:p>
    <w:p w14:paraId="7943664B" w14:textId="69D8F13D" w:rsidR="004A0442" w:rsidRDefault="004A0442" w:rsidP="00E14444"/>
    <w:p w14:paraId="550BAA9E" w14:textId="0C2A4773" w:rsidR="00226559" w:rsidRDefault="00226559" w:rsidP="00226559">
      <w:r>
        <w:t xml:space="preserve">Some also suggested adjustments to ensure the </w:t>
      </w:r>
      <w:r w:rsidR="005F5E9B">
        <w:t>notification</w:t>
      </w:r>
      <w:r>
        <w:t xml:space="preserve"> requirements are manageable in the in-home services context, including:</w:t>
      </w:r>
    </w:p>
    <w:p w14:paraId="3B9D5DFE" w14:textId="77777777" w:rsidR="00226559" w:rsidRDefault="00226559" w:rsidP="00226559"/>
    <w:p w14:paraId="76D60C06" w14:textId="77777777" w:rsidR="00226559" w:rsidRPr="00226559" w:rsidRDefault="00226559" w:rsidP="00226559">
      <w:pPr>
        <w:pStyle w:val="mpcNormal"/>
        <w:numPr>
          <w:ilvl w:val="0"/>
          <w:numId w:val="11"/>
        </w:numPr>
      </w:pPr>
      <w:r>
        <w:rPr>
          <w:bCs/>
        </w:rPr>
        <w:t xml:space="preserve">the definition of priority 1 incidents could be: </w:t>
      </w:r>
    </w:p>
    <w:p w14:paraId="2C4E2C9B" w14:textId="77777777" w:rsidR="00226559" w:rsidRDefault="00226559" w:rsidP="00226559">
      <w:pPr>
        <w:pStyle w:val="ListBullet2"/>
      </w:pPr>
      <w:r w:rsidRPr="007827B7">
        <w:t>refine</w:t>
      </w:r>
      <w:r>
        <w:t>d</w:t>
      </w:r>
      <w:r w:rsidRPr="007827B7">
        <w:t xml:space="preserve"> </w:t>
      </w:r>
      <w:r>
        <w:t>to</w:t>
      </w:r>
      <w:r w:rsidRPr="007827B7">
        <w:t xml:space="preserve"> better target the incidents that must be notified within 24 hours</w:t>
      </w:r>
    </w:p>
    <w:p w14:paraId="75834065" w14:textId="6350C2CD" w:rsidR="00226559" w:rsidRDefault="00226559" w:rsidP="00226559">
      <w:pPr>
        <w:pStyle w:val="ListBullet2"/>
      </w:pPr>
      <w:r w:rsidRPr="001B4766">
        <w:t>adjusted such that the provider does not need to assess level of harm to the consumer</w:t>
      </w:r>
    </w:p>
    <w:p w14:paraId="2C5119F6" w14:textId="24495310" w:rsidR="00226559" w:rsidRDefault="00226559" w:rsidP="00226559">
      <w:pPr>
        <w:pStyle w:val="mpcNormal"/>
        <w:numPr>
          <w:ilvl w:val="0"/>
          <w:numId w:val="11"/>
        </w:numPr>
      </w:pPr>
      <w:r>
        <w:t xml:space="preserve">the information required to be included in the initial notification to the Commission could be adjusted (to acknowledge that providers may not have </w:t>
      </w:r>
      <w:r w:rsidR="005F5E9B">
        <w:t>all</w:t>
      </w:r>
      <w:r>
        <w:t xml:space="preserve"> the relevant information within 24 hours).</w:t>
      </w:r>
    </w:p>
    <w:p w14:paraId="043DE1CA" w14:textId="0F55319B" w:rsidR="00226559" w:rsidRDefault="00226559" w:rsidP="00E14444"/>
    <w:p w14:paraId="4F2F4932" w14:textId="42E2C098" w:rsidR="00A8403A" w:rsidRDefault="00A8403A" w:rsidP="00C866C1">
      <w:pPr>
        <w:pStyle w:val="ListBullet"/>
        <w:numPr>
          <w:ilvl w:val="0"/>
          <w:numId w:val="0"/>
        </w:numPr>
      </w:pPr>
      <w:r w:rsidRPr="00A8403A">
        <w:t>Some stakeholders suggested that any incident of sexual assault should always be categorised as a priority 1 incident, as some consumers may not appear visibly distressed by an incident or a worker may determine an incident to have had a “low” impact on a consumer; however, this “should not detract from the seriousness of the incident”.</w:t>
      </w:r>
    </w:p>
    <w:p w14:paraId="01DE7B5D" w14:textId="77777777" w:rsidR="00A8403A" w:rsidRPr="001B4766" w:rsidRDefault="00A8403A" w:rsidP="00E14444"/>
    <w:p w14:paraId="55176EEB" w14:textId="0388B8C2" w:rsidR="004A0442" w:rsidRPr="001B4766" w:rsidRDefault="004A0442" w:rsidP="00E14444">
      <w:r w:rsidRPr="001B4766">
        <w:t xml:space="preserve">Those in support of option 2 </w:t>
      </w:r>
      <w:r w:rsidR="00B330D9" w:rsidRPr="001B4766">
        <w:t xml:space="preserve">(reporting all incidents within a set </w:t>
      </w:r>
      <w:r w:rsidR="001B4766" w:rsidRPr="001B4766">
        <w:t xml:space="preserve">timeframe) </w:t>
      </w:r>
      <w:r w:rsidR="005F5E9B">
        <w:t>commented</w:t>
      </w:r>
      <w:r w:rsidRPr="001B4766">
        <w:t xml:space="preserve"> that:</w:t>
      </w:r>
    </w:p>
    <w:p w14:paraId="1A8756BE" w14:textId="35BCDBB7" w:rsidR="004A0442" w:rsidRPr="001B4766" w:rsidRDefault="004A0442" w:rsidP="00E14444"/>
    <w:p w14:paraId="57F427D5" w14:textId="3A20AB66" w:rsidR="00B330D9" w:rsidRPr="001B4766" w:rsidRDefault="00A55DB5" w:rsidP="00721205">
      <w:pPr>
        <w:pStyle w:val="mpcNormal"/>
        <w:numPr>
          <w:ilvl w:val="0"/>
          <w:numId w:val="11"/>
        </w:numPr>
      </w:pPr>
      <w:r>
        <w:t>t</w:t>
      </w:r>
      <w:r w:rsidR="00B330D9" w:rsidRPr="001B4766">
        <w:t>he requirement for providers to assess</w:t>
      </w:r>
      <w:r w:rsidR="00CE0B7A">
        <w:t xml:space="preserve"> the</w:t>
      </w:r>
      <w:r w:rsidR="00B330D9" w:rsidRPr="001B4766">
        <w:t xml:space="preserve"> level harm should be removed</w:t>
      </w:r>
    </w:p>
    <w:p w14:paraId="6DCAEBC9" w14:textId="454539EA" w:rsidR="00B330D9" w:rsidRPr="001B4766" w:rsidRDefault="00B330D9" w:rsidP="0048323A">
      <w:pPr>
        <w:pStyle w:val="ListBullet2"/>
      </w:pPr>
      <w:r w:rsidRPr="001B4766">
        <w:t>“Under the NDIS if a participant dies, is hospitalised while in our care, is subjected to sexual abuse, etc. this MUST be reported regardless of our assessment of harm”</w:t>
      </w:r>
      <w:r w:rsidR="00A4210C">
        <w:t>.</w:t>
      </w:r>
    </w:p>
    <w:p w14:paraId="51F5BF82" w14:textId="2ACA3ED2" w:rsidR="005C5F72" w:rsidRPr="001B4766" w:rsidRDefault="00A55DB5" w:rsidP="00721205">
      <w:pPr>
        <w:pStyle w:val="mpcNormal"/>
        <w:numPr>
          <w:ilvl w:val="0"/>
          <w:numId w:val="11"/>
        </w:numPr>
      </w:pPr>
      <w:r>
        <w:lastRenderedPageBreak/>
        <w:t>h</w:t>
      </w:r>
      <w:r w:rsidR="005C5F72" w:rsidRPr="001B4766">
        <w:t>aving one set timeframe is “clear and consistent and does not leave any room for confusion”</w:t>
      </w:r>
    </w:p>
    <w:p w14:paraId="2945DCAA" w14:textId="373F9BE5" w:rsidR="00B330D9" w:rsidRPr="001B4766" w:rsidRDefault="00A55DB5" w:rsidP="00721205">
      <w:pPr>
        <w:pStyle w:val="mpcNormal"/>
        <w:numPr>
          <w:ilvl w:val="0"/>
          <w:numId w:val="11"/>
        </w:numPr>
      </w:pPr>
      <w:r>
        <w:t>t</w:t>
      </w:r>
      <w:r w:rsidR="005C5F72" w:rsidRPr="001B4766">
        <w:t>he system should be very simple and focus on genuine serious risk only</w:t>
      </w:r>
    </w:p>
    <w:p w14:paraId="71771F0A" w14:textId="52780336" w:rsidR="005C5F72" w:rsidRPr="001B4766" w:rsidRDefault="00A55DB5" w:rsidP="00721205">
      <w:pPr>
        <w:pStyle w:val="mpcNormal"/>
        <w:numPr>
          <w:ilvl w:val="0"/>
          <w:numId w:val="11"/>
        </w:numPr>
      </w:pPr>
      <w:r>
        <w:t>p</w:t>
      </w:r>
      <w:r w:rsidR="005C5F72" w:rsidRPr="001B4766">
        <w:t>roviders of in-home services do not have 24/7 support (as per residential services) and may not be</w:t>
      </w:r>
      <w:r w:rsidR="005C5F72" w:rsidRPr="001B4766">
        <w:rPr>
          <w:lang w:eastAsia="en-AU"/>
        </w:rPr>
        <w:t xml:space="preserve"> able to </w:t>
      </w:r>
      <w:r w:rsidR="007E1BB6">
        <w:rPr>
          <w:lang w:eastAsia="en-AU"/>
        </w:rPr>
        <w:t>notify</w:t>
      </w:r>
      <w:r w:rsidR="005C5F72" w:rsidRPr="001B4766">
        <w:rPr>
          <w:lang w:eastAsia="en-AU"/>
        </w:rPr>
        <w:t xml:space="preserve"> outside business hours.</w:t>
      </w:r>
    </w:p>
    <w:p w14:paraId="27EA9FCD" w14:textId="77777777" w:rsidR="005C5F72" w:rsidRPr="001B4766" w:rsidRDefault="005C5F72" w:rsidP="00C866C1">
      <w:pPr>
        <w:pStyle w:val="ListBullet"/>
        <w:numPr>
          <w:ilvl w:val="0"/>
          <w:numId w:val="0"/>
        </w:numPr>
        <w:ind w:left="284"/>
      </w:pPr>
    </w:p>
    <w:p w14:paraId="5B3FF23E" w14:textId="01C2E8AA" w:rsidR="00B330D9" w:rsidRDefault="00A55DB5" w:rsidP="00C866C1">
      <w:pPr>
        <w:pStyle w:val="ListBullet"/>
        <w:numPr>
          <w:ilvl w:val="0"/>
          <w:numId w:val="0"/>
        </w:numPr>
      </w:pPr>
      <w:r>
        <w:t xml:space="preserve">Many providers </w:t>
      </w:r>
      <w:r w:rsidR="00B5091A">
        <w:t>suggest</w:t>
      </w:r>
      <w:r>
        <w:t xml:space="preserve">ed </w:t>
      </w:r>
      <w:r w:rsidR="00B5091A">
        <w:t xml:space="preserve">that </w:t>
      </w:r>
      <w:r w:rsidR="00B330D9" w:rsidRPr="001B4766">
        <w:t>24 hours is not a feasible timeframe, noting</w:t>
      </w:r>
      <w:r>
        <w:t xml:space="preserve"> that</w:t>
      </w:r>
      <w:r w:rsidR="00B330D9" w:rsidRPr="001B4766">
        <w:t>:</w:t>
      </w:r>
    </w:p>
    <w:p w14:paraId="43EC6F67" w14:textId="77777777" w:rsidR="00A55DB5" w:rsidRPr="001B4766" w:rsidRDefault="00A55DB5" w:rsidP="00C866C1">
      <w:pPr>
        <w:pStyle w:val="ListBullet"/>
        <w:numPr>
          <w:ilvl w:val="0"/>
          <w:numId w:val="0"/>
        </w:numPr>
      </w:pPr>
    </w:p>
    <w:p w14:paraId="598AC430" w14:textId="5B4B4F99" w:rsidR="00B330D9" w:rsidRPr="00A55DB5" w:rsidRDefault="00A55DB5" w:rsidP="007E1BB6">
      <w:pPr>
        <w:pStyle w:val="mpcNormal"/>
        <w:numPr>
          <w:ilvl w:val="0"/>
          <w:numId w:val="11"/>
        </w:numPr>
      </w:pPr>
      <w:r>
        <w:t>i</w:t>
      </w:r>
      <w:r w:rsidR="00B330D9" w:rsidRPr="001B4766">
        <w:t xml:space="preserve">t </w:t>
      </w:r>
      <w:r w:rsidR="00B330D9" w:rsidRPr="00A55DB5">
        <w:t xml:space="preserve">may take time for the staff member to make it known to </w:t>
      </w:r>
      <w:r w:rsidRPr="00A55DB5">
        <w:t>the provider</w:t>
      </w:r>
      <w:r w:rsidR="00B330D9" w:rsidRPr="00A55DB5">
        <w:t xml:space="preserve"> who then needs to report</w:t>
      </w:r>
      <w:r w:rsidR="007E1BB6">
        <w:t xml:space="preserve"> it</w:t>
      </w:r>
    </w:p>
    <w:p w14:paraId="671E0CE9" w14:textId="6302BD3C" w:rsidR="00A55DB5" w:rsidRPr="00A55DB5" w:rsidRDefault="00A55DB5" w:rsidP="007E1BB6">
      <w:pPr>
        <w:pStyle w:val="mpcNormal"/>
        <w:numPr>
          <w:ilvl w:val="0"/>
          <w:numId w:val="11"/>
        </w:numPr>
      </w:pPr>
      <w:r w:rsidRPr="00A55DB5">
        <w:t xml:space="preserve">the provider will need time to investigate what </w:t>
      </w:r>
      <w:r w:rsidR="007E1BB6">
        <w:t xml:space="preserve">actually </w:t>
      </w:r>
      <w:r w:rsidR="007E1BB6" w:rsidRPr="00A55DB5">
        <w:t>happened</w:t>
      </w:r>
      <w:r w:rsidRPr="00A55DB5">
        <w:t>; timeframes should be adjusted to reflect the requirement to gather information from various sources where communication can be complex and not timely</w:t>
      </w:r>
    </w:p>
    <w:p w14:paraId="6463CBAE" w14:textId="6389B976" w:rsidR="00A55DB5" w:rsidRPr="00A55DB5" w:rsidRDefault="00A55DB5" w:rsidP="007E1BB6">
      <w:pPr>
        <w:pStyle w:val="mpcNormal"/>
        <w:numPr>
          <w:ilvl w:val="0"/>
          <w:numId w:val="11"/>
        </w:numPr>
      </w:pPr>
      <w:r w:rsidRPr="00A55DB5">
        <w:t>some services don’t operate every day, so will need longer than 24 hours to report – some stakeholders suggested extending this to 72 hours to account for services that only operate during standard business hours, Monday to Friday</w:t>
      </w:r>
    </w:p>
    <w:p w14:paraId="729A85C8" w14:textId="5C281D55" w:rsidR="00A55DB5" w:rsidRPr="001B4766" w:rsidRDefault="00A55DB5" w:rsidP="007E1BB6">
      <w:pPr>
        <w:pStyle w:val="mpcNormal"/>
        <w:numPr>
          <w:ilvl w:val="0"/>
          <w:numId w:val="11"/>
        </w:numPr>
      </w:pPr>
      <w:r w:rsidRPr="00A55DB5">
        <w:t>a provider may be notified of an issue (e.g. through a third-party) and may not be able to verify</w:t>
      </w:r>
      <w:r w:rsidRPr="001B4766">
        <w:t xml:space="preserve"> whether an incident has occurred until their next visit with the consumer</w:t>
      </w:r>
      <w:r>
        <w:t>.</w:t>
      </w:r>
    </w:p>
    <w:p w14:paraId="188948B5" w14:textId="77777777" w:rsidR="00A55DB5" w:rsidRDefault="00A55DB5" w:rsidP="00A55DB5">
      <w:pPr>
        <w:pStyle w:val="ListBullet2"/>
        <w:numPr>
          <w:ilvl w:val="0"/>
          <w:numId w:val="0"/>
        </w:numPr>
        <w:ind w:left="720"/>
      </w:pPr>
    </w:p>
    <w:p w14:paraId="0306F851" w14:textId="36FD91B3" w:rsidR="00A55DB5" w:rsidRPr="001B4766" w:rsidRDefault="00A55DB5" w:rsidP="00A55DB5">
      <w:pPr>
        <w:pStyle w:val="mpcNormal"/>
      </w:pPr>
      <w:r w:rsidRPr="001B4766">
        <w:t xml:space="preserve">A number of stakeholders suggested variations on </w:t>
      </w:r>
      <w:r>
        <w:t xml:space="preserve">the proposed </w:t>
      </w:r>
      <w:r w:rsidR="006D457D">
        <w:t>notification</w:t>
      </w:r>
      <w:r w:rsidRPr="001B4766">
        <w:t xml:space="preserve"> timeframes, including:</w:t>
      </w:r>
    </w:p>
    <w:p w14:paraId="51B3490B" w14:textId="77777777" w:rsidR="00A55DB5" w:rsidRDefault="00A55DB5" w:rsidP="00C866C1">
      <w:pPr>
        <w:pStyle w:val="ListBullet"/>
        <w:numPr>
          <w:ilvl w:val="0"/>
          <w:numId w:val="0"/>
        </w:numPr>
        <w:ind w:left="426"/>
      </w:pPr>
    </w:p>
    <w:p w14:paraId="4D771A81" w14:textId="21FF141C" w:rsidR="00B330D9" w:rsidRPr="001B4766" w:rsidRDefault="00B330D9" w:rsidP="00E5723F">
      <w:pPr>
        <w:pStyle w:val="mpcNormal"/>
        <w:numPr>
          <w:ilvl w:val="0"/>
          <w:numId w:val="11"/>
        </w:numPr>
      </w:pPr>
      <w:r w:rsidRPr="001B4766">
        <w:t xml:space="preserve">between 24 hours to 72 hours for reporting </w:t>
      </w:r>
      <w:r w:rsidR="001B4766" w:rsidRPr="001B4766">
        <w:t>priority</w:t>
      </w:r>
      <w:r w:rsidRPr="001B4766">
        <w:t xml:space="preserve"> 1 incidents and between 3 to 30 days for reporting priority 2 incidents</w:t>
      </w:r>
    </w:p>
    <w:p w14:paraId="08CF0396" w14:textId="1A8EA9DF" w:rsidR="005C5F72" w:rsidRPr="001B4766" w:rsidRDefault="005C5F72" w:rsidP="00E5723F">
      <w:pPr>
        <w:pStyle w:val="mpcNormal"/>
        <w:numPr>
          <w:ilvl w:val="0"/>
          <w:numId w:val="11"/>
        </w:numPr>
      </w:pPr>
      <w:r w:rsidRPr="001B4766">
        <w:t>three business days for reporting any incident</w:t>
      </w:r>
    </w:p>
    <w:p w14:paraId="7EBE131D" w14:textId="6A7369B0" w:rsidR="004A0442" w:rsidRPr="001B4766" w:rsidRDefault="005C5F72" w:rsidP="00E5723F">
      <w:pPr>
        <w:pStyle w:val="mpcNormal"/>
        <w:numPr>
          <w:ilvl w:val="0"/>
          <w:numId w:val="11"/>
        </w:numPr>
      </w:pPr>
      <w:r w:rsidRPr="001B4766">
        <w:t>all incidents should be reported within five business days</w:t>
      </w:r>
    </w:p>
    <w:p w14:paraId="0953D59E" w14:textId="75B10F01" w:rsidR="004A0442" w:rsidRDefault="004A0442" w:rsidP="00E5723F">
      <w:pPr>
        <w:pStyle w:val="mpcNormal"/>
        <w:numPr>
          <w:ilvl w:val="0"/>
          <w:numId w:val="11"/>
        </w:numPr>
      </w:pPr>
      <w:r w:rsidRPr="001B4766">
        <w:t>all providers</w:t>
      </w:r>
      <w:r w:rsidR="006D457D">
        <w:t xml:space="preserve"> should</w:t>
      </w:r>
      <w:r w:rsidRPr="001B4766">
        <w:t xml:space="preserve"> submit a six-monthly SIRS report</w:t>
      </w:r>
      <w:r w:rsidR="001922D8">
        <w:t>,</w:t>
      </w:r>
      <w:r w:rsidRPr="001B4766">
        <w:t xml:space="preserve"> </w:t>
      </w:r>
      <w:r w:rsidR="00B5091A">
        <w:t>which includes</w:t>
      </w:r>
      <w:r w:rsidRPr="001B4766">
        <w:t xml:space="preserve"> all incidents </w:t>
      </w:r>
      <w:r w:rsidR="00B5091A">
        <w:t>that occurred during</w:t>
      </w:r>
      <w:r w:rsidRPr="001B4766">
        <w:t xml:space="preserve"> the past six months</w:t>
      </w:r>
      <w:r w:rsidR="00B5091A">
        <w:t>.</w:t>
      </w:r>
    </w:p>
    <w:p w14:paraId="7681F35C" w14:textId="77777777" w:rsidR="00A00209" w:rsidRPr="001B4766" w:rsidRDefault="00A00209" w:rsidP="00C866C1">
      <w:pPr>
        <w:pStyle w:val="ListBullet"/>
        <w:numPr>
          <w:ilvl w:val="0"/>
          <w:numId w:val="0"/>
        </w:numPr>
        <w:ind w:left="426"/>
      </w:pPr>
    </w:p>
    <w:p w14:paraId="448CBF3C" w14:textId="4F2EB543" w:rsidR="00992E7D" w:rsidRPr="001B4766" w:rsidRDefault="00C866C1" w:rsidP="00C866C1">
      <w:pPr>
        <w:pStyle w:val="Heading1"/>
      </w:pPr>
      <w:bookmarkStart w:id="56" w:name="_Toc77848175"/>
      <w:r>
        <w:br w:type="column"/>
      </w:r>
      <w:bookmarkStart w:id="57" w:name="_Toc80694383"/>
      <w:r w:rsidR="00992E7D" w:rsidRPr="001B4766">
        <w:lastRenderedPageBreak/>
        <w:t xml:space="preserve">Other </w:t>
      </w:r>
      <w:r w:rsidR="001B35BF" w:rsidRPr="001B4766">
        <w:t>considerations</w:t>
      </w:r>
      <w:bookmarkEnd w:id="56"/>
      <w:bookmarkEnd w:id="57"/>
    </w:p>
    <w:p w14:paraId="376C7891" w14:textId="77777777" w:rsidR="00A00209" w:rsidRDefault="00A00209" w:rsidP="00A55DB5">
      <w:pPr>
        <w:keepNext/>
      </w:pPr>
    </w:p>
    <w:p w14:paraId="46F28C01" w14:textId="36BCFB39" w:rsidR="005C5F72" w:rsidRPr="001B4766" w:rsidRDefault="005C5F72" w:rsidP="00C866C1">
      <w:pPr>
        <w:pStyle w:val="Heading2"/>
      </w:pPr>
      <w:bookmarkStart w:id="58" w:name="_Toc80694384"/>
      <w:r w:rsidRPr="001B4766">
        <w:t xml:space="preserve">SIRS </w:t>
      </w:r>
      <w:r w:rsidR="00A00209">
        <w:t>for</w:t>
      </w:r>
      <w:r w:rsidRPr="001B4766">
        <w:t xml:space="preserve"> residential services</w:t>
      </w:r>
      <w:bookmarkEnd w:id="58"/>
    </w:p>
    <w:p w14:paraId="105CAAD1" w14:textId="77777777" w:rsidR="005C5F72" w:rsidRPr="001B4766" w:rsidRDefault="005C5F72" w:rsidP="00C866C1">
      <w:pPr>
        <w:pStyle w:val="ListBullet"/>
        <w:numPr>
          <w:ilvl w:val="0"/>
          <w:numId w:val="0"/>
        </w:numPr>
      </w:pPr>
    </w:p>
    <w:p w14:paraId="036174FB" w14:textId="08161C7C" w:rsidR="00327E62" w:rsidRPr="00B5091A" w:rsidRDefault="005C5F72" w:rsidP="00C866C1">
      <w:pPr>
        <w:pStyle w:val="ListBullet"/>
        <w:numPr>
          <w:ilvl w:val="0"/>
          <w:numId w:val="0"/>
        </w:numPr>
      </w:pPr>
      <w:r w:rsidRPr="001B4766">
        <w:t xml:space="preserve">Some </w:t>
      </w:r>
      <w:r w:rsidR="008E7DC6">
        <w:t>stakeholders</w:t>
      </w:r>
      <w:r w:rsidRPr="001B4766">
        <w:t xml:space="preserve"> </w:t>
      </w:r>
      <w:r w:rsidR="00F94EBF">
        <w:t xml:space="preserve">referenced the </w:t>
      </w:r>
      <w:r w:rsidR="00327E62" w:rsidRPr="001B4766">
        <w:t>implementation of the</w:t>
      </w:r>
      <w:r w:rsidRPr="001B4766">
        <w:t xml:space="preserve"> SIRS </w:t>
      </w:r>
      <w:r w:rsidR="00A00209">
        <w:t>for</w:t>
      </w:r>
      <w:r w:rsidRPr="001B4766">
        <w:t xml:space="preserve"> residential care</w:t>
      </w:r>
      <w:r w:rsidR="00327E62" w:rsidRPr="001B4766">
        <w:t xml:space="preserve"> and</w:t>
      </w:r>
      <w:r w:rsidRPr="001B4766">
        <w:t xml:space="preserve"> not</w:t>
      </w:r>
      <w:r w:rsidR="00327E62" w:rsidRPr="001B4766">
        <w:t>ed</w:t>
      </w:r>
      <w:r w:rsidRPr="001B4766">
        <w:t xml:space="preserve"> </w:t>
      </w:r>
      <w:r w:rsidR="00327E62" w:rsidRPr="001B4766">
        <w:t xml:space="preserve">the </w:t>
      </w:r>
      <w:r w:rsidR="00327E62" w:rsidRPr="00B5091A">
        <w:t>lessons to be learned for the SIRS for in-home services:</w:t>
      </w:r>
    </w:p>
    <w:p w14:paraId="18787FF6" w14:textId="77777777" w:rsidR="00327E62" w:rsidRPr="00B5091A" w:rsidRDefault="00327E62" w:rsidP="00C866C1">
      <w:pPr>
        <w:pStyle w:val="ListBullet"/>
        <w:numPr>
          <w:ilvl w:val="0"/>
          <w:numId w:val="0"/>
        </w:numPr>
      </w:pPr>
    </w:p>
    <w:p w14:paraId="1866D7ED" w14:textId="162F71D9" w:rsidR="005C5F72" w:rsidRPr="00B5091A" w:rsidRDefault="00534E52" w:rsidP="006D457D">
      <w:pPr>
        <w:pStyle w:val="mpcNormal"/>
        <w:numPr>
          <w:ilvl w:val="0"/>
          <w:numId w:val="11"/>
        </w:numPr>
      </w:pPr>
      <w:r>
        <w:t>s</w:t>
      </w:r>
      <w:r w:rsidR="002B5F72">
        <w:t>ome</w:t>
      </w:r>
      <w:r w:rsidR="002B5F72">
        <w:rPr>
          <w:lang w:eastAsia="en-AU"/>
        </w:rPr>
        <w:t xml:space="preserve"> stakeholders noted that t</w:t>
      </w:r>
      <w:r w:rsidR="005C5F72" w:rsidRPr="00B5091A">
        <w:rPr>
          <w:lang w:eastAsia="en-AU"/>
        </w:rPr>
        <w:t xml:space="preserve">he </w:t>
      </w:r>
      <w:r w:rsidR="00327E62" w:rsidRPr="00B5091A">
        <w:rPr>
          <w:lang w:eastAsia="en-AU"/>
        </w:rPr>
        <w:t>large</w:t>
      </w:r>
      <w:r w:rsidR="005C5F72" w:rsidRPr="00B5091A">
        <w:rPr>
          <w:lang w:eastAsia="en-AU"/>
        </w:rPr>
        <w:t xml:space="preserve"> number of </w:t>
      </w:r>
      <w:r w:rsidR="00AB7D9D">
        <w:rPr>
          <w:lang w:eastAsia="en-AU"/>
        </w:rPr>
        <w:t>notifications</w:t>
      </w:r>
      <w:r w:rsidR="005C5F72" w:rsidRPr="00B5091A">
        <w:rPr>
          <w:lang w:eastAsia="en-AU"/>
        </w:rPr>
        <w:t xml:space="preserve"> under the SIRS </w:t>
      </w:r>
      <w:r w:rsidR="00327E62" w:rsidRPr="00B5091A">
        <w:rPr>
          <w:lang w:eastAsia="en-AU"/>
        </w:rPr>
        <w:t xml:space="preserve">for residential services </w:t>
      </w:r>
      <w:r w:rsidR="005C5F72" w:rsidRPr="00B5091A">
        <w:rPr>
          <w:lang w:eastAsia="en-AU"/>
        </w:rPr>
        <w:t xml:space="preserve">demonstrates that it is likely capturing many risks that are </w:t>
      </w:r>
      <w:r w:rsidR="002B5F72">
        <w:rPr>
          <w:lang w:eastAsia="en-AU"/>
        </w:rPr>
        <w:t>“</w:t>
      </w:r>
      <w:r w:rsidR="005C5F72" w:rsidRPr="00B5091A">
        <w:rPr>
          <w:lang w:eastAsia="en-AU"/>
        </w:rPr>
        <w:t>not truly serious</w:t>
      </w:r>
      <w:r w:rsidR="002B5F72">
        <w:rPr>
          <w:lang w:eastAsia="en-AU"/>
        </w:rPr>
        <w:t>”</w:t>
      </w:r>
      <w:r w:rsidR="00327E62" w:rsidRPr="00B5091A">
        <w:rPr>
          <w:lang w:eastAsia="en-AU"/>
        </w:rPr>
        <w:t xml:space="preserve"> (noting that providers err on the side of over-reporting to avoid compliance action)</w:t>
      </w:r>
    </w:p>
    <w:p w14:paraId="68424FAF" w14:textId="77777777" w:rsidR="00534E52" w:rsidRDefault="00534E52" w:rsidP="006D457D">
      <w:pPr>
        <w:pStyle w:val="mpcNormal"/>
        <w:numPr>
          <w:ilvl w:val="0"/>
          <w:numId w:val="11"/>
        </w:numPr>
      </w:pPr>
      <w:r>
        <w:rPr>
          <w:lang w:eastAsia="en-AU"/>
        </w:rPr>
        <w:t>s</w:t>
      </w:r>
      <w:r w:rsidR="00327E62" w:rsidRPr="00B5091A">
        <w:rPr>
          <w:lang w:eastAsia="en-AU"/>
        </w:rPr>
        <w:t>ome providers were concerned about the ongoing publication of (or updates made to) guidance materials following the commencement of the SIRS for residential care, noting that this created ongoing challenges for providers in ensuring their systems, processes and training were in line with current requirements</w:t>
      </w:r>
    </w:p>
    <w:p w14:paraId="0597EB86" w14:textId="52F7CF67" w:rsidR="00327E62" w:rsidRPr="00B5091A" w:rsidRDefault="00534E52" w:rsidP="006D457D">
      <w:pPr>
        <w:pStyle w:val="mpcNormal"/>
        <w:numPr>
          <w:ilvl w:val="0"/>
          <w:numId w:val="11"/>
        </w:numPr>
      </w:pPr>
      <w:r>
        <w:rPr>
          <w:lang w:eastAsia="en-AU"/>
        </w:rPr>
        <w:t>s</w:t>
      </w:r>
      <w:r w:rsidR="00327E62" w:rsidRPr="00B5091A">
        <w:rPr>
          <w:lang w:eastAsia="en-AU"/>
        </w:rPr>
        <w:t>ome stakeholders requested the SIRS for in-home services only be implemented “once it is perfected”</w:t>
      </w:r>
    </w:p>
    <w:p w14:paraId="54853215" w14:textId="38DE29AC" w:rsidR="00327E62" w:rsidRPr="00B5091A" w:rsidRDefault="00D23937" w:rsidP="00A00209">
      <w:pPr>
        <w:pStyle w:val="ListBullet2"/>
      </w:pPr>
      <w:r w:rsidRPr="00B5091A">
        <w:rPr>
          <w:lang w:eastAsia="en-AU"/>
        </w:rPr>
        <w:t xml:space="preserve">“The </w:t>
      </w:r>
      <w:r w:rsidRPr="00B5091A">
        <w:rPr>
          <w:rFonts w:cs="Arial"/>
        </w:rPr>
        <w:t>system</w:t>
      </w:r>
      <w:r w:rsidRPr="00B5091A">
        <w:rPr>
          <w:lang w:eastAsia="en-AU"/>
        </w:rPr>
        <w:t xml:space="preserve"> needs to</w:t>
      </w:r>
      <w:r w:rsidR="001B4766" w:rsidRPr="00B5091A">
        <w:rPr>
          <w:lang w:eastAsia="en-AU"/>
        </w:rPr>
        <w:t xml:space="preserve"> be</w:t>
      </w:r>
      <w:r w:rsidRPr="00B5091A">
        <w:rPr>
          <w:lang w:eastAsia="en-AU"/>
        </w:rPr>
        <w:t xml:space="preserve"> proven before it can be introduced in</w:t>
      </w:r>
      <w:r w:rsidR="005D3506">
        <w:rPr>
          <w:lang w:eastAsia="en-AU"/>
        </w:rPr>
        <w:t xml:space="preserve"> </w:t>
      </w:r>
      <w:r w:rsidRPr="00B5091A">
        <w:rPr>
          <w:lang w:eastAsia="en-AU"/>
        </w:rPr>
        <w:t>to home care”</w:t>
      </w:r>
      <w:r w:rsidR="00A4210C">
        <w:rPr>
          <w:lang w:eastAsia="en-AU"/>
        </w:rPr>
        <w:t>.</w:t>
      </w:r>
    </w:p>
    <w:p w14:paraId="68C2D8B4" w14:textId="1B4D75B3" w:rsidR="00D23937" w:rsidRPr="00B5091A" w:rsidRDefault="00D23937" w:rsidP="00A00209">
      <w:pPr>
        <w:pStyle w:val="ListBullet2"/>
        <w:rPr>
          <w:lang w:eastAsia="en-AU"/>
        </w:rPr>
      </w:pPr>
      <w:r w:rsidRPr="00B5091A">
        <w:rPr>
          <w:lang w:eastAsia="en-AU"/>
        </w:rPr>
        <w:t>“Implementing SIRS into home services should be deferred until SIRS has been finalised and proven in residential care”</w:t>
      </w:r>
      <w:r w:rsidR="00A4210C">
        <w:rPr>
          <w:lang w:eastAsia="en-AU"/>
        </w:rPr>
        <w:t>.</w:t>
      </w:r>
    </w:p>
    <w:p w14:paraId="66EF2BD5" w14:textId="05A91718" w:rsidR="00D23937" w:rsidRDefault="00D23937" w:rsidP="00A00209">
      <w:pPr>
        <w:pStyle w:val="ListBullet2"/>
        <w:rPr>
          <w:lang w:eastAsia="en-AU"/>
        </w:rPr>
      </w:pPr>
      <w:r w:rsidRPr="00B5091A">
        <w:rPr>
          <w:lang w:eastAsia="en-AU"/>
        </w:rPr>
        <w:t>“Fact sheets, webinars and other supports for providers should be published well before the commencement of the SIRS for in-home services”</w:t>
      </w:r>
      <w:r w:rsidR="00A4210C">
        <w:rPr>
          <w:lang w:eastAsia="en-AU"/>
        </w:rPr>
        <w:t>.</w:t>
      </w:r>
    </w:p>
    <w:p w14:paraId="05E01630" w14:textId="2C260B64" w:rsidR="002B5F72" w:rsidRDefault="00534E52" w:rsidP="006D457D">
      <w:pPr>
        <w:pStyle w:val="mpcNormal"/>
        <w:numPr>
          <w:ilvl w:val="0"/>
          <w:numId w:val="11"/>
        </w:numPr>
      </w:pPr>
      <w:r>
        <w:t>p</w:t>
      </w:r>
      <w:r w:rsidR="002B5F72">
        <w:t xml:space="preserve">roviders </w:t>
      </w:r>
      <w:r w:rsidR="002B5F72">
        <w:rPr>
          <w:lang w:eastAsia="en-AU"/>
        </w:rPr>
        <w:t>were</w:t>
      </w:r>
      <w:r w:rsidR="002B5F72">
        <w:t xml:space="preserve"> keen to ensure</w:t>
      </w:r>
      <w:r w:rsidR="002B5F72" w:rsidRPr="001B4766">
        <w:t xml:space="preserve"> that the online reporting system is not difficult to navigate and does not place excessive burden on </w:t>
      </w:r>
      <w:r w:rsidR="002B5F72" w:rsidRPr="002B5F72">
        <w:t>small</w:t>
      </w:r>
      <w:r w:rsidR="002B5F72" w:rsidRPr="001B4766">
        <w:t xml:space="preserve"> </w:t>
      </w:r>
      <w:r>
        <w:t>organisations</w:t>
      </w:r>
      <w:r w:rsidR="002B5F72" w:rsidRPr="001B4766">
        <w:t>.</w:t>
      </w:r>
    </w:p>
    <w:p w14:paraId="356B43AA" w14:textId="77777777" w:rsidR="00A00209" w:rsidRPr="002B5F72" w:rsidRDefault="00A00209" w:rsidP="00C866C1">
      <w:pPr>
        <w:pStyle w:val="ListBullet"/>
        <w:numPr>
          <w:ilvl w:val="0"/>
          <w:numId w:val="0"/>
        </w:numPr>
        <w:ind w:left="426"/>
      </w:pPr>
    </w:p>
    <w:p w14:paraId="274ED77B" w14:textId="61F1DC47" w:rsidR="00272E98" w:rsidRPr="001B4766" w:rsidRDefault="00272E98" w:rsidP="00C866C1">
      <w:pPr>
        <w:pStyle w:val="Heading2"/>
      </w:pPr>
      <w:bookmarkStart w:id="59" w:name="_Toc80694385"/>
      <w:r w:rsidRPr="001B4766">
        <w:t>Support for providers</w:t>
      </w:r>
      <w:bookmarkEnd w:id="59"/>
    </w:p>
    <w:p w14:paraId="16AD59C9" w14:textId="77777777" w:rsidR="00272E98" w:rsidRPr="001B4766" w:rsidRDefault="00272E98" w:rsidP="00E14444"/>
    <w:p w14:paraId="51F0692A" w14:textId="3DFEE7F7" w:rsidR="00A754B0" w:rsidRDefault="00A754B0" w:rsidP="00E14444">
      <w:r>
        <w:t>Providers expressed some concern regarding the administration time and resourcing impacts of the implementation of the SIRS for in-home services.</w:t>
      </w:r>
    </w:p>
    <w:p w14:paraId="753FF66E" w14:textId="77777777" w:rsidR="00A754B0" w:rsidRDefault="00A754B0" w:rsidP="00E14444"/>
    <w:p w14:paraId="5085EF6B" w14:textId="0EFF5A82" w:rsidR="00327E62" w:rsidRPr="001B4766" w:rsidRDefault="00327E62" w:rsidP="00E14444">
      <w:r w:rsidRPr="001B4766">
        <w:t xml:space="preserve">Stakeholders consistently </w:t>
      </w:r>
      <w:r w:rsidR="00A14D8D" w:rsidRPr="001B4766">
        <w:t xml:space="preserve">emphasised </w:t>
      </w:r>
      <w:r w:rsidRPr="001B4766">
        <w:t>the importance of robust, clear and consistent guidance and support regarding the SIRS for in-home services for providers</w:t>
      </w:r>
      <w:r w:rsidR="00A14D8D" w:rsidRPr="001B4766">
        <w:t xml:space="preserve">, </w:t>
      </w:r>
      <w:r w:rsidRPr="001B4766">
        <w:t>workers</w:t>
      </w:r>
      <w:r w:rsidR="00A14D8D" w:rsidRPr="001B4766">
        <w:t xml:space="preserve"> and consumers</w:t>
      </w:r>
      <w:r w:rsidRPr="001B4766">
        <w:t>.</w:t>
      </w:r>
    </w:p>
    <w:p w14:paraId="3573F718" w14:textId="3CDB1B0D" w:rsidR="00327E62" w:rsidRPr="001B4766" w:rsidRDefault="00327E62" w:rsidP="00E14444"/>
    <w:p w14:paraId="2A3154C4" w14:textId="73A4E0CC" w:rsidR="000E1E29" w:rsidRPr="00D740B8" w:rsidRDefault="000E1E29" w:rsidP="00E14444">
      <w:pPr>
        <w:pStyle w:val="mpcNormal"/>
      </w:pPr>
      <w:r w:rsidRPr="00D740B8">
        <w:t xml:space="preserve">Participants flagged that communication around the </w:t>
      </w:r>
      <w:r w:rsidR="00AB7D9D">
        <w:t>s</w:t>
      </w:r>
      <w:r w:rsidRPr="00D740B8">
        <w:t xml:space="preserve">cheme needs to </w:t>
      </w:r>
      <w:r w:rsidR="00A754B0">
        <w:t>describe</w:t>
      </w:r>
      <w:r w:rsidRPr="00D740B8">
        <w:t xml:space="preserve">: </w:t>
      </w:r>
    </w:p>
    <w:p w14:paraId="418DA72A" w14:textId="77777777" w:rsidR="000E1E29" w:rsidRPr="00D740B8" w:rsidRDefault="000E1E29" w:rsidP="00E14444">
      <w:pPr>
        <w:pStyle w:val="mpcNormal"/>
      </w:pPr>
    </w:p>
    <w:p w14:paraId="1A75C18C" w14:textId="7E5E202F" w:rsidR="00A14D8D" w:rsidRPr="00D740B8" w:rsidRDefault="00A14D8D" w:rsidP="00CF68A0">
      <w:pPr>
        <w:pStyle w:val="mpcNormal"/>
        <w:numPr>
          <w:ilvl w:val="0"/>
          <w:numId w:val="11"/>
        </w:numPr>
      </w:pPr>
      <w:r w:rsidRPr="00D740B8">
        <w:t xml:space="preserve">clear definitions and guidance regarding </w:t>
      </w:r>
      <w:r w:rsidR="00534E52">
        <w:t>reportable incidents</w:t>
      </w:r>
    </w:p>
    <w:p w14:paraId="5E3E8DB6" w14:textId="17DA7D0B" w:rsidR="00A14D8D" w:rsidRPr="00D740B8" w:rsidRDefault="00A14D8D" w:rsidP="0048323A">
      <w:pPr>
        <w:pStyle w:val="ListBullet2"/>
      </w:pPr>
      <w:r w:rsidRPr="00D740B8">
        <w:rPr>
          <w:rFonts w:cs="Arial"/>
        </w:rPr>
        <w:t>This</w:t>
      </w:r>
      <w:r w:rsidRPr="00D740B8">
        <w:t xml:space="preserve"> was considered key, with many stakeholders requesting specific and tailored examples of what would be considered in scope and out of scope for reporting to the Commission under each incident type.</w:t>
      </w:r>
    </w:p>
    <w:p w14:paraId="7252C66E" w14:textId="77777777" w:rsidR="000E1E29" w:rsidRPr="00D740B8" w:rsidRDefault="000E1E29" w:rsidP="00CF68A0">
      <w:pPr>
        <w:pStyle w:val="mpcNormal"/>
        <w:numPr>
          <w:ilvl w:val="0"/>
          <w:numId w:val="11"/>
        </w:numPr>
      </w:pPr>
      <w:r w:rsidRPr="00D740B8">
        <w:t>the importance of proportionate response as part of good and effective incident management</w:t>
      </w:r>
    </w:p>
    <w:p w14:paraId="5226E2F4" w14:textId="14FFD4BF" w:rsidR="00D740B8" w:rsidRDefault="000E1E29" w:rsidP="00CF68A0">
      <w:pPr>
        <w:pStyle w:val="mpcNormal"/>
        <w:numPr>
          <w:ilvl w:val="0"/>
          <w:numId w:val="11"/>
        </w:numPr>
      </w:pPr>
      <w:r w:rsidRPr="00D740B8">
        <w:t xml:space="preserve">the focus of the </w:t>
      </w:r>
      <w:r w:rsidR="00AB7D9D">
        <w:t>s</w:t>
      </w:r>
      <w:r w:rsidRPr="00D740B8">
        <w:t>cheme is not about reporting (who you are required to tell when), but more broadly about managing the risk to the consumer and preventing instances of elder abuse and neglect</w:t>
      </w:r>
    </w:p>
    <w:p w14:paraId="6C93516F" w14:textId="7CF89511" w:rsidR="000E1E29" w:rsidRPr="00D740B8" w:rsidRDefault="00685EDD" w:rsidP="00CF68A0">
      <w:pPr>
        <w:pStyle w:val="mpcNormal"/>
        <w:numPr>
          <w:ilvl w:val="0"/>
          <w:numId w:val="11"/>
        </w:numPr>
      </w:pPr>
      <w:r w:rsidRPr="00D740B8">
        <w:t xml:space="preserve">clear requirements around allegations between providers (particularly where there are </w:t>
      </w:r>
      <w:r w:rsidR="00534E52">
        <w:t>subcontracting</w:t>
      </w:r>
      <w:r w:rsidRPr="00D740B8">
        <w:t xml:space="preserve"> arrangements in place)</w:t>
      </w:r>
      <w:r w:rsidR="00D740B8">
        <w:t>.</w:t>
      </w:r>
    </w:p>
    <w:p w14:paraId="7B48CF05" w14:textId="333ADB91" w:rsidR="000E1E29" w:rsidRPr="00D740B8" w:rsidRDefault="000E1E29" w:rsidP="00E14444"/>
    <w:p w14:paraId="390A4271" w14:textId="596AC38A" w:rsidR="00327E62" w:rsidRPr="00D740B8" w:rsidRDefault="00327E62" w:rsidP="00E14444">
      <w:r w:rsidRPr="00D740B8">
        <w:t xml:space="preserve">Stakeholders also requested the </w:t>
      </w:r>
      <w:r w:rsidR="008F7A6D">
        <w:t>D</w:t>
      </w:r>
      <w:r w:rsidR="000E1E29" w:rsidRPr="00D740B8">
        <w:t>epartment</w:t>
      </w:r>
      <w:r w:rsidR="008C4207">
        <w:t xml:space="preserve"> or </w:t>
      </w:r>
      <w:r w:rsidR="00D23937" w:rsidRPr="00D740B8">
        <w:t xml:space="preserve">the </w:t>
      </w:r>
      <w:r w:rsidRPr="00D740B8">
        <w:t>Commission provide training</w:t>
      </w:r>
      <w:r w:rsidR="00A14D8D" w:rsidRPr="00D740B8">
        <w:t xml:space="preserve"> resources</w:t>
      </w:r>
      <w:r w:rsidRPr="00D740B8">
        <w:t xml:space="preserve"> for workers, noting:</w:t>
      </w:r>
    </w:p>
    <w:p w14:paraId="70FF9065" w14:textId="175366FC" w:rsidR="00327E62" w:rsidRPr="00D740B8" w:rsidRDefault="00327E62" w:rsidP="00E14444"/>
    <w:p w14:paraId="0C5AD5FF" w14:textId="42E796A3" w:rsidR="00D740B8" w:rsidRPr="00D740B8" w:rsidRDefault="00D740B8" w:rsidP="00CF68A0">
      <w:pPr>
        <w:pStyle w:val="mpcNormal"/>
        <w:numPr>
          <w:ilvl w:val="0"/>
          <w:numId w:val="11"/>
        </w:numPr>
      </w:pPr>
      <w:r w:rsidRPr="00D740B8">
        <w:t>“An effective SIRS depends on a trained, supervised and well-resourced workforce”</w:t>
      </w:r>
      <w:r w:rsidR="00A4210C">
        <w:t>.</w:t>
      </w:r>
    </w:p>
    <w:p w14:paraId="722004AF" w14:textId="1B905110" w:rsidR="00327E62" w:rsidRPr="001B4766" w:rsidRDefault="00534E52" w:rsidP="00CF68A0">
      <w:pPr>
        <w:pStyle w:val="mpcNormal"/>
        <w:numPr>
          <w:ilvl w:val="0"/>
          <w:numId w:val="11"/>
        </w:numPr>
      </w:pPr>
      <w:r>
        <w:lastRenderedPageBreak/>
        <w:t>s</w:t>
      </w:r>
      <w:r w:rsidR="002D1BDD">
        <w:t>upport is required to build capability in the sector</w:t>
      </w:r>
      <w:r>
        <w:t>,</w:t>
      </w:r>
      <w:r w:rsidR="002D1BDD">
        <w:t xml:space="preserve"> as m</w:t>
      </w:r>
      <w:r w:rsidR="00327E62" w:rsidRPr="001B4766">
        <w:t xml:space="preserve">any providers </w:t>
      </w:r>
      <w:r w:rsidR="00D740B8" w:rsidRPr="001B4766">
        <w:t xml:space="preserve">of </w:t>
      </w:r>
      <w:r w:rsidR="00D740B8">
        <w:t>in-home services</w:t>
      </w:r>
      <w:r w:rsidR="00D740B8" w:rsidRPr="001B4766">
        <w:t xml:space="preserve"> </w:t>
      </w:r>
      <w:r w:rsidR="00327E62" w:rsidRPr="001B4766">
        <w:t>and their workers will likely be starting from a lower knowledge base regarding</w:t>
      </w:r>
      <w:r w:rsidR="000E1E29" w:rsidRPr="001B4766">
        <w:t xml:space="preserve"> mandatory reporting schemes and will need additional support to understand the requirements</w:t>
      </w:r>
    </w:p>
    <w:p w14:paraId="72BB6EA3" w14:textId="6A64FA86" w:rsidR="00534E52" w:rsidRPr="00CF68A0" w:rsidRDefault="00534E52" w:rsidP="00CF68A0">
      <w:pPr>
        <w:pStyle w:val="mpcNormal"/>
        <w:numPr>
          <w:ilvl w:val="0"/>
          <w:numId w:val="11"/>
        </w:numPr>
      </w:pPr>
      <w:r>
        <w:t>s</w:t>
      </w:r>
      <w:r w:rsidRPr="00D740B8">
        <w:t>ome of the small</w:t>
      </w:r>
      <w:r>
        <w:t xml:space="preserve">er </w:t>
      </w:r>
      <w:r w:rsidRPr="00D740B8">
        <w:t>providers</w:t>
      </w:r>
      <w:r>
        <w:t xml:space="preserve"> (particularly CHSP providers) may</w:t>
      </w:r>
      <w:r w:rsidRPr="00D740B8">
        <w:t xml:space="preserve"> not have the resources or support to develop their own training and guidance (noting the not-for-profit/</w:t>
      </w:r>
      <w:r w:rsidR="007C6799">
        <w:t xml:space="preserve"> </w:t>
      </w:r>
      <w:r w:rsidRPr="00D740B8">
        <w:t>volunteer</w:t>
      </w:r>
      <w:r w:rsidR="007C6799">
        <w:noBreakHyphen/>
      </w:r>
      <w:r w:rsidRPr="00D740B8">
        <w:t>based nature of some of these organisations)</w:t>
      </w:r>
    </w:p>
    <w:p w14:paraId="2279D18B" w14:textId="189B4B55" w:rsidR="000E1E29" w:rsidRPr="00062561" w:rsidRDefault="00534E52" w:rsidP="00CF68A0">
      <w:pPr>
        <w:pStyle w:val="mpcNormal"/>
        <w:numPr>
          <w:ilvl w:val="0"/>
          <w:numId w:val="11"/>
        </w:numPr>
      </w:pPr>
      <w:r>
        <w:t>c</w:t>
      </w:r>
      <w:r w:rsidR="000E1E29" w:rsidRPr="001B4766">
        <w:t xml:space="preserve">onsistent messaging and training will be critical to understanding the </w:t>
      </w:r>
      <w:r w:rsidR="001A3857">
        <w:t>s</w:t>
      </w:r>
      <w:r w:rsidR="000E1E29" w:rsidRPr="001B4766">
        <w:t>cheme</w:t>
      </w:r>
      <w:r w:rsidR="00D23937" w:rsidRPr="001B4766">
        <w:t xml:space="preserve">, particularly where subcontracted staff/organisations may be working across multiple </w:t>
      </w:r>
      <w:r w:rsidR="00D23937" w:rsidRPr="00062561">
        <w:t>providers</w:t>
      </w:r>
    </w:p>
    <w:p w14:paraId="7B32A2A0" w14:textId="07EEAD94" w:rsidR="000E1E29" w:rsidRPr="00062561" w:rsidRDefault="00534E52" w:rsidP="00CF68A0">
      <w:pPr>
        <w:pStyle w:val="mpcNormal"/>
        <w:numPr>
          <w:ilvl w:val="0"/>
          <w:numId w:val="11"/>
        </w:numPr>
      </w:pPr>
      <w:r>
        <w:t>w</w:t>
      </w:r>
      <w:r w:rsidR="000E1E29" w:rsidRPr="00062561">
        <w:t>orkers may require particular training in:</w:t>
      </w:r>
    </w:p>
    <w:p w14:paraId="27185282" w14:textId="209047D5" w:rsidR="000E1E29" w:rsidRPr="00062561" w:rsidRDefault="000E1E29" w:rsidP="0048323A">
      <w:pPr>
        <w:pStyle w:val="ListBullet2"/>
      </w:pPr>
      <w:r w:rsidRPr="00062561">
        <w:t xml:space="preserve">identifying incidents </w:t>
      </w:r>
    </w:p>
    <w:p w14:paraId="483B2577" w14:textId="4846663F" w:rsidR="00D23937" w:rsidRPr="00062561" w:rsidRDefault="00D23937" w:rsidP="0048323A">
      <w:pPr>
        <w:pStyle w:val="ListBullet2"/>
      </w:pPr>
      <w:r w:rsidRPr="00062561">
        <w:t>assessing/investigating incidents, noting that many organisations w</w:t>
      </w:r>
      <w:r w:rsidR="00F7047D">
        <w:t>ill not</w:t>
      </w:r>
      <w:r w:rsidRPr="00062561">
        <w:t xml:space="preserve"> have specific staff to undertake this role (as may occur in residential services)</w:t>
      </w:r>
    </w:p>
    <w:p w14:paraId="66C0A124" w14:textId="569C60D1" w:rsidR="000E1E29" w:rsidRPr="00062561" w:rsidRDefault="000E1E29" w:rsidP="0048323A">
      <w:pPr>
        <w:pStyle w:val="ListBullet2"/>
      </w:pPr>
      <w:r w:rsidRPr="00062561">
        <w:t>how to approach discussions about actual or suspected incidents with consumers</w:t>
      </w:r>
    </w:p>
    <w:p w14:paraId="66C5EF02" w14:textId="40CC83BA" w:rsidR="000E1E29" w:rsidRPr="00062561" w:rsidRDefault="000E1E29" w:rsidP="0048323A">
      <w:pPr>
        <w:pStyle w:val="ListBullet2"/>
      </w:pPr>
      <w:r w:rsidRPr="00062561">
        <w:t>seeking consumer consent to report and explaining mandatory reporting obligations to consumers (and their families)</w:t>
      </w:r>
    </w:p>
    <w:p w14:paraId="79BF354B" w14:textId="6C75BD51" w:rsidR="000E1E29" w:rsidRPr="00062561" w:rsidRDefault="000E1E29" w:rsidP="0048323A">
      <w:pPr>
        <w:pStyle w:val="ListBullet2"/>
      </w:pPr>
      <w:r w:rsidRPr="00062561">
        <w:t>liaising with police and others</w:t>
      </w:r>
    </w:p>
    <w:p w14:paraId="16116F42" w14:textId="5EF0F1A6" w:rsidR="000E1E29" w:rsidRPr="00062561" w:rsidRDefault="000E1E29" w:rsidP="0048323A">
      <w:pPr>
        <w:pStyle w:val="ListBullet2"/>
      </w:pPr>
      <w:r w:rsidRPr="00062561">
        <w:t>protections for staff (where reports are made without a consumer’s consent)</w:t>
      </w:r>
    </w:p>
    <w:p w14:paraId="5C735993" w14:textId="5040484C" w:rsidR="000E1E29" w:rsidRPr="00062561" w:rsidRDefault="000E1E29" w:rsidP="0048323A">
      <w:pPr>
        <w:pStyle w:val="ListBullet2"/>
        <w:rPr>
          <w:rFonts w:cs="Arial"/>
        </w:rPr>
      </w:pPr>
      <w:r w:rsidRPr="00062561">
        <w:t>ensuring consumers are aware of where they can seek help from advocates, elder support organisations, etc.</w:t>
      </w:r>
    </w:p>
    <w:p w14:paraId="63BA77D8" w14:textId="7356CACF" w:rsidR="000E1E29" w:rsidRDefault="000E1E29" w:rsidP="00E14444"/>
    <w:p w14:paraId="63AF4981" w14:textId="498AB76B" w:rsidR="00062561" w:rsidRPr="0048323A" w:rsidRDefault="00062561" w:rsidP="007476B6">
      <w:pPr>
        <w:rPr>
          <w:rFonts w:cs="Arial"/>
          <w:i/>
          <w:iCs/>
        </w:rPr>
      </w:pPr>
      <w:r w:rsidRPr="0048323A">
        <w:rPr>
          <w:i/>
          <w:iCs/>
        </w:rPr>
        <w:t>“I strongly support an improved system of accountability for reporting but key to effective safeguarding is ensuring workers are supported to develop good assessment skills, to manage and overcome internal and external barriers to reporting and supported to follow up and provide supports to address the underlying cause of the risk/harm where possible. This relies on training and ongoing quality practice support, including a culture of reflective practice and supervision”</w:t>
      </w:r>
      <w:r w:rsidR="00A4210C">
        <w:rPr>
          <w:i/>
          <w:iCs/>
        </w:rPr>
        <w:t>.</w:t>
      </w:r>
    </w:p>
    <w:p w14:paraId="62FDBD5E" w14:textId="77777777" w:rsidR="00062561" w:rsidRPr="00062561" w:rsidRDefault="00062561" w:rsidP="00E14444"/>
    <w:p w14:paraId="41D4E968" w14:textId="33DE3122" w:rsidR="00327E62" w:rsidRPr="001B4766" w:rsidRDefault="000E1E29" w:rsidP="00E14444">
      <w:r w:rsidRPr="00062561">
        <w:t>Some stakeholders also noted the importance of resources for</w:t>
      </w:r>
      <w:r w:rsidRPr="001B4766">
        <w:t xml:space="preserve"> consumers to help explain the purpose and requirements of the SIRS for in-home services, including:</w:t>
      </w:r>
    </w:p>
    <w:p w14:paraId="6E0FC4BC" w14:textId="6DFB42E6" w:rsidR="000E1E29" w:rsidRPr="001B4766" w:rsidRDefault="000E1E29" w:rsidP="00E14444"/>
    <w:p w14:paraId="5E47E963" w14:textId="64B929FF" w:rsidR="000E1E29" w:rsidRPr="001B4766" w:rsidRDefault="002B5F72" w:rsidP="00CF68A0">
      <w:pPr>
        <w:pStyle w:val="mpcNormal"/>
        <w:numPr>
          <w:ilvl w:val="0"/>
          <w:numId w:val="11"/>
        </w:numPr>
      </w:pPr>
      <w:r>
        <w:t>r</w:t>
      </w:r>
      <w:r w:rsidR="000E1E29" w:rsidRPr="001B4766">
        <w:t>equirements for providers to report some incidents, even where consumers do not consent to this</w:t>
      </w:r>
    </w:p>
    <w:p w14:paraId="5B427341" w14:textId="3EEBCA2F" w:rsidR="000E1E29" w:rsidRPr="001B4766" w:rsidRDefault="002B5F72" w:rsidP="00CF68A0">
      <w:pPr>
        <w:pStyle w:val="mpcNormal"/>
        <w:numPr>
          <w:ilvl w:val="0"/>
          <w:numId w:val="11"/>
        </w:numPr>
      </w:pPr>
      <w:r>
        <w:t>h</w:t>
      </w:r>
      <w:r w:rsidR="00D23937" w:rsidRPr="001B4766">
        <w:t xml:space="preserve">ow private consumer information will be managed under the </w:t>
      </w:r>
      <w:r w:rsidR="001A3857">
        <w:t>s</w:t>
      </w:r>
      <w:r w:rsidR="00D23937" w:rsidRPr="001B4766">
        <w:t>cheme</w:t>
      </w:r>
    </w:p>
    <w:p w14:paraId="3EFC1626" w14:textId="2F0A9F85" w:rsidR="00D23937" w:rsidRPr="001B4766" w:rsidRDefault="002B5F72" w:rsidP="00CF68A0">
      <w:pPr>
        <w:pStyle w:val="mpcNormal"/>
        <w:numPr>
          <w:ilvl w:val="0"/>
          <w:numId w:val="11"/>
        </w:numPr>
      </w:pPr>
      <w:r>
        <w:t>h</w:t>
      </w:r>
      <w:r w:rsidR="00D23937" w:rsidRPr="001B4766">
        <w:t>ow consumers can access advocates and make complaints to the Commission.</w:t>
      </w:r>
    </w:p>
    <w:p w14:paraId="045F7EF2" w14:textId="77777777" w:rsidR="00D23937" w:rsidRPr="001B4766" w:rsidRDefault="00D23937" w:rsidP="00A14D8D">
      <w:pPr>
        <w:pStyle w:val="Tablelistbullet"/>
        <w:numPr>
          <w:ilvl w:val="0"/>
          <w:numId w:val="0"/>
        </w:numPr>
        <w:spacing w:before="0" w:after="0"/>
        <w:rPr>
          <w:sz w:val="22"/>
          <w:szCs w:val="22"/>
        </w:rPr>
      </w:pPr>
    </w:p>
    <w:p w14:paraId="2EF89BC0" w14:textId="6D51F4BE" w:rsidR="00D23937" w:rsidRPr="00062561" w:rsidRDefault="00D23937" w:rsidP="00062561">
      <w:pPr>
        <w:pStyle w:val="Tablelistbullet"/>
        <w:numPr>
          <w:ilvl w:val="0"/>
          <w:numId w:val="0"/>
        </w:numPr>
        <w:spacing w:before="0" w:after="0"/>
        <w:rPr>
          <w:sz w:val="22"/>
          <w:szCs w:val="22"/>
        </w:rPr>
      </w:pPr>
      <w:r w:rsidRPr="001B4766">
        <w:rPr>
          <w:sz w:val="22"/>
          <w:szCs w:val="22"/>
        </w:rPr>
        <w:t>Some stakeholders highlighted the importance of having this information available in different languages.</w:t>
      </w:r>
    </w:p>
    <w:p w14:paraId="2A2BD2E4" w14:textId="77777777" w:rsidR="0048323A" w:rsidRDefault="0048323A" w:rsidP="0048323A">
      <w:pPr>
        <w:pStyle w:val="Heading3"/>
      </w:pPr>
    </w:p>
    <w:p w14:paraId="3658BD90" w14:textId="391D0A95" w:rsidR="00272E98" w:rsidRPr="0048323A" w:rsidRDefault="00272E98" w:rsidP="00C866C1">
      <w:pPr>
        <w:pStyle w:val="Heading2"/>
      </w:pPr>
      <w:bookmarkStart w:id="60" w:name="_Toc80694386"/>
      <w:r w:rsidRPr="0048323A">
        <w:t>Role of the Commission</w:t>
      </w:r>
      <w:bookmarkEnd w:id="60"/>
    </w:p>
    <w:p w14:paraId="3DA0C18F" w14:textId="4DF94550" w:rsidR="00D23937" w:rsidRPr="001B4766" w:rsidRDefault="00D23937" w:rsidP="00E14444"/>
    <w:p w14:paraId="24F4A47C" w14:textId="76B84F4D" w:rsidR="00A14D8D" w:rsidRPr="001B4766" w:rsidRDefault="00D23937" w:rsidP="00E14444">
      <w:r w:rsidRPr="001B4766">
        <w:t xml:space="preserve">Some stakeholders emphasised </w:t>
      </w:r>
      <w:r w:rsidR="00A14D8D" w:rsidRPr="001B4766">
        <w:t>that the</w:t>
      </w:r>
      <w:r w:rsidR="00272E98" w:rsidRPr="001B4766">
        <w:t xml:space="preserve"> success of the </w:t>
      </w:r>
      <w:r w:rsidR="001A3857">
        <w:t>s</w:t>
      </w:r>
      <w:r w:rsidR="00272E98" w:rsidRPr="001B4766">
        <w:t xml:space="preserve">cheme is dependent on the regulator having the capability, capacity and appropriate resources to </w:t>
      </w:r>
      <w:r w:rsidR="00A14D8D" w:rsidRPr="001B4766">
        <w:t>assess and manage reports</w:t>
      </w:r>
      <w:r w:rsidR="00272E98" w:rsidRPr="001B4766">
        <w:t xml:space="preserve"> in a responsive and timely way. </w:t>
      </w:r>
    </w:p>
    <w:p w14:paraId="1A3F50DC" w14:textId="77777777" w:rsidR="00A14D8D" w:rsidRPr="001B4766" w:rsidRDefault="00A14D8D" w:rsidP="00E14444"/>
    <w:p w14:paraId="332D77D2" w14:textId="3B9B4E6A" w:rsidR="00272E98" w:rsidRPr="001B4766" w:rsidRDefault="00A14D8D" w:rsidP="00534E52">
      <w:r w:rsidRPr="001B4766">
        <w:rPr>
          <w:rFonts w:cs="Arial"/>
        </w:rPr>
        <w:t>Some stakeholders noted that t</w:t>
      </w:r>
      <w:r w:rsidR="007722AA" w:rsidRPr="001B4766">
        <w:rPr>
          <w:lang w:eastAsia="en-AU"/>
        </w:rPr>
        <w:t xml:space="preserve">he responsibilities of the Commission </w:t>
      </w:r>
      <w:r w:rsidRPr="001B4766">
        <w:rPr>
          <w:lang w:eastAsia="en-AU"/>
        </w:rPr>
        <w:t xml:space="preserve">in receiving and assessing </w:t>
      </w:r>
      <w:r w:rsidR="00CF68A0">
        <w:rPr>
          <w:lang w:eastAsia="en-AU"/>
        </w:rPr>
        <w:t>notifications</w:t>
      </w:r>
      <w:r w:rsidRPr="001B4766">
        <w:rPr>
          <w:lang w:eastAsia="en-AU"/>
        </w:rPr>
        <w:t xml:space="preserve"> </w:t>
      </w:r>
      <w:r w:rsidR="007722AA" w:rsidRPr="001B4766">
        <w:rPr>
          <w:lang w:eastAsia="en-AU"/>
        </w:rPr>
        <w:t xml:space="preserve">should be made </w:t>
      </w:r>
      <w:r w:rsidRPr="001B4766">
        <w:rPr>
          <w:lang w:eastAsia="en-AU"/>
        </w:rPr>
        <w:t>clear for all stakeholders</w:t>
      </w:r>
      <w:r w:rsidR="007722AA" w:rsidRPr="001B4766">
        <w:rPr>
          <w:lang w:eastAsia="en-AU"/>
        </w:rPr>
        <w:t>.</w:t>
      </w:r>
    </w:p>
    <w:p w14:paraId="265606EE" w14:textId="06642895" w:rsidR="00542BBF" w:rsidRDefault="00457249" w:rsidP="00542BBF">
      <w:pPr>
        <w:pStyle w:val="Heading1"/>
      </w:pPr>
      <w:r w:rsidRPr="001B4766">
        <w:br w:type="column"/>
      </w:r>
      <w:bookmarkStart w:id="61" w:name="_Toc77848178"/>
      <w:bookmarkStart w:id="62" w:name="_Toc80694387"/>
      <w:r w:rsidRPr="001B4766">
        <w:lastRenderedPageBreak/>
        <w:t>Next Steps</w:t>
      </w:r>
      <w:bookmarkEnd w:id="61"/>
      <w:bookmarkEnd w:id="62"/>
    </w:p>
    <w:p w14:paraId="40441F74" w14:textId="54577B0B" w:rsidR="00542BBF" w:rsidRDefault="00542BBF" w:rsidP="00E14444"/>
    <w:p w14:paraId="3B184A1C" w14:textId="2DDFEA57" w:rsidR="00542BBF" w:rsidRDefault="00542BBF" w:rsidP="00E14444"/>
    <w:p w14:paraId="34BCA900" w14:textId="77777777" w:rsidR="00542BBF" w:rsidRDefault="00542BBF" w:rsidP="00542BBF">
      <w:pPr>
        <w:rPr>
          <w:rFonts w:ascii="Calibri" w:hAnsi="Calibri"/>
        </w:rPr>
      </w:pPr>
      <w:r>
        <w:t xml:space="preserve">The consultation process has been critical to ensuring the SIRS for in-home services is fit for purpose. </w:t>
      </w:r>
    </w:p>
    <w:p w14:paraId="44AC3D44" w14:textId="77777777" w:rsidR="00542BBF" w:rsidRDefault="00542BBF" w:rsidP="00542BBF"/>
    <w:p w14:paraId="1EB7327F" w14:textId="77777777" w:rsidR="00542BBF" w:rsidRDefault="00542BBF" w:rsidP="00542BBF">
      <w:pPr>
        <w:rPr>
          <w:color w:val="000000"/>
          <w:shd w:val="clear" w:color="auto" w:fill="FFFFFF"/>
        </w:rPr>
      </w:pPr>
      <w:r>
        <w:t xml:space="preserve">The </w:t>
      </w:r>
      <w:r>
        <w:rPr>
          <w:color w:val="000000"/>
          <w:shd w:val="clear" w:color="auto" w:fill="FFFFFF"/>
        </w:rPr>
        <w:t>Aged Care and Other Legislation Amendment (Royal Commission Response No. 2) Bill 2021,</w:t>
      </w:r>
      <w:r>
        <w:rPr>
          <w:b/>
          <w:bCs/>
          <w:color w:val="000000"/>
          <w:shd w:val="clear" w:color="auto" w:fill="FFFFFF"/>
        </w:rPr>
        <w:t xml:space="preserve"> </w:t>
      </w:r>
      <w:r>
        <w:rPr>
          <w:color w:val="000000"/>
          <w:shd w:val="clear" w:color="auto" w:fill="FFFFFF"/>
        </w:rPr>
        <w:t>introduced to Parliament on 1 September 2021, includes amendments to the Aged Care Act and the Quality and Safety Commission Act to extend the SIRS from residential care to home care and flexible care delivered in a home or community care setting from 1 July 2022.</w:t>
      </w:r>
    </w:p>
    <w:p w14:paraId="7518EEFA" w14:textId="77777777" w:rsidR="00542BBF" w:rsidRDefault="00542BBF" w:rsidP="00542BBF">
      <w:pPr>
        <w:rPr>
          <w:color w:val="000000"/>
          <w:shd w:val="clear" w:color="auto" w:fill="FFFFFF"/>
        </w:rPr>
      </w:pPr>
    </w:p>
    <w:p w14:paraId="5894D98A" w14:textId="77777777" w:rsidR="00542BBF" w:rsidRDefault="00542BBF" w:rsidP="00542BBF">
      <w:r w:rsidRPr="00542BBF">
        <w:t>Further consultations are expected to be undertaken with key stakeholder groups on the detailed design elements of the SIRS to be included in the delegated legislation (subject to timing considerations and Government approvals) and the guidance materials that will support providers, aged care workers and consumers.</w:t>
      </w:r>
      <w:r>
        <w:t xml:space="preserve"> </w:t>
      </w:r>
    </w:p>
    <w:p w14:paraId="022DE11A" w14:textId="77777777" w:rsidR="00542BBF" w:rsidRPr="001B4766" w:rsidRDefault="00542BBF" w:rsidP="00E14444"/>
    <w:p w14:paraId="01D986FD" w14:textId="77777777" w:rsidR="00992E7D" w:rsidRPr="001B4766" w:rsidRDefault="00992E7D" w:rsidP="00E14444"/>
    <w:p w14:paraId="0A1C811D" w14:textId="77777777" w:rsidR="00992E7D" w:rsidRPr="001B4766" w:rsidRDefault="00992E7D" w:rsidP="00E14444"/>
    <w:p w14:paraId="43BB78F7" w14:textId="77777777" w:rsidR="00992E7D" w:rsidRPr="001B4766" w:rsidRDefault="00992E7D" w:rsidP="00E14444"/>
    <w:p w14:paraId="7ADCE51B" w14:textId="77777777" w:rsidR="00992E7D" w:rsidRPr="001B4766" w:rsidRDefault="00992E7D" w:rsidP="00E14444"/>
    <w:p w14:paraId="25BF5EED" w14:textId="77777777" w:rsidR="00BF7E04" w:rsidRPr="001B4766" w:rsidRDefault="00BF7E04" w:rsidP="00E14444"/>
    <w:p w14:paraId="5C429529" w14:textId="7585B6B6" w:rsidR="00BF7E04" w:rsidRPr="001B4766" w:rsidRDefault="00BF7E04" w:rsidP="00E14444">
      <w:pPr>
        <w:sectPr w:rsidR="00BF7E04" w:rsidRPr="001B4766" w:rsidSect="00CF14A6">
          <w:type w:val="oddPage"/>
          <w:pgSz w:w="11906" w:h="16838"/>
          <w:pgMar w:top="1701" w:right="1418" w:bottom="1418" w:left="1418" w:header="709" w:footer="709" w:gutter="0"/>
          <w:pgNumType w:start="1"/>
          <w:cols w:space="708"/>
          <w:docGrid w:linePitch="360"/>
        </w:sectPr>
      </w:pPr>
    </w:p>
    <w:p w14:paraId="01613338" w14:textId="54F7DA39" w:rsidR="00205A93" w:rsidRPr="001B4766" w:rsidRDefault="00E00591" w:rsidP="0048323A">
      <w:pPr>
        <w:pStyle w:val="Heading1"/>
      </w:pPr>
      <w:bookmarkStart w:id="63" w:name="_Toc77848179"/>
      <w:bookmarkStart w:id="64" w:name="_Toc80694388"/>
      <w:r w:rsidRPr="001B4766">
        <w:lastRenderedPageBreak/>
        <w:t>Attachment A: Profile of stakeholders responding to the survey</w:t>
      </w:r>
      <w:bookmarkEnd w:id="63"/>
      <w:bookmarkEnd w:id="64"/>
    </w:p>
    <w:p w14:paraId="5C46179C" w14:textId="77777777" w:rsidR="00A00209" w:rsidRDefault="00A00209" w:rsidP="0048323A">
      <w:pPr>
        <w:pStyle w:val="Heading4"/>
      </w:pPr>
    </w:p>
    <w:p w14:paraId="45CBAA8E" w14:textId="1F856A27" w:rsidR="00455A40" w:rsidRPr="001B4766" w:rsidRDefault="00455A40" w:rsidP="0048323A">
      <w:pPr>
        <w:pStyle w:val="Heading4"/>
      </w:pPr>
      <w:r w:rsidRPr="001B4766">
        <w:t>Context</w:t>
      </w:r>
    </w:p>
    <w:p w14:paraId="329817E2" w14:textId="77777777" w:rsidR="00A00209" w:rsidRDefault="00A00209" w:rsidP="00E14444"/>
    <w:p w14:paraId="15BC328C" w14:textId="255FA334" w:rsidR="00E00591" w:rsidRPr="001B4766" w:rsidRDefault="00E00591" w:rsidP="00E14444">
      <w:r w:rsidRPr="001B4766">
        <w:t xml:space="preserve">In total, </w:t>
      </w:r>
      <w:r w:rsidR="00A00209">
        <w:t>12</w:t>
      </w:r>
      <w:r w:rsidR="007C6799">
        <w:t>3</w:t>
      </w:r>
      <w:r w:rsidRPr="001B4766">
        <w:t xml:space="preserve"> submissions were received </w:t>
      </w:r>
      <w:r w:rsidR="008F7A6D">
        <w:t>in response to</w:t>
      </w:r>
      <w:r w:rsidRPr="001B4766">
        <w:t xml:space="preserve"> the</w:t>
      </w:r>
      <w:r w:rsidR="008F7A6D">
        <w:t xml:space="preserve"> Consultation Paper,</w:t>
      </w:r>
      <w:r w:rsidRPr="001B4766">
        <w:t xml:space="preserve"> </w:t>
      </w:r>
      <w:r w:rsidRPr="001B4766">
        <w:rPr>
          <w:i/>
        </w:rPr>
        <w:t xml:space="preserve">Serious Incident Response Scheme for Commonwealth funded </w:t>
      </w:r>
      <w:r w:rsidR="008F7A6D">
        <w:rPr>
          <w:i/>
        </w:rPr>
        <w:t>in-home aged care services</w:t>
      </w:r>
      <w:r w:rsidRPr="001B4766">
        <w:rPr>
          <w:i/>
        </w:rPr>
        <w:t>.</w:t>
      </w:r>
      <w:r w:rsidRPr="001B4766">
        <w:t xml:space="preserve"> </w:t>
      </w:r>
    </w:p>
    <w:p w14:paraId="7BCDFDF4" w14:textId="77777777" w:rsidR="00E00591" w:rsidRPr="001B4766" w:rsidRDefault="00E00591" w:rsidP="00E14444"/>
    <w:p w14:paraId="0A91E872" w14:textId="3216E1B7" w:rsidR="00787665" w:rsidRDefault="00E00591" w:rsidP="00E14444">
      <w:r w:rsidRPr="001B4766">
        <w:t xml:space="preserve">Please note that the number of responses in some tables does not correlate with the number of surveys completed because stakeholders were able to select multiple responses to some questions. </w:t>
      </w:r>
    </w:p>
    <w:p w14:paraId="1E4141E7" w14:textId="77777777" w:rsidR="00A00209" w:rsidRPr="001B4766" w:rsidRDefault="00A00209" w:rsidP="00E14444"/>
    <w:p w14:paraId="463328C7" w14:textId="77777777" w:rsidR="00E00591" w:rsidRPr="001B4766" w:rsidRDefault="00E00591" w:rsidP="0048323A">
      <w:pPr>
        <w:pStyle w:val="Heading4"/>
      </w:pPr>
      <w:bookmarkStart w:id="65" w:name="_Toc77848180"/>
      <w:r w:rsidRPr="001B4766">
        <w:t xml:space="preserve">Table </w:t>
      </w:r>
      <w:r w:rsidR="0094111A">
        <w:fldChar w:fldCharType="begin"/>
      </w:r>
      <w:r w:rsidR="0094111A">
        <w:instrText xml:space="preserve"> SEQ Table \* ARABIC </w:instrText>
      </w:r>
      <w:r w:rsidR="0094111A">
        <w:fldChar w:fldCharType="separate"/>
      </w:r>
      <w:r w:rsidRPr="001B4766">
        <w:t>1</w:t>
      </w:r>
      <w:r w:rsidR="0094111A">
        <w:fldChar w:fldCharType="end"/>
      </w:r>
      <w:r w:rsidRPr="001B4766">
        <w:t xml:space="preserve"> Role of stakeholders responding to the survey</w:t>
      </w:r>
      <w:bookmarkEnd w:id="65"/>
    </w:p>
    <w:p w14:paraId="33B0230D" w14:textId="198CF019" w:rsidR="00E00591" w:rsidRPr="001B4766" w:rsidRDefault="00E00591" w:rsidP="00E14444">
      <w:r w:rsidRPr="001B4766">
        <w:t>Stakeholders were asked what stakeholder category they most identified with.</w:t>
      </w:r>
      <w:r w:rsidR="00407073">
        <w:t xml:space="preserve"> Note that stakeholders were able to select more than one response. </w:t>
      </w:r>
    </w:p>
    <w:p w14:paraId="4BCAC71F" w14:textId="77777777" w:rsidR="00455A40" w:rsidRPr="001B4766" w:rsidRDefault="00455A40" w:rsidP="00E14444"/>
    <w:tbl>
      <w:tblPr>
        <w:tblStyle w:val="PlainTable41"/>
        <w:tblW w:w="8815" w:type="dxa"/>
        <w:tblInd w:w="113" w:type="dxa"/>
        <w:tblBorders>
          <w:top w:val="single" w:sz="2" w:space="0" w:color="573393"/>
          <w:left w:val="single" w:sz="2" w:space="0" w:color="573393"/>
          <w:bottom w:val="single" w:sz="2" w:space="0" w:color="573393"/>
          <w:right w:val="single" w:sz="2" w:space="0" w:color="573393"/>
          <w:insideH w:val="single" w:sz="2" w:space="0" w:color="573393"/>
          <w:insideV w:val="single" w:sz="2" w:space="0" w:color="573393"/>
        </w:tblBorders>
        <w:tblLook w:val="04A0" w:firstRow="1" w:lastRow="0" w:firstColumn="1" w:lastColumn="0" w:noHBand="0" w:noVBand="1"/>
        <w:tblCaption w:val="Table 1 Role of Respondents to Online Survey"/>
        <w:tblDescription w:val="This table describes the number of online survey respondents by category"/>
      </w:tblPr>
      <w:tblGrid>
        <w:gridCol w:w="6688"/>
        <w:gridCol w:w="2127"/>
      </w:tblGrid>
      <w:tr w:rsidR="007C6799" w:rsidRPr="001B4766" w14:paraId="21676209" w14:textId="293B0D01" w:rsidTr="007C679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6688" w:type="dxa"/>
            <w:tcBorders>
              <w:bottom w:val="single" w:sz="2" w:space="0" w:color="A587D5"/>
            </w:tcBorders>
            <w:shd w:val="clear" w:color="auto" w:fill="573393"/>
            <w:vAlign w:val="center"/>
          </w:tcPr>
          <w:p w14:paraId="073D6B83" w14:textId="77777777" w:rsidR="007C6799" w:rsidRPr="00A00209" w:rsidRDefault="007C6799" w:rsidP="00E14444">
            <w:pPr>
              <w:rPr>
                <w:color w:val="FFFFFF" w:themeColor="background1"/>
              </w:rPr>
            </w:pPr>
            <w:r w:rsidRPr="00A00209">
              <w:rPr>
                <w:color w:val="FFFFFF" w:themeColor="background1"/>
              </w:rPr>
              <w:t>Category of stakeholder</w:t>
            </w:r>
          </w:p>
        </w:tc>
        <w:tc>
          <w:tcPr>
            <w:tcW w:w="2127" w:type="dxa"/>
            <w:tcBorders>
              <w:bottom w:val="single" w:sz="2" w:space="0" w:color="A587D5"/>
            </w:tcBorders>
            <w:shd w:val="clear" w:color="auto" w:fill="573393"/>
            <w:vAlign w:val="center"/>
          </w:tcPr>
          <w:p w14:paraId="5A52467F" w14:textId="77777777" w:rsidR="007C6799" w:rsidRPr="00A00209" w:rsidRDefault="007C6799" w:rsidP="00E1444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00209">
              <w:rPr>
                <w:color w:val="FFFFFF" w:themeColor="background1"/>
              </w:rPr>
              <w:t xml:space="preserve">Online survey responses </w:t>
            </w:r>
          </w:p>
        </w:tc>
      </w:tr>
      <w:tr w:rsidR="007C6799" w:rsidRPr="001B4766" w14:paraId="3872212F" w14:textId="07BE11D3"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2E816EEA" w14:textId="6678CBC9" w:rsidR="007C6799" w:rsidRPr="00C1063B" w:rsidRDefault="007C6799" w:rsidP="007C6799">
            <w:r w:rsidRPr="00C1063B">
              <w:t>Consumer</w:t>
            </w:r>
          </w:p>
        </w:tc>
        <w:tc>
          <w:tcPr>
            <w:tcW w:w="2127" w:type="dxa"/>
            <w:tcBorders>
              <w:top w:val="single" w:sz="2" w:space="0" w:color="A587D5"/>
              <w:left w:val="single" w:sz="2" w:space="0" w:color="A587D5"/>
              <w:bottom w:val="single" w:sz="2" w:space="0" w:color="A587D5"/>
              <w:right w:val="single" w:sz="2" w:space="0" w:color="A587D5"/>
            </w:tcBorders>
            <w:vAlign w:val="center"/>
          </w:tcPr>
          <w:p w14:paraId="3688C81F" w14:textId="0AF33907" w:rsidR="007C6799" w:rsidRPr="007C6799" w:rsidRDefault="007C6799" w:rsidP="007C6799">
            <w:pPr>
              <w:pStyle w:val="NormalWeb"/>
              <w:cnfStyle w:val="000000100000" w:firstRow="0" w:lastRow="0" w:firstColumn="0" w:lastColumn="0" w:oddVBand="0" w:evenVBand="0" w:oddHBand="1" w:evenHBand="0" w:firstRowFirstColumn="0" w:firstRowLastColumn="0" w:lastRowFirstColumn="0" w:lastRowLastColumn="0"/>
              <w:rPr>
                <w:rFonts w:ascii="Arial" w:hAnsi="Arial"/>
                <w:sz w:val="22"/>
                <w:lang w:eastAsia="en-US"/>
              </w:rPr>
            </w:pPr>
            <w:r w:rsidRPr="007C6799">
              <w:rPr>
                <w:rFonts w:ascii="Arial" w:hAnsi="Arial"/>
                <w:b/>
                <w:bCs/>
                <w:sz w:val="22"/>
                <w:lang w:eastAsia="en-US"/>
              </w:rPr>
              <w:t>4</w:t>
            </w:r>
            <w:r w:rsidRPr="007C6799">
              <w:rPr>
                <w:rFonts w:ascii="Arial" w:hAnsi="Arial"/>
                <w:sz w:val="22"/>
                <w:lang w:eastAsia="en-US"/>
              </w:rPr>
              <w:t xml:space="preserve"> </w:t>
            </w:r>
            <w:r>
              <w:rPr>
                <w:rFonts w:ascii="Arial" w:hAnsi="Arial"/>
                <w:sz w:val="22"/>
                <w:lang w:eastAsia="en-US"/>
              </w:rPr>
              <w:t>(</w:t>
            </w:r>
            <w:r w:rsidRPr="007C6799">
              <w:rPr>
                <w:rFonts w:ascii="Arial" w:hAnsi="Arial"/>
                <w:sz w:val="22"/>
                <w:lang w:eastAsia="en-US"/>
              </w:rPr>
              <w:t>3.25%</w:t>
            </w:r>
            <w:r>
              <w:rPr>
                <w:rFonts w:ascii="Arial" w:hAnsi="Arial"/>
                <w:sz w:val="22"/>
                <w:lang w:eastAsia="en-US"/>
              </w:rPr>
              <w:t>)</w:t>
            </w:r>
          </w:p>
        </w:tc>
      </w:tr>
      <w:tr w:rsidR="007C6799" w:rsidRPr="001B4766" w14:paraId="1A7FF2C7" w14:textId="254AD936"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3122D35C" w14:textId="2AF45947" w:rsidR="007C6799" w:rsidRPr="00C1063B" w:rsidRDefault="007C6799" w:rsidP="007C6799">
            <w:r w:rsidRPr="00C1063B">
              <w:t>Family</w:t>
            </w:r>
          </w:p>
        </w:tc>
        <w:tc>
          <w:tcPr>
            <w:tcW w:w="2127" w:type="dxa"/>
            <w:tcBorders>
              <w:top w:val="single" w:sz="2" w:space="0" w:color="A587D5"/>
              <w:left w:val="single" w:sz="2" w:space="0" w:color="A587D5"/>
              <w:bottom w:val="single" w:sz="2" w:space="0" w:color="A587D5"/>
              <w:right w:val="single" w:sz="2" w:space="0" w:color="A587D5"/>
            </w:tcBorders>
            <w:vAlign w:val="center"/>
          </w:tcPr>
          <w:p w14:paraId="20132BB1" w14:textId="34DC484E" w:rsidR="007C6799" w:rsidRPr="00407073" w:rsidRDefault="007C6799" w:rsidP="007C6799">
            <w:pPr>
              <w:cnfStyle w:val="000000000000" w:firstRow="0" w:lastRow="0" w:firstColumn="0" w:lastColumn="0" w:oddVBand="0" w:evenVBand="0" w:oddHBand="0" w:evenHBand="0" w:firstRowFirstColumn="0" w:firstRowLastColumn="0" w:lastRowFirstColumn="0" w:lastRowLastColumn="0"/>
            </w:pPr>
            <w:r w:rsidRPr="007C6799">
              <w:rPr>
                <w:b/>
                <w:bCs/>
              </w:rPr>
              <w:t xml:space="preserve">3 </w:t>
            </w:r>
            <w:r>
              <w:t>(</w:t>
            </w:r>
            <w:r w:rsidRPr="007C6799">
              <w:t>2.44%</w:t>
            </w:r>
            <w:r>
              <w:t>)</w:t>
            </w:r>
          </w:p>
        </w:tc>
      </w:tr>
      <w:tr w:rsidR="007C6799" w:rsidRPr="001B4766" w14:paraId="71929C59" w14:textId="7D6B1454"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1628BC54" w14:textId="7A3F4378" w:rsidR="007C6799" w:rsidRPr="001B4766" w:rsidRDefault="007C6799" w:rsidP="007C6799">
            <w:r w:rsidRPr="00C1063B">
              <w:t>Carer or other consumer representative</w:t>
            </w:r>
          </w:p>
        </w:tc>
        <w:tc>
          <w:tcPr>
            <w:tcW w:w="2127" w:type="dxa"/>
            <w:tcBorders>
              <w:top w:val="single" w:sz="2" w:space="0" w:color="A587D5"/>
              <w:left w:val="single" w:sz="2" w:space="0" w:color="A587D5"/>
              <w:bottom w:val="single" w:sz="2" w:space="0" w:color="A587D5"/>
              <w:right w:val="single" w:sz="2" w:space="0" w:color="A587D5"/>
            </w:tcBorders>
            <w:vAlign w:val="center"/>
          </w:tcPr>
          <w:p w14:paraId="33CD99D0" w14:textId="6BDDBE59" w:rsidR="007C6799" w:rsidRPr="001B4766" w:rsidRDefault="007C6799" w:rsidP="007C6799">
            <w:pPr>
              <w:cnfStyle w:val="000000100000" w:firstRow="0" w:lastRow="0" w:firstColumn="0" w:lastColumn="0" w:oddVBand="0" w:evenVBand="0" w:oddHBand="1" w:evenHBand="0" w:firstRowFirstColumn="0" w:firstRowLastColumn="0" w:lastRowFirstColumn="0" w:lastRowLastColumn="0"/>
            </w:pPr>
            <w:r w:rsidRPr="007C6799">
              <w:rPr>
                <w:b/>
                <w:bCs/>
              </w:rPr>
              <w:t>2</w:t>
            </w:r>
            <w:r w:rsidRPr="007C6799">
              <w:t xml:space="preserve"> </w:t>
            </w:r>
            <w:r>
              <w:t>(</w:t>
            </w:r>
            <w:r w:rsidRPr="007C6799">
              <w:t>1.63%</w:t>
            </w:r>
            <w:r>
              <w:t>)</w:t>
            </w:r>
          </w:p>
        </w:tc>
      </w:tr>
      <w:tr w:rsidR="007C6799" w:rsidRPr="001B4766" w14:paraId="034FDCE3" w14:textId="330D10E7"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2084EFBB" w14:textId="61AA7B14" w:rsidR="007C6799" w:rsidRPr="001B4766" w:rsidRDefault="007C6799" w:rsidP="007C6799">
            <w:r w:rsidRPr="00C1063B">
              <w:t>Consumer advocacy group</w:t>
            </w:r>
          </w:p>
        </w:tc>
        <w:tc>
          <w:tcPr>
            <w:tcW w:w="2127" w:type="dxa"/>
            <w:tcBorders>
              <w:top w:val="single" w:sz="2" w:space="0" w:color="A587D5"/>
              <w:left w:val="single" w:sz="2" w:space="0" w:color="A587D5"/>
              <w:bottom w:val="single" w:sz="2" w:space="0" w:color="A587D5"/>
              <w:right w:val="single" w:sz="2" w:space="0" w:color="A587D5"/>
            </w:tcBorders>
            <w:vAlign w:val="center"/>
          </w:tcPr>
          <w:p w14:paraId="26ED93E7" w14:textId="5FF24213" w:rsidR="007C6799" w:rsidRPr="001B4766" w:rsidRDefault="007C6799" w:rsidP="007C6799">
            <w:pPr>
              <w:cnfStyle w:val="000000000000" w:firstRow="0" w:lastRow="0" w:firstColumn="0" w:lastColumn="0" w:oddVBand="0" w:evenVBand="0" w:oddHBand="0" w:evenHBand="0" w:firstRowFirstColumn="0" w:firstRowLastColumn="0" w:lastRowFirstColumn="0" w:lastRowLastColumn="0"/>
            </w:pPr>
            <w:r w:rsidRPr="007C6799">
              <w:rPr>
                <w:b/>
                <w:bCs/>
              </w:rPr>
              <w:t>4</w:t>
            </w:r>
            <w:r w:rsidRPr="007C6799">
              <w:t xml:space="preserve"> </w:t>
            </w:r>
            <w:r>
              <w:t>(</w:t>
            </w:r>
            <w:r w:rsidRPr="007C6799">
              <w:t>3.25%</w:t>
            </w:r>
            <w:r>
              <w:t>)</w:t>
            </w:r>
          </w:p>
        </w:tc>
      </w:tr>
      <w:tr w:rsidR="007C6799" w:rsidRPr="001B4766" w14:paraId="2C366753" w14:textId="2DF07402"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29D9AD62" w14:textId="3FDFB709" w:rsidR="007C6799" w:rsidRPr="00C1063B" w:rsidRDefault="007C6799" w:rsidP="007C6799">
            <w:r w:rsidRPr="00C1063B">
              <w:t>Consumer peak body</w:t>
            </w:r>
          </w:p>
        </w:tc>
        <w:tc>
          <w:tcPr>
            <w:tcW w:w="2127" w:type="dxa"/>
            <w:tcBorders>
              <w:top w:val="single" w:sz="2" w:space="0" w:color="A587D5"/>
              <w:left w:val="single" w:sz="2" w:space="0" w:color="A587D5"/>
              <w:bottom w:val="single" w:sz="2" w:space="0" w:color="A587D5"/>
              <w:right w:val="single" w:sz="2" w:space="0" w:color="A587D5"/>
            </w:tcBorders>
            <w:vAlign w:val="center"/>
          </w:tcPr>
          <w:p w14:paraId="1EDD55EF" w14:textId="4BA04E8D" w:rsidR="007C6799" w:rsidRPr="001B4766" w:rsidRDefault="007C6799" w:rsidP="007C6799">
            <w:pPr>
              <w:cnfStyle w:val="000000100000" w:firstRow="0" w:lastRow="0" w:firstColumn="0" w:lastColumn="0" w:oddVBand="0" w:evenVBand="0" w:oddHBand="1" w:evenHBand="0" w:firstRowFirstColumn="0" w:firstRowLastColumn="0" w:lastRowFirstColumn="0" w:lastRowLastColumn="0"/>
            </w:pPr>
            <w:r w:rsidRPr="007C6799">
              <w:rPr>
                <w:b/>
                <w:bCs/>
              </w:rPr>
              <w:t>2</w:t>
            </w:r>
            <w:r w:rsidRPr="007C6799">
              <w:t xml:space="preserve"> </w:t>
            </w:r>
            <w:r>
              <w:t>(</w:t>
            </w:r>
            <w:r w:rsidRPr="007C6799">
              <w:t>1.63%</w:t>
            </w:r>
            <w:r>
              <w:t>)</w:t>
            </w:r>
          </w:p>
        </w:tc>
      </w:tr>
      <w:tr w:rsidR="007C6799" w:rsidRPr="001B4766" w14:paraId="14C129DC" w14:textId="03B4E89B"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56FC7EF6" w14:textId="117490B2" w:rsidR="007C6799" w:rsidRPr="00C1063B" w:rsidRDefault="007C6799" w:rsidP="007C6799">
            <w:r w:rsidRPr="00C1063B">
              <w:t>Carer peak body</w:t>
            </w:r>
          </w:p>
        </w:tc>
        <w:tc>
          <w:tcPr>
            <w:tcW w:w="2127" w:type="dxa"/>
            <w:tcBorders>
              <w:top w:val="single" w:sz="2" w:space="0" w:color="A587D5"/>
              <w:left w:val="single" w:sz="2" w:space="0" w:color="A587D5"/>
              <w:bottom w:val="single" w:sz="2" w:space="0" w:color="A587D5"/>
              <w:right w:val="single" w:sz="2" w:space="0" w:color="A587D5"/>
            </w:tcBorders>
            <w:vAlign w:val="center"/>
          </w:tcPr>
          <w:p w14:paraId="2F9F7E68" w14:textId="5EED2B3B" w:rsidR="007C6799" w:rsidRPr="007C6799" w:rsidRDefault="007C6799" w:rsidP="007C6799">
            <w:pPr>
              <w:cnfStyle w:val="000000000000" w:firstRow="0" w:lastRow="0" w:firstColumn="0" w:lastColumn="0" w:oddVBand="0" w:evenVBand="0" w:oddHBand="0" w:evenHBand="0" w:firstRowFirstColumn="0" w:firstRowLastColumn="0" w:lastRowFirstColumn="0" w:lastRowLastColumn="0"/>
            </w:pPr>
            <w:r w:rsidRPr="007C6799">
              <w:rPr>
                <w:b/>
                <w:bCs/>
              </w:rPr>
              <w:t>2</w:t>
            </w:r>
            <w:r w:rsidRPr="007C6799">
              <w:t xml:space="preserve"> </w:t>
            </w:r>
            <w:r>
              <w:t>(</w:t>
            </w:r>
            <w:r w:rsidRPr="007C6799">
              <w:t>1.63%</w:t>
            </w:r>
            <w:r>
              <w:t>)</w:t>
            </w:r>
          </w:p>
        </w:tc>
      </w:tr>
      <w:tr w:rsidR="007C6799" w:rsidRPr="001B4766" w14:paraId="25E4D395" w14:textId="5B8D3F24"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3E26A927" w14:textId="59A45C44" w:rsidR="007C6799" w:rsidRPr="00C1063B" w:rsidRDefault="007C6799" w:rsidP="007C6799">
            <w:r w:rsidRPr="00C1063B">
              <w:t>Home Care Packages provider</w:t>
            </w:r>
          </w:p>
        </w:tc>
        <w:tc>
          <w:tcPr>
            <w:tcW w:w="2127" w:type="dxa"/>
            <w:tcBorders>
              <w:top w:val="single" w:sz="2" w:space="0" w:color="A587D5"/>
              <w:left w:val="single" w:sz="2" w:space="0" w:color="A587D5"/>
              <w:bottom w:val="single" w:sz="2" w:space="0" w:color="A587D5"/>
              <w:right w:val="single" w:sz="2" w:space="0" w:color="A587D5"/>
            </w:tcBorders>
            <w:vAlign w:val="center"/>
          </w:tcPr>
          <w:p w14:paraId="6C341A60" w14:textId="60EC28FC" w:rsidR="007C6799" w:rsidRPr="001B4766" w:rsidRDefault="007C6799" w:rsidP="007C6799">
            <w:pPr>
              <w:cnfStyle w:val="000000100000" w:firstRow="0" w:lastRow="0" w:firstColumn="0" w:lastColumn="0" w:oddVBand="0" w:evenVBand="0" w:oddHBand="1" w:evenHBand="0" w:firstRowFirstColumn="0" w:firstRowLastColumn="0" w:lastRowFirstColumn="0" w:lastRowLastColumn="0"/>
            </w:pPr>
            <w:r w:rsidRPr="007C6799">
              <w:rPr>
                <w:b/>
                <w:bCs/>
              </w:rPr>
              <w:t>64</w:t>
            </w:r>
            <w:r w:rsidRPr="007C6799">
              <w:t xml:space="preserve"> </w:t>
            </w:r>
            <w:r>
              <w:t>(</w:t>
            </w:r>
            <w:r w:rsidRPr="007C6799">
              <w:t>52.03%</w:t>
            </w:r>
            <w:r>
              <w:t>)</w:t>
            </w:r>
          </w:p>
        </w:tc>
      </w:tr>
      <w:tr w:rsidR="007C6799" w:rsidRPr="001B4766" w14:paraId="15E92AD4" w14:textId="5159BB70"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5695B499" w14:textId="146DF6DE" w:rsidR="007C6799" w:rsidRPr="001B4766" w:rsidRDefault="007C6799" w:rsidP="007C6799">
            <w:r w:rsidRPr="00C1063B">
              <w:t>Commonwealth Home Support Programme provider</w:t>
            </w:r>
          </w:p>
        </w:tc>
        <w:tc>
          <w:tcPr>
            <w:tcW w:w="2127" w:type="dxa"/>
            <w:tcBorders>
              <w:top w:val="single" w:sz="2" w:space="0" w:color="A587D5"/>
              <w:left w:val="single" w:sz="2" w:space="0" w:color="A587D5"/>
              <w:bottom w:val="single" w:sz="2" w:space="0" w:color="A587D5"/>
              <w:right w:val="single" w:sz="2" w:space="0" w:color="A587D5"/>
            </w:tcBorders>
            <w:vAlign w:val="center"/>
          </w:tcPr>
          <w:p w14:paraId="483E37A2" w14:textId="6431ADFA" w:rsidR="007C6799" w:rsidRPr="001B4766" w:rsidRDefault="007C6799" w:rsidP="007C6799">
            <w:pPr>
              <w:cnfStyle w:val="000000000000" w:firstRow="0" w:lastRow="0" w:firstColumn="0" w:lastColumn="0" w:oddVBand="0" w:evenVBand="0" w:oddHBand="0" w:evenHBand="0" w:firstRowFirstColumn="0" w:firstRowLastColumn="0" w:lastRowFirstColumn="0" w:lastRowLastColumn="0"/>
            </w:pPr>
            <w:r w:rsidRPr="007C6799">
              <w:rPr>
                <w:b/>
                <w:bCs/>
              </w:rPr>
              <w:t>69</w:t>
            </w:r>
            <w:r w:rsidRPr="007C6799">
              <w:t xml:space="preserve"> </w:t>
            </w:r>
            <w:r>
              <w:t>(</w:t>
            </w:r>
            <w:r w:rsidRPr="007C6799">
              <w:t>56.10%</w:t>
            </w:r>
            <w:r>
              <w:t>)</w:t>
            </w:r>
          </w:p>
        </w:tc>
      </w:tr>
      <w:tr w:rsidR="007C6799" w:rsidRPr="001B4766" w14:paraId="1A775705" w14:textId="7F7C2DD0"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2D1CCCDA" w14:textId="308FB70B" w:rsidR="007C6799" w:rsidRPr="001B4766" w:rsidRDefault="007C6799" w:rsidP="007C6799">
            <w:r w:rsidRPr="00C1063B">
              <w:t>Multi-Purpose Service provider</w:t>
            </w:r>
          </w:p>
        </w:tc>
        <w:tc>
          <w:tcPr>
            <w:tcW w:w="2127" w:type="dxa"/>
            <w:tcBorders>
              <w:top w:val="single" w:sz="2" w:space="0" w:color="A587D5"/>
              <w:left w:val="single" w:sz="2" w:space="0" w:color="A587D5"/>
              <w:bottom w:val="single" w:sz="2" w:space="0" w:color="A587D5"/>
              <w:right w:val="single" w:sz="2" w:space="0" w:color="A587D5"/>
            </w:tcBorders>
            <w:vAlign w:val="center"/>
          </w:tcPr>
          <w:p w14:paraId="44EB85C3" w14:textId="6A373D25" w:rsidR="007C6799" w:rsidRPr="001B4766" w:rsidRDefault="007C6799" w:rsidP="007C6799">
            <w:pPr>
              <w:cnfStyle w:val="000000100000" w:firstRow="0" w:lastRow="0" w:firstColumn="0" w:lastColumn="0" w:oddVBand="0" w:evenVBand="0" w:oddHBand="1" w:evenHBand="0" w:firstRowFirstColumn="0" w:firstRowLastColumn="0" w:lastRowFirstColumn="0" w:lastRowLastColumn="0"/>
            </w:pPr>
            <w:r w:rsidRPr="007C6799">
              <w:rPr>
                <w:b/>
                <w:bCs/>
              </w:rPr>
              <w:t>5</w:t>
            </w:r>
            <w:r w:rsidRPr="007C6799">
              <w:t xml:space="preserve"> </w:t>
            </w:r>
            <w:r>
              <w:t>(</w:t>
            </w:r>
            <w:r w:rsidRPr="007C6799">
              <w:t>4.07%</w:t>
            </w:r>
            <w:r>
              <w:t>)</w:t>
            </w:r>
          </w:p>
        </w:tc>
      </w:tr>
      <w:tr w:rsidR="007C6799" w:rsidRPr="001B4766" w14:paraId="436B2BBB" w14:textId="61F11DB5"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6F5211BC" w14:textId="07144B0C" w:rsidR="007C6799" w:rsidRPr="001B4766" w:rsidRDefault="007C6799" w:rsidP="007C6799">
            <w:r w:rsidRPr="00C1063B">
              <w:t>Short-Term Restorative Care provider</w:t>
            </w:r>
          </w:p>
        </w:tc>
        <w:tc>
          <w:tcPr>
            <w:tcW w:w="2127" w:type="dxa"/>
            <w:tcBorders>
              <w:top w:val="single" w:sz="2" w:space="0" w:color="A587D5"/>
              <w:left w:val="single" w:sz="2" w:space="0" w:color="A587D5"/>
              <w:bottom w:val="single" w:sz="2" w:space="0" w:color="A587D5"/>
              <w:right w:val="single" w:sz="2" w:space="0" w:color="A587D5"/>
            </w:tcBorders>
            <w:vAlign w:val="center"/>
          </w:tcPr>
          <w:p w14:paraId="3A7F5EF8" w14:textId="00021048" w:rsidR="007C6799" w:rsidRPr="001B4766" w:rsidRDefault="007C6799" w:rsidP="007C6799">
            <w:pPr>
              <w:cnfStyle w:val="000000000000" w:firstRow="0" w:lastRow="0" w:firstColumn="0" w:lastColumn="0" w:oddVBand="0" w:evenVBand="0" w:oddHBand="0" w:evenHBand="0" w:firstRowFirstColumn="0" w:firstRowLastColumn="0" w:lastRowFirstColumn="0" w:lastRowLastColumn="0"/>
            </w:pPr>
            <w:r w:rsidRPr="007C6799">
              <w:rPr>
                <w:b/>
                <w:bCs/>
              </w:rPr>
              <w:t>13</w:t>
            </w:r>
            <w:r w:rsidRPr="007C6799">
              <w:t xml:space="preserve"> </w:t>
            </w:r>
            <w:r>
              <w:t>(</w:t>
            </w:r>
            <w:r w:rsidRPr="007C6799">
              <w:t>10.57%</w:t>
            </w:r>
            <w:r>
              <w:t>)</w:t>
            </w:r>
          </w:p>
        </w:tc>
      </w:tr>
      <w:tr w:rsidR="007C6799" w:rsidRPr="001B4766" w14:paraId="732C4A22" w14:textId="743AE8AC"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01798465" w14:textId="2ACAAE02" w:rsidR="007C6799" w:rsidRPr="001B4766" w:rsidRDefault="007C6799" w:rsidP="007C6799">
            <w:r w:rsidRPr="00C1063B">
              <w:t>National Aboriginal and Torres Strait Islander Flexible Aged Care Program provider</w:t>
            </w:r>
          </w:p>
        </w:tc>
        <w:tc>
          <w:tcPr>
            <w:tcW w:w="2127" w:type="dxa"/>
            <w:tcBorders>
              <w:top w:val="single" w:sz="2" w:space="0" w:color="A587D5"/>
              <w:left w:val="single" w:sz="2" w:space="0" w:color="A587D5"/>
              <w:bottom w:val="single" w:sz="2" w:space="0" w:color="A587D5"/>
              <w:right w:val="single" w:sz="2" w:space="0" w:color="A587D5"/>
            </w:tcBorders>
            <w:vAlign w:val="center"/>
          </w:tcPr>
          <w:p w14:paraId="2DD8D9E7" w14:textId="37EC5192" w:rsidR="007C6799" w:rsidRPr="001B4766" w:rsidRDefault="007C6799" w:rsidP="007C6799">
            <w:pPr>
              <w:cnfStyle w:val="000000100000" w:firstRow="0" w:lastRow="0" w:firstColumn="0" w:lastColumn="0" w:oddVBand="0" w:evenVBand="0" w:oddHBand="1" w:evenHBand="0" w:firstRowFirstColumn="0" w:firstRowLastColumn="0" w:lastRowFirstColumn="0" w:lastRowLastColumn="0"/>
            </w:pPr>
            <w:r w:rsidRPr="007C6799">
              <w:rPr>
                <w:b/>
                <w:bCs/>
              </w:rPr>
              <w:t>2</w:t>
            </w:r>
            <w:r w:rsidRPr="007C6799">
              <w:t xml:space="preserve"> </w:t>
            </w:r>
            <w:r>
              <w:t>(</w:t>
            </w:r>
            <w:r w:rsidRPr="007C6799">
              <w:t>1.63%</w:t>
            </w:r>
            <w:r>
              <w:t>)</w:t>
            </w:r>
          </w:p>
        </w:tc>
      </w:tr>
      <w:tr w:rsidR="007C6799" w:rsidRPr="001B4766" w14:paraId="5E4716C2" w14:textId="0E4F2889"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1B4F4B47" w14:textId="6C5AD199" w:rsidR="007C6799" w:rsidRPr="001B4766" w:rsidRDefault="007C6799" w:rsidP="007C6799">
            <w:r w:rsidRPr="00C1063B">
              <w:t>Transition Care Programme provider</w:t>
            </w:r>
          </w:p>
        </w:tc>
        <w:tc>
          <w:tcPr>
            <w:tcW w:w="2127" w:type="dxa"/>
            <w:tcBorders>
              <w:top w:val="single" w:sz="2" w:space="0" w:color="A587D5"/>
              <w:left w:val="single" w:sz="2" w:space="0" w:color="A587D5"/>
              <w:bottom w:val="single" w:sz="2" w:space="0" w:color="A587D5"/>
              <w:right w:val="single" w:sz="2" w:space="0" w:color="A587D5"/>
            </w:tcBorders>
            <w:vAlign w:val="center"/>
          </w:tcPr>
          <w:p w14:paraId="4C07B211" w14:textId="1CD524AA" w:rsidR="007C6799" w:rsidRPr="001B4766" w:rsidRDefault="007C6799" w:rsidP="007C6799">
            <w:pPr>
              <w:cnfStyle w:val="000000000000" w:firstRow="0" w:lastRow="0" w:firstColumn="0" w:lastColumn="0" w:oddVBand="0" w:evenVBand="0" w:oddHBand="0" w:evenHBand="0" w:firstRowFirstColumn="0" w:firstRowLastColumn="0" w:lastRowFirstColumn="0" w:lastRowLastColumn="0"/>
            </w:pPr>
            <w:r w:rsidRPr="007C6799">
              <w:rPr>
                <w:b/>
                <w:bCs/>
              </w:rPr>
              <w:t>8</w:t>
            </w:r>
            <w:r w:rsidRPr="007C6799">
              <w:t xml:space="preserve"> </w:t>
            </w:r>
            <w:r>
              <w:t>(</w:t>
            </w:r>
            <w:r w:rsidRPr="007C6799">
              <w:t>6.50%</w:t>
            </w:r>
            <w:r>
              <w:t>)</w:t>
            </w:r>
          </w:p>
        </w:tc>
      </w:tr>
      <w:tr w:rsidR="007C6799" w:rsidRPr="001B4766" w14:paraId="3E33DDED" w14:textId="6C36DB6C"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6840EF7C" w14:textId="0C917108" w:rsidR="007C6799" w:rsidRPr="001B4766" w:rsidRDefault="007C6799" w:rsidP="007C6799">
            <w:r w:rsidRPr="00C1063B">
              <w:t>Residential aged care provider</w:t>
            </w:r>
          </w:p>
        </w:tc>
        <w:tc>
          <w:tcPr>
            <w:tcW w:w="2127" w:type="dxa"/>
            <w:tcBorders>
              <w:top w:val="single" w:sz="2" w:space="0" w:color="A587D5"/>
              <w:left w:val="single" w:sz="2" w:space="0" w:color="A587D5"/>
              <w:bottom w:val="single" w:sz="2" w:space="0" w:color="A587D5"/>
              <w:right w:val="single" w:sz="2" w:space="0" w:color="A587D5"/>
            </w:tcBorders>
            <w:vAlign w:val="center"/>
          </w:tcPr>
          <w:p w14:paraId="1E304E2D" w14:textId="606BA63C" w:rsidR="007C6799" w:rsidRPr="001B4766" w:rsidRDefault="007C6799" w:rsidP="007C6799">
            <w:pPr>
              <w:cnfStyle w:val="000000100000" w:firstRow="0" w:lastRow="0" w:firstColumn="0" w:lastColumn="0" w:oddVBand="0" w:evenVBand="0" w:oddHBand="1" w:evenHBand="0" w:firstRowFirstColumn="0" w:firstRowLastColumn="0" w:lastRowFirstColumn="0" w:lastRowLastColumn="0"/>
            </w:pPr>
            <w:r w:rsidRPr="007C6799">
              <w:rPr>
                <w:b/>
                <w:bCs/>
              </w:rPr>
              <w:t>14</w:t>
            </w:r>
            <w:r w:rsidRPr="007C6799">
              <w:t xml:space="preserve"> </w:t>
            </w:r>
            <w:r>
              <w:t>(</w:t>
            </w:r>
            <w:r w:rsidRPr="007C6799">
              <w:t>11.38%</w:t>
            </w:r>
            <w:r>
              <w:t>)</w:t>
            </w:r>
          </w:p>
        </w:tc>
      </w:tr>
      <w:tr w:rsidR="007C6799" w:rsidRPr="001B4766" w14:paraId="233F5215" w14:textId="2536433A"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1E356751" w14:textId="0A0CE66E" w:rsidR="007C6799" w:rsidRPr="001B4766" w:rsidRDefault="007C6799" w:rsidP="007C6799">
            <w:r w:rsidRPr="00C1063B">
              <w:t>Aged care provider peak body</w:t>
            </w:r>
          </w:p>
        </w:tc>
        <w:tc>
          <w:tcPr>
            <w:tcW w:w="2127" w:type="dxa"/>
            <w:tcBorders>
              <w:top w:val="single" w:sz="2" w:space="0" w:color="A587D5"/>
              <w:left w:val="single" w:sz="2" w:space="0" w:color="A587D5"/>
              <w:bottom w:val="single" w:sz="2" w:space="0" w:color="A587D5"/>
              <w:right w:val="single" w:sz="2" w:space="0" w:color="A587D5"/>
            </w:tcBorders>
            <w:vAlign w:val="center"/>
          </w:tcPr>
          <w:p w14:paraId="01C95144" w14:textId="4DAC2747" w:rsidR="007C6799" w:rsidRPr="007C6799" w:rsidRDefault="007C6799" w:rsidP="007C6799">
            <w:pPr>
              <w:cnfStyle w:val="000000000000" w:firstRow="0" w:lastRow="0" w:firstColumn="0" w:lastColumn="0" w:oddVBand="0" w:evenVBand="0" w:oddHBand="0" w:evenHBand="0" w:firstRowFirstColumn="0" w:firstRowLastColumn="0" w:lastRowFirstColumn="0" w:lastRowLastColumn="0"/>
            </w:pPr>
            <w:r w:rsidRPr="007C6799">
              <w:rPr>
                <w:b/>
                <w:bCs/>
              </w:rPr>
              <w:t>6</w:t>
            </w:r>
            <w:r w:rsidRPr="007C6799">
              <w:t xml:space="preserve"> </w:t>
            </w:r>
            <w:r>
              <w:t>(</w:t>
            </w:r>
            <w:r w:rsidRPr="007C6799">
              <w:t>4.88%</w:t>
            </w:r>
            <w:r>
              <w:t>)</w:t>
            </w:r>
          </w:p>
        </w:tc>
      </w:tr>
      <w:tr w:rsidR="007C6799" w:rsidRPr="001B4766" w14:paraId="39C5FC3B" w14:textId="664EB34F"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4F3CA1D5" w14:textId="1551A493" w:rsidR="007C6799" w:rsidRPr="001B4766" w:rsidRDefault="007C6799" w:rsidP="007C6799">
            <w:r w:rsidRPr="00C1063B">
              <w:t>Aged Care Assessment Team/Service</w:t>
            </w:r>
          </w:p>
        </w:tc>
        <w:tc>
          <w:tcPr>
            <w:tcW w:w="2127" w:type="dxa"/>
            <w:tcBorders>
              <w:top w:val="single" w:sz="2" w:space="0" w:color="A587D5"/>
              <w:left w:val="single" w:sz="2" w:space="0" w:color="A587D5"/>
              <w:bottom w:val="single" w:sz="2" w:space="0" w:color="A587D5"/>
              <w:right w:val="single" w:sz="2" w:space="0" w:color="A587D5"/>
            </w:tcBorders>
            <w:vAlign w:val="center"/>
          </w:tcPr>
          <w:p w14:paraId="64194DAE" w14:textId="79F2468F" w:rsidR="007C6799" w:rsidRPr="007C6799" w:rsidRDefault="007C6799" w:rsidP="007C6799">
            <w:pPr>
              <w:cnfStyle w:val="000000100000" w:firstRow="0" w:lastRow="0" w:firstColumn="0" w:lastColumn="0" w:oddVBand="0" w:evenVBand="0" w:oddHBand="1" w:evenHBand="0" w:firstRowFirstColumn="0" w:firstRowLastColumn="0" w:lastRowFirstColumn="0" w:lastRowLastColumn="0"/>
            </w:pPr>
            <w:r w:rsidRPr="007C6799">
              <w:rPr>
                <w:b/>
                <w:bCs/>
              </w:rPr>
              <w:t xml:space="preserve">3 </w:t>
            </w:r>
            <w:r>
              <w:t>(</w:t>
            </w:r>
            <w:r w:rsidRPr="007C6799">
              <w:t>2.44%</w:t>
            </w:r>
            <w:r>
              <w:t>)</w:t>
            </w:r>
          </w:p>
        </w:tc>
      </w:tr>
      <w:tr w:rsidR="007C6799" w:rsidRPr="001B4766" w14:paraId="1BB89DF3" w14:textId="1B80B466"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7B6A2C1C" w14:textId="0D29BD59" w:rsidR="007C6799" w:rsidRPr="001B4766" w:rsidRDefault="007C6799" w:rsidP="007C6799">
            <w:r w:rsidRPr="00C1063B">
              <w:t>A staff member of an aged care provider</w:t>
            </w:r>
          </w:p>
        </w:tc>
        <w:tc>
          <w:tcPr>
            <w:tcW w:w="2127" w:type="dxa"/>
            <w:tcBorders>
              <w:top w:val="single" w:sz="2" w:space="0" w:color="A587D5"/>
              <w:left w:val="single" w:sz="2" w:space="0" w:color="A587D5"/>
              <w:bottom w:val="single" w:sz="2" w:space="0" w:color="A587D5"/>
              <w:right w:val="single" w:sz="2" w:space="0" w:color="A587D5"/>
            </w:tcBorders>
            <w:vAlign w:val="center"/>
          </w:tcPr>
          <w:p w14:paraId="332B35B8" w14:textId="577D38A0" w:rsidR="007C6799" w:rsidRPr="007C6799" w:rsidRDefault="007C6799" w:rsidP="007C6799">
            <w:pPr>
              <w:cnfStyle w:val="000000000000" w:firstRow="0" w:lastRow="0" w:firstColumn="0" w:lastColumn="0" w:oddVBand="0" w:evenVBand="0" w:oddHBand="0" w:evenHBand="0" w:firstRowFirstColumn="0" w:firstRowLastColumn="0" w:lastRowFirstColumn="0" w:lastRowLastColumn="0"/>
            </w:pPr>
            <w:r w:rsidRPr="007C6799">
              <w:rPr>
                <w:b/>
                <w:bCs/>
              </w:rPr>
              <w:t>20</w:t>
            </w:r>
            <w:r w:rsidRPr="007C6799">
              <w:t xml:space="preserve"> </w:t>
            </w:r>
            <w:r>
              <w:t>(</w:t>
            </w:r>
            <w:r w:rsidRPr="007C6799">
              <w:t>16.26%</w:t>
            </w:r>
            <w:r>
              <w:t>)</w:t>
            </w:r>
          </w:p>
        </w:tc>
      </w:tr>
      <w:tr w:rsidR="007C6799" w:rsidRPr="001B4766" w14:paraId="6364242D" w14:textId="05238D64"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3670EB31" w14:textId="79D07CA5" w:rsidR="007C6799" w:rsidRPr="00C1063B" w:rsidRDefault="007C6799" w:rsidP="007C6799">
            <w:r w:rsidRPr="00C1063B">
              <w:t>A staff member of a health and/or disability service provider</w:t>
            </w:r>
          </w:p>
        </w:tc>
        <w:tc>
          <w:tcPr>
            <w:tcW w:w="2127" w:type="dxa"/>
            <w:tcBorders>
              <w:top w:val="single" w:sz="2" w:space="0" w:color="A587D5"/>
              <w:left w:val="single" w:sz="2" w:space="0" w:color="A587D5"/>
              <w:bottom w:val="single" w:sz="2" w:space="0" w:color="A587D5"/>
              <w:right w:val="single" w:sz="2" w:space="0" w:color="A587D5"/>
            </w:tcBorders>
            <w:vAlign w:val="center"/>
          </w:tcPr>
          <w:p w14:paraId="24FB9A88" w14:textId="6EAC86B0" w:rsidR="007C6799" w:rsidRPr="007C6799" w:rsidRDefault="007C6799" w:rsidP="007C6799">
            <w:pPr>
              <w:cnfStyle w:val="000000100000" w:firstRow="0" w:lastRow="0" w:firstColumn="0" w:lastColumn="0" w:oddVBand="0" w:evenVBand="0" w:oddHBand="1" w:evenHBand="0" w:firstRowFirstColumn="0" w:firstRowLastColumn="0" w:lastRowFirstColumn="0" w:lastRowLastColumn="0"/>
            </w:pPr>
            <w:r w:rsidRPr="007C6799">
              <w:rPr>
                <w:b/>
                <w:bCs/>
              </w:rPr>
              <w:t xml:space="preserve">6 </w:t>
            </w:r>
            <w:r>
              <w:t>(</w:t>
            </w:r>
            <w:r w:rsidRPr="007C6799">
              <w:t>4.88%</w:t>
            </w:r>
            <w:r>
              <w:t>)</w:t>
            </w:r>
          </w:p>
        </w:tc>
      </w:tr>
      <w:tr w:rsidR="007C6799" w:rsidRPr="001B4766" w14:paraId="4F1C8D70" w14:textId="0CB8272E"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14903F68" w14:textId="4E4AD0B5" w:rsidR="007C6799" w:rsidRPr="001B4766" w:rsidRDefault="007C6799" w:rsidP="007C6799">
            <w:r w:rsidRPr="00C1063B">
              <w:t>Health professional</w:t>
            </w:r>
          </w:p>
        </w:tc>
        <w:tc>
          <w:tcPr>
            <w:tcW w:w="2127" w:type="dxa"/>
            <w:tcBorders>
              <w:top w:val="single" w:sz="2" w:space="0" w:color="A587D5"/>
              <w:left w:val="single" w:sz="2" w:space="0" w:color="A587D5"/>
              <w:bottom w:val="single" w:sz="2" w:space="0" w:color="A587D5"/>
              <w:right w:val="single" w:sz="2" w:space="0" w:color="A587D5"/>
            </w:tcBorders>
            <w:vAlign w:val="center"/>
          </w:tcPr>
          <w:p w14:paraId="7CDD413C" w14:textId="5BFC072F" w:rsidR="007C6799" w:rsidRPr="007C6799" w:rsidRDefault="007C6799" w:rsidP="007C6799">
            <w:pPr>
              <w:cnfStyle w:val="000000000000" w:firstRow="0" w:lastRow="0" w:firstColumn="0" w:lastColumn="0" w:oddVBand="0" w:evenVBand="0" w:oddHBand="0" w:evenHBand="0" w:firstRowFirstColumn="0" w:firstRowLastColumn="0" w:lastRowFirstColumn="0" w:lastRowLastColumn="0"/>
            </w:pPr>
            <w:r w:rsidRPr="007C6799">
              <w:rPr>
                <w:b/>
                <w:bCs/>
              </w:rPr>
              <w:t>11</w:t>
            </w:r>
            <w:r w:rsidRPr="007C6799">
              <w:t xml:space="preserve"> </w:t>
            </w:r>
            <w:r>
              <w:t>(</w:t>
            </w:r>
            <w:r w:rsidRPr="007C6799">
              <w:t>8.94%</w:t>
            </w:r>
            <w:r>
              <w:t>)</w:t>
            </w:r>
            <w:r w:rsidRPr="007C6799">
              <w:t xml:space="preserve"> </w:t>
            </w:r>
          </w:p>
        </w:tc>
      </w:tr>
      <w:tr w:rsidR="007C6799" w:rsidRPr="001B4766" w14:paraId="036C61AF" w14:textId="678DB2CB"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156AD83C" w14:textId="0373628F" w:rsidR="007C6799" w:rsidRPr="001B4766" w:rsidRDefault="007C6799" w:rsidP="007C6799">
            <w:r w:rsidRPr="00C1063B">
              <w:t>Workforce association or union</w:t>
            </w:r>
          </w:p>
        </w:tc>
        <w:tc>
          <w:tcPr>
            <w:tcW w:w="2127" w:type="dxa"/>
            <w:tcBorders>
              <w:top w:val="single" w:sz="2" w:space="0" w:color="A587D5"/>
              <w:left w:val="single" w:sz="2" w:space="0" w:color="A587D5"/>
              <w:bottom w:val="single" w:sz="2" w:space="0" w:color="A587D5"/>
              <w:right w:val="single" w:sz="2" w:space="0" w:color="A587D5"/>
            </w:tcBorders>
            <w:vAlign w:val="center"/>
          </w:tcPr>
          <w:p w14:paraId="3EF62168" w14:textId="75B92CE3" w:rsidR="007C6799" w:rsidRPr="007C6799" w:rsidRDefault="007C6799" w:rsidP="007C6799">
            <w:pPr>
              <w:cnfStyle w:val="000000100000" w:firstRow="0" w:lastRow="0" w:firstColumn="0" w:lastColumn="0" w:oddVBand="0" w:evenVBand="0" w:oddHBand="1" w:evenHBand="0" w:firstRowFirstColumn="0" w:firstRowLastColumn="0" w:lastRowFirstColumn="0" w:lastRowLastColumn="0"/>
            </w:pPr>
            <w:r w:rsidRPr="007C6799">
              <w:rPr>
                <w:b/>
                <w:bCs/>
              </w:rPr>
              <w:t xml:space="preserve">1 </w:t>
            </w:r>
            <w:r>
              <w:t>(</w:t>
            </w:r>
            <w:r w:rsidRPr="007C6799">
              <w:t>0.81%</w:t>
            </w:r>
            <w:r>
              <w:t>)</w:t>
            </w:r>
          </w:p>
        </w:tc>
      </w:tr>
      <w:tr w:rsidR="007C6799" w:rsidRPr="001B4766" w14:paraId="35AED52D" w14:textId="20ACC92E"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6FEC3450" w14:textId="12A4700B" w:rsidR="007C6799" w:rsidRPr="001B4766" w:rsidRDefault="007C6799" w:rsidP="007C6799">
            <w:r w:rsidRPr="00C1063B">
              <w:t>Primary Health Network</w:t>
            </w:r>
          </w:p>
        </w:tc>
        <w:tc>
          <w:tcPr>
            <w:tcW w:w="2127" w:type="dxa"/>
            <w:tcBorders>
              <w:top w:val="single" w:sz="2" w:space="0" w:color="A587D5"/>
              <w:left w:val="single" w:sz="2" w:space="0" w:color="A587D5"/>
              <w:bottom w:val="single" w:sz="2" w:space="0" w:color="A587D5"/>
              <w:right w:val="single" w:sz="2" w:space="0" w:color="A587D5"/>
            </w:tcBorders>
            <w:vAlign w:val="center"/>
          </w:tcPr>
          <w:p w14:paraId="539FD4AD" w14:textId="2C272B69" w:rsidR="007C6799" w:rsidRPr="007C6799" w:rsidRDefault="007C6799" w:rsidP="007C6799">
            <w:pPr>
              <w:cnfStyle w:val="000000000000" w:firstRow="0" w:lastRow="0" w:firstColumn="0" w:lastColumn="0" w:oddVBand="0" w:evenVBand="0" w:oddHBand="0" w:evenHBand="0" w:firstRowFirstColumn="0" w:firstRowLastColumn="0" w:lastRowFirstColumn="0" w:lastRowLastColumn="0"/>
            </w:pPr>
            <w:r w:rsidRPr="007C6799">
              <w:rPr>
                <w:b/>
                <w:bCs/>
              </w:rPr>
              <w:t>0</w:t>
            </w:r>
            <w:r w:rsidRPr="007C6799">
              <w:t xml:space="preserve"> </w:t>
            </w:r>
            <w:r>
              <w:t>(</w:t>
            </w:r>
            <w:r w:rsidRPr="007C6799">
              <w:t>0.00%</w:t>
            </w:r>
            <w:r>
              <w:t>)</w:t>
            </w:r>
          </w:p>
        </w:tc>
      </w:tr>
      <w:tr w:rsidR="007C6799" w:rsidRPr="001B4766" w14:paraId="0DBC8D6E" w14:textId="0CFE5C01"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0F350182" w14:textId="496AFF5B" w:rsidR="007C6799" w:rsidRPr="001B4766" w:rsidRDefault="007C6799" w:rsidP="007C6799">
            <w:r w:rsidRPr="00C1063B">
              <w:t>State or territory government</w:t>
            </w:r>
          </w:p>
        </w:tc>
        <w:tc>
          <w:tcPr>
            <w:tcW w:w="2127" w:type="dxa"/>
            <w:tcBorders>
              <w:top w:val="single" w:sz="2" w:space="0" w:color="A587D5"/>
              <w:left w:val="single" w:sz="2" w:space="0" w:color="A587D5"/>
              <w:bottom w:val="single" w:sz="2" w:space="0" w:color="A587D5"/>
              <w:right w:val="single" w:sz="2" w:space="0" w:color="A587D5"/>
            </w:tcBorders>
            <w:vAlign w:val="center"/>
          </w:tcPr>
          <w:p w14:paraId="7F8789C0" w14:textId="7AC329CA" w:rsidR="007C6799" w:rsidRPr="007C6799" w:rsidRDefault="007C6799" w:rsidP="007C6799">
            <w:pPr>
              <w:cnfStyle w:val="000000100000" w:firstRow="0" w:lastRow="0" w:firstColumn="0" w:lastColumn="0" w:oddVBand="0" w:evenVBand="0" w:oddHBand="1" w:evenHBand="0" w:firstRowFirstColumn="0" w:firstRowLastColumn="0" w:lastRowFirstColumn="0" w:lastRowLastColumn="0"/>
            </w:pPr>
            <w:r w:rsidRPr="007C6799">
              <w:rPr>
                <w:b/>
                <w:bCs/>
              </w:rPr>
              <w:t xml:space="preserve">1 </w:t>
            </w:r>
            <w:r>
              <w:t>(</w:t>
            </w:r>
            <w:r w:rsidRPr="007C6799">
              <w:t>0.81%</w:t>
            </w:r>
            <w:r>
              <w:t>)</w:t>
            </w:r>
          </w:p>
        </w:tc>
      </w:tr>
      <w:tr w:rsidR="007C6799" w:rsidRPr="001B4766" w14:paraId="4B5CE90F" w14:textId="78D858F7"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158A600C" w14:textId="28D32A17" w:rsidR="007C6799" w:rsidRPr="001B4766" w:rsidRDefault="007C6799" w:rsidP="007C6799">
            <w:r w:rsidRPr="00C1063B">
              <w:t>Local Council</w:t>
            </w:r>
          </w:p>
        </w:tc>
        <w:tc>
          <w:tcPr>
            <w:tcW w:w="2127" w:type="dxa"/>
            <w:tcBorders>
              <w:top w:val="single" w:sz="2" w:space="0" w:color="A587D5"/>
              <w:left w:val="single" w:sz="2" w:space="0" w:color="A587D5"/>
              <w:bottom w:val="single" w:sz="2" w:space="0" w:color="A587D5"/>
              <w:right w:val="single" w:sz="2" w:space="0" w:color="A587D5"/>
            </w:tcBorders>
            <w:vAlign w:val="center"/>
          </w:tcPr>
          <w:p w14:paraId="789370D7" w14:textId="599D1889" w:rsidR="007C6799" w:rsidRPr="007C6799" w:rsidRDefault="007C6799" w:rsidP="007C6799">
            <w:pPr>
              <w:cnfStyle w:val="000000000000" w:firstRow="0" w:lastRow="0" w:firstColumn="0" w:lastColumn="0" w:oddVBand="0" w:evenVBand="0" w:oddHBand="0" w:evenHBand="0" w:firstRowFirstColumn="0" w:firstRowLastColumn="0" w:lastRowFirstColumn="0" w:lastRowLastColumn="0"/>
            </w:pPr>
            <w:r w:rsidRPr="007C6799">
              <w:rPr>
                <w:b/>
                <w:bCs/>
              </w:rPr>
              <w:t xml:space="preserve">5 </w:t>
            </w:r>
            <w:r>
              <w:t>(</w:t>
            </w:r>
            <w:r w:rsidRPr="007C6799">
              <w:t>4.07%</w:t>
            </w:r>
            <w:r>
              <w:t>)</w:t>
            </w:r>
          </w:p>
        </w:tc>
      </w:tr>
      <w:tr w:rsidR="007C6799" w:rsidRPr="001B4766" w14:paraId="20DA0910" w14:textId="28ABF3B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4665AF27" w14:textId="48027AA3" w:rsidR="007C6799" w:rsidRPr="001B4766" w:rsidRDefault="007C6799" w:rsidP="007C6799">
            <w:r w:rsidRPr="00C1063B">
              <w:t>Commonwealth agency</w:t>
            </w:r>
          </w:p>
        </w:tc>
        <w:tc>
          <w:tcPr>
            <w:tcW w:w="2127" w:type="dxa"/>
            <w:tcBorders>
              <w:top w:val="single" w:sz="2" w:space="0" w:color="A587D5"/>
              <w:left w:val="single" w:sz="2" w:space="0" w:color="A587D5"/>
              <w:bottom w:val="single" w:sz="2" w:space="0" w:color="A587D5"/>
              <w:right w:val="single" w:sz="2" w:space="0" w:color="A587D5"/>
            </w:tcBorders>
            <w:vAlign w:val="center"/>
          </w:tcPr>
          <w:p w14:paraId="45FD48AE" w14:textId="5ADC89BE" w:rsidR="007C6799" w:rsidRPr="007C6799" w:rsidRDefault="007C6799" w:rsidP="007C6799">
            <w:pPr>
              <w:cnfStyle w:val="000000100000" w:firstRow="0" w:lastRow="0" w:firstColumn="0" w:lastColumn="0" w:oddVBand="0" w:evenVBand="0" w:oddHBand="1" w:evenHBand="0" w:firstRowFirstColumn="0" w:firstRowLastColumn="0" w:lastRowFirstColumn="0" w:lastRowLastColumn="0"/>
            </w:pPr>
            <w:r w:rsidRPr="007C6799">
              <w:rPr>
                <w:b/>
                <w:bCs/>
              </w:rPr>
              <w:t>0</w:t>
            </w:r>
            <w:r w:rsidRPr="007C6799">
              <w:t xml:space="preserve"> </w:t>
            </w:r>
            <w:r>
              <w:t>(</w:t>
            </w:r>
            <w:r w:rsidRPr="007C6799">
              <w:t>0.00%</w:t>
            </w:r>
            <w:r>
              <w:t>)</w:t>
            </w:r>
          </w:p>
        </w:tc>
      </w:tr>
      <w:tr w:rsidR="007C6799" w:rsidRPr="001B4766" w14:paraId="40E6AC69" w14:textId="1ED293A1" w:rsidTr="007C6799">
        <w:trPr>
          <w:trHeight w:val="75"/>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679A7A16" w14:textId="22317130" w:rsidR="007C6799" w:rsidRPr="001B4766" w:rsidRDefault="007C6799" w:rsidP="007C6799">
            <w:r w:rsidRPr="00C1063B">
              <w:t xml:space="preserve">Other </w:t>
            </w:r>
          </w:p>
        </w:tc>
        <w:tc>
          <w:tcPr>
            <w:tcW w:w="2127" w:type="dxa"/>
            <w:tcBorders>
              <w:top w:val="single" w:sz="2" w:space="0" w:color="A587D5"/>
              <w:left w:val="single" w:sz="2" w:space="0" w:color="A587D5"/>
              <w:bottom w:val="single" w:sz="2" w:space="0" w:color="A587D5"/>
              <w:right w:val="single" w:sz="2" w:space="0" w:color="A587D5"/>
            </w:tcBorders>
            <w:vAlign w:val="center"/>
          </w:tcPr>
          <w:p w14:paraId="2C4A7E94" w14:textId="10F9D13B" w:rsidR="007C6799" w:rsidRPr="007C6799" w:rsidRDefault="007C6799" w:rsidP="007C6799">
            <w:pPr>
              <w:cnfStyle w:val="000000000000" w:firstRow="0" w:lastRow="0" w:firstColumn="0" w:lastColumn="0" w:oddVBand="0" w:evenVBand="0" w:oddHBand="0" w:evenHBand="0" w:firstRowFirstColumn="0" w:firstRowLastColumn="0" w:lastRowFirstColumn="0" w:lastRowLastColumn="0"/>
            </w:pPr>
            <w:r w:rsidRPr="007C6799">
              <w:rPr>
                <w:b/>
                <w:bCs/>
              </w:rPr>
              <w:t>13</w:t>
            </w:r>
            <w:r w:rsidRPr="007C6799">
              <w:t xml:space="preserve"> </w:t>
            </w:r>
            <w:r>
              <w:t>(</w:t>
            </w:r>
            <w:r w:rsidRPr="007C6799">
              <w:t>10.57%</w:t>
            </w:r>
            <w:r>
              <w:t>)</w:t>
            </w:r>
          </w:p>
        </w:tc>
      </w:tr>
    </w:tbl>
    <w:p w14:paraId="0F54FA9A" w14:textId="77777777" w:rsidR="007C6799" w:rsidRDefault="007C6799" w:rsidP="0048323A">
      <w:pPr>
        <w:pStyle w:val="Heading4"/>
      </w:pPr>
      <w:bookmarkStart w:id="66" w:name="_Toc77848181"/>
    </w:p>
    <w:p w14:paraId="4C4C00BE" w14:textId="5DCFFE20" w:rsidR="00E00591" w:rsidRPr="001B4766" w:rsidRDefault="00E00591" w:rsidP="0048323A">
      <w:pPr>
        <w:pStyle w:val="Heading4"/>
      </w:pPr>
      <w:r w:rsidRPr="001B4766">
        <w:t>Table 2 Groups that carers or other community representatives identify with</w:t>
      </w:r>
      <w:bookmarkEnd w:id="66"/>
    </w:p>
    <w:p w14:paraId="1AC5696B" w14:textId="77777777" w:rsidR="00E00591" w:rsidRPr="001B4766" w:rsidRDefault="00E00591" w:rsidP="00E14444">
      <w:r w:rsidRPr="001B4766">
        <w:t>Consumers, carers and consumer representatives were asked if they, or the person/s they care for or represent, identify with or belong to one or more of the following groups. Stakeholders were able to select all categories that applied. Given that no consumers completed a survey, the information below is drawn only from responses from carers or other consumer representatives.</w:t>
      </w:r>
    </w:p>
    <w:p w14:paraId="2269F308" w14:textId="77777777" w:rsidR="00E00591" w:rsidRPr="001B4766" w:rsidRDefault="00E00591" w:rsidP="00E14444"/>
    <w:tbl>
      <w:tblPr>
        <w:tblStyle w:val="PlainTable41"/>
        <w:tblW w:w="8815" w:type="dxa"/>
        <w:tblInd w:w="113" w:type="dxa"/>
        <w:tblBorders>
          <w:top w:val="single" w:sz="2" w:space="0" w:color="573393"/>
          <w:left w:val="single" w:sz="2" w:space="0" w:color="573393"/>
          <w:bottom w:val="single" w:sz="2" w:space="0" w:color="573393"/>
          <w:right w:val="single" w:sz="2" w:space="0" w:color="573393"/>
          <w:insideH w:val="single" w:sz="2" w:space="0" w:color="573393"/>
          <w:insideV w:val="single" w:sz="2" w:space="0" w:color="573393"/>
        </w:tblBorders>
        <w:tblLook w:val="04A0" w:firstRow="1" w:lastRow="0" w:firstColumn="1" w:lastColumn="0" w:noHBand="0" w:noVBand="1"/>
        <w:tblCaption w:val="Table 3 Type of Service Delivered by Service Providers Responding to Online Survey"/>
        <w:tblDescription w:val="This table describes number of the online survey respondents by service type"/>
      </w:tblPr>
      <w:tblGrid>
        <w:gridCol w:w="6688"/>
        <w:gridCol w:w="2127"/>
      </w:tblGrid>
      <w:tr w:rsidR="00E00591" w:rsidRPr="001B4766" w14:paraId="2D011A31" w14:textId="77777777" w:rsidTr="007C679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6688" w:type="dxa"/>
            <w:tcBorders>
              <w:bottom w:val="single" w:sz="2" w:space="0" w:color="A587D5"/>
            </w:tcBorders>
            <w:shd w:val="clear" w:color="auto" w:fill="573393"/>
            <w:vAlign w:val="center"/>
          </w:tcPr>
          <w:p w14:paraId="559D467B" w14:textId="49ADF82E" w:rsidR="00E00591" w:rsidRPr="00A00209" w:rsidRDefault="00E00591" w:rsidP="00E14444">
            <w:pPr>
              <w:rPr>
                <w:color w:val="FFFFFF" w:themeColor="background1"/>
              </w:rPr>
            </w:pPr>
            <w:r w:rsidRPr="00A00209">
              <w:rPr>
                <w:color w:val="FFFFFF" w:themeColor="background1"/>
              </w:rPr>
              <w:t xml:space="preserve">Group(s) </w:t>
            </w:r>
            <w:r w:rsidR="004A2D34">
              <w:rPr>
                <w:color w:val="FFFFFF" w:themeColor="background1"/>
              </w:rPr>
              <w:t xml:space="preserve">that </w:t>
            </w:r>
            <w:r w:rsidRPr="00A00209">
              <w:rPr>
                <w:color w:val="FFFFFF" w:themeColor="background1"/>
              </w:rPr>
              <w:t>carer</w:t>
            </w:r>
            <w:r w:rsidR="004A2D34">
              <w:rPr>
                <w:color w:val="FFFFFF" w:themeColor="background1"/>
              </w:rPr>
              <w:t>s</w:t>
            </w:r>
            <w:r w:rsidRPr="00A00209">
              <w:rPr>
                <w:color w:val="FFFFFF" w:themeColor="background1"/>
              </w:rPr>
              <w:t xml:space="preserve"> or other consumer representative</w:t>
            </w:r>
            <w:r w:rsidR="004A2D34">
              <w:rPr>
                <w:color w:val="FFFFFF" w:themeColor="background1"/>
              </w:rPr>
              <w:t>s</w:t>
            </w:r>
            <w:r w:rsidRPr="00A00209">
              <w:rPr>
                <w:color w:val="FFFFFF" w:themeColor="background1"/>
              </w:rPr>
              <w:t xml:space="preserve"> identify with</w:t>
            </w:r>
          </w:p>
        </w:tc>
        <w:tc>
          <w:tcPr>
            <w:tcW w:w="2127" w:type="dxa"/>
            <w:tcBorders>
              <w:bottom w:val="single" w:sz="2" w:space="0" w:color="A587D5"/>
            </w:tcBorders>
            <w:shd w:val="clear" w:color="auto" w:fill="573393"/>
            <w:vAlign w:val="center"/>
          </w:tcPr>
          <w:p w14:paraId="0DA5CEF4" w14:textId="77777777" w:rsidR="00E00591" w:rsidRPr="00A00209" w:rsidRDefault="00E00591" w:rsidP="00E1444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00209">
              <w:rPr>
                <w:color w:val="FFFFFF" w:themeColor="background1"/>
              </w:rPr>
              <w:t xml:space="preserve">Online survey responses </w:t>
            </w:r>
          </w:p>
        </w:tc>
      </w:tr>
      <w:tr w:rsidR="00E00591" w:rsidRPr="001B4766" w14:paraId="05A07E65" w14:textId="77777777" w:rsidTr="007C6799">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1E56A271" w14:textId="77777777" w:rsidR="00E00591" w:rsidRPr="001B4766" w:rsidRDefault="00E00591" w:rsidP="00E14444">
            <w:r w:rsidRPr="001B4766">
              <w:t>People from Aboriginal and/or Torres Strait Islander communities</w:t>
            </w:r>
          </w:p>
        </w:tc>
        <w:tc>
          <w:tcPr>
            <w:tcW w:w="2127" w:type="dxa"/>
            <w:tcBorders>
              <w:top w:val="single" w:sz="2" w:space="0" w:color="A587D5"/>
              <w:left w:val="single" w:sz="2" w:space="0" w:color="A587D5"/>
              <w:bottom w:val="single" w:sz="2" w:space="0" w:color="A587D5"/>
              <w:right w:val="single" w:sz="2" w:space="0" w:color="A587D5"/>
            </w:tcBorders>
            <w:vAlign w:val="center"/>
          </w:tcPr>
          <w:p w14:paraId="7CA29E51" w14:textId="4D42F90F" w:rsidR="00E00591" w:rsidRPr="007C6799" w:rsidRDefault="007C6799" w:rsidP="007C6799">
            <w:pPr>
              <w:cnfStyle w:val="000000100000" w:firstRow="0" w:lastRow="0" w:firstColumn="0" w:lastColumn="0" w:oddVBand="0" w:evenVBand="0" w:oddHBand="1" w:evenHBand="0" w:firstRowFirstColumn="0" w:firstRowLastColumn="0" w:lastRowFirstColumn="0" w:lastRowLastColumn="0"/>
            </w:pPr>
            <w:r w:rsidRPr="007C6799">
              <w:rPr>
                <w:b/>
                <w:bCs/>
              </w:rPr>
              <w:t>5</w:t>
            </w:r>
            <w:r w:rsidRPr="007C6799">
              <w:t xml:space="preserve"> </w:t>
            </w:r>
            <w:r>
              <w:t>(</w:t>
            </w:r>
            <w:r w:rsidRPr="007C6799">
              <w:t>4.07%</w:t>
            </w:r>
            <w:r>
              <w:t>)</w:t>
            </w:r>
          </w:p>
        </w:tc>
      </w:tr>
      <w:tr w:rsidR="00E00591" w:rsidRPr="001B4766" w14:paraId="59181F38"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791D8AA1" w14:textId="7AD2EB26" w:rsidR="00E00591" w:rsidRPr="001B4766" w:rsidRDefault="00E00591" w:rsidP="00E14444">
            <w:r w:rsidRPr="001B4766">
              <w:t>People from culturally and linguistically diverse backgrounds</w:t>
            </w:r>
          </w:p>
        </w:tc>
        <w:tc>
          <w:tcPr>
            <w:tcW w:w="2127" w:type="dxa"/>
            <w:tcBorders>
              <w:top w:val="single" w:sz="2" w:space="0" w:color="A587D5"/>
              <w:left w:val="single" w:sz="2" w:space="0" w:color="A587D5"/>
              <w:bottom w:val="single" w:sz="2" w:space="0" w:color="A587D5"/>
              <w:right w:val="single" w:sz="2" w:space="0" w:color="A587D5"/>
            </w:tcBorders>
            <w:vAlign w:val="center"/>
          </w:tcPr>
          <w:p w14:paraId="7D5C4D8D" w14:textId="5C29DE53" w:rsidR="00E00591" w:rsidRPr="001B4766" w:rsidRDefault="007C6799" w:rsidP="00E14444">
            <w:pPr>
              <w:cnfStyle w:val="000000000000" w:firstRow="0" w:lastRow="0" w:firstColumn="0" w:lastColumn="0" w:oddVBand="0" w:evenVBand="0" w:oddHBand="0" w:evenHBand="0" w:firstRowFirstColumn="0" w:firstRowLastColumn="0" w:lastRowFirstColumn="0" w:lastRowLastColumn="0"/>
            </w:pPr>
            <w:r w:rsidRPr="007C6799">
              <w:rPr>
                <w:b/>
                <w:bCs/>
              </w:rPr>
              <w:t xml:space="preserve">12 </w:t>
            </w:r>
            <w:r>
              <w:t>(</w:t>
            </w:r>
            <w:r w:rsidRPr="007C6799">
              <w:t>9.76%</w:t>
            </w:r>
            <w:r>
              <w:t>)</w:t>
            </w:r>
          </w:p>
        </w:tc>
      </w:tr>
      <w:tr w:rsidR="00E00591" w:rsidRPr="001B4766" w14:paraId="0D7C5E9A"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0D729112" w14:textId="340403F9" w:rsidR="00E00591" w:rsidRPr="001B4766" w:rsidRDefault="00407073" w:rsidP="00E14444">
            <w:r>
              <w:t>V</w:t>
            </w:r>
            <w:r w:rsidR="00E00591" w:rsidRPr="001B4766">
              <w:t>eterans</w:t>
            </w:r>
          </w:p>
        </w:tc>
        <w:tc>
          <w:tcPr>
            <w:tcW w:w="2127" w:type="dxa"/>
            <w:tcBorders>
              <w:top w:val="single" w:sz="2" w:space="0" w:color="A587D5"/>
              <w:left w:val="single" w:sz="2" w:space="0" w:color="A587D5"/>
              <w:bottom w:val="single" w:sz="2" w:space="0" w:color="A587D5"/>
              <w:right w:val="single" w:sz="2" w:space="0" w:color="A587D5"/>
            </w:tcBorders>
            <w:vAlign w:val="center"/>
          </w:tcPr>
          <w:p w14:paraId="7F341E53" w14:textId="1A4ECD62" w:rsidR="00E00591" w:rsidRPr="001B4766" w:rsidRDefault="007C6799" w:rsidP="00E14444">
            <w:pPr>
              <w:cnfStyle w:val="000000100000" w:firstRow="0" w:lastRow="0" w:firstColumn="0" w:lastColumn="0" w:oddVBand="0" w:evenVBand="0" w:oddHBand="1" w:evenHBand="0" w:firstRowFirstColumn="0" w:firstRowLastColumn="0" w:lastRowFirstColumn="0" w:lastRowLastColumn="0"/>
            </w:pPr>
            <w:r w:rsidRPr="007C6799">
              <w:rPr>
                <w:b/>
                <w:bCs/>
              </w:rPr>
              <w:t>7</w:t>
            </w:r>
            <w:r w:rsidRPr="007C6799">
              <w:t xml:space="preserve"> </w:t>
            </w:r>
            <w:r>
              <w:t>(</w:t>
            </w:r>
            <w:r w:rsidRPr="007C6799">
              <w:t>5.69%</w:t>
            </w:r>
            <w:r>
              <w:t>)</w:t>
            </w:r>
          </w:p>
        </w:tc>
      </w:tr>
      <w:tr w:rsidR="00E00591" w:rsidRPr="001B4766" w14:paraId="0723E394"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7745E494" w14:textId="77777777" w:rsidR="00E00591" w:rsidRPr="001B4766" w:rsidRDefault="00E00591" w:rsidP="00E14444">
            <w:r w:rsidRPr="001B4766">
              <w:t>People who live in rural or remote areas</w:t>
            </w:r>
          </w:p>
        </w:tc>
        <w:tc>
          <w:tcPr>
            <w:tcW w:w="2127" w:type="dxa"/>
            <w:tcBorders>
              <w:top w:val="single" w:sz="2" w:space="0" w:color="A587D5"/>
              <w:left w:val="single" w:sz="2" w:space="0" w:color="A587D5"/>
              <w:bottom w:val="single" w:sz="2" w:space="0" w:color="A587D5"/>
              <w:right w:val="single" w:sz="2" w:space="0" w:color="A587D5"/>
            </w:tcBorders>
            <w:vAlign w:val="center"/>
          </w:tcPr>
          <w:p w14:paraId="4F5EE92B" w14:textId="1B6C06D5" w:rsidR="00E00591" w:rsidRPr="001B4766" w:rsidRDefault="007C6799" w:rsidP="00E14444">
            <w:pPr>
              <w:cnfStyle w:val="000000000000" w:firstRow="0" w:lastRow="0" w:firstColumn="0" w:lastColumn="0" w:oddVBand="0" w:evenVBand="0" w:oddHBand="0" w:evenHBand="0" w:firstRowFirstColumn="0" w:firstRowLastColumn="0" w:lastRowFirstColumn="0" w:lastRowLastColumn="0"/>
            </w:pPr>
            <w:r w:rsidRPr="007C6799">
              <w:rPr>
                <w:b/>
                <w:bCs/>
              </w:rPr>
              <w:t>11</w:t>
            </w:r>
            <w:r w:rsidRPr="007C6799">
              <w:t xml:space="preserve"> </w:t>
            </w:r>
            <w:r>
              <w:t>(</w:t>
            </w:r>
            <w:r w:rsidRPr="007C6799">
              <w:t>8.94%</w:t>
            </w:r>
            <w:r>
              <w:t>)</w:t>
            </w:r>
          </w:p>
        </w:tc>
      </w:tr>
      <w:tr w:rsidR="00E00591" w:rsidRPr="001B4766" w14:paraId="0FB93B08"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06DE46C9" w14:textId="77777777" w:rsidR="00E00591" w:rsidRPr="001B4766" w:rsidRDefault="00E00591" w:rsidP="00E14444">
            <w:r w:rsidRPr="001B4766">
              <w:t>People who are financially or socially disadvantaged</w:t>
            </w:r>
          </w:p>
        </w:tc>
        <w:tc>
          <w:tcPr>
            <w:tcW w:w="2127" w:type="dxa"/>
            <w:tcBorders>
              <w:top w:val="single" w:sz="2" w:space="0" w:color="A587D5"/>
              <w:left w:val="single" w:sz="2" w:space="0" w:color="A587D5"/>
              <w:bottom w:val="single" w:sz="2" w:space="0" w:color="A587D5"/>
              <w:right w:val="single" w:sz="2" w:space="0" w:color="A587D5"/>
            </w:tcBorders>
            <w:vAlign w:val="center"/>
          </w:tcPr>
          <w:p w14:paraId="184E5255" w14:textId="054AA36C" w:rsidR="00E00591" w:rsidRPr="001B4766" w:rsidRDefault="007C6799" w:rsidP="00E14444">
            <w:pPr>
              <w:cnfStyle w:val="000000100000" w:firstRow="0" w:lastRow="0" w:firstColumn="0" w:lastColumn="0" w:oddVBand="0" w:evenVBand="0" w:oddHBand="1" w:evenHBand="0" w:firstRowFirstColumn="0" w:firstRowLastColumn="0" w:lastRowFirstColumn="0" w:lastRowLastColumn="0"/>
            </w:pPr>
            <w:r w:rsidRPr="007C6799">
              <w:rPr>
                <w:b/>
                <w:bCs/>
              </w:rPr>
              <w:t>8</w:t>
            </w:r>
            <w:r w:rsidRPr="007C6799">
              <w:t xml:space="preserve"> </w:t>
            </w:r>
            <w:r>
              <w:t>(</w:t>
            </w:r>
            <w:r w:rsidRPr="007C6799">
              <w:t>6.50%</w:t>
            </w:r>
            <w:r>
              <w:t>)</w:t>
            </w:r>
          </w:p>
        </w:tc>
      </w:tr>
      <w:tr w:rsidR="00E00591" w:rsidRPr="001B4766" w14:paraId="55124934"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501A6591" w14:textId="77777777" w:rsidR="00E00591" w:rsidRPr="001B4766" w:rsidRDefault="00E00591" w:rsidP="00E14444">
            <w:r w:rsidRPr="001B4766">
              <w:t>People who are homeless or at risk of becoming homeless</w:t>
            </w:r>
          </w:p>
        </w:tc>
        <w:tc>
          <w:tcPr>
            <w:tcW w:w="2127" w:type="dxa"/>
            <w:tcBorders>
              <w:top w:val="single" w:sz="2" w:space="0" w:color="A587D5"/>
              <w:left w:val="single" w:sz="2" w:space="0" w:color="A587D5"/>
              <w:bottom w:val="single" w:sz="2" w:space="0" w:color="A587D5"/>
              <w:right w:val="single" w:sz="2" w:space="0" w:color="A587D5"/>
            </w:tcBorders>
            <w:vAlign w:val="center"/>
          </w:tcPr>
          <w:p w14:paraId="1FB74657" w14:textId="06CD1927" w:rsidR="00E00591" w:rsidRPr="001B4766" w:rsidRDefault="007C6799" w:rsidP="00E14444">
            <w:pPr>
              <w:cnfStyle w:val="000000000000" w:firstRow="0" w:lastRow="0" w:firstColumn="0" w:lastColumn="0" w:oddVBand="0" w:evenVBand="0" w:oddHBand="0" w:evenHBand="0" w:firstRowFirstColumn="0" w:firstRowLastColumn="0" w:lastRowFirstColumn="0" w:lastRowLastColumn="0"/>
            </w:pPr>
            <w:r w:rsidRPr="007C6799">
              <w:rPr>
                <w:b/>
                <w:bCs/>
              </w:rPr>
              <w:t>3</w:t>
            </w:r>
            <w:r w:rsidRPr="007C6799">
              <w:t xml:space="preserve"> </w:t>
            </w:r>
            <w:r>
              <w:t>(</w:t>
            </w:r>
            <w:r w:rsidRPr="007C6799">
              <w:t>2.44%</w:t>
            </w:r>
            <w:r>
              <w:t>)</w:t>
            </w:r>
          </w:p>
        </w:tc>
      </w:tr>
      <w:tr w:rsidR="00E00591" w:rsidRPr="001B4766" w14:paraId="5D556C85"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398F2250" w14:textId="08BF4255" w:rsidR="00E00591" w:rsidRPr="001B4766" w:rsidRDefault="00E00591" w:rsidP="00E14444">
            <w:r w:rsidRPr="001B4766">
              <w:t>People who are care</w:t>
            </w:r>
            <w:r w:rsidR="00407073">
              <w:t>-</w:t>
            </w:r>
            <w:r w:rsidRPr="001B4766">
              <w:t xml:space="preserve">leavers </w:t>
            </w:r>
          </w:p>
        </w:tc>
        <w:tc>
          <w:tcPr>
            <w:tcW w:w="2127" w:type="dxa"/>
            <w:tcBorders>
              <w:top w:val="single" w:sz="2" w:space="0" w:color="A587D5"/>
              <w:left w:val="single" w:sz="2" w:space="0" w:color="A587D5"/>
              <w:bottom w:val="single" w:sz="2" w:space="0" w:color="A587D5"/>
              <w:right w:val="single" w:sz="2" w:space="0" w:color="A587D5"/>
            </w:tcBorders>
            <w:vAlign w:val="center"/>
          </w:tcPr>
          <w:p w14:paraId="43242969" w14:textId="64FE31E5" w:rsidR="00E00591" w:rsidRPr="001B4766" w:rsidRDefault="007C6799" w:rsidP="00E14444">
            <w:pPr>
              <w:cnfStyle w:val="000000100000" w:firstRow="0" w:lastRow="0" w:firstColumn="0" w:lastColumn="0" w:oddVBand="0" w:evenVBand="0" w:oddHBand="1" w:evenHBand="0" w:firstRowFirstColumn="0" w:firstRowLastColumn="0" w:lastRowFirstColumn="0" w:lastRowLastColumn="0"/>
            </w:pPr>
            <w:r w:rsidRPr="007C6799">
              <w:rPr>
                <w:b/>
                <w:bCs/>
              </w:rPr>
              <w:t>3</w:t>
            </w:r>
            <w:r w:rsidRPr="007C6799">
              <w:t xml:space="preserve"> </w:t>
            </w:r>
            <w:r>
              <w:t>(</w:t>
            </w:r>
            <w:r w:rsidRPr="007C6799">
              <w:t>2.44%</w:t>
            </w:r>
            <w:r>
              <w:t>)</w:t>
            </w:r>
          </w:p>
        </w:tc>
      </w:tr>
      <w:tr w:rsidR="00E00591" w:rsidRPr="001B4766" w14:paraId="22190B64"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3131202E" w14:textId="77777777" w:rsidR="00E00591" w:rsidRPr="001B4766" w:rsidRDefault="00E00591" w:rsidP="00E14444">
            <w:r w:rsidRPr="001B4766">
              <w:t>Parents separated from their children by forced adoption or removal</w:t>
            </w:r>
          </w:p>
        </w:tc>
        <w:tc>
          <w:tcPr>
            <w:tcW w:w="2127" w:type="dxa"/>
            <w:tcBorders>
              <w:top w:val="single" w:sz="2" w:space="0" w:color="A587D5"/>
              <w:left w:val="single" w:sz="2" w:space="0" w:color="A587D5"/>
              <w:bottom w:val="single" w:sz="2" w:space="0" w:color="A587D5"/>
              <w:right w:val="single" w:sz="2" w:space="0" w:color="A587D5"/>
            </w:tcBorders>
            <w:vAlign w:val="center"/>
          </w:tcPr>
          <w:p w14:paraId="44AC53D6" w14:textId="3A90EDC3" w:rsidR="00E00591" w:rsidRPr="001B4766" w:rsidRDefault="007C6799" w:rsidP="00E14444">
            <w:pPr>
              <w:cnfStyle w:val="000000000000" w:firstRow="0" w:lastRow="0" w:firstColumn="0" w:lastColumn="0" w:oddVBand="0" w:evenVBand="0" w:oddHBand="0" w:evenHBand="0" w:firstRowFirstColumn="0" w:firstRowLastColumn="0" w:lastRowFirstColumn="0" w:lastRowLastColumn="0"/>
            </w:pPr>
            <w:r w:rsidRPr="007C6799">
              <w:rPr>
                <w:b/>
                <w:bCs/>
              </w:rPr>
              <w:t xml:space="preserve">2 </w:t>
            </w:r>
            <w:r>
              <w:t>(</w:t>
            </w:r>
            <w:r w:rsidRPr="007C6799">
              <w:t>1.63%</w:t>
            </w:r>
            <w:r>
              <w:t>)</w:t>
            </w:r>
          </w:p>
        </w:tc>
      </w:tr>
      <w:tr w:rsidR="00E00591" w:rsidRPr="001B4766" w14:paraId="275FED0C"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35D6BC38" w14:textId="0B35E737" w:rsidR="00E00591" w:rsidRPr="001B4766" w:rsidRDefault="00407073" w:rsidP="00E14444">
            <w:r>
              <w:t>L</w:t>
            </w:r>
            <w:r w:rsidR="00E00591" w:rsidRPr="001B4766">
              <w:t>esbian, gay, bisexual, transgender and intersex people</w:t>
            </w:r>
          </w:p>
        </w:tc>
        <w:tc>
          <w:tcPr>
            <w:tcW w:w="2127" w:type="dxa"/>
            <w:tcBorders>
              <w:top w:val="single" w:sz="2" w:space="0" w:color="A587D5"/>
              <w:left w:val="single" w:sz="2" w:space="0" w:color="A587D5"/>
              <w:bottom w:val="single" w:sz="2" w:space="0" w:color="A587D5"/>
              <w:right w:val="single" w:sz="2" w:space="0" w:color="A587D5"/>
            </w:tcBorders>
            <w:vAlign w:val="center"/>
          </w:tcPr>
          <w:p w14:paraId="09FF6F5D" w14:textId="147A8019" w:rsidR="00E00591" w:rsidRPr="001B4766" w:rsidRDefault="007C6799" w:rsidP="00E14444">
            <w:pPr>
              <w:cnfStyle w:val="000000100000" w:firstRow="0" w:lastRow="0" w:firstColumn="0" w:lastColumn="0" w:oddVBand="0" w:evenVBand="0" w:oddHBand="1" w:evenHBand="0" w:firstRowFirstColumn="0" w:firstRowLastColumn="0" w:lastRowFirstColumn="0" w:lastRowLastColumn="0"/>
            </w:pPr>
            <w:r w:rsidRPr="007C6799">
              <w:rPr>
                <w:b/>
                <w:bCs/>
              </w:rPr>
              <w:t xml:space="preserve">4 </w:t>
            </w:r>
            <w:r>
              <w:t>(</w:t>
            </w:r>
            <w:r w:rsidRPr="007C6799">
              <w:t>3.25%</w:t>
            </w:r>
            <w:r>
              <w:t>)</w:t>
            </w:r>
          </w:p>
        </w:tc>
      </w:tr>
      <w:tr w:rsidR="00E00591" w:rsidRPr="001B4766" w14:paraId="1AFFD9F9"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2615A9EC" w14:textId="77777777" w:rsidR="00E00591" w:rsidRPr="001B4766" w:rsidRDefault="00E00591" w:rsidP="00E14444">
            <w:r w:rsidRPr="001B4766">
              <w:t>People with disabilities</w:t>
            </w:r>
          </w:p>
        </w:tc>
        <w:tc>
          <w:tcPr>
            <w:tcW w:w="2127" w:type="dxa"/>
            <w:tcBorders>
              <w:top w:val="single" w:sz="2" w:space="0" w:color="A587D5"/>
              <w:left w:val="single" w:sz="2" w:space="0" w:color="A587D5"/>
              <w:bottom w:val="single" w:sz="2" w:space="0" w:color="A587D5"/>
              <w:right w:val="single" w:sz="2" w:space="0" w:color="A587D5"/>
            </w:tcBorders>
            <w:vAlign w:val="center"/>
          </w:tcPr>
          <w:p w14:paraId="28247DEE" w14:textId="78A2B158" w:rsidR="00E00591" w:rsidRPr="001B4766" w:rsidRDefault="007C6799" w:rsidP="00E14444">
            <w:pPr>
              <w:cnfStyle w:val="000000000000" w:firstRow="0" w:lastRow="0" w:firstColumn="0" w:lastColumn="0" w:oddVBand="0" w:evenVBand="0" w:oddHBand="0" w:evenHBand="0" w:firstRowFirstColumn="0" w:firstRowLastColumn="0" w:lastRowFirstColumn="0" w:lastRowLastColumn="0"/>
            </w:pPr>
            <w:r w:rsidRPr="007C6799">
              <w:rPr>
                <w:b/>
                <w:bCs/>
              </w:rPr>
              <w:t>10</w:t>
            </w:r>
            <w:r w:rsidRPr="007C6799">
              <w:t xml:space="preserve"> </w:t>
            </w:r>
            <w:r>
              <w:t>(</w:t>
            </w:r>
            <w:r w:rsidRPr="007C6799">
              <w:t>8.13%</w:t>
            </w:r>
            <w:r>
              <w:t>)</w:t>
            </w:r>
          </w:p>
        </w:tc>
      </w:tr>
      <w:tr w:rsidR="00E00591" w:rsidRPr="001B4766" w14:paraId="2E1F31CB"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6459D602" w14:textId="77777777" w:rsidR="00E00591" w:rsidRPr="001B4766" w:rsidRDefault="00E00591" w:rsidP="00E14444">
            <w:r w:rsidRPr="001B4766">
              <w:t>People with dementia</w:t>
            </w:r>
          </w:p>
        </w:tc>
        <w:tc>
          <w:tcPr>
            <w:tcW w:w="2127" w:type="dxa"/>
            <w:tcBorders>
              <w:top w:val="single" w:sz="2" w:space="0" w:color="A587D5"/>
              <w:left w:val="single" w:sz="2" w:space="0" w:color="A587D5"/>
              <w:bottom w:val="single" w:sz="2" w:space="0" w:color="A587D5"/>
              <w:right w:val="single" w:sz="2" w:space="0" w:color="A587D5"/>
            </w:tcBorders>
            <w:vAlign w:val="center"/>
          </w:tcPr>
          <w:p w14:paraId="6573FF8A" w14:textId="4EF3C393" w:rsidR="00E00591" w:rsidRPr="001B4766" w:rsidRDefault="007C6799" w:rsidP="00E14444">
            <w:pPr>
              <w:cnfStyle w:val="000000100000" w:firstRow="0" w:lastRow="0" w:firstColumn="0" w:lastColumn="0" w:oddVBand="0" w:evenVBand="0" w:oddHBand="1" w:evenHBand="0" w:firstRowFirstColumn="0" w:firstRowLastColumn="0" w:lastRowFirstColumn="0" w:lastRowLastColumn="0"/>
            </w:pPr>
            <w:r w:rsidRPr="007C6799">
              <w:rPr>
                <w:b/>
                <w:bCs/>
              </w:rPr>
              <w:t>11</w:t>
            </w:r>
            <w:r w:rsidRPr="007C6799">
              <w:t xml:space="preserve"> </w:t>
            </w:r>
            <w:r>
              <w:t>(</w:t>
            </w:r>
            <w:r w:rsidRPr="007C6799">
              <w:t>8.94%</w:t>
            </w:r>
            <w:r>
              <w:t>)</w:t>
            </w:r>
          </w:p>
        </w:tc>
      </w:tr>
      <w:tr w:rsidR="00407073" w:rsidRPr="001B4766" w14:paraId="4EAB4D8A"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421AB445" w14:textId="42E021BB" w:rsidR="00407073" w:rsidRPr="00407073" w:rsidRDefault="00407073" w:rsidP="00E14444">
            <w:r w:rsidRPr="00407073">
              <w:t>Other</w:t>
            </w:r>
          </w:p>
        </w:tc>
        <w:tc>
          <w:tcPr>
            <w:tcW w:w="2127" w:type="dxa"/>
            <w:tcBorders>
              <w:top w:val="single" w:sz="2" w:space="0" w:color="A587D5"/>
              <w:left w:val="single" w:sz="2" w:space="0" w:color="A587D5"/>
              <w:bottom w:val="single" w:sz="2" w:space="0" w:color="A587D5"/>
              <w:right w:val="single" w:sz="2" w:space="0" w:color="A587D5"/>
            </w:tcBorders>
            <w:vAlign w:val="center"/>
          </w:tcPr>
          <w:p w14:paraId="15829C1A" w14:textId="75761AEC" w:rsidR="00407073" w:rsidRPr="001B4766" w:rsidRDefault="007C6799" w:rsidP="00E14444">
            <w:pPr>
              <w:cnfStyle w:val="000000000000" w:firstRow="0" w:lastRow="0" w:firstColumn="0" w:lastColumn="0" w:oddVBand="0" w:evenVBand="0" w:oddHBand="0" w:evenHBand="0" w:firstRowFirstColumn="0" w:firstRowLastColumn="0" w:lastRowFirstColumn="0" w:lastRowLastColumn="0"/>
            </w:pPr>
            <w:r w:rsidRPr="007C6799">
              <w:rPr>
                <w:b/>
                <w:bCs/>
              </w:rPr>
              <w:t>3</w:t>
            </w:r>
            <w:r w:rsidRPr="007C6799">
              <w:t xml:space="preserve"> </w:t>
            </w:r>
            <w:r>
              <w:t>(</w:t>
            </w:r>
            <w:r w:rsidRPr="007C6799">
              <w:t>2.44%</w:t>
            </w:r>
            <w:r>
              <w:t>)</w:t>
            </w:r>
          </w:p>
        </w:tc>
      </w:tr>
      <w:tr w:rsidR="00407073" w:rsidRPr="001B4766" w14:paraId="23334A7E"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6AF661B4" w14:textId="1360CE4A" w:rsidR="00407073" w:rsidRPr="00407073" w:rsidRDefault="00407073" w:rsidP="00E14444">
            <w:r>
              <w:t>Prefer not to answer</w:t>
            </w:r>
          </w:p>
        </w:tc>
        <w:tc>
          <w:tcPr>
            <w:tcW w:w="2127" w:type="dxa"/>
            <w:tcBorders>
              <w:top w:val="single" w:sz="2" w:space="0" w:color="A587D5"/>
              <w:left w:val="single" w:sz="2" w:space="0" w:color="A587D5"/>
              <w:bottom w:val="single" w:sz="2" w:space="0" w:color="A587D5"/>
              <w:right w:val="single" w:sz="2" w:space="0" w:color="A587D5"/>
            </w:tcBorders>
            <w:vAlign w:val="center"/>
          </w:tcPr>
          <w:p w14:paraId="090F18B3" w14:textId="091493C8" w:rsidR="00407073" w:rsidRPr="00407073" w:rsidRDefault="007C6799" w:rsidP="00E14444">
            <w:pPr>
              <w:cnfStyle w:val="000000100000" w:firstRow="0" w:lastRow="0" w:firstColumn="0" w:lastColumn="0" w:oddVBand="0" w:evenVBand="0" w:oddHBand="1" w:evenHBand="0" w:firstRowFirstColumn="0" w:firstRowLastColumn="0" w:lastRowFirstColumn="0" w:lastRowLastColumn="0"/>
            </w:pPr>
            <w:r w:rsidRPr="007C6799">
              <w:rPr>
                <w:b/>
                <w:bCs/>
              </w:rPr>
              <w:t xml:space="preserve">1 </w:t>
            </w:r>
            <w:r>
              <w:t>(</w:t>
            </w:r>
            <w:r w:rsidRPr="007C6799">
              <w:t>0.81%</w:t>
            </w:r>
            <w:r>
              <w:t>)</w:t>
            </w:r>
          </w:p>
        </w:tc>
      </w:tr>
      <w:tr w:rsidR="00E00591" w:rsidRPr="001B4766" w14:paraId="59B71CEA"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7DC5F85B" w14:textId="77777777" w:rsidR="00E00591" w:rsidRPr="001B4766" w:rsidRDefault="00E00591" w:rsidP="00E14444">
            <w:r w:rsidRPr="001B4766">
              <w:t>Not applicable</w:t>
            </w:r>
          </w:p>
        </w:tc>
        <w:tc>
          <w:tcPr>
            <w:tcW w:w="2127" w:type="dxa"/>
            <w:tcBorders>
              <w:top w:val="single" w:sz="2" w:space="0" w:color="A587D5"/>
              <w:left w:val="single" w:sz="2" w:space="0" w:color="A587D5"/>
              <w:bottom w:val="single" w:sz="2" w:space="0" w:color="A587D5"/>
              <w:right w:val="single" w:sz="2" w:space="0" w:color="A587D5"/>
            </w:tcBorders>
            <w:vAlign w:val="center"/>
          </w:tcPr>
          <w:p w14:paraId="2ED5C36E" w14:textId="76BE9986" w:rsidR="00E00591" w:rsidRPr="007C6799" w:rsidRDefault="007C6799" w:rsidP="00E14444">
            <w:pPr>
              <w:cnfStyle w:val="000000000000" w:firstRow="0" w:lastRow="0" w:firstColumn="0" w:lastColumn="0" w:oddVBand="0" w:evenVBand="0" w:oddHBand="0" w:evenHBand="0" w:firstRowFirstColumn="0" w:firstRowLastColumn="0" w:lastRowFirstColumn="0" w:lastRowLastColumn="0"/>
            </w:pPr>
            <w:r w:rsidRPr="007C6799">
              <w:rPr>
                <w:b/>
                <w:bCs/>
              </w:rPr>
              <w:t>79</w:t>
            </w:r>
            <w:r w:rsidRPr="007C6799">
              <w:t xml:space="preserve"> </w:t>
            </w:r>
            <w:r>
              <w:t>(</w:t>
            </w:r>
            <w:r w:rsidRPr="007C6799">
              <w:t>64.23%</w:t>
            </w:r>
            <w:r>
              <w:t>)</w:t>
            </w:r>
          </w:p>
        </w:tc>
      </w:tr>
      <w:tr w:rsidR="00E00591" w:rsidRPr="001B4766" w14:paraId="7F85D89D"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60DD218F" w14:textId="77777777" w:rsidR="00E00591" w:rsidRPr="001B4766" w:rsidRDefault="00E00591" w:rsidP="00E14444">
            <w:r w:rsidRPr="001B4766">
              <w:t>Not Answered</w:t>
            </w:r>
          </w:p>
        </w:tc>
        <w:tc>
          <w:tcPr>
            <w:tcW w:w="2127" w:type="dxa"/>
            <w:tcBorders>
              <w:top w:val="single" w:sz="2" w:space="0" w:color="A587D5"/>
              <w:left w:val="single" w:sz="2" w:space="0" w:color="A587D5"/>
              <w:bottom w:val="single" w:sz="2" w:space="0" w:color="A587D5"/>
              <w:right w:val="single" w:sz="2" w:space="0" w:color="A587D5"/>
            </w:tcBorders>
            <w:vAlign w:val="center"/>
          </w:tcPr>
          <w:p w14:paraId="1E5D6203" w14:textId="30CE55CE" w:rsidR="00E00591" w:rsidRPr="007C6799" w:rsidRDefault="007C6799" w:rsidP="00E14444">
            <w:pPr>
              <w:cnfStyle w:val="000000100000" w:firstRow="0" w:lastRow="0" w:firstColumn="0" w:lastColumn="0" w:oddVBand="0" w:evenVBand="0" w:oddHBand="1" w:evenHBand="0" w:firstRowFirstColumn="0" w:firstRowLastColumn="0" w:lastRowFirstColumn="0" w:lastRowLastColumn="0"/>
            </w:pPr>
            <w:r w:rsidRPr="007C6799">
              <w:rPr>
                <w:b/>
                <w:bCs/>
              </w:rPr>
              <w:t>23</w:t>
            </w:r>
            <w:r w:rsidRPr="007C6799">
              <w:t xml:space="preserve"> </w:t>
            </w:r>
            <w:r>
              <w:t>(</w:t>
            </w:r>
            <w:r w:rsidRPr="007C6799">
              <w:t>18.70%</w:t>
            </w:r>
            <w:r>
              <w:t>)</w:t>
            </w:r>
          </w:p>
        </w:tc>
      </w:tr>
    </w:tbl>
    <w:p w14:paraId="4CD402D5" w14:textId="77777777" w:rsidR="00E00591" w:rsidRPr="001B4766" w:rsidRDefault="00E00591" w:rsidP="00E14444"/>
    <w:p w14:paraId="7C7D92B2" w14:textId="77777777" w:rsidR="00E00591" w:rsidRPr="001B4766" w:rsidRDefault="00E00591" w:rsidP="0048323A">
      <w:pPr>
        <w:pStyle w:val="Heading4"/>
      </w:pPr>
      <w:bookmarkStart w:id="67" w:name="_Toc77848182"/>
      <w:r w:rsidRPr="001B4766">
        <w:t>Table 3 Approved provider type</w:t>
      </w:r>
      <w:bookmarkEnd w:id="67"/>
    </w:p>
    <w:p w14:paraId="7871B763" w14:textId="582B0AD9" w:rsidR="00E00591" w:rsidRPr="001B4766" w:rsidRDefault="00E00591" w:rsidP="00E14444">
      <w:r w:rsidRPr="001B4766">
        <w:t>Stakeholders completing the survey on behalf of an approved provider were asked to select whether their organisation was Nor-for-profit, For-profit, Government or other</w:t>
      </w:r>
      <w:r w:rsidR="00407073">
        <w:t xml:space="preserve"> and how many </w:t>
      </w:r>
      <w:r w:rsidR="00285737">
        <w:t xml:space="preserve">home care </w:t>
      </w:r>
      <w:r w:rsidR="00407073">
        <w:t xml:space="preserve">services they </w:t>
      </w:r>
      <w:r w:rsidR="00285737">
        <w:t>are operating.</w:t>
      </w:r>
    </w:p>
    <w:p w14:paraId="3D955391" w14:textId="77777777" w:rsidR="00E00591" w:rsidRPr="001B4766" w:rsidRDefault="00E00591" w:rsidP="00E14444"/>
    <w:tbl>
      <w:tblPr>
        <w:tblStyle w:val="PlainTable41"/>
        <w:tblW w:w="8815" w:type="dxa"/>
        <w:tblInd w:w="113" w:type="dxa"/>
        <w:tblBorders>
          <w:top w:val="single" w:sz="2" w:space="0" w:color="573393"/>
          <w:left w:val="single" w:sz="2" w:space="0" w:color="573393"/>
          <w:bottom w:val="single" w:sz="2" w:space="0" w:color="573393"/>
          <w:right w:val="single" w:sz="2" w:space="0" w:color="573393"/>
          <w:insideH w:val="single" w:sz="2" w:space="0" w:color="573393"/>
          <w:insideV w:val="single" w:sz="2" w:space="0" w:color="573393"/>
        </w:tblBorders>
        <w:tblLook w:val="04A0" w:firstRow="1" w:lastRow="0" w:firstColumn="1" w:lastColumn="0" w:noHBand="0" w:noVBand="1"/>
        <w:tblCaption w:val="Table 3 Type of Service Delivered by Service Providers Responding to Online Survey"/>
        <w:tblDescription w:val="This table describes number of the online survey respondents by service type"/>
      </w:tblPr>
      <w:tblGrid>
        <w:gridCol w:w="6688"/>
        <w:gridCol w:w="2127"/>
      </w:tblGrid>
      <w:tr w:rsidR="00E00591" w:rsidRPr="001B4766" w14:paraId="73C2D9D1" w14:textId="77777777" w:rsidTr="007C679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6688" w:type="dxa"/>
            <w:tcBorders>
              <w:bottom w:val="single" w:sz="2" w:space="0" w:color="A587D5"/>
            </w:tcBorders>
            <w:shd w:val="clear" w:color="auto" w:fill="573393"/>
            <w:vAlign w:val="center"/>
          </w:tcPr>
          <w:p w14:paraId="24B3AC3B" w14:textId="77777777" w:rsidR="00E00591" w:rsidRPr="00A00209" w:rsidRDefault="00E00591" w:rsidP="00E14444">
            <w:pPr>
              <w:rPr>
                <w:color w:val="FFFFFF" w:themeColor="background1"/>
              </w:rPr>
            </w:pPr>
            <w:r w:rsidRPr="00A00209">
              <w:rPr>
                <w:color w:val="FFFFFF" w:themeColor="background1"/>
              </w:rPr>
              <w:t>Type of service</w:t>
            </w:r>
          </w:p>
        </w:tc>
        <w:tc>
          <w:tcPr>
            <w:tcW w:w="2127" w:type="dxa"/>
            <w:tcBorders>
              <w:bottom w:val="single" w:sz="2" w:space="0" w:color="A587D5"/>
            </w:tcBorders>
            <w:shd w:val="clear" w:color="auto" w:fill="573393"/>
            <w:vAlign w:val="center"/>
          </w:tcPr>
          <w:p w14:paraId="1BE32303" w14:textId="77777777" w:rsidR="00E00591" w:rsidRPr="00A00209" w:rsidRDefault="00E00591" w:rsidP="00E1444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00209">
              <w:rPr>
                <w:color w:val="FFFFFF" w:themeColor="background1"/>
              </w:rPr>
              <w:t xml:space="preserve">Online survey responses </w:t>
            </w:r>
          </w:p>
        </w:tc>
      </w:tr>
      <w:tr w:rsidR="00E00591" w:rsidRPr="001B4766" w14:paraId="1BB02D4C"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152B1BD1" w14:textId="77777777" w:rsidR="00E00591" w:rsidRPr="001B4766" w:rsidRDefault="00E00591" w:rsidP="00E14444">
            <w:r w:rsidRPr="001B4766">
              <w:t>Not-for-profit</w:t>
            </w:r>
          </w:p>
        </w:tc>
        <w:tc>
          <w:tcPr>
            <w:tcW w:w="2127" w:type="dxa"/>
            <w:tcBorders>
              <w:top w:val="single" w:sz="2" w:space="0" w:color="A587D5"/>
              <w:left w:val="single" w:sz="2" w:space="0" w:color="A587D5"/>
              <w:bottom w:val="single" w:sz="2" w:space="0" w:color="A587D5"/>
              <w:right w:val="single" w:sz="2" w:space="0" w:color="A587D5"/>
            </w:tcBorders>
            <w:vAlign w:val="center"/>
          </w:tcPr>
          <w:p w14:paraId="31D6E231" w14:textId="71B9F90A" w:rsidR="00E00591" w:rsidRPr="007C6799" w:rsidRDefault="007C6799" w:rsidP="007C6799">
            <w:pPr>
              <w:cnfStyle w:val="000000100000" w:firstRow="0" w:lastRow="0" w:firstColumn="0" w:lastColumn="0" w:oddVBand="0" w:evenVBand="0" w:oddHBand="1" w:evenHBand="0" w:firstRowFirstColumn="0" w:firstRowLastColumn="0" w:lastRowFirstColumn="0" w:lastRowLastColumn="0"/>
            </w:pPr>
            <w:r w:rsidRPr="007C6799">
              <w:rPr>
                <w:b/>
                <w:bCs/>
              </w:rPr>
              <w:t xml:space="preserve">75 </w:t>
            </w:r>
            <w:r>
              <w:t>(</w:t>
            </w:r>
            <w:r w:rsidRPr="007C6799">
              <w:t>60.98%</w:t>
            </w:r>
            <w:r>
              <w:t>)</w:t>
            </w:r>
            <w:r w:rsidRPr="007C6799">
              <w:t xml:space="preserve"> </w:t>
            </w:r>
          </w:p>
        </w:tc>
      </w:tr>
      <w:tr w:rsidR="00E00591" w:rsidRPr="001B4766" w14:paraId="6C27F3AE"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50C678A0" w14:textId="77777777" w:rsidR="00E00591" w:rsidRPr="001B4766" w:rsidRDefault="00E00591" w:rsidP="00E14444">
            <w:r w:rsidRPr="001B4766">
              <w:t>For-profit</w:t>
            </w:r>
          </w:p>
        </w:tc>
        <w:tc>
          <w:tcPr>
            <w:tcW w:w="2127" w:type="dxa"/>
            <w:tcBorders>
              <w:top w:val="single" w:sz="2" w:space="0" w:color="A587D5"/>
              <w:left w:val="single" w:sz="2" w:space="0" w:color="A587D5"/>
              <w:bottom w:val="single" w:sz="2" w:space="0" w:color="A587D5"/>
              <w:right w:val="single" w:sz="2" w:space="0" w:color="A587D5"/>
            </w:tcBorders>
            <w:vAlign w:val="center"/>
          </w:tcPr>
          <w:p w14:paraId="690E7EEB" w14:textId="70F4930B" w:rsidR="00E00591" w:rsidRPr="00407073" w:rsidRDefault="007C6799" w:rsidP="00E14444">
            <w:pPr>
              <w:cnfStyle w:val="000000000000" w:firstRow="0" w:lastRow="0" w:firstColumn="0" w:lastColumn="0" w:oddVBand="0" w:evenVBand="0" w:oddHBand="0" w:evenHBand="0" w:firstRowFirstColumn="0" w:firstRowLastColumn="0" w:lastRowFirstColumn="0" w:lastRowLastColumn="0"/>
            </w:pPr>
            <w:r w:rsidRPr="007C6799">
              <w:rPr>
                <w:b/>
                <w:bCs/>
              </w:rPr>
              <w:t>11</w:t>
            </w:r>
            <w:r w:rsidRPr="007C6799">
              <w:t xml:space="preserve"> </w:t>
            </w:r>
            <w:r>
              <w:t>(</w:t>
            </w:r>
            <w:r w:rsidRPr="007C6799">
              <w:t>8.94%</w:t>
            </w:r>
            <w:r>
              <w:t>)</w:t>
            </w:r>
          </w:p>
        </w:tc>
      </w:tr>
      <w:tr w:rsidR="00407073" w:rsidRPr="001B4766" w14:paraId="61E56C72"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53BC5325" w14:textId="77777777" w:rsidR="00407073" w:rsidRPr="001B4766" w:rsidRDefault="00407073" w:rsidP="00E14444">
            <w:r w:rsidRPr="001B4766">
              <w:t>Government</w:t>
            </w:r>
          </w:p>
        </w:tc>
        <w:tc>
          <w:tcPr>
            <w:tcW w:w="2127" w:type="dxa"/>
            <w:tcBorders>
              <w:top w:val="single" w:sz="2" w:space="0" w:color="A587D5"/>
              <w:left w:val="single" w:sz="2" w:space="0" w:color="A587D5"/>
              <w:bottom w:val="single" w:sz="2" w:space="0" w:color="A587D5"/>
              <w:right w:val="single" w:sz="2" w:space="0" w:color="A587D5"/>
            </w:tcBorders>
            <w:vAlign w:val="center"/>
          </w:tcPr>
          <w:p w14:paraId="7ACE92DF" w14:textId="4FF67C25" w:rsidR="00407073" w:rsidRPr="00407073" w:rsidRDefault="007C6799" w:rsidP="00E14444">
            <w:pPr>
              <w:cnfStyle w:val="000000100000" w:firstRow="0" w:lastRow="0" w:firstColumn="0" w:lastColumn="0" w:oddVBand="0" w:evenVBand="0" w:oddHBand="1" w:evenHBand="0" w:firstRowFirstColumn="0" w:firstRowLastColumn="0" w:lastRowFirstColumn="0" w:lastRowLastColumn="0"/>
            </w:pPr>
            <w:r w:rsidRPr="007C6799">
              <w:rPr>
                <w:b/>
                <w:bCs/>
              </w:rPr>
              <w:t>13</w:t>
            </w:r>
            <w:r w:rsidRPr="007C6799">
              <w:t xml:space="preserve"> </w:t>
            </w:r>
            <w:r>
              <w:t>(</w:t>
            </w:r>
            <w:r w:rsidRPr="007C6799">
              <w:t>10.57%</w:t>
            </w:r>
            <w:r>
              <w:t>)</w:t>
            </w:r>
            <w:r w:rsidRPr="007C6799">
              <w:t xml:space="preserve"> </w:t>
            </w:r>
          </w:p>
        </w:tc>
      </w:tr>
      <w:tr w:rsidR="00407073" w:rsidRPr="001B4766" w14:paraId="354D3254"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719D33CA" w14:textId="2C14AA0D" w:rsidR="00407073" w:rsidRPr="001B4766" w:rsidRDefault="00407073" w:rsidP="00E14444">
            <w:r w:rsidRPr="00407073">
              <w:t>Operating a single home care service</w:t>
            </w:r>
          </w:p>
        </w:tc>
        <w:tc>
          <w:tcPr>
            <w:tcW w:w="2127" w:type="dxa"/>
            <w:tcBorders>
              <w:top w:val="single" w:sz="2" w:space="0" w:color="A587D5"/>
              <w:left w:val="single" w:sz="2" w:space="0" w:color="A587D5"/>
              <w:bottom w:val="single" w:sz="2" w:space="0" w:color="A587D5"/>
              <w:right w:val="single" w:sz="2" w:space="0" w:color="A587D5"/>
            </w:tcBorders>
            <w:vAlign w:val="center"/>
          </w:tcPr>
          <w:p w14:paraId="36D8C6BE" w14:textId="642DE6A7" w:rsidR="00407073" w:rsidRPr="00407073" w:rsidRDefault="007C6799" w:rsidP="00E14444">
            <w:pPr>
              <w:cnfStyle w:val="000000000000" w:firstRow="0" w:lastRow="0" w:firstColumn="0" w:lastColumn="0" w:oddVBand="0" w:evenVBand="0" w:oddHBand="0" w:evenHBand="0" w:firstRowFirstColumn="0" w:firstRowLastColumn="0" w:lastRowFirstColumn="0" w:lastRowLastColumn="0"/>
            </w:pPr>
            <w:r w:rsidRPr="007C6799">
              <w:rPr>
                <w:b/>
                <w:bCs/>
              </w:rPr>
              <w:t xml:space="preserve">12 </w:t>
            </w:r>
            <w:r>
              <w:t>(</w:t>
            </w:r>
            <w:r w:rsidRPr="007C6799">
              <w:t>9.76%</w:t>
            </w:r>
            <w:r>
              <w:t>)</w:t>
            </w:r>
            <w:r w:rsidRPr="007C6799">
              <w:t xml:space="preserve"> </w:t>
            </w:r>
          </w:p>
        </w:tc>
      </w:tr>
      <w:tr w:rsidR="00407073" w:rsidRPr="001B4766" w14:paraId="0DAE60A8"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6D90890B" w14:textId="495834A8" w:rsidR="00407073" w:rsidRPr="001B4766" w:rsidRDefault="00407073" w:rsidP="00E14444">
            <w:r w:rsidRPr="00407073">
              <w:t>Operating 2 to 6 home care services</w:t>
            </w:r>
          </w:p>
        </w:tc>
        <w:tc>
          <w:tcPr>
            <w:tcW w:w="2127" w:type="dxa"/>
            <w:tcBorders>
              <w:top w:val="single" w:sz="2" w:space="0" w:color="A587D5"/>
              <w:left w:val="single" w:sz="2" w:space="0" w:color="A587D5"/>
              <w:bottom w:val="single" w:sz="2" w:space="0" w:color="A587D5"/>
              <w:right w:val="single" w:sz="2" w:space="0" w:color="A587D5"/>
            </w:tcBorders>
            <w:vAlign w:val="center"/>
          </w:tcPr>
          <w:p w14:paraId="5CE6649A" w14:textId="302DB2B7" w:rsidR="00407073" w:rsidRPr="00407073" w:rsidRDefault="007C6799" w:rsidP="00E14444">
            <w:pPr>
              <w:cnfStyle w:val="000000100000" w:firstRow="0" w:lastRow="0" w:firstColumn="0" w:lastColumn="0" w:oddVBand="0" w:evenVBand="0" w:oddHBand="1" w:evenHBand="0" w:firstRowFirstColumn="0" w:firstRowLastColumn="0" w:lastRowFirstColumn="0" w:lastRowLastColumn="0"/>
            </w:pPr>
            <w:r w:rsidRPr="007C6799">
              <w:rPr>
                <w:b/>
                <w:bCs/>
              </w:rPr>
              <w:t xml:space="preserve">5 </w:t>
            </w:r>
            <w:r>
              <w:t>(</w:t>
            </w:r>
            <w:r w:rsidRPr="007C6799">
              <w:t>4.07%</w:t>
            </w:r>
            <w:r>
              <w:t>)</w:t>
            </w:r>
          </w:p>
        </w:tc>
      </w:tr>
      <w:tr w:rsidR="00407073" w:rsidRPr="001B4766" w14:paraId="3175A024"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75BED868" w14:textId="2796BB8B" w:rsidR="00407073" w:rsidRPr="001B4766" w:rsidRDefault="00407073" w:rsidP="00E14444">
            <w:r w:rsidRPr="00407073">
              <w:t>Operating 7 to 11 home care services</w:t>
            </w:r>
          </w:p>
        </w:tc>
        <w:tc>
          <w:tcPr>
            <w:tcW w:w="2127" w:type="dxa"/>
            <w:tcBorders>
              <w:top w:val="single" w:sz="2" w:space="0" w:color="A587D5"/>
              <w:left w:val="single" w:sz="2" w:space="0" w:color="A587D5"/>
              <w:bottom w:val="single" w:sz="2" w:space="0" w:color="A587D5"/>
              <w:right w:val="single" w:sz="2" w:space="0" w:color="A587D5"/>
            </w:tcBorders>
            <w:vAlign w:val="center"/>
          </w:tcPr>
          <w:p w14:paraId="358103A5" w14:textId="55F774A1" w:rsidR="00407073" w:rsidRPr="00407073" w:rsidRDefault="007C6799" w:rsidP="00E14444">
            <w:pPr>
              <w:cnfStyle w:val="000000000000" w:firstRow="0" w:lastRow="0" w:firstColumn="0" w:lastColumn="0" w:oddVBand="0" w:evenVBand="0" w:oddHBand="0" w:evenHBand="0" w:firstRowFirstColumn="0" w:firstRowLastColumn="0" w:lastRowFirstColumn="0" w:lastRowLastColumn="0"/>
            </w:pPr>
            <w:r w:rsidRPr="007C6799">
              <w:rPr>
                <w:b/>
                <w:bCs/>
              </w:rPr>
              <w:t xml:space="preserve">8 </w:t>
            </w:r>
            <w:r>
              <w:t>(</w:t>
            </w:r>
            <w:r w:rsidRPr="007C6799">
              <w:t>6.50%</w:t>
            </w:r>
            <w:r>
              <w:t>)</w:t>
            </w:r>
          </w:p>
        </w:tc>
      </w:tr>
      <w:tr w:rsidR="00407073" w:rsidRPr="001B4766" w14:paraId="42ABCC91"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0198FCBC" w14:textId="7B9C7813" w:rsidR="00407073" w:rsidRPr="001B4766" w:rsidRDefault="00407073" w:rsidP="00E14444">
            <w:r w:rsidRPr="00407073">
              <w:t>Operating 20 or more home care services</w:t>
            </w:r>
          </w:p>
        </w:tc>
        <w:tc>
          <w:tcPr>
            <w:tcW w:w="2127" w:type="dxa"/>
            <w:tcBorders>
              <w:top w:val="single" w:sz="2" w:space="0" w:color="A587D5"/>
              <w:left w:val="single" w:sz="2" w:space="0" w:color="A587D5"/>
              <w:bottom w:val="single" w:sz="2" w:space="0" w:color="A587D5"/>
              <w:right w:val="single" w:sz="2" w:space="0" w:color="A587D5"/>
            </w:tcBorders>
            <w:vAlign w:val="center"/>
          </w:tcPr>
          <w:p w14:paraId="65247510" w14:textId="3D69C5A5" w:rsidR="00407073" w:rsidRPr="00407073" w:rsidRDefault="007C6799" w:rsidP="00E14444">
            <w:pPr>
              <w:cnfStyle w:val="000000100000" w:firstRow="0" w:lastRow="0" w:firstColumn="0" w:lastColumn="0" w:oddVBand="0" w:evenVBand="0" w:oddHBand="1" w:evenHBand="0" w:firstRowFirstColumn="0" w:firstRowLastColumn="0" w:lastRowFirstColumn="0" w:lastRowLastColumn="0"/>
            </w:pPr>
            <w:r w:rsidRPr="007C6799">
              <w:rPr>
                <w:b/>
                <w:bCs/>
              </w:rPr>
              <w:t>10</w:t>
            </w:r>
            <w:r w:rsidRPr="007C6799">
              <w:t xml:space="preserve"> </w:t>
            </w:r>
            <w:r>
              <w:t>(</w:t>
            </w:r>
            <w:r w:rsidRPr="007C6799">
              <w:t>8.13%</w:t>
            </w:r>
            <w:r>
              <w:t>)</w:t>
            </w:r>
            <w:r w:rsidRPr="007C6799">
              <w:t xml:space="preserve"> </w:t>
            </w:r>
          </w:p>
        </w:tc>
      </w:tr>
      <w:tr w:rsidR="00407073" w:rsidRPr="001B4766" w14:paraId="642A905F"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53D3AF3D" w14:textId="75BD610B" w:rsidR="00407073" w:rsidRPr="001B4766" w:rsidRDefault="00407073" w:rsidP="00E14444">
            <w:r w:rsidRPr="00407073">
              <w:t>Specialising in servicing particular consumer groups</w:t>
            </w:r>
          </w:p>
        </w:tc>
        <w:tc>
          <w:tcPr>
            <w:tcW w:w="2127" w:type="dxa"/>
            <w:tcBorders>
              <w:top w:val="single" w:sz="2" w:space="0" w:color="A587D5"/>
              <w:left w:val="single" w:sz="2" w:space="0" w:color="A587D5"/>
              <w:bottom w:val="single" w:sz="2" w:space="0" w:color="A587D5"/>
              <w:right w:val="single" w:sz="2" w:space="0" w:color="A587D5"/>
            </w:tcBorders>
            <w:vAlign w:val="center"/>
          </w:tcPr>
          <w:p w14:paraId="7AF6ABD2" w14:textId="6AB1ADE9" w:rsidR="00407073" w:rsidRPr="00407073" w:rsidRDefault="007C6799" w:rsidP="00E14444">
            <w:pPr>
              <w:cnfStyle w:val="000000000000" w:firstRow="0" w:lastRow="0" w:firstColumn="0" w:lastColumn="0" w:oddVBand="0" w:evenVBand="0" w:oddHBand="0" w:evenHBand="0" w:firstRowFirstColumn="0" w:firstRowLastColumn="0" w:lastRowFirstColumn="0" w:lastRowLastColumn="0"/>
            </w:pPr>
            <w:r w:rsidRPr="007C6799">
              <w:rPr>
                <w:b/>
                <w:bCs/>
              </w:rPr>
              <w:t>6</w:t>
            </w:r>
            <w:r w:rsidRPr="007C6799">
              <w:t xml:space="preserve"> </w:t>
            </w:r>
            <w:r>
              <w:t>(</w:t>
            </w:r>
            <w:r w:rsidRPr="007C6799">
              <w:t>4.88%</w:t>
            </w:r>
            <w:r>
              <w:t>)</w:t>
            </w:r>
          </w:p>
        </w:tc>
      </w:tr>
      <w:tr w:rsidR="00407073" w:rsidRPr="001B4766" w14:paraId="1A928B02"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21263116" w14:textId="3278E433" w:rsidR="00407073" w:rsidRPr="00407073" w:rsidRDefault="00407073" w:rsidP="00E14444">
            <w:r w:rsidRPr="00407073">
              <w:t>Providing generalist services</w:t>
            </w:r>
          </w:p>
        </w:tc>
        <w:tc>
          <w:tcPr>
            <w:tcW w:w="2127" w:type="dxa"/>
            <w:tcBorders>
              <w:top w:val="single" w:sz="2" w:space="0" w:color="A587D5"/>
              <w:left w:val="single" w:sz="2" w:space="0" w:color="A587D5"/>
              <w:bottom w:val="single" w:sz="2" w:space="0" w:color="A587D5"/>
              <w:right w:val="single" w:sz="2" w:space="0" w:color="A587D5"/>
            </w:tcBorders>
            <w:vAlign w:val="center"/>
          </w:tcPr>
          <w:p w14:paraId="5135DE00" w14:textId="6599BF66" w:rsidR="00407073" w:rsidRPr="00407073" w:rsidRDefault="007C6799" w:rsidP="00E14444">
            <w:pPr>
              <w:cnfStyle w:val="000000100000" w:firstRow="0" w:lastRow="0" w:firstColumn="0" w:lastColumn="0" w:oddVBand="0" w:evenVBand="0" w:oddHBand="1" w:evenHBand="0" w:firstRowFirstColumn="0" w:firstRowLastColumn="0" w:lastRowFirstColumn="0" w:lastRowLastColumn="0"/>
            </w:pPr>
            <w:r w:rsidRPr="007C6799">
              <w:rPr>
                <w:b/>
                <w:bCs/>
              </w:rPr>
              <w:t>8</w:t>
            </w:r>
            <w:r w:rsidRPr="007C6799">
              <w:t xml:space="preserve"> </w:t>
            </w:r>
            <w:r>
              <w:t>(</w:t>
            </w:r>
            <w:r w:rsidRPr="007C6799">
              <w:t>6.50%</w:t>
            </w:r>
            <w:r>
              <w:t>)</w:t>
            </w:r>
          </w:p>
        </w:tc>
      </w:tr>
      <w:tr w:rsidR="00407073" w:rsidRPr="001B4766" w14:paraId="0E3CA9BC"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88" w:type="dxa"/>
            <w:tcBorders>
              <w:top w:val="single" w:sz="2" w:space="0" w:color="A587D5"/>
              <w:left w:val="single" w:sz="2" w:space="0" w:color="A587D5"/>
              <w:bottom w:val="single" w:sz="2" w:space="0" w:color="A587D5"/>
              <w:right w:val="single" w:sz="2" w:space="0" w:color="A587D5"/>
            </w:tcBorders>
            <w:vAlign w:val="center"/>
          </w:tcPr>
          <w:p w14:paraId="397E3FEF" w14:textId="77777777" w:rsidR="00407073" w:rsidRPr="001B4766" w:rsidRDefault="00407073" w:rsidP="00E14444">
            <w:r w:rsidRPr="001B4766">
              <w:t>Not Answered</w:t>
            </w:r>
          </w:p>
        </w:tc>
        <w:tc>
          <w:tcPr>
            <w:tcW w:w="2127" w:type="dxa"/>
            <w:tcBorders>
              <w:top w:val="single" w:sz="2" w:space="0" w:color="A587D5"/>
              <w:left w:val="single" w:sz="2" w:space="0" w:color="A587D5"/>
              <w:bottom w:val="single" w:sz="2" w:space="0" w:color="A587D5"/>
              <w:right w:val="single" w:sz="2" w:space="0" w:color="A587D5"/>
            </w:tcBorders>
            <w:vAlign w:val="center"/>
          </w:tcPr>
          <w:p w14:paraId="3B678A97" w14:textId="308E7B2C" w:rsidR="00407073" w:rsidRPr="00407073" w:rsidRDefault="007C6799" w:rsidP="00E14444">
            <w:pPr>
              <w:cnfStyle w:val="000000000000" w:firstRow="0" w:lastRow="0" w:firstColumn="0" w:lastColumn="0" w:oddVBand="0" w:evenVBand="0" w:oddHBand="0" w:evenHBand="0" w:firstRowFirstColumn="0" w:firstRowLastColumn="0" w:lastRowFirstColumn="0" w:lastRowLastColumn="0"/>
            </w:pPr>
            <w:r w:rsidRPr="007C6799">
              <w:rPr>
                <w:b/>
                <w:bCs/>
              </w:rPr>
              <w:t>24</w:t>
            </w:r>
            <w:r w:rsidRPr="007C6799">
              <w:t xml:space="preserve"> </w:t>
            </w:r>
            <w:r>
              <w:t>(</w:t>
            </w:r>
            <w:r w:rsidRPr="007C6799">
              <w:t>19.51%</w:t>
            </w:r>
            <w:r>
              <w:t>)</w:t>
            </w:r>
          </w:p>
        </w:tc>
      </w:tr>
    </w:tbl>
    <w:p w14:paraId="484853D5" w14:textId="77777777" w:rsidR="00E00591" w:rsidRPr="001B4766" w:rsidRDefault="00E00591" w:rsidP="00E14444"/>
    <w:p w14:paraId="5832973A" w14:textId="2C7027C6" w:rsidR="00E00591" w:rsidRPr="001B4766" w:rsidRDefault="00E00591" w:rsidP="0048323A">
      <w:pPr>
        <w:pStyle w:val="Heading4"/>
      </w:pPr>
      <w:bookmarkStart w:id="68" w:name="_Toc77848184"/>
      <w:r w:rsidRPr="001B4766">
        <w:t xml:space="preserve">Table </w:t>
      </w:r>
      <w:r w:rsidR="00285737">
        <w:t>4</w:t>
      </w:r>
      <w:r w:rsidRPr="001B4766">
        <w:t xml:space="preserve"> Location of stakeholders responding to the survey (where the organisation operates, or where the individual lives)</w:t>
      </w:r>
      <w:bookmarkEnd w:id="68"/>
    </w:p>
    <w:p w14:paraId="27E0647D" w14:textId="4DFE1DCE" w:rsidR="00E00591" w:rsidRPr="001B4766" w:rsidRDefault="00E00591" w:rsidP="00E14444">
      <w:r w:rsidRPr="001B4766">
        <w:t xml:space="preserve">Stakeholders </w:t>
      </w:r>
      <w:r w:rsidR="005268AB" w:rsidRPr="001B4766">
        <w:t xml:space="preserve">completing the survey </w:t>
      </w:r>
      <w:r w:rsidR="005268AB">
        <w:t xml:space="preserve">were asked </w:t>
      </w:r>
      <w:r w:rsidRPr="001B4766">
        <w:t>where their organisation operated and were able to choose more than one location.</w:t>
      </w:r>
    </w:p>
    <w:p w14:paraId="681517F5" w14:textId="77777777" w:rsidR="00455A40" w:rsidRPr="001B4766" w:rsidRDefault="00455A40" w:rsidP="00E14444"/>
    <w:tbl>
      <w:tblPr>
        <w:tblStyle w:val="PlainTable41"/>
        <w:tblW w:w="8818" w:type="dxa"/>
        <w:tblInd w:w="113" w:type="dxa"/>
        <w:tblLook w:val="04A0" w:firstRow="1" w:lastRow="0" w:firstColumn="1" w:lastColumn="0" w:noHBand="0" w:noVBand="1"/>
        <w:tblCaption w:val="Table 2 Location Respondents to Online Survey Lives or Operates"/>
        <w:tblDescription w:val="This table describes the number of online survey respondents who have not answered their location"/>
      </w:tblPr>
      <w:tblGrid>
        <w:gridCol w:w="6691"/>
        <w:gridCol w:w="2127"/>
      </w:tblGrid>
      <w:tr w:rsidR="00E00591" w:rsidRPr="001B4766" w14:paraId="198E4D4D" w14:textId="77777777" w:rsidTr="007C6799">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6691" w:type="dxa"/>
            <w:tcBorders>
              <w:bottom w:val="single" w:sz="2" w:space="0" w:color="A587D5"/>
            </w:tcBorders>
            <w:shd w:val="clear" w:color="auto" w:fill="573393"/>
            <w:vAlign w:val="center"/>
          </w:tcPr>
          <w:p w14:paraId="667BCFC6" w14:textId="77777777" w:rsidR="00E00591" w:rsidRPr="00A00209" w:rsidRDefault="00E00591" w:rsidP="00E14444">
            <w:pPr>
              <w:rPr>
                <w:color w:val="FFFFFF" w:themeColor="background1"/>
              </w:rPr>
            </w:pPr>
            <w:r w:rsidRPr="00A00209">
              <w:rPr>
                <w:bCs w:val="0"/>
                <w:color w:val="FFFFFF" w:themeColor="background1"/>
              </w:rPr>
              <w:t>Location</w:t>
            </w:r>
            <w:r w:rsidRPr="00A00209">
              <w:rPr>
                <w:color w:val="FFFFFF" w:themeColor="background1"/>
              </w:rPr>
              <w:t xml:space="preserve"> of stakeholder</w:t>
            </w:r>
          </w:p>
        </w:tc>
        <w:tc>
          <w:tcPr>
            <w:tcW w:w="2127" w:type="dxa"/>
            <w:tcBorders>
              <w:bottom w:val="single" w:sz="2" w:space="0" w:color="A587D5"/>
            </w:tcBorders>
            <w:shd w:val="clear" w:color="auto" w:fill="573393"/>
            <w:vAlign w:val="center"/>
          </w:tcPr>
          <w:p w14:paraId="36DEB9E5" w14:textId="77777777" w:rsidR="00E00591" w:rsidRPr="00A00209" w:rsidRDefault="00E00591" w:rsidP="00E1444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00209">
              <w:rPr>
                <w:color w:val="FFFFFF" w:themeColor="background1"/>
              </w:rPr>
              <w:t xml:space="preserve">Online survey responses </w:t>
            </w:r>
          </w:p>
        </w:tc>
      </w:tr>
      <w:tr w:rsidR="00E00591" w:rsidRPr="001B4766" w14:paraId="5F0D0911"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91" w:type="dxa"/>
            <w:tcBorders>
              <w:top w:val="single" w:sz="2" w:space="0" w:color="A587D5"/>
              <w:left w:val="single" w:sz="2" w:space="0" w:color="A587D5"/>
              <w:bottom w:val="single" w:sz="2" w:space="0" w:color="A587D5"/>
              <w:right w:val="single" w:sz="2" w:space="0" w:color="A587D5"/>
            </w:tcBorders>
            <w:vAlign w:val="center"/>
          </w:tcPr>
          <w:p w14:paraId="033844EA" w14:textId="77777777" w:rsidR="00E00591" w:rsidRPr="001B4766" w:rsidRDefault="00E00591" w:rsidP="00E14444">
            <w:r w:rsidRPr="001B4766">
              <w:t>NSW</w:t>
            </w:r>
          </w:p>
        </w:tc>
        <w:tc>
          <w:tcPr>
            <w:tcW w:w="2127" w:type="dxa"/>
            <w:tcBorders>
              <w:top w:val="single" w:sz="2" w:space="0" w:color="A587D5"/>
              <w:left w:val="single" w:sz="2" w:space="0" w:color="A587D5"/>
              <w:bottom w:val="single" w:sz="2" w:space="0" w:color="A587D5"/>
              <w:right w:val="single" w:sz="2" w:space="0" w:color="A587D5"/>
            </w:tcBorders>
            <w:vAlign w:val="center"/>
          </w:tcPr>
          <w:p w14:paraId="20B8727E" w14:textId="040C4A3A" w:rsidR="00E00591" w:rsidRPr="00E61D71" w:rsidRDefault="007C6799" w:rsidP="00E61D71">
            <w:pPr>
              <w:cnfStyle w:val="000000100000" w:firstRow="0" w:lastRow="0" w:firstColumn="0" w:lastColumn="0" w:oddVBand="0" w:evenVBand="0" w:oddHBand="1" w:evenHBand="0" w:firstRowFirstColumn="0" w:firstRowLastColumn="0" w:lastRowFirstColumn="0" w:lastRowLastColumn="0"/>
            </w:pPr>
            <w:r w:rsidRPr="00E61D71">
              <w:rPr>
                <w:b/>
                <w:bCs/>
              </w:rPr>
              <w:t>38</w:t>
            </w:r>
            <w:r w:rsidRPr="00E61D71">
              <w:t xml:space="preserve"> </w:t>
            </w:r>
            <w:r w:rsidR="00E61D71">
              <w:t>(</w:t>
            </w:r>
            <w:r w:rsidRPr="00E61D71">
              <w:t>30.89%</w:t>
            </w:r>
            <w:r w:rsidR="00E61D71">
              <w:t>)</w:t>
            </w:r>
          </w:p>
        </w:tc>
      </w:tr>
      <w:tr w:rsidR="00E00591" w:rsidRPr="001B4766" w14:paraId="29163ED9"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91" w:type="dxa"/>
            <w:tcBorders>
              <w:top w:val="single" w:sz="2" w:space="0" w:color="A587D5"/>
              <w:left w:val="single" w:sz="2" w:space="0" w:color="A587D5"/>
              <w:bottom w:val="single" w:sz="2" w:space="0" w:color="A587D5"/>
              <w:right w:val="single" w:sz="2" w:space="0" w:color="A587D5"/>
            </w:tcBorders>
            <w:vAlign w:val="center"/>
          </w:tcPr>
          <w:p w14:paraId="1221B1FC" w14:textId="77777777" w:rsidR="00E00591" w:rsidRPr="001B4766" w:rsidRDefault="00E00591" w:rsidP="00E14444">
            <w:r w:rsidRPr="001B4766">
              <w:t>ACT</w:t>
            </w:r>
          </w:p>
        </w:tc>
        <w:tc>
          <w:tcPr>
            <w:tcW w:w="2127" w:type="dxa"/>
            <w:tcBorders>
              <w:top w:val="single" w:sz="2" w:space="0" w:color="A587D5"/>
              <w:left w:val="single" w:sz="2" w:space="0" w:color="A587D5"/>
              <w:bottom w:val="single" w:sz="2" w:space="0" w:color="A587D5"/>
              <w:right w:val="single" w:sz="2" w:space="0" w:color="A587D5"/>
            </w:tcBorders>
            <w:vAlign w:val="center"/>
          </w:tcPr>
          <w:p w14:paraId="31B5DE19" w14:textId="7BB71D1F" w:rsidR="00E00591" w:rsidRPr="001B4766" w:rsidRDefault="007C6799" w:rsidP="00E14444">
            <w:pPr>
              <w:cnfStyle w:val="000000000000" w:firstRow="0" w:lastRow="0" w:firstColumn="0" w:lastColumn="0" w:oddVBand="0" w:evenVBand="0" w:oddHBand="0" w:evenHBand="0" w:firstRowFirstColumn="0" w:firstRowLastColumn="0" w:lastRowFirstColumn="0" w:lastRowLastColumn="0"/>
            </w:pPr>
            <w:r w:rsidRPr="00E61D71">
              <w:rPr>
                <w:b/>
                <w:bCs/>
              </w:rPr>
              <w:t>7</w:t>
            </w:r>
            <w:r w:rsidRPr="00E61D71">
              <w:t xml:space="preserve"> </w:t>
            </w:r>
            <w:r w:rsidR="00E61D71">
              <w:t>(</w:t>
            </w:r>
            <w:r w:rsidRPr="00E61D71">
              <w:t>5.69%</w:t>
            </w:r>
            <w:r w:rsidR="00E61D71">
              <w:t>)</w:t>
            </w:r>
          </w:p>
        </w:tc>
      </w:tr>
      <w:tr w:rsidR="00E00591" w:rsidRPr="001B4766" w14:paraId="6DFC8601"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91" w:type="dxa"/>
            <w:tcBorders>
              <w:top w:val="single" w:sz="2" w:space="0" w:color="A587D5"/>
              <w:left w:val="single" w:sz="2" w:space="0" w:color="A587D5"/>
              <w:bottom w:val="single" w:sz="2" w:space="0" w:color="A587D5"/>
              <w:right w:val="single" w:sz="2" w:space="0" w:color="A587D5"/>
            </w:tcBorders>
            <w:vAlign w:val="center"/>
          </w:tcPr>
          <w:p w14:paraId="5575D589" w14:textId="77777777" w:rsidR="00E00591" w:rsidRPr="001B4766" w:rsidRDefault="00E00591" w:rsidP="00E14444">
            <w:r w:rsidRPr="001B4766">
              <w:t>VIC</w:t>
            </w:r>
          </w:p>
        </w:tc>
        <w:tc>
          <w:tcPr>
            <w:tcW w:w="2127" w:type="dxa"/>
            <w:tcBorders>
              <w:top w:val="single" w:sz="2" w:space="0" w:color="A587D5"/>
              <w:left w:val="single" w:sz="2" w:space="0" w:color="A587D5"/>
              <w:bottom w:val="single" w:sz="2" w:space="0" w:color="A587D5"/>
              <w:right w:val="single" w:sz="2" w:space="0" w:color="A587D5"/>
            </w:tcBorders>
            <w:vAlign w:val="center"/>
          </w:tcPr>
          <w:p w14:paraId="248DC648" w14:textId="7C9FF954" w:rsidR="00E00591" w:rsidRPr="001B4766" w:rsidRDefault="007C6799" w:rsidP="00E14444">
            <w:pPr>
              <w:cnfStyle w:val="000000100000" w:firstRow="0" w:lastRow="0" w:firstColumn="0" w:lastColumn="0" w:oddVBand="0" w:evenVBand="0" w:oddHBand="1" w:evenHBand="0" w:firstRowFirstColumn="0" w:firstRowLastColumn="0" w:lastRowFirstColumn="0" w:lastRowLastColumn="0"/>
            </w:pPr>
            <w:r w:rsidRPr="00E61D71">
              <w:rPr>
                <w:b/>
                <w:bCs/>
              </w:rPr>
              <w:t>31</w:t>
            </w:r>
            <w:r w:rsidRPr="00E61D71">
              <w:t xml:space="preserve"> </w:t>
            </w:r>
            <w:r w:rsidR="00E61D71">
              <w:t>(</w:t>
            </w:r>
            <w:r w:rsidRPr="00E61D71">
              <w:t>25.20%</w:t>
            </w:r>
            <w:r w:rsidR="00E61D71">
              <w:t>)</w:t>
            </w:r>
          </w:p>
        </w:tc>
      </w:tr>
      <w:tr w:rsidR="00E00591" w:rsidRPr="001B4766" w14:paraId="07ABECE2"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91" w:type="dxa"/>
            <w:tcBorders>
              <w:top w:val="single" w:sz="2" w:space="0" w:color="A587D5"/>
              <w:left w:val="single" w:sz="2" w:space="0" w:color="A587D5"/>
              <w:bottom w:val="single" w:sz="2" w:space="0" w:color="A587D5"/>
              <w:right w:val="single" w:sz="2" w:space="0" w:color="A587D5"/>
            </w:tcBorders>
            <w:vAlign w:val="center"/>
          </w:tcPr>
          <w:p w14:paraId="0BADCA01" w14:textId="77777777" w:rsidR="00E00591" w:rsidRPr="001B4766" w:rsidRDefault="00E00591" w:rsidP="00E14444">
            <w:r w:rsidRPr="001B4766">
              <w:t>QLD</w:t>
            </w:r>
          </w:p>
        </w:tc>
        <w:tc>
          <w:tcPr>
            <w:tcW w:w="2127" w:type="dxa"/>
            <w:tcBorders>
              <w:top w:val="single" w:sz="2" w:space="0" w:color="A587D5"/>
              <w:left w:val="single" w:sz="2" w:space="0" w:color="A587D5"/>
              <w:bottom w:val="single" w:sz="2" w:space="0" w:color="A587D5"/>
              <w:right w:val="single" w:sz="2" w:space="0" w:color="A587D5"/>
            </w:tcBorders>
            <w:vAlign w:val="center"/>
          </w:tcPr>
          <w:p w14:paraId="252B42BC" w14:textId="5CBC66FB" w:rsidR="00E00591" w:rsidRPr="001B4766" w:rsidRDefault="007C6799" w:rsidP="00E14444">
            <w:pPr>
              <w:cnfStyle w:val="000000000000" w:firstRow="0" w:lastRow="0" w:firstColumn="0" w:lastColumn="0" w:oddVBand="0" w:evenVBand="0" w:oddHBand="0" w:evenHBand="0" w:firstRowFirstColumn="0" w:firstRowLastColumn="0" w:lastRowFirstColumn="0" w:lastRowLastColumn="0"/>
            </w:pPr>
            <w:r w:rsidRPr="00E61D71">
              <w:rPr>
                <w:b/>
                <w:bCs/>
              </w:rPr>
              <w:t>36</w:t>
            </w:r>
            <w:r w:rsidRPr="00E61D71">
              <w:t xml:space="preserve"> </w:t>
            </w:r>
            <w:r w:rsidR="00E61D71">
              <w:t>(</w:t>
            </w:r>
            <w:r w:rsidRPr="00E61D71">
              <w:t>29.27%</w:t>
            </w:r>
            <w:r w:rsidR="00E61D71">
              <w:t>)</w:t>
            </w:r>
          </w:p>
        </w:tc>
      </w:tr>
      <w:tr w:rsidR="00E00591" w:rsidRPr="001B4766" w14:paraId="4DE1102C"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91" w:type="dxa"/>
            <w:tcBorders>
              <w:top w:val="single" w:sz="2" w:space="0" w:color="A587D5"/>
              <w:left w:val="single" w:sz="2" w:space="0" w:color="A587D5"/>
              <w:bottom w:val="single" w:sz="2" w:space="0" w:color="A587D5"/>
              <w:right w:val="single" w:sz="2" w:space="0" w:color="A587D5"/>
            </w:tcBorders>
            <w:vAlign w:val="center"/>
          </w:tcPr>
          <w:p w14:paraId="69AB519F" w14:textId="77777777" w:rsidR="00E00591" w:rsidRPr="001B4766" w:rsidRDefault="00E00591" w:rsidP="00E14444">
            <w:r w:rsidRPr="001B4766">
              <w:t>SA</w:t>
            </w:r>
          </w:p>
        </w:tc>
        <w:tc>
          <w:tcPr>
            <w:tcW w:w="2127" w:type="dxa"/>
            <w:tcBorders>
              <w:top w:val="single" w:sz="2" w:space="0" w:color="A587D5"/>
              <w:left w:val="single" w:sz="2" w:space="0" w:color="A587D5"/>
              <w:bottom w:val="single" w:sz="2" w:space="0" w:color="A587D5"/>
              <w:right w:val="single" w:sz="2" w:space="0" w:color="A587D5"/>
            </w:tcBorders>
            <w:vAlign w:val="center"/>
          </w:tcPr>
          <w:p w14:paraId="6C673174" w14:textId="789E8171" w:rsidR="00E00591" w:rsidRPr="001B4766" w:rsidRDefault="007C6799" w:rsidP="00E14444">
            <w:pPr>
              <w:cnfStyle w:val="000000100000" w:firstRow="0" w:lastRow="0" w:firstColumn="0" w:lastColumn="0" w:oddVBand="0" w:evenVBand="0" w:oddHBand="1" w:evenHBand="0" w:firstRowFirstColumn="0" w:firstRowLastColumn="0" w:lastRowFirstColumn="0" w:lastRowLastColumn="0"/>
            </w:pPr>
            <w:r w:rsidRPr="00E61D71">
              <w:rPr>
                <w:b/>
                <w:bCs/>
              </w:rPr>
              <w:t xml:space="preserve">18 </w:t>
            </w:r>
            <w:r w:rsidR="00E61D71">
              <w:t>(</w:t>
            </w:r>
            <w:r w:rsidRPr="00E61D71">
              <w:t>14.63%</w:t>
            </w:r>
            <w:r w:rsidR="00E61D71">
              <w:t>)</w:t>
            </w:r>
            <w:r w:rsidRPr="00E61D71">
              <w:t xml:space="preserve"> </w:t>
            </w:r>
          </w:p>
        </w:tc>
      </w:tr>
      <w:tr w:rsidR="00E00591" w:rsidRPr="001B4766" w14:paraId="005BFDDD"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91" w:type="dxa"/>
            <w:tcBorders>
              <w:top w:val="single" w:sz="2" w:space="0" w:color="A587D5"/>
              <w:left w:val="single" w:sz="2" w:space="0" w:color="A587D5"/>
              <w:bottom w:val="single" w:sz="2" w:space="0" w:color="A587D5"/>
              <w:right w:val="single" w:sz="2" w:space="0" w:color="A587D5"/>
            </w:tcBorders>
            <w:vAlign w:val="center"/>
          </w:tcPr>
          <w:p w14:paraId="4E364A84" w14:textId="77777777" w:rsidR="00E00591" w:rsidRPr="001B4766" w:rsidRDefault="00E00591" w:rsidP="00E14444">
            <w:r w:rsidRPr="001B4766">
              <w:t>WA</w:t>
            </w:r>
          </w:p>
        </w:tc>
        <w:tc>
          <w:tcPr>
            <w:tcW w:w="2127" w:type="dxa"/>
            <w:tcBorders>
              <w:top w:val="single" w:sz="2" w:space="0" w:color="A587D5"/>
              <w:left w:val="single" w:sz="2" w:space="0" w:color="A587D5"/>
              <w:bottom w:val="single" w:sz="2" w:space="0" w:color="A587D5"/>
              <w:right w:val="single" w:sz="2" w:space="0" w:color="A587D5"/>
            </w:tcBorders>
            <w:vAlign w:val="center"/>
          </w:tcPr>
          <w:p w14:paraId="13D57E53" w14:textId="11475542" w:rsidR="00E00591" w:rsidRPr="001B4766" w:rsidRDefault="007C6799" w:rsidP="00E14444">
            <w:pPr>
              <w:cnfStyle w:val="000000000000" w:firstRow="0" w:lastRow="0" w:firstColumn="0" w:lastColumn="0" w:oddVBand="0" w:evenVBand="0" w:oddHBand="0" w:evenHBand="0" w:firstRowFirstColumn="0" w:firstRowLastColumn="0" w:lastRowFirstColumn="0" w:lastRowLastColumn="0"/>
            </w:pPr>
            <w:r w:rsidRPr="00E61D71">
              <w:rPr>
                <w:b/>
                <w:bCs/>
              </w:rPr>
              <w:t>11</w:t>
            </w:r>
            <w:r w:rsidRPr="00E61D71">
              <w:t xml:space="preserve"> </w:t>
            </w:r>
            <w:r w:rsidR="00E61D71">
              <w:t>(</w:t>
            </w:r>
            <w:r w:rsidRPr="00E61D71">
              <w:t>8.94%</w:t>
            </w:r>
            <w:r w:rsidR="00E61D71">
              <w:t>)</w:t>
            </w:r>
            <w:r w:rsidRPr="00E61D71">
              <w:t xml:space="preserve"> </w:t>
            </w:r>
          </w:p>
        </w:tc>
      </w:tr>
      <w:tr w:rsidR="00E00591" w:rsidRPr="001B4766" w14:paraId="3CAE38E1"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91" w:type="dxa"/>
            <w:tcBorders>
              <w:top w:val="single" w:sz="2" w:space="0" w:color="A587D5"/>
              <w:left w:val="single" w:sz="2" w:space="0" w:color="A587D5"/>
              <w:bottom w:val="single" w:sz="2" w:space="0" w:color="A587D5"/>
              <w:right w:val="single" w:sz="2" w:space="0" w:color="A587D5"/>
            </w:tcBorders>
            <w:vAlign w:val="center"/>
          </w:tcPr>
          <w:p w14:paraId="6426B43E" w14:textId="77777777" w:rsidR="00E00591" w:rsidRPr="001B4766" w:rsidRDefault="00E00591" w:rsidP="00E14444">
            <w:r w:rsidRPr="001B4766">
              <w:t>NT</w:t>
            </w:r>
          </w:p>
        </w:tc>
        <w:tc>
          <w:tcPr>
            <w:tcW w:w="2127" w:type="dxa"/>
            <w:tcBorders>
              <w:top w:val="single" w:sz="2" w:space="0" w:color="A587D5"/>
              <w:left w:val="single" w:sz="2" w:space="0" w:color="A587D5"/>
              <w:bottom w:val="single" w:sz="2" w:space="0" w:color="A587D5"/>
              <w:right w:val="single" w:sz="2" w:space="0" w:color="A587D5"/>
            </w:tcBorders>
            <w:vAlign w:val="center"/>
          </w:tcPr>
          <w:p w14:paraId="3BDD87C4" w14:textId="6D312437" w:rsidR="00E00591" w:rsidRPr="001B4766" w:rsidRDefault="007C6799" w:rsidP="00E14444">
            <w:pPr>
              <w:cnfStyle w:val="000000100000" w:firstRow="0" w:lastRow="0" w:firstColumn="0" w:lastColumn="0" w:oddVBand="0" w:evenVBand="0" w:oddHBand="1" w:evenHBand="0" w:firstRowFirstColumn="0" w:firstRowLastColumn="0" w:lastRowFirstColumn="0" w:lastRowLastColumn="0"/>
            </w:pPr>
            <w:r w:rsidRPr="00E61D71">
              <w:rPr>
                <w:b/>
                <w:bCs/>
              </w:rPr>
              <w:t xml:space="preserve">2 </w:t>
            </w:r>
            <w:r w:rsidR="00E61D71">
              <w:t>(</w:t>
            </w:r>
            <w:r w:rsidRPr="00E61D71">
              <w:t>1.63%</w:t>
            </w:r>
            <w:r w:rsidR="00E61D71">
              <w:t>)</w:t>
            </w:r>
          </w:p>
        </w:tc>
      </w:tr>
      <w:tr w:rsidR="00E00591" w:rsidRPr="001B4766" w14:paraId="5863799B"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91" w:type="dxa"/>
            <w:tcBorders>
              <w:top w:val="single" w:sz="2" w:space="0" w:color="A587D5"/>
              <w:left w:val="single" w:sz="2" w:space="0" w:color="A587D5"/>
              <w:bottom w:val="single" w:sz="2" w:space="0" w:color="A587D5"/>
              <w:right w:val="single" w:sz="2" w:space="0" w:color="A587D5"/>
            </w:tcBorders>
            <w:vAlign w:val="center"/>
          </w:tcPr>
          <w:p w14:paraId="02C8DEF1" w14:textId="77777777" w:rsidR="00E00591" w:rsidRPr="001B4766" w:rsidRDefault="00E00591" w:rsidP="00E14444">
            <w:r w:rsidRPr="001B4766">
              <w:t>TAS</w:t>
            </w:r>
          </w:p>
        </w:tc>
        <w:tc>
          <w:tcPr>
            <w:tcW w:w="2127" w:type="dxa"/>
            <w:tcBorders>
              <w:top w:val="single" w:sz="2" w:space="0" w:color="A587D5"/>
              <w:left w:val="single" w:sz="2" w:space="0" w:color="A587D5"/>
              <w:bottom w:val="single" w:sz="2" w:space="0" w:color="A587D5"/>
              <w:right w:val="single" w:sz="2" w:space="0" w:color="A587D5"/>
            </w:tcBorders>
            <w:vAlign w:val="center"/>
          </w:tcPr>
          <w:p w14:paraId="6F1D76CD" w14:textId="5970F71E" w:rsidR="00E00591" w:rsidRPr="001B4766" w:rsidRDefault="007C6799" w:rsidP="00E14444">
            <w:pPr>
              <w:cnfStyle w:val="000000000000" w:firstRow="0" w:lastRow="0" w:firstColumn="0" w:lastColumn="0" w:oddVBand="0" w:evenVBand="0" w:oddHBand="0" w:evenHBand="0" w:firstRowFirstColumn="0" w:firstRowLastColumn="0" w:lastRowFirstColumn="0" w:lastRowLastColumn="0"/>
            </w:pPr>
            <w:r w:rsidRPr="00E61D71">
              <w:rPr>
                <w:b/>
                <w:bCs/>
              </w:rPr>
              <w:t>9</w:t>
            </w:r>
            <w:r w:rsidRPr="00E61D71">
              <w:t xml:space="preserve"> </w:t>
            </w:r>
            <w:r w:rsidR="00E61D71">
              <w:t>(</w:t>
            </w:r>
            <w:r w:rsidRPr="00E61D71">
              <w:t>7.32%</w:t>
            </w:r>
            <w:r w:rsidR="00E61D71">
              <w:t>)</w:t>
            </w:r>
          </w:p>
        </w:tc>
      </w:tr>
      <w:tr w:rsidR="00E00591" w:rsidRPr="001B4766" w14:paraId="6934C2BD" w14:textId="77777777" w:rsidTr="007C67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91" w:type="dxa"/>
            <w:tcBorders>
              <w:top w:val="single" w:sz="2" w:space="0" w:color="A587D5"/>
              <w:left w:val="single" w:sz="2" w:space="0" w:color="A587D5"/>
              <w:bottom w:val="single" w:sz="2" w:space="0" w:color="A587D5"/>
              <w:right w:val="single" w:sz="2" w:space="0" w:color="A587D5"/>
            </w:tcBorders>
            <w:vAlign w:val="center"/>
          </w:tcPr>
          <w:p w14:paraId="7B3D05B3" w14:textId="77777777" w:rsidR="00E00591" w:rsidRPr="001B4766" w:rsidRDefault="00E00591" w:rsidP="00E14444">
            <w:r w:rsidRPr="001B4766">
              <w:t>All states and territories in Australia</w:t>
            </w:r>
          </w:p>
        </w:tc>
        <w:tc>
          <w:tcPr>
            <w:tcW w:w="2127" w:type="dxa"/>
            <w:tcBorders>
              <w:top w:val="single" w:sz="2" w:space="0" w:color="A587D5"/>
              <w:left w:val="single" w:sz="2" w:space="0" w:color="A587D5"/>
              <w:bottom w:val="single" w:sz="2" w:space="0" w:color="A587D5"/>
              <w:right w:val="single" w:sz="2" w:space="0" w:color="A587D5"/>
            </w:tcBorders>
            <w:vAlign w:val="center"/>
          </w:tcPr>
          <w:p w14:paraId="6F108E6C" w14:textId="64D56A4B" w:rsidR="00E00591" w:rsidRPr="001B4766" w:rsidRDefault="007C6799" w:rsidP="00E14444">
            <w:pPr>
              <w:cnfStyle w:val="000000100000" w:firstRow="0" w:lastRow="0" w:firstColumn="0" w:lastColumn="0" w:oddVBand="0" w:evenVBand="0" w:oddHBand="1" w:evenHBand="0" w:firstRowFirstColumn="0" w:firstRowLastColumn="0" w:lastRowFirstColumn="0" w:lastRowLastColumn="0"/>
            </w:pPr>
            <w:r w:rsidRPr="00E61D71">
              <w:rPr>
                <w:b/>
                <w:bCs/>
              </w:rPr>
              <w:t>14</w:t>
            </w:r>
            <w:r w:rsidRPr="00E61D71">
              <w:t xml:space="preserve"> </w:t>
            </w:r>
            <w:r w:rsidR="00E61D71">
              <w:t>(</w:t>
            </w:r>
            <w:r w:rsidRPr="00E61D71">
              <w:t>11.38%</w:t>
            </w:r>
            <w:r w:rsidR="00E61D71">
              <w:t>)</w:t>
            </w:r>
          </w:p>
        </w:tc>
      </w:tr>
      <w:tr w:rsidR="00E00591" w:rsidRPr="001B4766" w14:paraId="114FB962" w14:textId="77777777" w:rsidTr="007C6799">
        <w:trPr>
          <w:trHeight w:val="340"/>
        </w:trPr>
        <w:tc>
          <w:tcPr>
            <w:cnfStyle w:val="001000000000" w:firstRow="0" w:lastRow="0" w:firstColumn="1" w:lastColumn="0" w:oddVBand="0" w:evenVBand="0" w:oddHBand="0" w:evenHBand="0" w:firstRowFirstColumn="0" w:firstRowLastColumn="0" w:lastRowFirstColumn="0" w:lastRowLastColumn="0"/>
            <w:tcW w:w="6691" w:type="dxa"/>
            <w:tcBorders>
              <w:top w:val="single" w:sz="2" w:space="0" w:color="A587D5"/>
              <w:left w:val="single" w:sz="2" w:space="0" w:color="A587D5"/>
              <w:bottom w:val="single" w:sz="2" w:space="0" w:color="A587D5"/>
              <w:right w:val="single" w:sz="2" w:space="0" w:color="A587D5"/>
            </w:tcBorders>
            <w:vAlign w:val="center"/>
          </w:tcPr>
          <w:p w14:paraId="281FB017" w14:textId="77777777" w:rsidR="00E00591" w:rsidRPr="001B4766" w:rsidRDefault="00E00591" w:rsidP="00E14444">
            <w:r w:rsidRPr="001B4766">
              <w:t>Not Answered</w:t>
            </w:r>
          </w:p>
        </w:tc>
        <w:tc>
          <w:tcPr>
            <w:tcW w:w="2127" w:type="dxa"/>
            <w:tcBorders>
              <w:top w:val="single" w:sz="2" w:space="0" w:color="A587D5"/>
              <w:left w:val="single" w:sz="2" w:space="0" w:color="A587D5"/>
              <w:bottom w:val="single" w:sz="2" w:space="0" w:color="A587D5"/>
              <w:right w:val="single" w:sz="2" w:space="0" w:color="A587D5"/>
            </w:tcBorders>
            <w:vAlign w:val="center"/>
          </w:tcPr>
          <w:p w14:paraId="62B33D9E" w14:textId="6DD90345" w:rsidR="00E00591" w:rsidRPr="001B4766" w:rsidRDefault="007C6799" w:rsidP="00E14444">
            <w:pPr>
              <w:cnfStyle w:val="000000000000" w:firstRow="0" w:lastRow="0" w:firstColumn="0" w:lastColumn="0" w:oddVBand="0" w:evenVBand="0" w:oddHBand="0" w:evenHBand="0" w:firstRowFirstColumn="0" w:firstRowLastColumn="0" w:lastRowFirstColumn="0" w:lastRowLastColumn="0"/>
            </w:pPr>
            <w:r w:rsidRPr="00E61D71">
              <w:rPr>
                <w:b/>
                <w:bCs/>
              </w:rPr>
              <w:t xml:space="preserve">0 </w:t>
            </w:r>
            <w:r w:rsidR="00E61D71">
              <w:t>(</w:t>
            </w:r>
            <w:r w:rsidRPr="00E61D71">
              <w:t>0.00%</w:t>
            </w:r>
            <w:r w:rsidR="00E61D71">
              <w:t>)</w:t>
            </w:r>
          </w:p>
        </w:tc>
      </w:tr>
    </w:tbl>
    <w:p w14:paraId="3A87960E" w14:textId="77777777" w:rsidR="00E00591" w:rsidRPr="001B4766" w:rsidRDefault="00E00591" w:rsidP="00E14444">
      <w:pPr>
        <w:pStyle w:val="Caption"/>
      </w:pPr>
    </w:p>
    <w:p w14:paraId="7E946C6D" w14:textId="237B7393" w:rsidR="00E00591" w:rsidRPr="001B4766" w:rsidRDefault="00E00591" w:rsidP="0048323A">
      <w:pPr>
        <w:pStyle w:val="Heading4"/>
      </w:pPr>
      <w:bookmarkStart w:id="69" w:name="_Toc77848185"/>
      <w:r w:rsidRPr="001B4766">
        <w:t xml:space="preserve">Table </w:t>
      </w:r>
      <w:r w:rsidR="00285737">
        <w:t>5</w:t>
      </w:r>
      <w:r w:rsidRPr="001B4766">
        <w:t xml:space="preserve"> Location of stakeholders responding to the survey (categorised by metropolitan, regional or remote)</w:t>
      </w:r>
      <w:bookmarkEnd w:id="69"/>
    </w:p>
    <w:p w14:paraId="1F108D88" w14:textId="315AF436" w:rsidR="00E00591" w:rsidRPr="001B4766" w:rsidRDefault="00E00591" w:rsidP="00E14444">
      <w:r w:rsidRPr="001B4766">
        <w:t>Stakeholders were also asked to specify whether they lived (or the organisation operated in) a metropolitan, regional or remote area.</w:t>
      </w:r>
    </w:p>
    <w:p w14:paraId="0957814E" w14:textId="77777777" w:rsidR="00455A40" w:rsidRPr="001B4766" w:rsidRDefault="00455A40" w:rsidP="00E14444"/>
    <w:tbl>
      <w:tblPr>
        <w:tblStyle w:val="PlainTable41"/>
        <w:tblW w:w="8818" w:type="dxa"/>
        <w:tblInd w:w="113" w:type="dxa"/>
        <w:tblLook w:val="04A0" w:firstRow="1" w:lastRow="0" w:firstColumn="1" w:lastColumn="0" w:noHBand="0" w:noVBand="1"/>
        <w:tblCaption w:val="Table 2 Location Respondents to Online Survey Lives or Operates"/>
        <w:tblDescription w:val="This table describes the number of online survey respondents who have not answered their location"/>
      </w:tblPr>
      <w:tblGrid>
        <w:gridCol w:w="6691"/>
        <w:gridCol w:w="2127"/>
      </w:tblGrid>
      <w:tr w:rsidR="00E00591" w:rsidRPr="001B4766" w14:paraId="4BEE34D4" w14:textId="77777777" w:rsidTr="00E61D71">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6691" w:type="dxa"/>
            <w:tcBorders>
              <w:bottom w:val="single" w:sz="2" w:space="0" w:color="A587D5"/>
            </w:tcBorders>
            <w:shd w:val="clear" w:color="auto" w:fill="573393"/>
            <w:vAlign w:val="center"/>
          </w:tcPr>
          <w:p w14:paraId="59125EAA" w14:textId="77777777" w:rsidR="00E00591" w:rsidRPr="00A00209" w:rsidRDefault="00E00591" w:rsidP="00E14444">
            <w:pPr>
              <w:rPr>
                <w:color w:val="FFFFFF" w:themeColor="background1"/>
              </w:rPr>
            </w:pPr>
            <w:r w:rsidRPr="00A00209">
              <w:rPr>
                <w:bCs w:val="0"/>
                <w:color w:val="FFFFFF" w:themeColor="background1"/>
              </w:rPr>
              <w:t>Location</w:t>
            </w:r>
            <w:r w:rsidRPr="00A00209">
              <w:rPr>
                <w:color w:val="FFFFFF" w:themeColor="background1"/>
              </w:rPr>
              <w:t xml:space="preserve"> of stakeholders</w:t>
            </w:r>
          </w:p>
        </w:tc>
        <w:tc>
          <w:tcPr>
            <w:tcW w:w="2127" w:type="dxa"/>
            <w:tcBorders>
              <w:bottom w:val="single" w:sz="2" w:space="0" w:color="A587D5"/>
            </w:tcBorders>
            <w:shd w:val="clear" w:color="auto" w:fill="573393"/>
            <w:vAlign w:val="center"/>
          </w:tcPr>
          <w:p w14:paraId="30C68BCE" w14:textId="77777777" w:rsidR="00E00591" w:rsidRPr="00A00209" w:rsidRDefault="00E00591" w:rsidP="00E14444">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00209">
              <w:rPr>
                <w:color w:val="FFFFFF" w:themeColor="background1"/>
              </w:rPr>
              <w:t xml:space="preserve">Online survey responses </w:t>
            </w:r>
          </w:p>
        </w:tc>
      </w:tr>
      <w:tr w:rsidR="00E00591" w:rsidRPr="001B4766" w14:paraId="6F969245" w14:textId="77777777" w:rsidTr="00E61D7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91" w:type="dxa"/>
            <w:tcBorders>
              <w:top w:val="single" w:sz="2" w:space="0" w:color="A587D5"/>
              <w:left w:val="single" w:sz="2" w:space="0" w:color="A587D5"/>
              <w:bottom w:val="single" w:sz="2" w:space="0" w:color="A587D5"/>
              <w:right w:val="single" w:sz="2" w:space="0" w:color="A587D5"/>
            </w:tcBorders>
            <w:vAlign w:val="center"/>
          </w:tcPr>
          <w:p w14:paraId="0C6D7E70" w14:textId="77777777" w:rsidR="00E00591" w:rsidRPr="001B4766" w:rsidRDefault="00E00591" w:rsidP="00E14444">
            <w:r w:rsidRPr="001B4766">
              <w:t>In a remote area</w:t>
            </w:r>
          </w:p>
        </w:tc>
        <w:tc>
          <w:tcPr>
            <w:tcW w:w="2127" w:type="dxa"/>
            <w:tcBorders>
              <w:top w:val="single" w:sz="2" w:space="0" w:color="A587D5"/>
              <w:left w:val="single" w:sz="2" w:space="0" w:color="A587D5"/>
              <w:bottom w:val="single" w:sz="2" w:space="0" w:color="A587D5"/>
              <w:right w:val="single" w:sz="2" w:space="0" w:color="A587D5"/>
            </w:tcBorders>
            <w:vAlign w:val="center"/>
          </w:tcPr>
          <w:p w14:paraId="5F9844DC" w14:textId="01DC9950" w:rsidR="00E00591" w:rsidRPr="00E61D71" w:rsidRDefault="00E61D71" w:rsidP="00E61D71">
            <w:pPr>
              <w:cnfStyle w:val="000000100000" w:firstRow="0" w:lastRow="0" w:firstColumn="0" w:lastColumn="0" w:oddVBand="0" w:evenVBand="0" w:oddHBand="1" w:evenHBand="0" w:firstRowFirstColumn="0" w:firstRowLastColumn="0" w:lastRowFirstColumn="0" w:lastRowLastColumn="0"/>
            </w:pPr>
            <w:r w:rsidRPr="00E61D71">
              <w:rPr>
                <w:b/>
                <w:bCs/>
              </w:rPr>
              <w:t xml:space="preserve">31 </w:t>
            </w:r>
            <w:r>
              <w:t>(</w:t>
            </w:r>
            <w:r w:rsidRPr="00E61D71">
              <w:t>25.20%</w:t>
            </w:r>
            <w:r>
              <w:t>)</w:t>
            </w:r>
          </w:p>
        </w:tc>
      </w:tr>
      <w:tr w:rsidR="00E00591" w:rsidRPr="001B4766" w14:paraId="27226238" w14:textId="77777777" w:rsidTr="00E61D71">
        <w:trPr>
          <w:trHeight w:val="340"/>
        </w:trPr>
        <w:tc>
          <w:tcPr>
            <w:cnfStyle w:val="001000000000" w:firstRow="0" w:lastRow="0" w:firstColumn="1" w:lastColumn="0" w:oddVBand="0" w:evenVBand="0" w:oddHBand="0" w:evenHBand="0" w:firstRowFirstColumn="0" w:firstRowLastColumn="0" w:lastRowFirstColumn="0" w:lastRowLastColumn="0"/>
            <w:tcW w:w="6691" w:type="dxa"/>
            <w:tcBorders>
              <w:top w:val="single" w:sz="2" w:space="0" w:color="A587D5"/>
              <w:left w:val="single" w:sz="2" w:space="0" w:color="A587D5"/>
              <w:bottom w:val="single" w:sz="2" w:space="0" w:color="A587D5"/>
              <w:right w:val="single" w:sz="2" w:space="0" w:color="A587D5"/>
            </w:tcBorders>
            <w:vAlign w:val="center"/>
          </w:tcPr>
          <w:p w14:paraId="7E7665E9" w14:textId="77777777" w:rsidR="00E00591" w:rsidRPr="001B4766" w:rsidRDefault="00E00591" w:rsidP="00E14444">
            <w:r w:rsidRPr="001B4766">
              <w:t>In a rural area</w:t>
            </w:r>
          </w:p>
        </w:tc>
        <w:tc>
          <w:tcPr>
            <w:tcW w:w="2127" w:type="dxa"/>
            <w:tcBorders>
              <w:top w:val="single" w:sz="2" w:space="0" w:color="A587D5"/>
              <w:left w:val="single" w:sz="2" w:space="0" w:color="A587D5"/>
              <w:bottom w:val="single" w:sz="2" w:space="0" w:color="A587D5"/>
              <w:right w:val="single" w:sz="2" w:space="0" w:color="A587D5"/>
            </w:tcBorders>
            <w:vAlign w:val="center"/>
          </w:tcPr>
          <w:p w14:paraId="1F309DCC" w14:textId="6710E4CF" w:rsidR="00E00591" w:rsidRPr="001B4766" w:rsidRDefault="00E61D71" w:rsidP="00E14444">
            <w:pPr>
              <w:cnfStyle w:val="000000000000" w:firstRow="0" w:lastRow="0" w:firstColumn="0" w:lastColumn="0" w:oddVBand="0" w:evenVBand="0" w:oddHBand="0" w:evenHBand="0" w:firstRowFirstColumn="0" w:firstRowLastColumn="0" w:lastRowFirstColumn="0" w:lastRowLastColumn="0"/>
            </w:pPr>
            <w:r w:rsidRPr="00E61D71">
              <w:rPr>
                <w:b/>
                <w:bCs/>
              </w:rPr>
              <w:t xml:space="preserve">56 </w:t>
            </w:r>
            <w:r>
              <w:t>(</w:t>
            </w:r>
            <w:r w:rsidRPr="00E61D71">
              <w:t>45.53%</w:t>
            </w:r>
            <w:r>
              <w:t>)</w:t>
            </w:r>
          </w:p>
        </w:tc>
      </w:tr>
      <w:tr w:rsidR="00E00591" w:rsidRPr="001B4766" w14:paraId="14FA09BC" w14:textId="77777777" w:rsidTr="00E61D7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91" w:type="dxa"/>
            <w:tcBorders>
              <w:top w:val="single" w:sz="2" w:space="0" w:color="A587D5"/>
              <w:left w:val="single" w:sz="2" w:space="0" w:color="A587D5"/>
              <w:bottom w:val="single" w:sz="2" w:space="0" w:color="A587D5"/>
              <w:right w:val="single" w:sz="2" w:space="0" w:color="A587D5"/>
            </w:tcBorders>
            <w:vAlign w:val="center"/>
          </w:tcPr>
          <w:p w14:paraId="6D1EC047" w14:textId="77777777" w:rsidR="00E00591" w:rsidRPr="001B4766" w:rsidRDefault="00E00591" w:rsidP="00E14444">
            <w:r w:rsidRPr="001B4766">
              <w:t>In a regional area</w:t>
            </w:r>
          </w:p>
        </w:tc>
        <w:tc>
          <w:tcPr>
            <w:tcW w:w="2127" w:type="dxa"/>
            <w:tcBorders>
              <w:top w:val="single" w:sz="2" w:space="0" w:color="A587D5"/>
              <w:left w:val="single" w:sz="2" w:space="0" w:color="A587D5"/>
              <w:bottom w:val="single" w:sz="2" w:space="0" w:color="A587D5"/>
              <w:right w:val="single" w:sz="2" w:space="0" w:color="A587D5"/>
            </w:tcBorders>
            <w:vAlign w:val="center"/>
          </w:tcPr>
          <w:p w14:paraId="4FC35E00" w14:textId="0E26D103" w:rsidR="00E00591" w:rsidRPr="001B4766" w:rsidRDefault="00E61D71" w:rsidP="00E14444">
            <w:pPr>
              <w:cnfStyle w:val="000000100000" w:firstRow="0" w:lastRow="0" w:firstColumn="0" w:lastColumn="0" w:oddVBand="0" w:evenVBand="0" w:oddHBand="1" w:evenHBand="0" w:firstRowFirstColumn="0" w:firstRowLastColumn="0" w:lastRowFirstColumn="0" w:lastRowLastColumn="0"/>
            </w:pPr>
            <w:r w:rsidRPr="00E61D71">
              <w:rPr>
                <w:b/>
                <w:bCs/>
              </w:rPr>
              <w:t xml:space="preserve">59 </w:t>
            </w:r>
            <w:r>
              <w:t>(</w:t>
            </w:r>
            <w:r w:rsidRPr="00E61D71">
              <w:t>47.97%</w:t>
            </w:r>
            <w:r>
              <w:t>)</w:t>
            </w:r>
          </w:p>
        </w:tc>
      </w:tr>
      <w:tr w:rsidR="00E00591" w:rsidRPr="001B4766" w14:paraId="347D8D91" w14:textId="77777777" w:rsidTr="00E61D71">
        <w:trPr>
          <w:trHeight w:val="340"/>
        </w:trPr>
        <w:tc>
          <w:tcPr>
            <w:cnfStyle w:val="001000000000" w:firstRow="0" w:lastRow="0" w:firstColumn="1" w:lastColumn="0" w:oddVBand="0" w:evenVBand="0" w:oddHBand="0" w:evenHBand="0" w:firstRowFirstColumn="0" w:firstRowLastColumn="0" w:lastRowFirstColumn="0" w:lastRowLastColumn="0"/>
            <w:tcW w:w="6691" w:type="dxa"/>
            <w:tcBorders>
              <w:top w:val="single" w:sz="2" w:space="0" w:color="A587D5"/>
              <w:left w:val="single" w:sz="2" w:space="0" w:color="A587D5"/>
              <w:bottom w:val="single" w:sz="2" w:space="0" w:color="A587D5"/>
              <w:right w:val="single" w:sz="2" w:space="0" w:color="A587D5"/>
            </w:tcBorders>
            <w:vAlign w:val="center"/>
          </w:tcPr>
          <w:p w14:paraId="57541BB5" w14:textId="77777777" w:rsidR="00E00591" w:rsidRPr="001B4766" w:rsidRDefault="00E00591" w:rsidP="00E14444">
            <w:r w:rsidRPr="001B4766">
              <w:t>In a metropolitan area or major city</w:t>
            </w:r>
          </w:p>
        </w:tc>
        <w:tc>
          <w:tcPr>
            <w:tcW w:w="2127" w:type="dxa"/>
            <w:tcBorders>
              <w:top w:val="single" w:sz="2" w:space="0" w:color="A587D5"/>
              <w:left w:val="single" w:sz="2" w:space="0" w:color="A587D5"/>
              <w:bottom w:val="single" w:sz="2" w:space="0" w:color="A587D5"/>
              <w:right w:val="single" w:sz="2" w:space="0" w:color="A587D5"/>
            </w:tcBorders>
            <w:vAlign w:val="center"/>
          </w:tcPr>
          <w:p w14:paraId="50B7C140" w14:textId="022D2494" w:rsidR="00E00591" w:rsidRPr="001B4766" w:rsidRDefault="00E61D71" w:rsidP="00E14444">
            <w:pPr>
              <w:cnfStyle w:val="000000000000" w:firstRow="0" w:lastRow="0" w:firstColumn="0" w:lastColumn="0" w:oddVBand="0" w:evenVBand="0" w:oddHBand="0" w:evenHBand="0" w:firstRowFirstColumn="0" w:firstRowLastColumn="0" w:lastRowFirstColumn="0" w:lastRowLastColumn="0"/>
            </w:pPr>
            <w:r w:rsidRPr="00E61D71">
              <w:rPr>
                <w:b/>
                <w:bCs/>
              </w:rPr>
              <w:t>94</w:t>
            </w:r>
            <w:r w:rsidRPr="00E61D71">
              <w:t xml:space="preserve"> </w:t>
            </w:r>
            <w:r>
              <w:t>(</w:t>
            </w:r>
            <w:r w:rsidRPr="00E61D71">
              <w:t>76.42%</w:t>
            </w:r>
            <w:r>
              <w:t>)</w:t>
            </w:r>
          </w:p>
        </w:tc>
      </w:tr>
      <w:tr w:rsidR="00E00591" w:rsidRPr="001B4766" w14:paraId="0D81C8A2" w14:textId="77777777" w:rsidTr="00E61D7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91" w:type="dxa"/>
            <w:tcBorders>
              <w:top w:val="single" w:sz="2" w:space="0" w:color="A587D5"/>
              <w:left w:val="single" w:sz="2" w:space="0" w:color="A587D5"/>
              <w:bottom w:val="single" w:sz="2" w:space="0" w:color="A587D5"/>
              <w:right w:val="single" w:sz="2" w:space="0" w:color="A587D5"/>
            </w:tcBorders>
            <w:vAlign w:val="center"/>
          </w:tcPr>
          <w:p w14:paraId="4FACBAEF" w14:textId="77777777" w:rsidR="00E00591" w:rsidRPr="001B4766" w:rsidRDefault="00E00591" w:rsidP="00E14444">
            <w:r w:rsidRPr="001B4766">
              <w:t>Not Answered</w:t>
            </w:r>
          </w:p>
        </w:tc>
        <w:tc>
          <w:tcPr>
            <w:tcW w:w="2127" w:type="dxa"/>
            <w:tcBorders>
              <w:top w:val="single" w:sz="2" w:space="0" w:color="A587D5"/>
              <w:left w:val="single" w:sz="2" w:space="0" w:color="A587D5"/>
              <w:bottom w:val="single" w:sz="2" w:space="0" w:color="A587D5"/>
              <w:right w:val="single" w:sz="2" w:space="0" w:color="A587D5"/>
            </w:tcBorders>
            <w:vAlign w:val="center"/>
          </w:tcPr>
          <w:p w14:paraId="308C32B3" w14:textId="18E0F5FE" w:rsidR="00E00591" w:rsidRPr="001B4766" w:rsidRDefault="00E61D71" w:rsidP="00E14444">
            <w:pPr>
              <w:cnfStyle w:val="000000100000" w:firstRow="0" w:lastRow="0" w:firstColumn="0" w:lastColumn="0" w:oddVBand="0" w:evenVBand="0" w:oddHBand="1" w:evenHBand="0" w:firstRowFirstColumn="0" w:firstRowLastColumn="0" w:lastRowFirstColumn="0" w:lastRowLastColumn="0"/>
            </w:pPr>
            <w:r w:rsidRPr="00E61D71">
              <w:rPr>
                <w:b/>
                <w:bCs/>
              </w:rPr>
              <w:t xml:space="preserve">0 </w:t>
            </w:r>
            <w:r>
              <w:t>(</w:t>
            </w:r>
            <w:r w:rsidRPr="00E61D71">
              <w:t>0.00%</w:t>
            </w:r>
            <w:r>
              <w:t>)</w:t>
            </w:r>
          </w:p>
        </w:tc>
      </w:tr>
    </w:tbl>
    <w:p w14:paraId="784BCF0E" w14:textId="77777777" w:rsidR="00205A93" w:rsidRPr="001B4766" w:rsidRDefault="00205A93" w:rsidP="00E14444">
      <w:pPr>
        <w:sectPr w:rsidR="00205A93" w:rsidRPr="001B4766" w:rsidSect="00205A93">
          <w:pgSz w:w="11906" w:h="16838"/>
          <w:pgMar w:top="1701" w:right="1418" w:bottom="1418" w:left="1418" w:header="709" w:footer="709" w:gutter="0"/>
          <w:cols w:space="708"/>
          <w:docGrid w:linePitch="360"/>
        </w:sectPr>
      </w:pPr>
    </w:p>
    <w:p w14:paraId="0F533A7F" w14:textId="77777777" w:rsidR="00205A93" w:rsidRPr="001B4766" w:rsidRDefault="00205A93" w:rsidP="0048323A">
      <w:pPr>
        <w:pStyle w:val="Heading1"/>
      </w:pPr>
      <w:bookmarkStart w:id="70" w:name="_Toc77848186"/>
      <w:bookmarkStart w:id="71" w:name="_Toc80694389"/>
      <w:r w:rsidRPr="001B4766">
        <w:lastRenderedPageBreak/>
        <w:t>Glossary</w:t>
      </w:r>
      <w:bookmarkEnd w:id="70"/>
      <w:bookmarkEnd w:id="71"/>
    </w:p>
    <w:p w14:paraId="769BEACB" w14:textId="77777777" w:rsidR="00457249" w:rsidRPr="001B4766" w:rsidRDefault="00457249" w:rsidP="00E14444"/>
    <w:tbl>
      <w:tblPr>
        <w:tblStyle w:val="TableGrid"/>
        <w:tblW w:w="0" w:type="auto"/>
        <w:tblBorders>
          <w:top w:val="single" w:sz="12" w:space="0" w:color="358189"/>
          <w:left w:val="single" w:sz="12" w:space="0" w:color="358189"/>
          <w:bottom w:val="single" w:sz="12" w:space="0" w:color="358189"/>
          <w:right w:val="single" w:sz="12" w:space="0" w:color="358189"/>
          <w:insideH w:val="single" w:sz="12" w:space="0" w:color="358189"/>
          <w:insideV w:val="single" w:sz="12" w:space="0" w:color="358189"/>
        </w:tblBorders>
        <w:tblLook w:val="04A0" w:firstRow="1" w:lastRow="0" w:firstColumn="1" w:lastColumn="0" w:noHBand="0" w:noVBand="1"/>
      </w:tblPr>
      <w:tblGrid>
        <w:gridCol w:w="2781"/>
        <w:gridCol w:w="6253"/>
      </w:tblGrid>
      <w:tr w:rsidR="00457249" w:rsidRPr="001B4766" w14:paraId="664BB068" w14:textId="77777777" w:rsidTr="00100053">
        <w:trPr>
          <w:cantSplit/>
          <w:trHeight w:val="713"/>
          <w:tblHeader/>
        </w:trPr>
        <w:tc>
          <w:tcPr>
            <w:tcW w:w="2781" w:type="dxa"/>
            <w:tcBorders>
              <w:right w:val="single" w:sz="12" w:space="0" w:color="FFFFFF" w:themeColor="background1"/>
            </w:tcBorders>
            <w:shd w:val="clear" w:color="auto" w:fill="358189"/>
            <w:vAlign w:val="center"/>
          </w:tcPr>
          <w:p w14:paraId="1DEE7F4E" w14:textId="77777777" w:rsidR="00457249" w:rsidRPr="00EC770A" w:rsidRDefault="00457249" w:rsidP="00E14444">
            <w:pPr>
              <w:rPr>
                <w:b/>
                <w:bCs/>
                <w:color w:val="FFFFFF" w:themeColor="background1"/>
              </w:rPr>
            </w:pPr>
            <w:r w:rsidRPr="00EC770A">
              <w:rPr>
                <w:b/>
                <w:bCs/>
                <w:color w:val="FFFFFF" w:themeColor="background1"/>
              </w:rPr>
              <w:t>Term</w:t>
            </w:r>
          </w:p>
        </w:tc>
        <w:tc>
          <w:tcPr>
            <w:tcW w:w="6253" w:type="dxa"/>
            <w:tcBorders>
              <w:left w:val="single" w:sz="12" w:space="0" w:color="FFFFFF" w:themeColor="background1"/>
            </w:tcBorders>
            <w:shd w:val="clear" w:color="auto" w:fill="358189"/>
            <w:vAlign w:val="center"/>
          </w:tcPr>
          <w:p w14:paraId="619683D0" w14:textId="77777777" w:rsidR="00457249" w:rsidRPr="00EC770A" w:rsidRDefault="00457249" w:rsidP="00E14444">
            <w:pPr>
              <w:rPr>
                <w:b/>
                <w:bCs/>
                <w:color w:val="FFFFFF" w:themeColor="background1"/>
              </w:rPr>
            </w:pPr>
            <w:r w:rsidRPr="00EC770A">
              <w:rPr>
                <w:b/>
                <w:bCs/>
                <w:color w:val="FFFFFF" w:themeColor="background1"/>
              </w:rPr>
              <w:t>Definition</w:t>
            </w:r>
          </w:p>
        </w:tc>
      </w:tr>
      <w:tr w:rsidR="00457249" w:rsidRPr="001B4766" w14:paraId="155467C1" w14:textId="77777777" w:rsidTr="00100053">
        <w:trPr>
          <w:cantSplit/>
        </w:trPr>
        <w:tc>
          <w:tcPr>
            <w:tcW w:w="2781" w:type="dxa"/>
          </w:tcPr>
          <w:p w14:paraId="00BB6A90" w14:textId="77777777" w:rsidR="00457249" w:rsidRPr="001B4766" w:rsidRDefault="0094111A" w:rsidP="00E14444">
            <w:pPr>
              <w:rPr>
                <w:rFonts w:cs="Arial"/>
                <w:szCs w:val="21"/>
              </w:rPr>
            </w:pPr>
            <w:hyperlink r:id="rId19" w:history="1">
              <w:r w:rsidR="00457249" w:rsidRPr="001B4766">
                <w:rPr>
                  <w:rStyle w:val="Hyperlink"/>
                  <w:rFonts w:eastAsia="Calibri" w:cs="Arial"/>
                  <w:i/>
                  <w:szCs w:val="21"/>
                </w:rPr>
                <w:t>Aged Care Act 1997</w:t>
              </w:r>
            </w:hyperlink>
            <w:r w:rsidR="00457249" w:rsidRPr="001B4766">
              <w:rPr>
                <w:rFonts w:eastAsia="Calibri" w:cs="Arial"/>
                <w:i/>
                <w:szCs w:val="21"/>
              </w:rPr>
              <w:t xml:space="preserve"> </w:t>
            </w:r>
            <w:r w:rsidR="00457249" w:rsidRPr="001B4766">
              <w:rPr>
                <w:rFonts w:eastAsia="Calibri" w:cs="Arial"/>
                <w:szCs w:val="21"/>
              </w:rPr>
              <w:t>(the Act)</w:t>
            </w:r>
          </w:p>
        </w:tc>
        <w:tc>
          <w:tcPr>
            <w:tcW w:w="6253" w:type="dxa"/>
          </w:tcPr>
          <w:p w14:paraId="30F3D58E" w14:textId="77777777" w:rsidR="00457249" w:rsidRPr="001B4766" w:rsidRDefault="00457249" w:rsidP="00E14444">
            <w:r w:rsidRPr="001B4766">
              <w:rPr>
                <w:rFonts w:eastAsia="Calibri"/>
              </w:rPr>
              <w:t>The Act is the overarching legislation that outlines the obligations and responsibilities that aged care providers must follow to receive subsidies from the Australian Government</w:t>
            </w:r>
          </w:p>
        </w:tc>
      </w:tr>
      <w:tr w:rsidR="00457249" w:rsidRPr="001B4766" w14:paraId="6BA8E5CC" w14:textId="77777777" w:rsidTr="00100053">
        <w:trPr>
          <w:cantSplit/>
        </w:trPr>
        <w:tc>
          <w:tcPr>
            <w:tcW w:w="2781" w:type="dxa"/>
          </w:tcPr>
          <w:p w14:paraId="621D1ACF" w14:textId="77777777" w:rsidR="00457249" w:rsidRPr="001B4766" w:rsidRDefault="0094111A" w:rsidP="00E14444">
            <w:hyperlink r:id="rId20" w:history="1">
              <w:r w:rsidR="00457249" w:rsidRPr="001B4766">
                <w:rPr>
                  <w:rStyle w:val="Hyperlink"/>
                  <w:rFonts w:eastAsia="Calibri" w:cs="Arial"/>
                  <w:szCs w:val="21"/>
                </w:rPr>
                <w:t>Aged Care Quality and Safety Commission</w:t>
              </w:r>
            </w:hyperlink>
            <w:r w:rsidR="00457249" w:rsidRPr="001B4766">
              <w:rPr>
                <w:rFonts w:eastAsia="Calibri"/>
              </w:rPr>
              <w:t xml:space="preserve"> (Commission)</w:t>
            </w:r>
          </w:p>
        </w:tc>
        <w:tc>
          <w:tcPr>
            <w:tcW w:w="6253" w:type="dxa"/>
          </w:tcPr>
          <w:p w14:paraId="119A6888" w14:textId="77777777" w:rsidR="00457249" w:rsidRPr="001B4766" w:rsidRDefault="00457249" w:rsidP="00E14444">
            <w:pPr>
              <w:rPr>
                <w:rFonts w:eastAsia="Calibri"/>
              </w:rPr>
            </w:pPr>
            <w:r w:rsidRPr="001B4766">
              <w:rPr>
                <w:rFonts w:eastAsia="Calibri"/>
              </w:rPr>
              <w:t>The role of the Commission is to protect and enhance the safety, health, well-being and quality of life of people receiving aged care. The Commission independently accredits, assesses and monitors aged care services subsidised by the Australian Government, and also resolve complaints about these services</w:t>
            </w:r>
          </w:p>
        </w:tc>
      </w:tr>
      <w:tr w:rsidR="00457249" w:rsidRPr="001B4766" w14:paraId="0BCC4405" w14:textId="77777777" w:rsidTr="00100053">
        <w:trPr>
          <w:cantSplit/>
        </w:trPr>
        <w:tc>
          <w:tcPr>
            <w:tcW w:w="2781" w:type="dxa"/>
          </w:tcPr>
          <w:p w14:paraId="4984AC62" w14:textId="68BCEFE7" w:rsidR="00457249" w:rsidRPr="001B4766" w:rsidRDefault="0094111A" w:rsidP="00E14444">
            <w:pPr>
              <w:rPr>
                <w:rFonts w:cs="Arial"/>
                <w:szCs w:val="21"/>
              </w:rPr>
            </w:pPr>
            <w:hyperlink r:id="rId21" w:history="1">
              <w:r w:rsidR="00457249" w:rsidRPr="001B4766">
                <w:rPr>
                  <w:rStyle w:val="Hyperlink"/>
                  <w:rFonts w:eastAsia="Calibri" w:cs="Arial"/>
                  <w:szCs w:val="21"/>
                </w:rPr>
                <w:t>Aged Care Quality Standards</w:t>
              </w:r>
            </w:hyperlink>
            <w:r w:rsidR="00E61D71">
              <w:rPr>
                <w:rStyle w:val="Hyperlink"/>
                <w:rFonts w:eastAsia="Calibri" w:cs="Arial"/>
                <w:szCs w:val="21"/>
              </w:rPr>
              <w:t xml:space="preserve"> </w:t>
            </w:r>
            <w:r w:rsidR="00E61D71" w:rsidRPr="00E61D71">
              <w:rPr>
                <w:rFonts w:eastAsia="Calibri"/>
              </w:rPr>
              <w:t>(the Standards)</w:t>
            </w:r>
          </w:p>
        </w:tc>
        <w:tc>
          <w:tcPr>
            <w:tcW w:w="6253" w:type="dxa"/>
          </w:tcPr>
          <w:p w14:paraId="01D60D63" w14:textId="77777777" w:rsidR="00457249" w:rsidRPr="001B4766" w:rsidRDefault="00457249" w:rsidP="00E14444">
            <w:r w:rsidRPr="001B4766">
              <w:rPr>
                <w:rFonts w:eastAsia="Calibri"/>
              </w:rPr>
              <w:t>Organisations providing Commonwealth subsidised aged care services are required to comply with, and are assessed against, the Aged Care Quality Standards. The Standards focus on outcomes for consumers and reflect the level of care and services the community can expect from organisations that provide Commonwealth subsidised aged care services</w:t>
            </w:r>
          </w:p>
        </w:tc>
      </w:tr>
      <w:tr w:rsidR="00457249" w:rsidRPr="001B4766" w14:paraId="7CEA8059" w14:textId="77777777" w:rsidTr="00100053">
        <w:trPr>
          <w:cantSplit/>
        </w:trPr>
        <w:tc>
          <w:tcPr>
            <w:tcW w:w="2781" w:type="dxa"/>
          </w:tcPr>
          <w:p w14:paraId="365A1803" w14:textId="77777777" w:rsidR="00457249" w:rsidRPr="001B4766" w:rsidRDefault="00457249" w:rsidP="00E14444">
            <w:pPr>
              <w:rPr>
                <w:rFonts w:eastAsia="Calibri"/>
              </w:rPr>
            </w:pPr>
            <w:r w:rsidRPr="001B4766">
              <w:rPr>
                <w:rFonts w:eastAsia="Calibri"/>
              </w:rPr>
              <w:t>Another person</w:t>
            </w:r>
          </w:p>
        </w:tc>
        <w:tc>
          <w:tcPr>
            <w:tcW w:w="6253" w:type="dxa"/>
          </w:tcPr>
          <w:p w14:paraId="3957EB4B" w14:textId="77777777" w:rsidR="00457249" w:rsidRPr="001B4766" w:rsidRDefault="00457249" w:rsidP="00E14444">
            <w:pPr>
              <w:rPr>
                <w:rFonts w:eastAsia="Calibri"/>
                <w:szCs w:val="21"/>
              </w:rPr>
            </w:pPr>
            <w:r w:rsidRPr="001B4766">
              <w:t>In the context of this may include, this is any other person who is not a consumer. This may include, but is not limited to, a staff member of the provider, a family member, a friend, a neighbour, or a member of the public</w:t>
            </w:r>
          </w:p>
        </w:tc>
      </w:tr>
      <w:tr w:rsidR="00457249" w:rsidRPr="001B4766" w14:paraId="24D41CED" w14:textId="77777777" w:rsidTr="00100053">
        <w:trPr>
          <w:cantSplit/>
        </w:trPr>
        <w:tc>
          <w:tcPr>
            <w:tcW w:w="2781" w:type="dxa"/>
          </w:tcPr>
          <w:p w14:paraId="495B3C1A" w14:textId="77777777" w:rsidR="00457249" w:rsidRPr="001B4766" w:rsidRDefault="00457249" w:rsidP="00E14444">
            <w:r w:rsidRPr="001B4766">
              <w:rPr>
                <w:rFonts w:eastAsia="Calibri"/>
              </w:rPr>
              <w:t>Consumer</w:t>
            </w:r>
          </w:p>
        </w:tc>
        <w:tc>
          <w:tcPr>
            <w:tcW w:w="6253" w:type="dxa"/>
          </w:tcPr>
          <w:p w14:paraId="4C1D8DC2" w14:textId="77777777" w:rsidR="00457249" w:rsidRPr="001B4766" w:rsidRDefault="00457249" w:rsidP="00E14444">
            <w:pPr>
              <w:rPr>
                <w:rFonts w:eastAsia="Calibri"/>
              </w:rPr>
            </w:pPr>
            <w:r w:rsidRPr="001B4766">
              <w:rPr>
                <w:rFonts w:eastAsia="Calibri"/>
              </w:rPr>
              <w:t>Person who is in receipt of Commonwealth funded in-home aged care services</w:t>
            </w:r>
          </w:p>
        </w:tc>
      </w:tr>
      <w:tr w:rsidR="00457249" w:rsidRPr="001B4766" w14:paraId="67D9278C" w14:textId="77777777" w:rsidTr="00100053">
        <w:trPr>
          <w:cantSplit/>
        </w:trPr>
        <w:tc>
          <w:tcPr>
            <w:tcW w:w="2781" w:type="dxa"/>
          </w:tcPr>
          <w:p w14:paraId="78667494" w14:textId="77777777" w:rsidR="00457249" w:rsidRPr="001B4766" w:rsidRDefault="0094111A" w:rsidP="00E14444">
            <w:pPr>
              <w:rPr>
                <w:rFonts w:eastAsia="Calibri" w:cs="Arial"/>
                <w:szCs w:val="21"/>
              </w:rPr>
            </w:pPr>
            <w:hyperlink r:id="rId22" w:history="1">
              <w:r w:rsidR="00457249" w:rsidRPr="001B4766">
                <w:rPr>
                  <w:rStyle w:val="Hyperlink"/>
                  <w:rFonts w:eastAsia="Calibri" w:cs="Arial"/>
                  <w:szCs w:val="21"/>
                </w:rPr>
                <w:t>Department</w:t>
              </w:r>
            </w:hyperlink>
          </w:p>
        </w:tc>
        <w:tc>
          <w:tcPr>
            <w:tcW w:w="6253" w:type="dxa"/>
          </w:tcPr>
          <w:p w14:paraId="0D9352B8" w14:textId="77777777" w:rsidR="00457249" w:rsidRPr="001B4766" w:rsidRDefault="00457249" w:rsidP="00E14444">
            <w:pPr>
              <w:rPr>
                <w:rFonts w:eastAsia="Calibri"/>
              </w:rPr>
            </w:pPr>
            <w:r w:rsidRPr="001B4766">
              <w:rPr>
                <w:rFonts w:eastAsia="Calibri"/>
              </w:rPr>
              <w:t>Australian Government Department of Health</w:t>
            </w:r>
          </w:p>
        </w:tc>
      </w:tr>
      <w:tr w:rsidR="00457249" w:rsidRPr="001B4766" w14:paraId="3C29BC0F" w14:textId="77777777" w:rsidTr="00100053">
        <w:trPr>
          <w:cantSplit/>
        </w:trPr>
        <w:tc>
          <w:tcPr>
            <w:tcW w:w="2781" w:type="dxa"/>
          </w:tcPr>
          <w:p w14:paraId="10CF0360" w14:textId="77777777" w:rsidR="00457249" w:rsidRPr="001B4766" w:rsidRDefault="0094111A" w:rsidP="00E14444">
            <w:pPr>
              <w:rPr>
                <w:rFonts w:eastAsia="Calibri" w:cs="Arial"/>
                <w:szCs w:val="21"/>
              </w:rPr>
            </w:pPr>
            <w:hyperlink r:id="rId23" w:history="1">
              <w:r w:rsidR="00457249" w:rsidRPr="001B4766">
                <w:rPr>
                  <w:rStyle w:val="Hyperlink"/>
                  <w:rFonts w:eastAsia="Calibri" w:cs="Arial"/>
                  <w:szCs w:val="21"/>
                </w:rPr>
                <w:t>Final Report</w:t>
              </w:r>
            </w:hyperlink>
          </w:p>
        </w:tc>
        <w:tc>
          <w:tcPr>
            <w:tcW w:w="6253" w:type="dxa"/>
          </w:tcPr>
          <w:p w14:paraId="70C1215C" w14:textId="77777777" w:rsidR="00457249" w:rsidRPr="001B4766" w:rsidRDefault="00457249" w:rsidP="00E14444">
            <w:pPr>
              <w:rPr>
                <w:rFonts w:eastAsia="Calibri"/>
              </w:rPr>
            </w:pPr>
            <w:r w:rsidRPr="001B4766">
              <w:rPr>
                <w:rFonts w:eastAsia="Calibri"/>
              </w:rPr>
              <w:t>The Royal Commission into Aged Care Quality and Safety’s Final Report: Care Dignity and Respect</w:t>
            </w:r>
          </w:p>
        </w:tc>
      </w:tr>
      <w:tr w:rsidR="00457249" w:rsidRPr="001B4766" w14:paraId="678FC3EA" w14:textId="77777777" w:rsidTr="00100053">
        <w:trPr>
          <w:cantSplit/>
        </w:trPr>
        <w:tc>
          <w:tcPr>
            <w:tcW w:w="2781" w:type="dxa"/>
          </w:tcPr>
          <w:p w14:paraId="28206C2F" w14:textId="77777777" w:rsidR="00457249" w:rsidRPr="001B4766" w:rsidRDefault="00457249" w:rsidP="00E14444">
            <w:pPr>
              <w:rPr>
                <w:rFonts w:eastAsia="Calibri"/>
              </w:rPr>
            </w:pPr>
            <w:r w:rsidRPr="001B4766">
              <w:rPr>
                <w:rFonts w:eastAsia="Calibri"/>
              </w:rPr>
              <w:t>In-home aged care services</w:t>
            </w:r>
          </w:p>
        </w:tc>
        <w:tc>
          <w:tcPr>
            <w:tcW w:w="6253" w:type="dxa"/>
          </w:tcPr>
          <w:p w14:paraId="7EE30DA7" w14:textId="77777777" w:rsidR="00457249" w:rsidRPr="001B4766" w:rsidRDefault="00457249" w:rsidP="00E14444">
            <w:pPr>
              <w:rPr>
                <w:rFonts w:eastAsia="Calibri"/>
                <w:szCs w:val="21"/>
              </w:rPr>
            </w:pPr>
            <w:r w:rsidRPr="001B4766">
              <w:rPr>
                <w:rFonts w:eastAsia="Calibri"/>
                <w:szCs w:val="21"/>
              </w:rPr>
              <w:t>Includes Home Care packages and the CHSP and flexible care delivered in a home setting (</w:t>
            </w:r>
            <w:r w:rsidRPr="001B4766">
              <w:t>including MPS in a home setting, short term restorative care, NATSIFACP and TCP in a home setting)</w:t>
            </w:r>
            <w:r w:rsidRPr="001B4766">
              <w:rPr>
                <w:rFonts w:eastAsia="Calibri"/>
                <w:szCs w:val="21"/>
              </w:rPr>
              <w:t>.</w:t>
            </w:r>
          </w:p>
        </w:tc>
      </w:tr>
      <w:tr w:rsidR="00457249" w:rsidRPr="001B4766" w14:paraId="3663C045" w14:textId="77777777" w:rsidTr="00100053">
        <w:trPr>
          <w:cantSplit/>
        </w:trPr>
        <w:tc>
          <w:tcPr>
            <w:tcW w:w="2781" w:type="dxa"/>
          </w:tcPr>
          <w:p w14:paraId="3F7C6AE3" w14:textId="77777777" w:rsidR="00457249" w:rsidRPr="001B4766" w:rsidRDefault="00457249" w:rsidP="00E14444">
            <w:pPr>
              <w:rPr>
                <w:rFonts w:eastAsia="Calibri"/>
                <w:highlight w:val="yellow"/>
              </w:rPr>
            </w:pPr>
            <w:r w:rsidRPr="001B4766">
              <w:rPr>
                <w:rFonts w:eastAsia="Calibri"/>
              </w:rPr>
              <w:t>Open disclosure</w:t>
            </w:r>
          </w:p>
        </w:tc>
        <w:tc>
          <w:tcPr>
            <w:tcW w:w="6253" w:type="dxa"/>
          </w:tcPr>
          <w:p w14:paraId="231D4EC6" w14:textId="77777777" w:rsidR="00457249" w:rsidRPr="001B4766" w:rsidRDefault="00457249" w:rsidP="00E14444">
            <w:pPr>
              <w:rPr>
                <w:rFonts w:eastAsia="Calibri"/>
                <w:highlight w:val="yellow"/>
              </w:rPr>
            </w:pPr>
            <w:r w:rsidRPr="001B4766">
              <w:rPr>
                <w:rFonts w:eastAsia="Calibri"/>
              </w:rPr>
              <w:t>The open discussion that an aged care provider has with people receiving aged care services when something goes wrong that has harmed or had the potential to cause harm to a person receiving an aged care service.</w:t>
            </w:r>
          </w:p>
        </w:tc>
      </w:tr>
      <w:tr w:rsidR="00457249" w:rsidRPr="001B4766" w14:paraId="0ECA7409" w14:textId="77777777" w:rsidTr="00100053">
        <w:trPr>
          <w:cantSplit/>
        </w:trPr>
        <w:tc>
          <w:tcPr>
            <w:tcW w:w="2781" w:type="dxa"/>
          </w:tcPr>
          <w:p w14:paraId="2BD3F5B4" w14:textId="77777777" w:rsidR="00457249" w:rsidRPr="001B4766" w:rsidRDefault="00457249" w:rsidP="00E14444">
            <w:pPr>
              <w:rPr>
                <w:rFonts w:eastAsia="Calibri"/>
              </w:rPr>
            </w:pPr>
            <w:r w:rsidRPr="001B4766">
              <w:rPr>
                <w:rFonts w:eastAsia="Calibri"/>
              </w:rPr>
              <w:t>Priority 1 reportable incident</w:t>
            </w:r>
          </w:p>
        </w:tc>
        <w:tc>
          <w:tcPr>
            <w:tcW w:w="6253" w:type="dxa"/>
          </w:tcPr>
          <w:p w14:paraId="7D85BDAC" w14:textId="77777777" w:rsidR="00457249" w:rsidRPr="001B4766" w:rsidRDefault="00457249" w:rsidP="00E14444">
            <w:pPr>
              <w:rPr>
                <w:rFonts w:eastAsia="Calibri"/>
              </w:rPr>
            </w:pPr>
            <w:r w:rsidRPr="001B4766">
              <w:rPr>
                <w:rFonts w:eastAsia="Calibri"/>
              </w:rPr>
              <w:t xml:space="preserve">A priority 1 reportable incident is a reportable incident that has caused, or could reasonably have been expected to have cause, a consumer physical or psychological injury or discomfort that requires medical or psychological treatment to resolve. A reportable incident is always categorised as a priority 1 reportable incident where there are reasonable grounds for the reportable incident to also be reported to police, or the reportable incident involves an unexplained absence or unexpected death of the consumer. </w:t>
            </w:r>
          </w:p>
        </w:tc>
      </w:tr>
      <w:tr w:rsidR="00457249" w:rsidRPr="001B4766" w14:paraId="43037FB0" w14:textId="77777777" w:rsidTr="00100053">
        <w:trPr>
          <w:cantSplit/>
        </w:trPr>
        <w:tc>
          <w:tcPr>
            <w:tcW w:w="2781" w:type="dxa"/>
          </w:tcPr>
          <w:p w14:paraId="07D23D30" w14:textId="77777777" w:rsidR="00457249" w:rsidRPr="001B4766" w:rsidRDefault="00457249" w:rsidP="00E14444">
            <w:pPr>
              <w:rPr>
                <w:rFonts w:eastAsia="Calibri"/>
              </w:rPr>
            </w:pPr>
            <w:r w:rsidRPr="001B4766">
              <w:rPr>
                <w:rFonts w:eastAsia="Calibri"/>
              </w:rPr>
              <w:t>Priority 2 reportable incident</w:t>
            </w:r>
          </w:p>
        </w:tc>
        <w:tc>
          <w:tcPr>
            <w:tcW w:w="6253" w:type="dxa"/>
          </w:tcPr>
          <w:p w14:paraId="27820B98" w14:textId="77777777" w:rsidR="00457249" w:rsidRPr="001B4766" w:rsidRDefault="00457249" w:rsidP="00E14444">
            <w:pPr>
              <w:rPr>
                <w:rFonts w:eastAsia="Calibri"/>
              </w:rPr>
            </w:pPr>
            <w:r w:rsidRPr="001B4766">
              <w:rPr>
                <w:rFonts w:eastAsia="Calibri"/>
              </w:rPr>
              <w:t>A priority 2 reportable incident is a reportable incident that is not a priority 1 reportable incident. In general terms, this means a priority 2 reportable incident is a reportable incident where the consumer was not caused psychological injury or discomfort that requires medical or psychological treatment to resolve</w:t>
            </w:r>
          </w:p>
        </w:tc>
      </w:tr>
      <w:tr w:rsidR="00457249" w:rsidRPr="001B4766" w14:paraId="09E0BC60" w14:textId="77777777" w:rsidTr="00100053">
        <w:trPr>
          <w:cantSplit/>
        </w:trPr>
        <w:tc>
          <w:tcPr>
            <w:tcW w:w="2781" w:type="dxa"/>
          </w:tcPr>
          <w:p w14:paraId="784668FD" w14:textId="77777777" w:rsidR="00457249" w:rsidRPr="001B4766" w:rsidRDefault="00457249" w:rsidP="00E14444">
            <w:pPr>
              <w:rPr>
                <w:rFonts w:eastAsia="Calibri"/>
              </w:rPr>
            </w:pPr>
            <w:r w:rsidRPr="001B4766">
              <w:rPr>
                <w:rFonts w:eastAsia="Calibri"/>
              </w:rPr>
              <w:lastRenderedPageBreak/>
              <w:t>Provider</w:t>
            </w:r>
          </w:p>
        </w:tc>
        <w:tc>
          <w:tcPr>
            <w:tcW w:w="6253" w:type="dxa"/>
          </w:tcPr>
          <w:p w14:paraId="40369AE3" w14:textId="77777777" w:rsidR="00457249" w:rsidRPr="001B4766" w:rsidRDefault="00457249" w:rsidP="00E14444">
            <w:pPr>
              <w:rPr>
                <w:rFonts w:eastAsia="Calibri"/>
                <w:szCs w:val="21"/>
              </w:rPr>
            </w:pPr>
            <w:r w:rsidRPr="001B4766">
              <w:t>An approved provider of a Home Care package or flexible care delivered in a home setting, or a provider of CHSP</w:t>
            </w:r>
          </w:p>
        </w:tc>
      </w:tr>
      <w:tr w:rsidR="00457249" w:rsidRPr="001B4766" w14:paraId="154CE731" w14:textId="77777777" w:rsidTr="00100053">
        <w:trPr>
          <w:cantSplit/>
        </w:trPr>
        <w:tc>
          <w:tcPr>
            <w:tcW w:w="2781" w:type="dxa"/>
          </w:tcPr>
          <w:p w14:paraId="0DA77469" w14:textId="77777777" w:rsidR="00457249" w:rsidRPr="001B4766" w:rsidRDefault="00457249" w:rsidP="00E14444">
            <w:pPr>
              <w:rPr>
                <w:rFonts w:eastAsia="Calibri"/>
              </w:rPr>
            </w:pPr>
            <w:r w:rsidRPr="001B4766">
              <w:rPr>
                <w:rFonts w:eastAsia="Calibri"/>
              </w:rPr>
              <w:t>Representative</w:t>
            </w:r>
          </w:p>
        </w:tc>
        <w:tc>
          <w:tcPr>
            <w:tcW w:w="6253" w:type="dxa"/>
          </w:tcPr>
          <w:p w14:paraId="6C29A932" w14:textId="77777777" w:rsidR="00457249" w:rsidRPr="001B4766" w:rsidRDefault="00457249" w:rsidP="00E14444">
            <w:r w:rsidRPr="001B4766">
              <w:t>A person nominated by a consumer, who may act on a consumer’s behalf. This may include a family member, other significant other, or an independent advocate.</w:t>
            </w:r>
          </w:p>
        </w:tc>
      </w:tr>
      <w:tr w:rsidR="00457249" w:rsidRPr="001B4766" w14:paraId="2589EA8F" w14:textId="77777777" w:rsidTr="00100053">
        <w:trPr>
          <w:cantSplit/>
        </w:trPr>
        <w:tc>
          <w:tcPr>
            <w:tcW w:w="2781" w:type="dxa"/>
          </w:tcPr>
          <w:p w14:paraId="424DF860" w14:textId="28BCA370" w:rsidR="00457249" w:rsidRPr="001B4766" w:rsidRDefault="00457249" w:rsidP="00E14444">
            <w:r w:rsidRPr="001B4766">
              <w:rPr>
                <w:rFonts w:eastAsia="Calibri"/>
              </w:rPr>
              <w:t>Residential care</w:t>
            </w:r>
          </w:p>
        </w:tc>
        <w:tc>
          <w:tcPr>
            <w:tcW w:w="6253" w:type="dxa"/>
          </w:tcPr>
          <w:p w14:paraId="443E4FD8" w14:textId="77777777" w:rsidR="00457249" w:rsidRPr="001B4766" w:rsidRDefault="00457249" w:rsidP="00E14444">
            <w:r w:rsidRPr="001B4766">
              <w:rPr>
                <w:rFonts w:eastAsia="Calibri"/>
              </w:rPr>
              <w:t>Provides a range of care options and accommodation for older people who are unable to continue living independently in their own homes.</w:t>
            </w:r>
          </w:p>
        </w:tc>
      </w:tr>
      <w:tr w:rsidR="00457249" w:rsidRPr="001B4766" w14:paraId="56D66A1D" w14:textId="77777777" w:rsidTr="00100053">
        <w:trPr>
          <w:cantSplit/>
        </w:trPr>
        <w:tc>
          <w:tcPr>
            <w:tcW w:w="2781" w:type="dxa"/>
          </w:tcPr>
          <w:p w14:paraId="36F848AA" w14:textId="77777777" w:rsidR="00457249" w:rsidRPr="001B4766" w:rsidRDefault="0094111A" w:rsidP="00E14444">
            <w:pPr>
              <w:rPr>
                <w:rFonts w:eastAsia="Calibri" w:cs="Arial"/>
                <w:szCs w:val="21"/>
              </w:rPr>
            </w:pPr>
            <w:hyperlink r:id="rId24" w:history="1">
              <w:r w:rsidR="00457249" w:rsidRPr="001B4766">
                <w:rPr>
                  <w:rStyle w:val="Hyperlink"/>
                  <w:rFonts w:eastAsia="Calibri" w:cs="Arial"/>
                  <w:szCs w:val="21"/>
                </w:rPr>
                <w:t>Royal Commission</w:t>
              </w:r>
            </w:hyperlink>
          </w:p>
        </w:tc>
        <w:tc>
          <w:tcPr>
            <w:tcW w:w="6253" w:type="dxa"/>
          </w:tcPr>
          <w:p w14:paraId="6E087DFE" w14:textId="77777777" w:rsidR="00457249" w:rsidRPr="001B4766" w:rsidRDefault="00457249" w:rsidP="00E14444">
            <w:pPr>
              <w:rPr>
                <w:rFonts w:eastAsia="Calibri"/>
              </w:rPr>
            </w:pPr>
            <w:r w:rsidRPr="001B4766">
              <w:rPr>
                <w:rFonts w:eastAsia="Calibri"/>
              </w:rPr>
              <w:t>Royal Commission into Aged Care Quality and Safety</w:t>
            </w:r>
          </w:p>
        </w:tc>
      </w:tr>
      <w:tr w:rsidR="00457249" w:rsidRPr="001B4766" w14:paraId="27438559" w14:textId="77777777" w:rsidTr="00100053">
        <w:trPr>
          <w:cantSplit/>
        </w:trPr>
        <w:tc>
          <w:tcPr>
            <w:tcW w:w="2781" w:type="dxa"/>
          </w:tcPr>
          <w:p w14:paraId="7AB1C9A7" w14:textId="77777777" w:rsidR="00457249" w:rsidRPr="001B4766" w:rsidRDefault="00457249" w:rsidP="00E14444">
            <w:pPr>
              <w:rPr>
                <w:rFonts w:eastAsia="Calibri"/>
              </w:rPr>
            </w:pPr>
            <w:r w:rsidRPr="001B4766">
              <w:rPr>
                <w:rFonts w:eastAsia="Calibri"/>
              </w:rPr>
              <w:t>Staff member</w:t>
            </w:r>
          </w:p>
        </w:tc>
        <w:tc>
          <w:tcPr>
            <w:tcW w:w="6253" w:type="dxa"/>
          </w:tcPr>
          <w:p w14:paraId="1191F3D2" w14:textId="18B3BBEF" w:rsidR="00457249" w:rsidRPr="001B4766" w:rsidRDefault="00457249" w:rsidP="00E14444">
            <w:pPr>
              <w:rPr>
                <w:rFonts w:eastAsia="Calibri"/>
                <w:szCs w:val="21"/>
              </w:rPr>
            </w:pPr>
            <w:r w:rsidRPr="001B4766">
              <w:t xml:space="preserve">Staff member is defined in Clause 1 of Schedule 1 to </w:t>
            </w:r>
            <w:hyperlink r:id="rId25" w:history="1">
              <w:r w:rsidRPr="001B4766">
                <w:rPr>
                  <w:rStyle w:val="Hyperlink"/>
                  <w:rFonts w:cs="Arial"/>
                </w:rPr>
                <w:t>the Act</w:t>
              </w:r>
            </w:hyperlink>
            <w:r w:rsidRPr="001B4766">
              <w:t xml:space="preserve"> to mean ‘an individual who is employed, hired, retained or contracted by the provider (whether directly or through an employment or recruiting agency) to provide care or other services’</w:t>
            </w:r>
            <w:r w:rsidR="00733258">
              <w:t>.</w:t>
            </w:r>
          </w:p>
        </w:tc>
      </w:tr>
      <w:tr w:rsidR="00457249" w:rsidRPr="001B4766" w14:paraId="45A14BB7" w14:textId="77777777" w:rsidTr="00100053">
        <w:trPr>
          <w:cantSplit/>
        </w:trPr>
        <w:tc>
          <w:tcPr>
            <w:tcW w:w="2781" w:type="dxa"/>
          </w:tcPr>
          <w:p w14:paraId="645F7ACD" w14:textId="77777777" w:rsidR="00457249" w:rsidRPr="001B4766" w:rsidRDefault="00457249" w:rsidP="00E14444">
            <w:pPr>
              <w:rPr>
                <w:rFonts w:eastAsia="Calibri"/>
              </w:rPr>
            </w:pPr>
            <w:r w:rsidRPr="001B4766">
              <w:rPr>
                <w:rFonts w:eastAsia="Calibri"/>
              </w:rPr>
              <w:t>Whistle blower</w:t>
            </w:r>
          </w:p>
        </w:tc>
        <w:tc>
          <w:tcPr>
            <w:tcW w:w="6253" w:type="dxa"/>
          </w:tcPr>
          <w:p w14:paraId="3DF6F1A6" w14:textId="423D7ACB" w:rsidR="00457249" w:rsidRPr="001B4766" w:rsidRDefault="00457249" w:rsidP="00E14444">
            <w:r w:rsidRPr="001B4766">
              <w:t>A person who informs on a person or organisation as engaging in an unlawful or immoral activity</w:t>
            </w:r>
            <w:r w:rsidR="00733258">
              <w:t>.</w:t>
            </w:r>
          </w:p>
        </w:tc>
      </w:tr>
    </w:tbl>
    <w:p w14:paraId="364026DD" w14:textId="77777777" w:rsidR="00205A93" w:rsidRPr="001B4766" w:rsidRDefault="00205A93" w:rsidP="00E14444">
      <w:pPr>
        <w:sectPr w:rsidR="00205A93" w:rsidRPr="001B4766" w:rsidSect="00205A93">
          <w:pgSz w:w="11906" w:h="16838"/>
          <w:pgMar w:top="1701" w:right="1418" w:bottom="1418" w:left="1418" w:header="709" w:footer="709" w:gutter="0"/>
          <w:cols w:space="708"/>
          <w:docGrid w:linePitch="360"/>
        </w:sectPr>
      </w:pPr>
    </w:p>
    <w:p w14:paraId="561FC201" w14:textId="77777777" w:rsidR="00205A93" w:rsidRPr="001B4766" w:rsidRDefault="00205A93" w:rsidP="00E14444">
      <w:pPr>
        <w:pStyle w:val="URL"/>
      </w:pPr>
      <w:r w:rsidRPr="001B4766">
        <w:lastRenderedPageBreak/>
        <w:t>Health.gov.au</w:t>
      </w:r>
    </w:p>
    <w:p w14:paraId="1B62726A" w14:textId="1E65CA49" w:rsidR="00205A93" w:rsidRPr="001B4766" w:rsidRDefault="00205A93" w:rsidP="00E14444">
      <w:r w:rsidRPr="001B4766">
        <w:t xml:space="preserve">All information in this publication is correct as at </w:t>
      </w:r>
      <w:r w:rsidR="00E61D71">
        <w:t>August 2021</w:t>
      </w:r>
    </w:p>
    <w:sectPr w:rsidR="00205A93" w:rsidRPr="001B4766" w:rsidSect="00205A93">
      <w:headerReference w:type="default" r:id="rId26"/>
      <w:footerReference w:type="default" r:id="rId27"/>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7D957" w14:textId="77777777" w:rsidR="005565A0" w:rsidRDefault="005565A0" w:rsidP="00E14444">
      <w:r>
        <w:separator/>
      </w:r>
    </w:p>
    <w:p w14:paraId="0309AF88" w14:textId="77777777" w:rsidR="005565A0" w:rsidRDefault="005565A0" w:rsidP="00E14444"/>
  </w:endnote>
  <w:endnote w:type="continuationSeparator" w:id="0">
    <w:p w14:paraId="79F54F64" w14:textId="77777777" w:rsidR="005565A0" w:rsidRDefault="005565A0" w:rsidP="00E14444">
      <w:r>
        <w:continuationSeparator/>
      </w:r>
    </w:p>
    <w:p w14:paraId="52F3B4B3" w14:textId="77777777" w:rsidR="005565A0" w:rsidRDefault="005565A0" w:rsidP="00E14444"/>
  </w:endnote>
  <w:endnote w:type="continuationNotice" w:id="1">
    <w:p w14:paraId="3733511D" w14:textId="77777777" w:rsidR="005565A0" w:rsidRDefault="005565A0" w:rsidP="00E14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45 Light">
    <w:altName w:val="Calibri"/>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A3971" w14:textId="03BD0384" w:rsidR="005565A0" w:rsidRDefault="005565A0" w:rsidP="00E14444">
    <w:pPr>
      <w:pStyle w:val="Footer"/>
    </w:pPr>
    <w:r>
      <w:fldChar w:fldCharType="begin"/>
    </w:r>
    <w:r>
      <w:instrText xml:space="preserve"> PAGE   \* MERGEFORMAT </w:instrText>
    </w:r>
    <w:r>
      <w:fldChar w:fldCharType="separate"/>
    </w:r>
    <w:r>
      <w:rPr>
        <w:noProof/>
      </w:rPr>
      <w:t>4</w:t>
    </w:r>
    <w:r>
      <w:rPr>
        <w:noProof/>
      </w:rPr>
      <w:fldChar w:fldCharType="end"/>
    </w:r>
    <w:r w:rsidRPr="000D56E4">
      <w:tab/>
    </w:r>
    <w:r>
      <w:t>SIRS for in-home services – outcomes of consultation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162288"/>
      <w:docPartObj>
        <w:docPartGallery w:val="Page Numbers (Bottom of Page)"/>
        <w:docPartUnique/>
      </w:docPartObj>
    </w:sdtPr>
    <w:sdtEndPr>
      <w:rPr>
        <w:noProof/>
      </w:rPr>
    </w:sdtEndPr>
    <w:sdtContent>
      <w:p w14:paraId="1377F9CA" w14:textId="40BC02DA" w:rsidR="005565A0" w:rsidRDefault="005565A0" w:rsidP="00E14444">
        <w:pPr>
          <w:pStyle w:val="Footer"/>
        </w:pPr>
        <w:r>
          <w:t>SIRS for in-home services – Outcomes of consultation</w:t>
        </w:r>
        <w:r>
          <w:tab/>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169317"/>
      <w:docPartObj>
        <w:docPartGallery w:val="Page Numbers (Bottom of Page)"/>
        <w:docPartUnique/>
      </w:docPartObj>
    </w:sdtPr>
    <w:sdtEndPr>
      <w:rPr>
        <w:noProof/>
      </w:rPr>
    </w:sdtEndPr>
    <w:sdtContent>
      <w:p w14:paraId="23A80734" w14:textId="77777777" w:rsidR="005565A0" w:rsidRDefault="005565A0" w:rsidP="00E1444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BD0FA" w14:textId="77777777" w:rsidR="005565A0" w:rsidRDefault="005565A0" w:rsidP="00E14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E6522" w14:textId="77777777" w:rsidR="005565A0" w:rsidRDefault="005565A0" w:rsidP="00E14444">
      <w:r>
        <w:separator/>
      </w:r>
    </w:p>
    <w:p w14:paraId="0CAA8DEA" w14:textId="77777777" w:rsidR="005565A0" w:rsidRDefault="005565A0" w:rsidP="00E14444"/>
  </w:footnote>
  <w:footnote w:type="continuationSeparator" w:id="0">
    <w:p w14:paraId="22BB6266" w14:textId="77777777" w:rsidR="005565A0" w:rsidRDefault="005565A0" w:rsidP="00E14444">
      <w:r>
        <w:continuationSeparator/>
      </w:r>
    </w:p>
    <w:p w14:paraId="09BAB9FA" w14:textId="77777777" w:rsidR="005565A0" w:rsidRDefault="005565A0" w:rsidP="00E14444"/>
  </w:footnote>
  <w:footnote w:type="continuationNotice" w:id="1">
    <w:p w14:paraId="7208CBF0" w14:textId="77777777" w:rsidR="005565A0" w:rsidRDefault="005565A0" w:rsidP="00E144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B2AE" w14:textId="77777777" w:rsidR="005565A0" w:rsidRDefault="005565A0" w:rsidP="00E14444">
    <w:pPr>
      <w:pStyle w:val="Headertext"/>
    </w:pPr>
    <w:r>
      <w:rPr>
        <w:noProof/>
        <w:lang w:eastAsia="en-AU"/>
      </w:rPr>
      <w:drawing>
        <wp:anchor distT="0" distB="0" distL="114300" distR="114300" simplePos="0" relativeHeight="251659264" behindDoc="1" locked="0" layoutInCell="1" allowOverlap="1" wp14:anchorId="19B2983C" wp14:editId="73870691">
          <wp:simplePos x="0" y="0"/>
          <wp:positionH relativeFrom="page">
            <wp:align>center</wp:align>
          </wp:positionH>
          <wp:positionV relativeFrom="page">
            <wp:align>center</wp:align>
          </wp:positionV>
          <wp:extent cx="7560000" cy="10692000"/>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B4317" w14:textId="77777777" w:rsidR="005565A0" w:rsidRDefault="005565A0" w:rsidP="00E14444">
    <w:pPr>
      <w:pStyle w:val="Header"/>
    </w:pPr>
    <w:r>
      <w:rPr>
        <w:noProof/>
        <w:lang w:eastAsia="en-AU"/>
      </w:rPr>
      <w:drawing>
        <wp:anchor distT="0" distB="0" distL="114300" distR="114300" simplePos="0" relativeHeight="251661312" behindDoc="1" locked="0" layoutInCell="1" allowOverlap="1" wp14:anchorId="1E13E18A" wp14:editId="7BC01E28">
          <wp:simplePos x="0" y="0"/>
          <wp:positionH relativeFrom="page">
            <wp:align>center</wp:align>
          </wp:positionH>
          <wp:positionV relativeFrom="page">
            <wp:align>center</wp:align>
          </wp:positionV>
          <wp:extent cx="7560000" cy="10692000"/>
          <wp:effectExtent l="0" t="0" r="3175" b="0"/>
          <wp:wrapNone/>
          <wp:docPr id="4" name="Picture 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AEFCE" w14:textId="77777777" w:rsidR="005565A0" w:rsidRDefault="005565A0" w:rsidP="00E144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5A93B" w14:textId="77777777" w:rsidR="005565A0" w:rsidRDefault="005565A0" w:rsidP="00E14444">
    <w:pPr>
      <w:pStyle w:val="Headertex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9B598" w14:textId="77777777" w:rsidR="005565A0" w:rsidRDefault="005565A0" w:rsidP="00E144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09AC" w14:textId="77777777" w:rsidR="005565A0" w:rsidRDefault="005565A0" w:rsidP="00E14444">
    <w:pPr>
      <w:pStyle w:val="Headertext"/>
    </w:pPr>
    <w:r>
      <w:rPr>
        <w:noProof/>
        <w:lang w:eastAsia="en-AU"/>
      </w:rPr>
      <w:drawing>
        <wp:anchor distT="0" distB="0" distL="114300" distR="114300" simplePos="0" relativeHeight="251663360" behindDoc="1" locked="0" layoutInCell="1" allowOverlap="1" wp14:anchorId="1451D91F" wp14:editId="23034604">
          <wp:simplePos x="0" y="0"/>
          <wp:positionH relativeFrom="page">
            <wp:posOffset>0</wp:posOffset>
          </wp:positionH>
          <wp:positionV relativeFrom="page">
            <wp:posOffset>3458210</wp:posOffset>
          </wp:positionV>
          <wp:extent cx="7559040" cy="7232650"/>
          <wp:effectExtent l="0" t="0" r="3810" b="6350"/>
          <wp:wrapNone/>
          <wp:docPr id="7" name="Picture 7"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D6EFFA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E27022"/>
    <w:multiLevelType w:val="hybridMultilevel"/>
    <w:tmpl w:val="63A4E60E"/>
    <w:lvl w:ilvl="0" w:tplc="4B205BD0">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B6737"/>
    <w:multiLevelType w:val="hybridMultilevel"/>
    <w:tmpl w:val="DEF04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BF4F18"/>
    <w:multiLevelType w:val="multilevel"/>
    <w:tmpl w:val="0D885B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53151B"/>
    <w:multiLevelType w:val="hybridMultilevel"/>
    <w:tmpl w:val="B51C6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6D5F6B"/>
    <w:multiLevelType w:val="hybridMultilevel"/>
    <w:tmpl w:val="70F01934"/>
    <w:lvl w:ilvl="0" w:tplc="523428FC">
      <w:start w:val="24"/>
      <w:numFmt w:val="bullet"/>
      <w:pStyle w:val="ListBullet2"/>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60200"/>
    <w:multiLevelType w:val="hybridMultilevel"/>
    <w:tmpl w:val="DEAE3E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D04B6A"/>
    <w:multiLevelType w:val="hybridMultilevel"/>
    <w:tmpl w:val="D1BCC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622A2E"/>
    <w:multiLevelType w:val="hybridMultilevel"/>
    <w:tmpl w:val="CE2E3A98"/>
    <w:lvl w:ilvl="0" w:tplc="0C090001">
      <w:start w:val="1"/>
      <w:numFmt w:val="bullet"/>
      <w:lvlText w:val=""/>
      <w:lvlJc w:val="left"/>
      <w:pPr>
        <w:ind w:left="720" w:hanging="360"/>
      </w:pPr>
      <w:rPr>
        <w:rFonts w:ascii="Symbol" w:hAnsi="Symbol" w:hint="default"/>
      </w:rPr>
    </w:lvl>
    <w:lvl w:ilvl="1" w:tplc="7A36FB6C">
      <w:start w:val="20"/>
      <w:numFmt w:val="bullet"/>
      <w:lvlText w:val="–"/>
      <w:lvlJc w:val="left"/>
      <w:pPr>
        <w:ind w:left="1440" w:hanging="36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6747322"/>
    <w:multiLevelType w:val="hybridMultilevel"/>
    <w:tmpl w:val="B4A4A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9C82789"/>
    <w:multiLevelType w:val="hybridMultilevel"/>
    <w:tmpl w:val="C7B02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D05FD6"/>
    <w:multiLevelType w:val="hybridMultilevel"/>
    <w:tmpl w:val="D6B6C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5A086A"/>
    <w:multiLevelType w:val="hybridMultilevel"/>
    <w:tmpl w:val="0FDA7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A32572"/>
    <w:multiLevelType w:val="hybridMultilevel"/>
    <w:tmpl w:val="5B1E0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24E3147"/>
    <w:multiLevelType w:val="hybridMultilevel"/>
    <w:tmpl w:val="35FA4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F02831"/>
    <w:multiLevelType w:val="hybridMultilevel"/>
    <w:tmpl w:val="177A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9E02E0"/>
    <w:multiLevelType w:val="multilevel"/>
    <w:tmpl w:val="0E0E82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F7265A"/>
    <w:multiLevelType w:val="hybridMultilevel"/>
    <w:tmpl w:val="087844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C59508A"/>
    <w:multiLevelType w:val="hybridMultilevel"/>
    <w:tmpl w:val="85D49C86"/>
    <w:lvl w:ilvl="0" w:tplc="75826E3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F8287E"/>
    <w:multiLevelType w:val="hybridMultilevel"/>
    <w:tmpl w:val="2AC4FF68"/>
    <w:lvl w:ilvl="0" w:tplc="017A20F0">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8B1653"/>
    <w:multiLevelType w:val="hybridMultilevel"/>
    <w:tmpl w:val="52F03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273175"/>
    <w:multiLevelType w:val="hybridMultilevel"/>
    <w:tmpl w:val="259420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DB31966"/>
    <w:multiLevelType w:val="hybridMultilevel"/>
    <w:tmpl w:val="ACFA7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EED19EA"/>
    <w:multiLevelType w:val="hybridMultilevel"/>
    <w:tmpl w:val="AB02EA9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
  </w:num>
  <w:num w:numId="3">
    <w:abstractNumId w:val="22"/>
  </w:num>
  <w:num w:numId="4">
    <w:abstractNumId w:val="13"/>
  </w:num>
  <w:num w:numId="5">
    <w:abstractNumId w:val="18"/>
  </w:num>
  <w:num w:numId="6">
    <w:abstractNumId w:val="10"/>
  </w:num>
  <w:num w:numId="7">
    <w:abstractNumId w:val="12"/>
  </w:num>
  <w:num w:numId="8">
    <w:abstractNumId w:val="5"/>
  </w:num>
  <w:num w:numId="9">
    <w:abstractNumId w:val="9"/>
  </w:num>
  <w:num w:numId="10">
    <w:abstractNumId w:val="24"/>
  </w:num>
  <w:num w:numId="11">
    <w:abstractNumId w:val="2"/>
  </w:num>
  <w:num w:numId="12">
    <w:abstractNumId w:val="6"/>
  </w:num>
  <w:num w:numId="13">
    <w:abstractNumId w:val="3"/>
  </w:num>
  <w:num w:numId="14">
    <w:abstractNumId w:val="19"/>
  </w:num>
  <w:num w:numId="15">
    <w:abstractNumId w:val="11"/>
  </w:num>
  <w:num w:numId="16">
    <w:abstractNumId w:val="14"/>
  </w:num>
  <w:num w:numId="17">
    <w:abstractNumId w:val="8"/>
  </w:num>
  <w:num w:numId="18">
    <w:abstractNumId w:val="23"/>
  </w:num>
  <w:num w:numId="19">
    <w:abstractNumId w:val="4"/>
  </w:num>
  <w:num w:numId="20">
    <w:abstractNumId w:val="17"/>
  </w:num>
  <w:num w:numId="21">
    <w:abstractNumId w:val="6"/>
  </w:num>
  <w:num w:numId="22">
    <w:abstractNumId w:val="6"/>
  </w:num>
  <w:num w:numId="23">
    <w:abstractNumId w:val="6"/>
  </w:num>
  <w:num w:numId="24">
    <w:abstractNumId w:val="16"/>
  </w:num>
  <w:num w:numId="25">
    <w:abstractNumId w:val="20"/>
  </w:num>
  <w:num w:numId="26">
    <w:abstractNumId w:val="20"/>
  </w:num>
  <w:num w:numId="27">
    <w:abstractNumId w:val="15"/>
  </w:num>
  <w:num w:numId="28">
    <w:abstractNumId w:val="0"/>
  </w:num>
  <w:num w:numId="29">
    <w:abstractNumId w:val="7"/>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62"/>
    <w:rsid w:val="00003743"/>
    <w:rsid w:val="000047B4"/>
    <w:rsid w:val="00005712"/>
    <w:rsid w:val="00007FD8"/>
    <w:rsid w:val="000117F8"/>
    <w:rsid w:val="00014DBE"/>
    <w:rsid w:val="000244F9"/>
    <w:rsid w:val="00026139"/>
    <w:rsid w:val="00027071"/>
    <w:rsid w:val="00027601"/>
    <w:rsid w:val="00030706"/>
    <w:rsid w:val="00033321"/>
    <w:rsid w:val="000337E0"/>
    <w:rsid w:val="000338E5"/>
    <w:rsid w:val="00033ECC"/>
    <w:rsid w:val="0003422F"/>
    <w:rsid w:val="00035248"/>
    <w:rsid w:val="00046FF0"/>
    <w:rsid w:val="00050176"/>
    <w:rsid w:val="000566EA"/>
    <w:rsid w:val="00060010"/>
    <w:rsid w:val="00062561"/>
    <w:rsid w:val="00062B65"/>
    <w:rsid w:val="00065B7B"/>
    <w:rsid w:val="00067456"/>
    <w:rsid w:val="0007130B"/>
    <w:rsid w:val="00071506"/>
    <w:rsid w:val="0007154F"/>
    <w:rsid w:val="00081AB1"/>
    <w:rsid w:val="00085F73"/>
    <w:rsid w:val="00090316"/>
    <w:rsid w:val="00093981"/>
    <w:rsid w:val="00093CD9"/>
    <w:rsid w:val="00095CF0"/>
    <w:rsid w:val="00097A4A"/>
    <w:rsid w:val="000A4E46"/>
    <w:rsid w:val="000A59B5"/>
    <w:rsid w:val="000A782F"/>
    <w:rsid w:val="000B067A"/>
    <w:rsid w:val="000B1540"/>
    <w:rsid w:val="000B33FD"/>
    <w:rsid w:val="000B4ABA"/>
    <w:rsid w:val="000C15B5"/>
    <w:rsid w:val="000C4B16"/>
    <w:rsid w:val="000C50C3"/>
    <w:rsid w:val="000D06C5"/>
    <w:rsid w:val="000D21F6"/>
    <w:rsid w:val="000D42C3"/>
    <w:rsid w:val="000D4500"/>
    <w:rsid w:val="000D56E4"/>
    <w:rsid w:val="000D7AEA"/>
    <w:rsid w:val="000D7CBB"/>
    <w:rsid w:val="000E01A9"/>
    <w:rsid w:val="000E1E29"/>
    <w:rsid w:val="000E2C66"/>
    <w:rsid w:val="000E36DC"/>
    <w:rsid w:val="000E6E7D"/>
    <w:rsid w:val="000F123C"/>
    <w:rsid w:val="000F2FED"/>
    <w:rsid w:val="00100053"/>
    <w:rsid w:val="00100F6D"/>
    <w:rsid w:val="0010511A"/>
    <w:rsid w:val="0010616D"/>
    <w:rsid w:val="00110478"/>
    <w:rsid w:val="00112C89"/>
    <w:rsid w:val="00114CA9"/>
    <w:rsid w:val="00115867"/>
    <w:rsid w:val="0011699D"/>
    <w:rsid w:val="0011711B"/>
    <w:rsid w:val="00117F8A"/>
    <w:rsid w:val="0012032A"/>
    <w:rsid w:val="00120855"/>
    <w:rsid w:val="00121B9B"/>
    <w:rsid w:val="00122ADC"/>
    <w:rsid w:val="00122F07"/>
    <w:rsid w:val="00130742"/>
    <w:rsid w:val="00130F59"/>
    <w:rsid w:val="00133EC0"/>
    <w:rsid w:val="0013791A"/>
    <w:rsid w:val="00141955"/>
    <w:rsid w:val="00141CE5"/>
    <w:rsid w:val="00144908"/>
    <w:rsid w:val="00144E33"/>
    <w:rsid w:val="00146D56"/>
    <w:rsid w:val="0015093A"/>
    <w:rsid w:val="0015139D"/>
    <w:rsid w:val="001571C7"/>
    <w:rsid w:val="00161094"/>
    <w:rsid w:val="001662F9"/>
    <w:rsid w:val="00172A55"/>
    <w:rsid w:val="0017327C"/>
    <w:rsid w:val="001758CD"/>
    <w:rsid w:val="0017665C"/>
    <w:rsid w:val="00177AD2"/>
    <w:rsid w:val="001815A8"/>
    <w:rsid w:val="001840FA"/>
    <w:rsid w:val="00190079"/>
    <w:rsid w:val="001922D8"/>
    <w:rsid w:val="00195EC4"/>
    <w:rsid w:val="0019622E"/>
    <w:rsid w:val="001966A7"/>
    <w:rsid w:val="001A10AC"/>
    <w:rsid w:val="001A3857"/>
    <w:rsid w:val="001A4627"/>
    <w:rsid w:val="001A4979"/>
    <w:rsid w:val="001A739B"/>
    <w:rsid w:val="001B15D3"/>
    <w:rsid w:val="001B2452"/>
    <w:rsid w:val="001B3443"/>
    <w:rsid w:val="001B35BF"/>
    <w:rsid w:val="001B4766"/>
    <w:rsid w:val="001C0326"/>
    <w:rsid w:val="001C192F"/>
    <w:rsid w:val="001C3C42"/>
    <w:rsid w:val="001D6258"/>
    <w:rsid w:val="001D6AD1"/>
    <w:rsid w:val="001D6EFD"/>
    <w:rsid w:val="001D7869"/>
    <w:rsid w:val="001E2D5D"/>
    <w:rsid w:val="001F2F78"/>
    <w:rsid w:val="001F59B4"/>
    <w:rsid w:val="001F74BE"/>
    <w:rsid w:val="001F7D2D"/>
    <w:rsid w:val="002026CD"/>
    <w:rsid w:val="002033FC"/>
    <w:rsid w:val="002044BB"/>
    <w:rsid w:val="00204F53"/>
    <w:rsid w:val="00205A93"/>
    <w:rsid w:val="00210B09"/>
    <w:rsid w:val="00210C9E"/>
    <w:rsid w:val="00211840"/>
    <w:rsid w:val="00212815"/>
    <w:rsid w:val="00213279"/>
    <w:rsid w:val="00220E5F"/>
    <w:rsid w:val="002212B5"/>
    <w:rsid w:val="00226559"/>
    <w:rsid w:val="00226668"/>
    <w:rsid w:val="002329A7"/>
    <w:rsid w:val="00233809"/>
    <w:rsid w:val="00235860"/>
    <w:rsid w:val="00236073"/>
    <w:rsid w:val="00240046"/>
    <w:rsid w:val="00246FCB"/>
    <w:rsid w:val="0024797F"/>
    <w:rsid w:val="00250E48"/>
    <w:rsid w:val="0025119E"/>
    <w:rsid w:val="00251269"/>
    <w:rsid w:val="002535C0"/>
    <w:rsid w:val="0025574E"/>
    <w:rsid w:val="002579FE"/>
    <w:rsid w:val="002618EC"/>
    <w:rsid w:val="0026311C"/>
    <w:rsid w:val="0026499F"/>
    <w:rsid w:val="0026668C"/>
    <w:rsid w:val="00266AC1"/>
    <w:rsid w:val="00266B72"/>
    <w:rsid w:val="0027178C"/>
    <w:rsid w:val="002719FA"/>
    <w:rsid w:val="00272668"/>
    <w:rsid w:val="00272E98"/>
    <w:rsid w:val="0027330B"/>
    <w:rsid w:val="00276E67"/>
    <w:rsid w:val="00277EA8"/>
    <w:rsid w:val="002803AD"/>
    <w:rsid w:val="00282052"/>
    <w:rsid w:val="0028519E"/>
    <w:rsid w:val="002856A5"/>
    <w:rsid w:val="00285737"/>
    <w:rsid w:val="002872ED"/>
    <w:rsid w:val="002873E0"/>
    <w:rsid w:val="002905C2"/>
    <w:rsid w:val="00290870"/>
    <w:rsid w:val="0029399E"/>
    <w:rsid w:val="00295AF2"/>
    <w:rsid w:val="00295C91"/>
    <w:rsid w:val="00297151"/>
    <w:rsid w:val="002A133B"/>
    <w:rsid w:val="002B20E6"/>
    <w:rsid w:val="002B42A3"/>
    <w:rsid w:val="002B5F72"/>
    <w:rsid w:val="002C0CDD"/>
    <w:rsid w:val="002C4E33"/>
    <w:rsid w:val="002D1BDD"/>
    <w:rsid w:val="002E1A1D"/>
    <w:rsid w:val="002E21FC"/>
    <w:rsid w:val="002E4081"/>
    <w:rsid w:val="002E571D"/>
    <w:rsid w:val="002E5B78"/>
    <w:rsid w:val="002F3AE3"/>
    <w:rsid w:val="002F4D67"/>
    <w:rsid w:val="0030464B"/>
    <w:rsid w:val="0030786C"/>
    <w:rsid w:val="0031758C"/>
    <w:rsid w:val="003233DE"/>
    <w:rsid w:val="0032466B"/>
    <w:rsid w:val="00327B44"/>
    <w:rsid w:val="00327E62"/>
    <w:rsid w:val="00330AD7"/>
    <w:rsid w:val="00331EB3"/>
    <w:rsid w:val="003330EB"/>
    <w:rsid w:val="00336605"/>
    <w:rsid w:val="00336DED"/>
    <w:rsid w:val="003415FD"/>
    <w:rsid w:val="00341D3A"/>
    <w:rsid w:val="003429F0"/>
    <w:rsid w:val="003454DE"/>
    <w:rsid w:val="003463AD"/>
    <w:rsid w:val="0034689D"/>
    <w:rsid w:val="0035097A"/>
    <w:rsid w:val="00350994"/>
    <w:rsid w:val="003540A4"/>
    <w:rsid w:val="003568EC"/>
    <w:rsid w:val="003579A9"/>
    <w:rsid w:val="00360E4E"/>
    <w:rsid w:val="00370AAA"/>
    <w:rsid w:val="00373696"/>
    <w:rsid w:val="00375F77"/>
    <w:rsid w:val="00377A78"/>
    <w:rsid w:val="00380BAD"/>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B7679"/>
    <w:rsid w:val="003C0FEC"/>
    <w:rsid w:val="003C15B8"/>
    <w:rsid w:val="003C2AC8"/>
    <w:rsid w:val="003D1615"/>
    <w:rsid w:val="003D17F9"/>
    <w:rsid w:val="003D2D88"/>
    <w:rsid w:val="003D31C2"/>
    <w:rsid w:val="003D41EA"/>
    <w:rsid w:val="003D4850"/>
    <w:rsid w:val="003D535A"/>
    <w:rsid w:val="003D6667"/>
    <w:rsid w:val="003E10B8"/>
    <w:rsid w:val="003E1800"/>
    <w:rsid w:val="003E5265"/>
    <w:rsid w:val="003F0955"/>
    <w:rsid w:val="003F1683"/>
    <w:rsid w:val="003F1EFC"/>
    <w:rsid w:val="003F36A2"/>
    <w:rsid w:val="003F61DC"/>
    <w:rsid w:val="003F6FE1"/>
    <w:rsid w:val="00400F00"/>
    <w:rsid w:val="00404F8B"/>
    <w:rsid w:val="00405256"/>
    <w:rsid w:val="004059D0"/>
    <w:rsid w:val="00406F27"/>
    <w:rsid w:val="00407073"/>
    <w:rsid w:val="00410031"/>
    <w:rsid w:val="004115A2"/>
    <w:rsid w:val="00411BEE"/>
    <w:rsid w:val="00415C81"/>
    <w:rsid w:val="00416731"/>
    <w:rsid w:val="00425304"/>
    <w:rsid w:val="00432378"/>
    <w:rsid w:val="004360A6"/>
    <w:rsid w:val="00440D65"/>
    <w:rsid w:val="004435E6"/>
    <w:rsid w:val="00447E31"/>
    <w:rsid w:val="004505B3"/>
    <w:rsid w:val="00450FBD"/>
    <w:rsid w:val="00453923"/>
    <w:rsid w:val="00454B9B"/>
    <w:rsid w:val="00455A40"/>
    <w:rsid w:val="00457249"/>
    <w:rsid w:val="00457858"/>
    <w:rsid w:val="00460B0B"/>
    <w:rsid w:val="00461023"/>
    <w:rsid w:val="00462FAC"/>
    <w:rsid w:val="00464631"/>
    <w:rsid w:val="00464B79"/>
    <w:rsid w:val="00464E73"/>
    <w:rsid w:val="00467BBF"/>
    <w:rsid w:val="00472E5D"/>
    <w:rsid w:val="00474050"/>
    <w:rsid w:val="004743F0"/>
    <w:rsid w:val="0048323A"/>
    <w:rsid w:val="004867E2"/>
    <w:rsid w:val="004929A9"/>
    <w:rsid w:val="004A0442"/>
    <w:rsid w:val="004A281A"/>
    <w:rsid w:val="004A2D34"/>
    <w:rsid w:val="004A7988"/>
    <w:rsid w:val="004B264A"/>
    <w:rsid w:val="004B7C34"/>
    <w:rsid w:val="004C2FEC"/>
    <w:rsid w:val="004C63B3"/>
    <w:rsid w:val="004C6BCF"/>
    <w:rsid w:val="004D58BF"/>
    <w:rsid w:val="004E0C77"/>
    <w:rsid w:val="004E4335"/>
    <w:rsid w:val="004E5524"/>
    <w:rsid w:val="004E5ACF"/>
    <w:rsid w:val="004F13EE"/>
    <w:rsid w:val="004F16FE"/>
    <w:rsid w:val="004F2022"/>
    <w:rsid w:val="004F4496"/>
    <w:rsid w:val="004F7C05"/>
    <w:rsid w:val="00501C94"/>
    <w:rsid w:val="00506432"/>
    <w:rsid w:val="0051242B"/>
    <w:rsid w:val="0052051D"/>
    <w:rsid w:val="005268AB"/>
    <w:rsid w:val="00534E52"/>
    <w:rsid w:val="00542BBF"/>
    <w:rsid w:val="00544764"/>
    <w:rsid w:val="00545D09"/>
    <w:rsid w:val="00545EE6"/>
    <w:rsid w:val="005550E7"/>
    <w:rsid w:val="005555BF"/>
    <w:rsid w:val="005564FB"/>
    <w:rsid w:val="005565A0"/>
    <w:rsid w:val="005572C7"/>
    <w:rsid w:val="00557681"/>
    <w:rsid w:val="00557D5A"/>
    <w:rsid w:val="0056486D"/>
    <w:rsid w:val="005650ED"/>
    <w:rsid w:val="00565357"/>
    <w:rsid w:val="005669DE"/>
    <w:rsid w:val="0056775E"/>
    <w:rsid w:val="00573CB0"/>
    <w:rsid w:val="00575754"/>
    <w:rsid w:val="00576C18"/>
    <w:rsid w:val="00585B2D"/>
    <w:rsid w:val="00590D18"/>
    <w:rsid w:val="00591E20"/>
    <w:rsid w:val="00595408"/>
    <w:rsid w:val="00595E84"/>
    <w:rsid w:val="005A0C59"/>
    <w:rsid w:val="005A12FC"/>
    <w:rsid w:val="005A48EB"/>
    <w:rsid w:val="005A6CFB"/>
    <w:rsid w:val="005B1224"/>
    <w:rsid w:val="005B272A"/>
    <w:rsid w:val="005B2D11"/>
    <w:rsid w:val="005C5AEB"/>
    <w:rsid w:val="005C5F72"/>
    <w:rsid w:val="005D3506"/>
    <w:rsid w:val="005D412E"/>
    <w:rsid w:val="005E0A3F"/>
    <w:rsid w:val="005E6883"/>
    <w:rsid w:val="005E772F"/>
    <w:rsid w:val="005E7EA4"/>
    <w:rsid w:val="005F4ECA"/>
    <w:rsid w:val="005F5E9B"/>
    <w:rsid w:val="006041BE"/>
    <w:rsid w:val="006043C7"/>
    <w:rsid w:val="00624B52"/>
    <w:rsid w:val="00631DF4"/>
    <w:rsid w:val="00634175"/>
    <w:rsid w:val="0063428E"/>
    <w:rsid w:val="00635F0E"/>
    <w:rsid w:val="00636BDC"/>
    <w:rsid w:val="006408AC"/>
    <w:rsid w:val="00646145"/>
    <w:rsid w:val="006511B6"/>
    <w:rsid w:val="00652742"/>
    <w:rsid w:val="00657FF8"/>
    <w:rsid w:val="00661A96"/>
    <w:rsid w:val="006660D3"/>
    <w:rsid w:val="00670D99"/>
    <w:rsid w:val="00670E2B"/>
    <w:rsid w:val="006734BB"/>
    <w:rsid w:val="00675F84"/>
    <w:rsid w:val="00677BD1"/>
    <w:rsid w:val="00681A34"/>
    <w:rsid w:val="006821EB"/>
    <w:rsid w:val="00685EDD"/>
    <w:rsid w:val="00694523"/>
    <w:rsid w:val="006A3198"/>
    <w:rsid w:val="006B2286"/>
    <w:rsid w:val="006B39C6"/>
    <w:rsid w:val="006B4519"/>
    <w:rsid w:val="006B522A"/>
    <w:rsid w:val="006B56BB"/>
    <w:rsid w:val="006B710D"/>
    <w:rsid w:val="006C3D4D"/>
    <w:rsid w:val="006C77A8"/>
    <w:rsid w:val="006D3A84"/>
    <w:rsid w:val="006D4098"/>
    <w:rsid w:val="006D457D"/>
    <w:rsid w:val="006D7681"/>
    <w:rsid w:val="006D7B2E"/>
    <w:rsid w:val="006E02EA"/>
    <w:rsid w:val="006E0968"/>
    <w:rsid w:val="006E2AF6"/>
    <w:rsid w:val="006F2A56"/>
    <w:rsid w:val="006F78CE"/>
    <w:rsid w:val="00701019"/>
    <w:rsid w:val="00701275"/>
    <w:rsid w:val="00707F56"/>
    <w:rsid w:val="00713558"/>
    <w:rsid w:val="0071556E"/>
    <w:rsid w:val="00720D08"/>
    <w:rsid w:val="00721205"/>
    <w:rsid w:val="007263B9"/>
    <w:rsid w:val="00730A18"/>
    <w:rsid w:val="00733258"/>
    <w:rsid w:val="007334F8"/>
    <w:rsid w:val="007339CD"/>
    <w:rsid w:val="00733BBE"/>
    <w:rsid w:val="00733D95"/>
    <w:rsid w:val="007359D8"/>
    <w:rsid w:val="007362D4"/>
    <w:rsid w:val="00737F3E"/>
    <w:rsid w:val="0074231F"/>
    <w:rsid w:val="00742932"/>
    <w:rsid w:val="00742A3F"/>
    <w:rsid w:val="00743B4F"/>
    <w:rsid w:val="007476B6"/>
    <w:rsid w:val="00751A23"/>
    <w:rsid w:val="00751B13"/>
    <w:rsid w:val="007613AD"/>
    <w:rsid w:val="0076672A"/>
    <w:rsid w:val="007722AA"/>
    <w:rsid w:val="00775E45"/>
    <w:rsid w:val="00776E74"/>
    <w:rsid w:val="00783FAB"/>
    <w:rsid w:val="00785169"/>
    <w:rsid w:val="00786DBC"/>
    <w:rsid w:val="00787665"/>
    <w:rsid w:val="00787AA2"/>
    <w:rsid w:val="007954AB"/>
    <w:rsid w:val="007A061B"/>
    <w:rsid w:val="007A14C5"/>
    <w:rsid w:val="007A17A3"/>
    <w:rsid w:val="007A3E38"/>
    <w:rsid w:val="007A4A10"/>
    <w:rsid w:val="007B1760"/>
    <w:rsid w:val="007B24DF"/>
    <w:rsid w:val="007B6683"/>
    <w:rsid w:val="007B7F22"/>
    <w:rsid w:val="007C6799"/>
    <w:rsid w:val="007C6D9C"/>
    <w:rsid w:val="007C7DDB"/>
    <w:rsid w:val="007D0567"/>
    <w:rsid w:val="007D20C5"/>
    <w:rsid w:val="007D2CC7"/>
    <w:rsid w:val="007D673D"/>
    <w:rsid w:val="007D727B"/>
    <w:rsid w:val="007E130C"/>
    <w:rsid w:val="007E1BB6"/>
    <w:rsid w:val="007F2220"/>
    <w:rsid w:val="007F4B3E"/>
    <w:rsid w:val="007F588A"/>
    <w:rsid w:val="00800A86"/>
    <w:rsid w:val="008127AF"/>
    <w:rsid w:val="00812B46"/>
    <w:rsid w:val="00815700"/>
    <w:rsid w:val="00817B70"/>
    <w:rsid w:val="00822786"/>
    <w:rsid w:val="008264EB"/>
    <w:rsid w:val="00826B8F"/>
    <w:rsid w:val="00831E8A"/>
    <w:rsid w:val="00835865"/>
    <w:rsid w:val="00835C76"/>
    <w:rsid w:val="00841111"/>
    <w:rsid w:val="0084242C"/>
    <w:rsid w:val="00843049"/>
    <w:rsid w:val="0085209B"/>
    <w:rsid w:val="00853A57"/>
    <w:rsid w:val="00855445"/>
    <w:rsid w:val="00856B66"/>
    <w:rsid w:val="00861A5F"/>
    <w:rsid w:val="008644AD"/>
    <w:rsid w:val="00864871"/>
    <w:rsid w:val="00865735"/>
    <w:rsid w:val="00865DDB"/>
    <w:rsid w:val="00867538"/>
    <w:rsid w:val="00870609"/>
    <w:rsid w:val="00873D90"/>
    <w:rsid w:val="00873FC8"/>
    <w:rsid w:val="0087548A"/>
    <w:rsid w:val="00875902"/>
    <w:rsid w:val="00884C63"/>
    <w:rsid w:val="00885908"/>
    <w:rsid w:val="008864B7"/>
    <w:rsid w:val="0089677E"/>
    <w:rsid w:val="00896BC6"/>
    <w:rsid w:val="00896E8C"/>
    <w:rsid w:val="00897A33"/>
    <w:rsid w:val="008A2209"/>
    <w:rsid w:val="008A42B7"/>
    <w:rsid w:val="008A504B"/>
    <w:rsid w:val="008A6456"/>
    <w:rsid w:val="008A7438"/>
    <w:rsid w:val="008B1334"/>
    <w:rsid w:val="008B3950"/>
    <w:rsid w:val="008C0278"/>
    <w:rsid w:val="008C24E9"/>
    <w:rsid w:val="008C4207"/>
    <w:rsid w:val="008C4CF2"/>
    <w:rsid w:val="008D0533"/>
    <w:rsid w:val="008D42CB"/>
    <w:rsid w:val="008D48C9"/>
    <w:rsid w:val="008D5B79"/>
    <w:rsid w:val="008D6381"/>
    <w:rsid w:val="008E0BA9"/>
    <w:rsid w:val="008E0C77"/>
    <w:rsid w:val="008E3CFF"/>
    <w:rsid w:val="008E625F"/>
    <w:rsid w:val="008E71F4"/>
    <w:rsid w:val="008E7DC6"/>
    <w:rsid w:val="008F264D"/>
    <w:rsid w:val="008F7A6D"/>
    <w:rsid w:val="00904CBE"/>
    <w:rsid w:val="009074E1"/>
    <w:rsid w:val="009078D3"/>
    <w:rsid w:val="00907B95"/>
    <w:rsid w:val="009112D5"/>
    <w:rsid w:val="009112F7"/>
    <w:rsid w:val="009122AF"/>
    <w:rsid w:val="009127BC"/>
    <w:rsid w:val="00912D54"/>
    <w:rsid w:val="0091389F"/>
    <w:rsid w:val="009208F7"/>
    <w:rsid w:val="00922517"/>
    <w:rsid w:val="00922722"/>
    <w:rsid w:val="009261E6"/>
    <w:rsid w:val="009268E1"/>
    <w:rsid w:val="00936012"/>
    <w:rsid w:val="0094111A"/>
    <w:rsid w:val="009426AF"/>
    <w:rsid w:val="00942F17"/>
    <w:rsid w:val="00945E7F"/>
    <w:rsid w:val="009557C1"/>
    <w:rsid w:val="00960D6E"/>
    <w:rsid w:val="00962F69"/>
    <w:rsid w:val="0096322F"/>
    <w:rsid w:val="00972BC1"/>
    <w:rsid w:val="00974B59"/>
    <w:rsid w:val="00977F76"/>
    <w:rsid w:val="0098340B"/>
    <w:rsid w:val="00983EF7"/>
    <w:rsid w:val="00986830"/>
    <w:rsid w:val="009924C3"/>
    <w:rsid w:val="00992E7D"/>
    <w:rsid w:val="00993102"/>
    <w:rsid w:val="00995398"/>
    <w:rsid w:val="00995D0F"/>
    <w:rsid w:val="00996961"/>
    <w:rsid w:val="009969DA"/>
    <w:rsid w:val="009B4465"/>
    <w:rsid w:val="009C286C"/>
    <w:rsid w:val="009C3C5C"/>
    <w:rsid w:val="009C4A39"/>
    <w:rsid w:val="009C6F10"/>
    <w:rsid w:val="009D148F"/>
    <w:rsid w:val="009D3D70"/>
    <w:rsid w:val="009E28C2"/>
    <w:rsid w:val="009E2F5E"/>
    <w:rsid w:val="009E6A27"/>
    <w:rsid w:val="009E6F7A"/>
    <w:rsid w:val="009E6F7E"/>
    <w:rsid w:val="009E7A57"/>
    <w:rsid w:val="009F06D9"/>
    <w:rsid w:val="009F4F6A"/>
    <w:rsid w:val="00A00209"/>
    <w:rsid w:val="00A04084"/>
    <w:rsid w:val="00A14D8D"/>
    <w:rsid w:val="00A16E36"/>
    <w:rsid w:val="00A24961"/>
    <w:rsid w:val="00A24B10"/>
    <w:rsid w:val="00A25651"/>
    <w:rsid w:val="00A30E9B"/>
    <w:rsid w:val="00A3489E"/>
    <w:rsid w:val="00A34A85"/>
    <w:rsid w:val="00A3733B"/>
    <w:rsid w:val="00A4210C"/>
    <w:rsid w:val="00A42421"/>
    <w:rsid w:val="00A4512D"/>
    <w:rsid w:val="00A50244"/>
    <w:rsid w:val="00A529F2"/>
    <w:rsid w:val="00A53F0D"/>
    <w:rsid w:val="00A55DB5"/>
    <w:rsid w:val="00A56F17"/>
    <w:rsid w:val="00A57B69"/>
    <w:rsid w:val="00A610A5"/>
    <w:rsid w:val="00A627D7"/>
    <w:rsid w:val="00A631CB"/>
    <w:rsid w:val="00A64A8B"/>
    <w:rsid w:val="00A656C7"/>
    <w:rsid w:val="00A705AF"/>
    <w:rsid w:val="00A71731"/>
    <w:rsid w:val="00A72454"/>
    <w:rsid w:val="00A75481"/>
    <w:rsid w:val="00A754B0"/>
    <w:rsid w:val="00A77696"/>
    <w:rsid w:val="00A80557"/>
    <w:rsid w:val="00A81D33"/>
    <w:rsid w:val="00A831CD"/>
    <w:rsid w:val="00A8403A"/>
    <w:rsid w:val="00A868C6"/>
    <w:rsid w:val="00A920D8"/>
    <w:rsid w:val="00A930AE"/>
    <w:rsid w:val="00A93558"/>
    <w:rsid w:val="00AA1A95"/>
    <w:rsid w:val="00AA260F"/>
    <w:rsid w:val="00AA6AB7"/>
    <w:rsid w:val="00AA6BF8"/>
    <w:rsid w:val="00AA763F"/>
    <w:rsid w:val="00AA764D"/>
    <w:rsid w:val="00AB1EE7"/>
    <w:rsid w:val="00AB4B37"/>
    <w:rsid w:val="00AB5762"/>
    <w:rsid w:val="00AB6839"/>
    <w:rsid w:val="00AB7D9D"/>
    <w:rsid w:val="00AC0C70"/>
    <w:rsid w:val="00AC2679"/>
    <w:rsid w:val="00AC4BE4"/>
    <w:rsid w:val="00AC6BF9"/>
    <w:rsid w:val="00AD05E6"/>
    <w:rsid w:val="00AD0D3F"/>
    <w:rsid w:val="00AD25EA"/>
    <w:rsid w:val="00AD3B4F"/>
    <w:rsid w:val="00AD6A09"/>
    <w:rsid w:val="00AD6DD2"/>
    <w:rsid w:val="00AE1D7D"/>
    <w:rsid w:val="00AE2A8B"/>
    <w:rsid w:val="00AE3003"/>
    <w:rsid w:val="00AE3F64"/>
    <w:rsid w:val="00AE6853"/>
    <w:rsid w:val="00AF07F2"/>
    <w:rsid w:val="00AF1AC7"/>
    <w:rsid w:val="00AF7386"/>
    <w:rsid w:val="00AF7934"/>
    <w:rsid w:val="00B00B81"/>
    <w:rsid w:val="00B04580"/>
    <w:rsid w:val="00B04B09"/>
    <w:rsid w:val="00B06044"/>
    <w:rsid w:val="00B13A4B"/>
    <w:rsid w:val="00B16A51"/>
    <w:rsid w:val="00B1709D"/>
    <w:rsid w:val="00B25440"/>
    <w:rsid w:val="00B321C7"/>
    <w:rsid w:val="00B32222"/>
    <w:rsid w:val="00B330D9"/>
    <w:rsid w:val="00B3618D"/>
    <w:rsid w:val="00B36233"/>
    <w:rsid w:val="00B413A7"/>
    <w:rsid w:val="00B42851"/>
    <w:rsid w:val="00B45AC7"/>
    <w:rsid w:val="00B5091A"/>
    <w:rsid w:val="00B5372F"/>
    <w:rsid w:val="00B56DD3"/>
    <w:rsid w:val="00B61129"/>
    <w:rsid w:val="00B61567"/>
    <w:rsid w:val="00B67E7F"/>
    <w:rsid w:val="00B72C09"/>
    <w:rsid w:val="00B75A04"/>
    <w:rsid w:val="00B8260B"/>
    <w:rsid w:val="00B839B2"/>
    <w:rsid w:val="00B9084D"/>
    <w:rsid w:val="00B934A3"/>
    <w:rsid w:val="00B94252"/>
    <w:rsid w:val="00B94828"/>
    <w:rsid w:val="00B94862"/>
    <w:rsid w:val="00B94B6C"/>
    <w:rsid w:val="00B9715A"/>
    <w:rsid w:val="00BA14BE"/>
    <w:rsid w:val="00BA2732"/>
    <w:rsid w:val="00BA293D"/>
    <w:rsid w:val="00BA49BC"/>
    <w:rsid w:val="00BA56B7"/>
    <w:rsid w:val="00BA7A1E"/>
    <w:rsid w:val="00BA7CA9"/>
    <w:rsid w:val="00BB0A08"/>
    <w:rsid w:val="00BB2F6C"/>
    <w:rsid w:val="00BB3875"/>
    <w:rsid w:val="00BB5860"/>
    <w:rsid w:val="00BB6AAD"/>
    <w:rsid w:val="00BC4A19"/>
    <w:rsid w:val="00BC4E6D"/>
    <w:rsid w:val="00BC601D"/>
    <w:rsid w:val="00BD0617"/>
    <w:rsid w:val="00BD0D96"/>
    <w:rsid w:val="00BD2E9B"/>
    <w:rsid w:val="00BD45ED"/>
    <w:rsid w:val="00BE0AFF"/>
    <w:rsid w:val="00BE4CDD"/>
    <w:rsid w:val="00BF3265"/>
    <w:rsid w:val="00BF7E04"/>
    <w:rsid w:val="00C00930"/>
    <w:rsid w:val="00C060AD"/>
    <w:rsid w:val="00C0670D"/>
    <w:rsid w:val="00C1063B"/>
    <w:rsid w:val="00C113BF"/>
    <w:rsid w:val="00C13F69"/>
    <w:rsid w:val="00C14CE0"/>
    <w:rsid w:val="00C2176E"/>
    <w:rsid w:val="00C23430"/>
    <w:rsid w:val="00C27D67"/>
    <w:rsid w:val="00C3301C"/>
    <w:rsid w:val="00C417AA"/>
    <w:rsid w:val="00C4631F"/>
    <w:rsid w:val="00C479E6"/>
    <w:rsid w:val="00C50E16"/>
    <w:rsid w:val="00C513EA"/>
    <w:rsid w:val="00C52562"/>
    <w:rsid w:val="00C542D2"/>
    <w:rsid w:val="00C55258"/>
    <w:rsid w:val="00C6111A"/>
    <w:rsid w:val="00C751AC"/>
    <w:rsid w:val="00C80BD9"/>
    <w:rsid w:val="00C82EEB"/>
    <w:rsid w:val="00C866C1"/>
    <w:rsid w:val="00C902B9"/>
    <w:rsid w:val="00C93F80"/>
    <w:rsid w:val="00C94925"/>
    <w:rsid w:val="00C95111"/>
    <w:rsid w:val="00C95FE4"/>
    <w:rsid w:val="00C96BD0"/>
    <w:rsid w:val="00C971DC"/>
    <w:rsid w:val="00CA16B7"/>
    <w:rsid w:val="00CA4BE3"/>
    <w:rsid w:val="00CA62AE"/>
    <w:rsid w:val="00CA79CF"/>
    <w:rsid w:val="00CA7DD1"/>
    <w:rsid w:val="00CB12A1"/>
    <w:rsid w:val="00CB1D25"/>
    <w:rsid w:val="00CB5B1A"/>
    <w:rsid w:val="00CC220B"/>
    <w:rsid w:val="00CC4C6F"/>
    <w:rsid w:val="00CC5C43"/>
    <w:rsid w:val="00CC6F1F"/>
    <w:rsid w:val="00CD02AE"/>
    <w:rsid w:val="00CD2A4F"/>
    <w:rsid w:val="00CD6D50"/>
    <w:rsid w:val="00CE03CA"/>
    <w:rsid w:val="00CE0B7A"/>
    <w:rsid w:val="00CE22F1"/>
    <w:rsid w:val="00CE3F2C"/>
    <w:rsid w:val="00CE50F2"/>
    <w:rsid w:val="00CE6502"/>
    <w:rsid w:val="00CF14A6"/>
    <w:rsid w:val="00CF66A3"/>
    <w:rsid w:val="00CF68A0"/>
    <w:rsid w:val="00CF7D3C"/>
    <w:rsid w:val="00D147EB"/>
    <w:rsid w:val="00D16E81"/>
    <w:rsid w:val="00D23937"/>
    <w:rsid w:val="00D34667"/>
    <w:rsid w:val="00D371AF"/>
    <w:rsid w:val="00D401E1"/>
    <w:rsid w:val="00D408B4"/>
    <w:rsid w:val="00D45D94"/>
    <w:rsid w:val="00D47964"/>
    <w:rsid w:val="00D5186F"/>
    <w:rsid w:val="00D524C8"/>
    <w:rsid w:val="00D53030"/>
    <w:rsid w:val="00D54E08"/>
    <w:rsid w:val="00D60E25"/>
    <w:rsid w:val="00D62D94"/>
    <w:rsid w:val="00D63C42"/>
    <w:rsid w:val="00D70E24"/>
    <w:rsid w:val="00D716B3"/>
    <w:rsid w:val="00D72B61"/>
    <w:rsid w:val="00D73BD9"/>
    <w:rsid w:val="00D740B8"/>
    <w:rsid w:val="00D77680"/>
    <w:rsid w:val="00D812CA"/>
    <w:rsid w:val="00D82092"/>
    <w:rsid w:val="00D83FCB"/>
    <w:rsid w:val="00D871AD"/>
    <w:rsid w:val="00DA3D1D"/>
    <w:rsid w:val="00DB0138"/>
    <w:rsid w:val="00DB1196"/>
    <w:rsid w:val="00DB6286"/>
    <w:rsid w:val="00DB645F"/>
    <w:rsid w:val="00DB6757"/>
    <w:rsid w:val="00DB76E9"/>
    <w:rsid w:val="00DC0A67"/>
    <w:rsid w:val="00DC12CA"/>
    <w:rsid w:val="00DC1D5E"/>
    <w:rsid w:val="00DC2313"/>
    <w:rsid w:val="00DC5220"/>
    <w:rsid w:val="00DC7910"/>
    <w:rsid w:val="00DD2061"/>
    <w:rsid w:val="00DD364F"/>
    <w:rsid w:val="00DD7DAB"/>
    <w:rsid w:val="00DE3355"/>
    <w:rsid w:val="00DE5D59"/>
    <w:rsid w:val="00DF486F"/>
    <w:rsid w:val="00DF5B5B"/>
    <w:rsid w:val="00DF6379"/>
    <w:rsid w:val="00DF7619"/>
    <w:rsid w:val="00E00591"/>
    <w:rsid w:val="00E027A3"/>
    <w:rsid w:val="00E042D8"/>
    <w:rsid w:val="00E04831"/>
    <w:rsid w:val="00E07EE7"/>
    <w:rsid w:val="00E1103B"/>
    <w:rsid w:val="00E14444"/>
    <w:rsid w:val="00E17B44"/>
    <w:rsid w:val="00E20B38"/>
    <w:rsid w:val="00E27FEA"/>
    <w:rsid w:val="00E3452C"/>
    <w:rsid w:val="00E35E52"/>
    <w:rsid w:val="00E4086F"/>
    <w:rsid w:val="00E40D78"/>
    <w:rsid w:val="00E41FAE"/>
    <w:rsid w:val="00E4332F"/>
    <w:rsid w:val="00E43B3C"/>
    <w:rsid w:val="00E444EA"/>
    <w:rsid w:val="00E474A3"/>
    <w:rsid w:val="00E50188"/>
    <w:rsid w:val="00E515CB"/>
    <w:rsid w:val="00E51901"/>
    <w:rsid w:val="00E51A25"/>
    <w:rsid w:val="00E51CF8"/>
    <w:rsid w:val="00E52260"/>
    <w:rsid w:val="00E55208"/>
    <w:rsid w:val="00E5723F"/>
    <w:rsid w:val="00E61D71"/>
    <w:rsid w:val="00E639B6"/>
    <w:rsid w:val="00E6434B"/>
    <w:rsid w:val="00E6463D"/>
    <w:rsid w:val="00E705EE"/>
    <w:rsid w:val="00E724DC"/>
    <w:rsid w:val="00E72E9B"/>
    <w:rsid w:val="00E7348D"/>
    <w:rsid w:val="00E80C1B"/>
    <w:rsid w:val="00E81E9A"/>
    <w:rsid w:val="00E83881"/>
    <w:rsid w:val="00E849DA"/>
    <w:rsid w:val="00E87CA4"/>
    <w:rsid w:val="00E907C9"/>
    <w:rsid w:val="00E911F2"/>
    <w:rsid w:val="00E920D4"/>
    <w:rsid w:val="00E9462E"/>
    <w:rsid w:val="00E971AD"/>
    <w:rsid w:val="00EA1539"/>
    <w:rsid w:val="00EA470E"/>
    <w:rsid w:val="00EA47A7"/>
    <w:rsid w:val="00EA4BE3"/>
    <w:rsid w:val="00EA57EB"/>
    <w:rsid w:val="00EB0EAA"/>
    <w:rsid w:val="00EB3226"/>
    <w:rsid w:val="00EB3A11"/>
    <w:rsid w:val="00EC213A"/>
    <w:rsid w:val="00EC6603"/>
    <w:rsid w:val="00EC770A"/>
    <w:rsid w:val="00EC7744"/>
    <w:rsid w:val="00ED07BC"/>
    <w:rsid w:val="00ED0DAD"/>
    <w:rsid w:val="00ED0F46"/>
    <w:rsid w:val="00ED2373"/>
    <w:rsid w:val="00ED4162"/>
    <w:rsid w:val="00ED504D"/>
    <w:rsid w:val="00EE1DF0"/>
    <w:rsid w:val="00EE30A0"/>
    <w:rsid w:val="00EE320E"/>
    <w:rsid w:val="00EE3E8A"/>
    <w:rsid w:val="00EE781A"/>
    <w:rsid w:val="00EF6ECA"/>
    <w:rsid w:val="00F012CE"/>
    <w:rsid w:val="00F024E1"/>
    <w:rsid w:val="00F02754"/>
    <w:rsid w:val="00F06C10"/>
    <w:rsid w:val="00F1096F"/>
    <w:rsid w:val="00F12589"/>
    <w:rsid w:val="00F12595"/>
    <w:rsid w:val="00F134D9"/>
    <w:rsid w:val="00F1403D"/>
    <w:rsid w:val="00F1463F"/>
    <w:rsid w:val="00F16D1D"/>
    <w:rsid w:val="00F179BB"/>
    <w:rsid w:val="00F21302"/>
    <w:rsid w:val="00F22D59"/>
    <w:rsid w:val="00F2572E"/>
    <w:rsid w:val="00F321DE"/>
    <w:rsid w:val="00F33777"/>
    <w:rsid w:val="00F404E2"/>
    <w:rsid w:val="00F40648"/>
    <w:rsid w:val="00F4125A"/>
    <w:rsid w:val="00F416BE"/>
    <w:rsid w:val="00F47DA2"/>
    <w:rsid w:val="00F519FC"/>
    <w:rsid w:val="00F53136"/>
    <w:rsid w:val="00F533DE"/>
    <w:rsid w:val="00F6239D"/>
    <w:rsid w:val="00F7047D"/>
    <w:rsid w:val="00F715D2"/>
    <w:rsid w:val="00F7274F"/>
    <w:rsid w:val="00F76FA8"/>
    <w:rsid w:val="00F939F2"/>
    <w:rsid w:val="00F93F08"/>
    <w:rsid w:val="00F94818"/>
    <w:rsid w:val="00F94CED"/>
    <w:rsid w:val="00F94EBF"/>
    <w:rsid w:val="00F971E2"/>
    <w:rsid w:val="00FA2CEE"/>
    <w:rsid w:val="00FA318C"/>
    <w:rsid w:val="00FA4E0A"/>
    <w:rsid w:val="00FA5CFA"/>
    <w:rsid w:val="00FA6E00"/>
    <w:rsid w:val="00FB67B0"/>
    <w:rsid w:val="00FB6F92"/>
    <w:rsid w:val="00FC026E"/>
    <w:rsid w:val="00FC1E49"/>
    <w:rsid w:val="00FC452D"/>
    <w:rsid w:val="00FC5124"/>
    <w:rsid w:val="00FC7962"/>
    <w:rsid w:val="00FD368D"/>
    <w:rsid w:val="00FD3BE4"/>
    <w:rsid w:val="00FD4731"/>
    <w:rsid w:val="00FE7060"/>
    <w:rsid w:val="00FF0AB0"/>
    <w:rsid w:val="00FF28AC"/>
    <w:rsid w:val="00FF2F58"/>
    <w:rsid w:val="00FF44D6"/>
    <w:rsid w:val="00FF5046"/>
    <w:rsid w:val="00FF5E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C041BF"/>
  <w15:docId w15:val="{3D62699D-297E-8144-93F3-CC081888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14444"/>
    <w:rPr>
      <w:rFonts w:ascii="Arial" w:hAnsi="Arial"/>
      <w:sz w:val="22"/>
      <w:szCs w:val="22"/>
      <w:lang w:eastAsia="en-US"/>
    </w:rPr>
  </w:style>
  <w:style w:type="paragraph" w:styleId="Heading1">
    <w:name w:val="heading 1"/>
    <w:basedOn w:val="Normal"/>
    <w:next w:val="Normal"/>
    <w:qFormat/>
    <w:rsid w:val="0048323A"/>
    <w:pPr>
      <w:keepNext/>
      <w:outlineLvl w:val="0"/>
    </w:pPr>
    <w:rPr>
      <w:rFonts w:cs="Arial"/>
      <w:bCs/>
      <w:color w:val="3F4A75"/>
      <w:kern w:val="28"/>
      <w:sz w:val="36"/>
      <w:szCs w:val="36"/>
    </w:rPr>
  </w:style>
  <w:style w:type="paragraph" w:styleId="Heading2">
    <w:name w:val="heading 2"/>
    <w:next w:val="Normal"/>
    <w:qFormat/>
    <w:rsid w:val="0048323A"/>
    <w:pPr>
      <w:keepNext/>
      <w:outlineLvl w:val="1"/>
    </w:pPr>
    <w:rPr>
      <w:rFonts w:ascii="Arial" w:hAnsi="Arial" w:cs="Arial"/>
      <w:bCs/>
      <w:iCs/>
      <w:color w:val="358189"/>
      <w:sz w:val="32"/>
      <w:szCs w:val="28"/>
      <w:lang w:eastAsia="en-US"/>
    </w:rPr>
  </w:style>
  <w:style w:type="paragraph" w:styleId="Heading3">
    <w:name w:val="heading 3"/>
    <w:next w:val="Normal"/>
    <w:qFormat/>
    <w:rsid w:val="0048323A"/>
    <w:pPr>
      <w:keepNext/>
      <w:outlineLvl w:val="2"/>
    </w:pPr>
    <w:rPr>
      <w:rFonts w:ascii="Arial" w:hAnsi="Arial" w:cs="Arial"/>
      <w:bCs/>
      <w:color w:val="7E8AB9" w:themeColor="text2" w:themeTint="99"/>
      <w:sz w:val="28"/>
      <w:szCs w:val="26"/>
      <w:lang w:eastAsia="en-US"/>
    </w:rPr>
  </w:style>
  <w:style w:type="paragraph" w:styleId="Heading4">
    <w:name w:val="heading 4"/>
    <w:basedOn w:val="Heading3"/>
    <w:next w:val="Normal"/>
    <w:qFormat/>
    <w:rsid w:val="0048323A"/>
    <w:pPr>
      <w:outlineLvl w:val="3"/>
    </w:pPr>
    <w:rPr>
      <w:color w:val="28A0AA"/>
      <w:sz w:val="24"/>
      <w:szCs w:val="24"/>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rPr>
  </w:style>
  <w:style w:type="paragraph" w:styleId="Heading7">
    <w:name w:val="heading 7"/>
    <w:basedOn w:val="Normal"/>
    <w:next w:val="Normal"/>
    <w:link w:val="Heading7Char"/>
    <w:semiHidden/>
    <w:unhideWhenUsed/>
    <w:rsid w:val="00455A40"/>
    <w:pPr>
      <w:keepNext/>
      <w:keepLines/>
      <w:spacing w:before="40"/>
      <w:outlineLvl w:val="6"/>
    </w:pPr>
    <w:rPr>
      <w:rFonts w:eastAsiaTheme="majorEastAsia" w:cstheme="majorBidi"/>
      <w:i/>
      <w:iCs/>
      <w:color w:val="1F243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455A40"/>
    <w:rPr>
      <w:rFonts w:ascii="Arial" w:eastAsiaTheme="majorEastAsia" w:hAnsi="Arial" w:cstheme="majorBidi"/>
      <w:i/>
      <w:iCs/>
      <w:color w:val="1F243A" w:themeColor="accent1" w:themeShade="7F"/>
      <w:sz w:val="22"/>
      <w:szCs w:val="24"/>
      <w:lang w:eastAsia="en-US"/>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Normal"/>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character" w:styleId="IntenseEmphasis">
    <w:name w:val="Intense Emphasis"/>
    <w:basedOn w:val="DefaultParagraphFont"/>
    <w:uiPriority w:val="21"/>
    <w:rsid w:val="00455A40"/>
    <w:rPr>
      <w:rFonts w:ascii="Arial" w:hAnsi="Arial"/>
      <w:i/>
      <w:iCs/>
      <w:color w:val="3F4A75" w:themeColor="accent1"/>
    </w:rPr>
  </w:style>
  <w:style w:type="character" w:styleId="SubtleEmphasis">
    <w:name w:val="Subtle Emphasis"/>
    <w:basedOn w:val="DefaultParagraphFont"/>
    <w:uiPriority w:val="19"/>
    <w:rsid w:val="00455A40"/>
    <w:rPr>
      <w:rFonts w:ascii="Arial" w:hAnsi="Arial"/>
      <w:i/>
      <w:iCs/>
      <w:color w:val="808080" w:themeColor="text1" w:themeTint="7F"/>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character" w:styleId="SubtleReference">
    <w:name w:val="Subtle Reference"/>
    <w:basedOn w:val="DefaultParagraphFont"/>
    <w:uiPriority w:val="31"/>
    <w:rsid w:val="00455A40"/>
    <w:rPr>
      <w:rFonts w:ascii="Arial" w:hAnsi="Arial"/>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mpcNormal"/>
    <w:rsid w:val="0048323A"/>
    <w:pPr>
      <w:numPr>
        <w:numId w:val="12"/>
      </w:numPr>
      <w:ind w:hanging="294"/>
    </w:pPr>
  </w:style>
  <w:style w:type="paragraph" w:styleId="ListBullet">
    <w:name w:val="List Bullet"/>
    <w:basedOn w:val="mpcNormal"/>
    <w:qFormat/>
    <w:rsid w:val="00C866C1"/>
    <w:pPr>
      <w:numPr>
        <w:numId w:val="11"/>
      </w:numPr>
    </w:pPr>
    <w:rPr>
      <w:lang w:eastAsia="en-AU"/>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6B56BB"/>
    <w:pPr>
      <w:tabs>
        <w:tab w:val="center" w:pos="4513"/>
        <w:tab w:val="right" w:pos="9026"/>
      </w:tabs>
    </w:pPr>
  </w:style>
  <w:style w:type="character" w:customStyle="1" w:styleId="HeaderChar">
    <w:name w:val="Header Char"/>
    <w:basedOn w:val="DefaultParagraphFont"/>
    <w:link w:val="Header"/>
    <w:uiPriority w:val="99"/>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Normal"/>
    <w:qFormat/>
    <w:rsid w:val="00DA3D1D"/>
    <w:pPr>
      <w:spacing w:before="120" w:after="120"/>
    </w:pPr>
    <w:rPr>
      <w:rFonts w:cs="Arial"/>
      <w:b/>
      <w:bCs/>
      <w:iCs/>
      <w:color w:val="000000" w:themeColor="text1"/>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455A40"/>
    <w:rPr>
      <w:rFonts w:ascii="Arial" w:hAnsi="Arial"/>
      <w:color w:val="0000FF" w:themeColor="hyperlink"/>
      <w:sz w:val="22"/>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1"/>
      </w:numPr>
    </w:pPr>
    <w:rPr>
      <w:szCs w:val="20"/>
    </w:rPr>
  </w:style>
  <w:style w:type="paragraph" w:customStyle="1" w:styleId="Tablelistnumber">
    <w:name w:val="Table list number"/>
    <w:basedOn w:val="Tabletextleft"/>
    <w:qFormat/>
    <w:rsid w:val="00DD2061"/>
    <w:pPr>
      <w:numPr>
        <w:numId w:val="2"/>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lang w:val="en-US"/>
    </w:rPr>
  </w:style>
  <w:style w:type="paragraph" w:customStyle="1" w:styleId="SectionHeading">
    <w:name w:val="Section Heading"/>
    <w:basedOn w:val="Heading1"/>
    <w:next w:val="Normal"/>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iPriority w:val="35"/>
    <w:unhideWhenUsed/>
    <w:qFormat/>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455A40"/>
    <w:pPr>
      <w:spacing w:before="480" w:after="6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455A40"/>
    <w:pPr>
      <w:spacing w:before="3120" w:after="60"/>
      <w:jc w:val="center"/>
    </w:pPr>
    <w:rPr>
      <w:b/>
      <w:bCs/>
      <w:color w:val="000000" w:themeColor="text1"/>
      <w:sz w:val="24"/>
      <w:szCs w:val="20"/>
    </w:rPr>
  </w:style>
  <w:style w:type="paragraph" w:styleId="BodyText">
    <w:name w:val="Body Text"/>
    <w:basedOn w:val="Normal"/>
    <w:link w:val="BodyTextChar"/>
    <w:semiHidden/>
    <w:unhideWhenUsed/>
    <w:rsid w:val="00B94828"/>
    <w:pPr>
      <w:spacing w:after="120"/>
    </w:pPr>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styleId="FootnoteReference">
    <w:name w:val="footnote reference"/>
    <w:basedOn w:val="DefaultParagraphFont"/>
    <w:uiPriority w:val="99"/>
    <w:unhideWhenUsed/>
    <w:rsid w:val="00ED4162"/>
    <w:rPr>
      <w:vertAlign w:val="superscript"/>
    </w:rPr>
  </w:style>
  <w:style w:type="paragraph" w:styleId="TOCHeading">
    <w:name w:val="TOC Heading"/>
    <w:basedOn w:val="Heading1"/>
    <w:next w:val="Normal"/>
    <w:uiPriority w:val="39"/>
    <w:unhideWhenUsed/>
    <w:qFormat/>
    <w:rsid w:val="00ED4162"/>
    <w:pPr>
      <w:keepLines/>
      <w:spacing w:before="480" w:line="276" w:lineRule="auto"/>
      <w:outlineLvl w:val="9"/>
    </w:pPr>
    <w:rPr>
      <w:rFonts w:asciiTheme="majorHAnsi" w:eastAsiaTheme="majorEastAsia" w:hAnsiTheme="majorHAnsi" w:cstheme="majorBidi"/>
      <w:b/>
      <w:color w:val="2F3757" w:themeColor="accent1" w:themeShade="BF"/>
      <w:kern w:val="0"/>
      <w:sz w:val="28"/>
      <w:szCs w:val="28"/>
      <w:lang w:val="en-US"/>
    </w:rPr>
  </w:style>
  <w:style w:type="paragraph" w:styleId="TOC1">
    <w:name w:val="toc 1"/>
    <w:basedOn w:val="Normal"/>
    <w:next w:val="Normal"/>
    <w:autoRedefine/>
    <w:uiPriority w:val="39"/>
    <w:unhideWhenUsed/>
    <w:rsid w:val="00AD6A09"/>
    <w:pPr>
      <w:tabs>
        <w:tab w:val="right" w:leader="dot" w:pos="9060"/>
      </w:tabs>
      <w:spacing w:before="120"/>
    </w:pPr>
    <w:rPr>
      <w:rFonts w:cs="Arial"/>
      <w:b/>
      <w:bCs/>
      <w:noProof/>
      <w:sz w:val="24"/>
      <w:szCs w:val="24"/>
    </w:rPr>
  </w:style>
  <w:style w:type="paragraph" w:styleId="TOC2">
    <w:name w:val="toc 2"/>
    <w:basedOn w:val="Normal"/>
    <w:next w:val="Normal"/>
    <w:autoRedefine/>
    <w:uiPriority w:val="39"/>
    <w:unhideWhenUsed/>
    <w:rsid w:val="004A2D34"/>
    <w:pPr>
      <w:tabs>
        <w:tab w:val="right" w:leader="dot" w:pos="9060"/>
      </w:tabs>
      <w:spacing w:before="120"/>
      <w:ind w:left="220"/>
    </w:pPr>
    <w:rPr>
      <w:rFonts w:cs="Arial"/>
      <w:bCs/>
      <w:noProof/>
    </w:rPr>
  </w:style>
  <w:style w:type="paragraph" w:styleId="TOC3">
    <w:name w:val="toc 3"/>
    <w:basedOn w:val="Normal"/>
    <w:next w:val="Normal"/>
    <w:autoRedefine/>
    <w:uiPriority w:val="39"/>
    <w:unhideWhenUsed/>
    <w:rsid w:val="00ED4162"/>
    <w:pPr>
      <w:ind w:left="440"/>
    </w:pPr>
    <w:rPr>
      <w:rFonts w:asciiTheme="minorHAnsi" w:hAnsiTheme="minorHAnsi" w:cstheme="minorHAnsi"/>
      <w:sz w:val="20"/>
      <w:szCs w:val="20"/>
    </w:rPr>
  </w:style>
  <w:style w:type="paragraph" w:styleId="TOC4">
    <w:name w:val="toc 4"/>
    <w:basedOn w:val="Normal"/>
    <w:next w:val="Normal"/>
    <w:autoRedefine/>
    <w:semiHidden/>
    <w:unhideWhenUsed/>
    <w:rsid w:val="00ED4162"/>
    <w:pPr>
      <w:ind w:left="660"/>
    </w:pPr>
    <w:rPr>
      <w:rFonts w:asciiTheme="minorHAnsi" w:hAnsiTheme="minorHAnsi" w:cstheme="minorHAnsi"/>
      <w:sz w:val="20"/>
      <w:szCs w:val="20"/>
    </w:rPr>
  </w:style>
  <w:style w:type="paragraph" w:styleId="TOC5">
    <w:name w:val="toc 5"/>
    <w:basedOn w:val="Normal"/>
    <w:next w:val="Normal"/>
    <w:autoRedefine/>
    <w:semiHidden/>
    <w:unhideWhenUsed/>
    <w:rsid w:val="00ED4162"/>
    <w:pPr>
      <w:ind w:left="880"/>
    </w:pPr>
    <w:rPr>
      <w:rFonts w:asciiTheme="minorHAnsi" w:hAnsiTheme="minorHAnsi" w:cstheme="minorHAnsi"/>
      <w:sz w:val="20"/>
      <w:szCs w:val="20"/>
    </w:rPr>
  </w:style>
  <w:style w:type="paragraph" w:styleId="TOC6">
    <w:name w:val="toc 6"/>
    <w:basedOn w:val="Normal"/>
    <w:next w:val="Normal"/>
    <w:autoRedefine/>
    <w:semiHidden/>
    <w:unhideWhenUsed/>
    <w:rsid w:val="00ED4162"/>
    <w:pPr>
      <w:ind w:left="1100"/>
    </w:pPr>
    <w:rPr>
      <w:rFonts w:asciiTheme="minorHAnsi" w:hAnsiTheme="minorHAnsi" w:cstheme="minorHAnsi"/>
      <w:sz w:val="20"/>
      <w:szCs w:val="20"/>
    </w:rPr>
  </w:style>
  <w:style w:type="paragraph" w:styleId="TOC7">
    <w:name w:val="toc 7"/>
    <w:basedOn w:val="Normal"/>
    <w:next w:val="Normal"/>
    <w:autoRedefine/>
    <w:semiHidden/>
    <w:unhideWhenUsed/>
    <w:rsid w:val="00ED4162"/>
    <w:pPr>
      <w:ind w:left="1320"/>
    </w:pPr>
    <w:rPr>
      <w:rFonts w:asciiTheme="minorHAnsi" w:hAnsiTheme="minorHAnsi" w:cstheme="minorHAnsi"/>
      <w:sz w:val="20"/>
      <w:szCs w:val="20"/>
    </w:rPr>
  </w:style>
  <w:style w:type="paragraph" w:styleId="TOC8">
    <w:name w:val="toc 8"/>
    <w:basedOn w:val="Normal"/>
    <w:next w:val="Normal"/>
    <w:autoRedefine/>
    <w:semiHidden/>
    <w:unhideWhenUsed/>
    <w:rsid w:val="00ED4162"/>
    <w:pPr>
      <w:ind w:left="1540"/>
    </w:pPr>
    <w:rPr>
      <w:rFonts w:asciiTheme="minorHAnsi" w:hAnsiTheme="minorHAnsi" w:cstheme="minorHAnsi"/>
      <w:sz w:val="20"/>
      <w:szCs w:val="20"/>
    </w:rPr>
  </w:style>
  <w:style w:type="paragraph" w:styleId="TOC9">
    <w:name w:val="toc 9"/>
    <w:basedOn w:val="Normal"/>
    <w:next w:val="Normal"/>
    <w:autoRedefine/>
    <w:semiHidden/>
    <w:unhideWhenUsed/>
    <w:rsid w:val="00ED4162"/>
    <w:pPr>
      <w:ind w:left="1760"/>
    </w:pPr>
    <w:rPr>
      <w:rFonts w:asciiTheme="minorHAnsi" w:hAnsiTheme="minorHAnsi" w:cstheme="minorHAnsi"/>
      <w:sz w:val="20"/>
      <w:szCs w:val="20"/>
    </w:rPr>
  </w:style>
  <w:style w:type="paragraph" w:customStyle="1" w:styleId="mpcNormal">
    <w:name w:val="mpc Normal"/>
    <w:basedOn w:val="Normal"/>
    <w:qFormat/>
    <w:rsid w:val="00E14444"/>
  </w:style>
  <w:style w:type="table" w:customStyle="1" w:styleId="PlainTable41">
    <w:name w:val="Plain Table 41"/>
    <w:basedOn w:val="TableNormal"/>
    <w:rsid w:val="00E00591"/>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195EC4"/>
    <w:rPr>
      <w:color w:val="605E5C"/>
      <w:shd w:val="clear" w:color="auto" w:fill="E1DFDD"/>
    </w:rPr>
  </w:style>
  <w:style w:type="paragraph" w:styleId="ListParagraph">
    <w:name w:val="List Paragraph"/>
    <w:basedOn w:val="Normal"/>
    <w:uiPriority w:val="34"/>
    <w:qFormat/>
    <w:rsid w:val="00822786"/>
    <w:pPr>
      <w:spacing w:before="120" w:after="180" w:line="276" w:lineRule="auto"/>
      <w:ind w:left="720"/>
      <w:contextualSpacing/>
    </w:pPr>
    <w:rPr>
      <w:sz w:val="21"/>
    </w:rPr>
  </w:style>
  <w:style w:type="paragraph" w:customStyle="1" w:styleId="mpcheading2">
    <w:name w:val="mpc heading 2"/>
    <w:basedOn w:val="Normal"/>
    <w:qFormat/>
    <w:rsid w:val="00983EF7"/>
    <w:pPr>
      <w:pBdr>
        <w:top w:val="single" w:sz="4" w:space="1" w:color="auto"/>
        <w:left w:val="single" w:sz="4" w:space="4" w:color="auto"/>
        <w:bottom w:val="single" w:sz="4" w:space="1" w:color="auto"/>
        <w:right w:val="single" w:sz="4" w:space="4" w:color="auto"/>
      </w:pBdr>
    </w:pPr>
    <w:rPr>
      <w:rFonts w:asciiTheme="minorHAnsi" w:eastAsiaTheme="minorHAnsi" w:hAnsiTheme="minorHAnsi" w:cstheme="minorBidi"/>
      <w:b/>
      <w:sz w:val="24"/>
      <w:lang w:val="en-US"/>
    </w:rPr>
  </w:style>
  <w:style w:type="character" w:customStyle="1" w:styleId="apple-converted-space">
    <w:name w:val="apple-converted-space"/>
    <w:basedOn w:val="DefaultParagraphFont"/>
    <w:rsid w:val="006F78CE"/>
  </w:style>
  <w:style w:type="paragraph" w:customStyle="1" w:styleId="Bodytextkeepwithnext">
    <w:name w:val="Bodytextkeepwithnext"/>
    <w:basedOn w:val="BodyText"/>
    <w:qFormat/>
    <w:rsid w:val="00AB6839"/>
    <w:pPr>
      <w:keepLines/>
      <w:spacing w:before="120"/>
      <w:jc w:val="both"/>
    </w:pPr>
    <w:rPr>
      <w:rFonts w:ascii="Univers 45 Light" w:eastAsiaTheme="minorHAnsi" w:hAnsi="Univers 45 Light" w:cstheme="minorBidi"/>
      <w:sz w:val="21"/>
      <w:szCs w:val="21"/>
      <w:lang w:val="en-US"/>
    </w:rPr>
  </w:style>
  <w:style w:type="character" w:styleId="CommentReference">
    <w:name w:val="annotation reference"/>
    <w:basedOn w:val="DefaultParagraphFont"/>
    <w:semiHidden/>
    <w:unhideWhenUsed/>
    <w:rsid w:val="00C542D2"/>
    <w:rPr>
      <w:sz w:val="16"/>
      <w:szCs w:val="16"/>
    </w:rPr>
  </w:style>
  <w:style w:type="paragraph" w:styleId="CommentText">
    <w:name w:val="annotation text"/>
    <w:basedOn w:val="Normal"/>
    <w:link w:val="CommentTextChar"/>
    <w:unhideWhenUsed/>
    <w:rsid w:val="00C542D2"/>
    <w:rPr>
      <w:sz w:val="20"/>
      <w:szCs w:val="20"/>
    </w:rPr>
  </w:style>
  <w:style w:type="character" w:customStyle="1" w:styleId="CommentTextChar">
    <w:name w:val="Comment Text Char"/>
    <w:basedOn w:val="DefaultParagraphFont"/>
    <w:link w:val="CommentText"/>
    <w:rsid w:val="00C542D2"/>
    <w:rPr>
      <w:rFonts w:ascii="Arial" w:hAnsi="Arial"/>
      <w:lang w:eastAsia="en-US"/>
    </w:rPr>
  </w:style>
  <w:style w:type="paragraph" w:styleId="CommentSubject">
    <w:name w:val="annotation subject"/>
    <w:basedOn w:val="CommentText"/>
    <w:next w:val="CommentText"/>
    <w:link w:val="CommentSubjectChar"/>
    <w:semiHidden/>
    <w:unhideWhenUsed/>
    <w:rsid w:val="00C542D2"/>
    <w:rPr>
      <w:b/>
      <w:bCs/>
    </w:rPr>
  </w:style>
  <w:style w:type="character" w:customStyle="1" w:styleId="CommentSubjectChar">
    <w:name w:val="Comment Subject Char"/>
    <w:basedOn w:val="CommentTextChar"/>
    <w:link w:val="CommentSubject"/>
    <w:semiHidden/>
    <w:rsid w:val="00C542D2"/>
    <w:rPr>
      <w:rFonts w:ascii="Arial" w:hAnsi="Arial"/>
      <w:b/>
      <w:bCs/>
      <w:lang w:eastAsia="en-US"/>
    </w:rPr>
  </w:style>
  <w:style w:type="paragraph" w:styleId="NormalWeb">
    <w:name w:val="Normal (Web)"/>
    <w:basedOn w:val="Normal"/>
    <w:uiPriority w:val="99"/>
    <w:unhideWhenUsed/>
    <w:rsid w:val="00C1063B"/>
    <w:pPr>
      <w:spacing w:before="100" w:beforeAutospacing="1" w:after="100" w:afterAutospacing="1"/>
    </w:pPr>
    <w:rPr>
      <w:rFonts w:ascii="Times New Roman" w:hAnsi="Times New Roman"/>
      <w:sz w:val="24"/>
      <w:lang w:eastAsia="en-GB"/>
    </w:rPr>
  </w:style>
  <w:style w:type="paragraph" w:customStyle="1" w:styleId="mpcbullets1strong">
    <w:name w:val="mpc bullets 1 strong"/>
    <w:basedOn w:val="Normal"/>
    <w:qFormat/>
    <w:rsid w:val="0096322F"/>
    <w:rPr>
      <w:rFonts w:asciiTheme="minorHAnsi" w:eastAsiaTheme="minorHAnsi" w:hAnsiTheme="minorHAnsi" w:cstheme="minorBidi"/>
      <w:b/>
      <w:bCs/>
      <w:sz w:val="24"/>
      <w:lang w:val="en-US"/>
    </w:rPr>
  </w:style>
  <w:style w:type="paragraph" w:customStyle="1" w:styleId="mpcheading3">
    <w:name w:val="mpc heading 3"/>
    <w:basedOn w:val="Normal"/>
    <w:qFormat/>
    <w:rsid w:val="00B13A4B"/>
    <w:rPr>
      <w:rFonts w:asciiTheme="minorHAnsi" w:eastAsiaTheme="minorHAnsi" w:hAnsiTheme="minorHAnsi" w:cstheme="minorBidi"/>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6712">
      <w:bodyDiv w:val="1"/>
      <w:marLeft w:val="0"/>
      <w:marRight w:val="0"/>
      <w:marTop w:val="0"/>
      <w:marBottom w:val="0"/>
      <w:divBdr>
        <w:top w:val="none" w:sz="0" w:space="0" w:color="auto"/>
        <w:left w:val="none" w:sz="0" w:space="0" w:color="auto"/>
        <w:bottom w:val="none" w:sz="0" w:space="0" w:color="auto"/>
        <w:right w:val="none" w:sz="0" w:space="0" w:color="auto"/>
      </w:divBdr>
    </w:div>
    <w:div w:id="86122171">
      <w:bodyDiv w:val="1"/>
      <w:marLeft w:val="0"/>
      <w:marRight w:val="0"/>
      <w:marTop w:val="0"/>
      <w:marBottom w:val="0"/>
      <w:divBdr>
        <w:top w:val="none" w:sz="0" w:space="0" w:color="auto"/>
        <w:left w:val="none" w:sz="0" w:space="0" w:color="auto"/>
        <w:bottom w:val="none" w:sz="0" w:space="0" w:color="auto"/>
        <w:right w:val="none" w:sz="0" w:space="0" w:color="auto"/>
      </w:divBdr>
      <w:divsChild>
        <w:div w:id="2069566212">
          <w:marLeft w:val="0"/>
          <w:marRight w:val="0"/>
          <w:marTop w:val="0"/>
          <w:marBottom w:val="0"/>
          <w:divBdr>
            <w:top w:val="none" w:sz="0" w:space="0" w:color="auto"/>
            <w:left w:val="none" w:sz="0" w:space="0" w:color="auto"/>
            <w:bottom w:val="none" w:sz="0" w:space="0" w:color="auto"/>
            <w:right w:val="none" w:sz="0" w:space="0" w:color="auto"/>
          </w:divBdr>
          <w:divsChild>
            <w:div w:id="493030617">
              <w:marLeft w:val="0"/>
              <w:marRight w:val="0"/>
              <w:marTop w:val="0"/>
              <w:marBottom w:val="0"/>
              <w:divBdr>
                <w:top w:val="none" w:sz="0" w:space="0" w:color="auto"/>
                <w:left w:val="none" w:sz="0" w:space="0" w:color="auto"/>
                <w:bottom w:val="none" w:sz="0" w:space="0" w:color="auto"/>
                <w:right w:val="none" w:sz="0" w:space="0" w:color="auto"/>
              </w:divBdr>
              <w:divsChild>
                <w:div w:id="20111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6669">
      <w:bodyDiv w:val="1"/>
      <w:marLeft w:val="0"/>
      <w:marRight w:val="0"/>
      <w:marTop w:val="0"/>
      <w:marBottom w:val="0"/>
      <w:divBdr>
        <w:top w:val="none" w:sz="0" w:space="0" w:color="auto"/>
        <w:left w:val="none" w:sz="0" w:space="0" w:color="auto"/>
        <w:bottom w:val="none" w:sz="0" w:space="0" w:color="auto"/>
        <w:right w:val="none" w:sz="0" w:space="0" w:color="auto"/>
      </w:divBdr>
      <w:divsChild>
        <w:div w:id="1028481241">
          <w:marLeft w:val="0"/>
          <w:marRight w:val="0"/>
          <w:marTop w:val="0"/>
          <w:marBottom w:val="0"/>
          <w:divBdr>
            <w:top w:val="none" w:sz="0" w:space="0" w:color="auto"/>
            <w:left w:val="none" w:sz="0" w:space="0" w:color="auto"/>
            <w:bottom w:val="none" w:sz="0" w:space="0" w:color="auto"/>
            <w:right w:val="none" w:sz="0" w:space="0" w:color="auto"/>
          </w:divBdr>
          <w:divsChild>
            <w:div w:id="1431508988">
              <w:marLeft w:val="0"/>
              <w:marRight w:val="0"/>
              <w:marTop w:val="0"/>
              <w:marBottom w:val="0"/>
              <w:divBdr>
                <w:top w:val="none" w:sz="0" w:space="0" w:color="auto"/>
                <w:left w:val="none" w:sz="0" w:space="0" w:color="auto"/>
                <w:bottom w:val="none" w:sz="0" w:space="0" w:color="auto"/>
                <w:right w:val="none" w:sz="0" w:space="0" w:color="auto"/>
              </w:divBdr>
              <w:divsChild>
                <w:div w:id="16536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6639">
      <w:bodyDiv w:val="1"/>
      <w:marLeft w:val="0"/>
      <w:marRight w:val="0"/>
      <w:marTop w:val="0"/>
      <w:marBottom w:val="0"/>
      <w:divBdr>
        <w:top w:val="none" w:sz="0" w:space="0" w:color="auto"/>
        <w:left w:val="none" w:sz="0" w:space="0" w:color="auto"/>
        <w:bottom w:val="none" w:sz="0" w:space="0" w:color="auto"/>
        <w:right w:val="none" w:sz="0" w:space="0" w:color="auto"/>
      </w:divBdr>
      <w:divsChild>
        <w:div w:id="1555502482">
          <w:marLeft w:val="0"/>
          <w:marRight w:val="0"/>
          <w:marTop w:val="0"/>
          <w:marBottom w:val="0"/>
          <w:divBdr>
            <w:top w:val="none" w:sz="0" w:space="0" w:color="auto"/>
            <w:left w:val="none" w:sz="0" w:space="0" w:color="auto"/>
            <w:bottom w:val="none" w:sz="0" w:space="0" w:color="auto"/>
            <w:right w:val="none" w:sz="0" w:space="0" w:color="auto"/>
          </w:divBdr>
        </w:div>
      </w:divsChild>
    </w:div>
    <w:div w:id="32343220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951567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11329495">
      <w:bodyDiv w:val="1"/>
      <w:marLeft w:val="0"/>
      <w:marRight w:val="0"/>
      <w:marTop w:val="0"/>
      <w:marBottom w:val="0"/>
      <w:divBdr>
        <w:top w:val="none" w:sz="0" w:space="0" w:color="auto"/>
        <w:left w:val="none" w:sz="0" w:space="0" w:color="auto"/>
        <w:bottom w:val="none" w:sz="0" w:space="0" w:color="auto"/>
        <w:right w:val="none" w:sz="0" w:space="0" w:color="auto"/>
      </w:divBdr>
    </w:div>
    <w:div w:id="621613332">
      <w:bodyDiv w:val="1"/>
      <w:marLeft w:val="0"/>
      <w:marRight w:val="0"/>
      <w:marTop w:val="0"/>
      <w:marBottom w:val="0"/>
      <w:divBdr>
        <w:top w:val="none" w:sz="0" w:space="0" w:color="auto"/>
        <w:left w:val="none" w:sz="0" w:space="0" w:color="auto"/>
        <w:bottom w:val="none" w:sz="0" w:space="0" w:color="auto"/>
        <w:right w:val="none" w:sz="0" w:space="0" w:color="auto"/>
      </w:divBdr>
      <w:divsChild>
        <w:div w:id="1554384647">
          <w:marLeft w:val="547"/>
          <w:marRight w:val="0"/>
          <w:marTop w:val="0"/>
          <w:marBottom w:val="240"/>
          <w:divBdr>
            <w:top w:val="none" w:sz="0" w:space="0" w:color="auto"/>
            <w:left w:val="none" w:sz="0" w:space="0" w:color="auto"/>
            <w:bottom w:val="none" w:sz="0" w:space="0" w:color="auto"/>
            <w:right w:val="none" w:sz="0" w:space="0" w:color="auto"/>
          </w:divBdr>
        </w:div>
      </w:divsChild>
    </w:div>
    <w:div w:id="666634715">
      <w:bodyDiv w:val="1"/>
      <w:marLeft w:val="0"/>
      <w:marRight w:val="0"/>
      <w:marTop w:val="0"/>
      <w:marBottom w:val="0"/>
      <w:divBdr>
        <w:top w:val="none" w:sz="0" w:space="0" w:color="auto"/>
        <w:left w:val="none" w:sz="0" w:space="0" w:color="auto"/>
        <w:bottom w:val="none" w:sz="0" w:space="0" w:color="auto"/>
        <w:right w:val="none" w:sz="0" w:space="0" w:color="auto"/>
      </w:divBdr>
      <w:divsChild>
        <w:div w:id="2093351370">
          <w:marLeft w:val="0"/>
          <w:marRight w:val="0"/>
          <w:marTop w:val="0"/>
          <w:marBottom w:val="0"/>
          <w:divBdr>
            <w:top w:val="none" w:sz="0" w:space="0" w:color="auto"/>
            <w:left w:val="none" w:sz="0" w:space="0" w:color="auto"/>
            <w:bottom w:val="none" w:sz="0" w:space="0" w:color="auto"/>
            <w:right w:val="none" w:sz="0" w:space="0" w:color="auto"/>
          </w:divBdr>
          <w:divsChild>
            <w:div w:id="584539266">
              <w:marLeft w:val="0"/>
              <w:marRight w:val="0"/>
              <w:marTop w:val="0"/>
              <w:marBottom w:val="0"/>
              <w:divBdr>
                <w:top w:val="none" w:sz="0" w:space="0" w:color="auto"/>
                <w:left w:val="none" w:sz="0" w:space="0" w:color="auto"/>
                <w:bottom w:val="none" w:sz="0" w:space="0" w:color="auto"/>
                <w:right w:val="none" w:sz="0" w:space="0" w:color="auto"/>
              </w:divBdr>
              <w:divsChild>
                <w:div w:id="9155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7597628">
      <w:bodyDiv w:val="1"/>
      <w:marLeft w:val="0"/>
      <w:marRight w:val="0"/>
      <w:marTop w:val="0"/>
      <w:marBottom w:val="0"/>
      <w:divBdr>
        <w:top w:val="none" w:sz="0" w:space="0" w:color="auto"/>
        <w:left w:val="none" w:sz="0" w:space="0" w:color="auto"/>
        <w:bottom w:val="none" w:sz="0" w:space="0" w:color="auto"/>
        <w:right w:val="none" w:sz="0" w:space="0" w:color="auto"/>
      </w:divBdr>
      <w:divsChild>
        <w:div w:id="310865051">
          <w:marLeft w:val="0"/>
          <w:marRight w:val="0"/>
          <w:marTop w:val="0"/>
          <w:marBottom w:val="0"/>
          <w:divBdr>
            <w:top w:val="none" w:sz="0" w:space="0" w:color="auto"/>
            <w:left w:val="none" w:sz="0" w:space="0" w:color="auto"/>
            <w:bottom w:val="none" w:sz="0" w:space="0" w:color="auto"/>
            <w:right w:val="none" w:sz="0" w:space="0" w:color="auto"/>
          </w:divBdr>
          <w:divsChild>
            <w:div w:id="1691642771">
              <w:marLeft w:val="0"/>
              <w:marRight w:val="0"/>
              <w:marTop w:val="0"/>
              <w:marBottom w:val="0"/>
              <w:divBdr>
                <w:top w:val="none" w:sz="0" w:space="0" w:color="auto"/>
                <w:left w:val="none" w:sz="0" w:space="0" w:color="auto"/>
                <w:bottom w:val="none" w:sz="0" w:space="0" w:color="auto"/>
                <w:right w:val="none" w:sz="0" w:space="0" w:color="auto"/>
              </w:divBdr>
              <w:divsChild>
                <w:div w:id="17061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6102">
      <w:bodyDiv w:val="1"/>
      <w:marLeft w:val="0"/>
      <w:marRight w:val="0"/>
      <w:marTop w:val="0"/>
      <w:marBottom w:val="0"/>
      <w:divBdr>
        <w:top w:val="none" w:sz="0" w:space="0" w:color="auto"/>
        <w:left w:val="none" w:sz="0" w:space="0" w:color="auto"/>
        <w:bottom w:val="none" w:sz="0" w:space="0" w:color="auto"/>
        <w:right w:val="none" w:sz="0" w:space="0" w:color="auto"/>
      </w:divBdr>
      <w:divsChild>
        <w:div w:id="2082218902">
          <w:marLeft w:val="0"/>
          <w:marRight w:val="0"/>
          <w:marTop w:val="0"/>
          <w:marBottom w:val="0"/>
          <w:divBdr>
            <w:top w:val="none" w:sz="0" w:space="0" w:color="auto"/>
            <w:left w:val="none" w:sz="0" w:space="0" w:color="auto"/>
            <w:bottom w:val="none" w:sz="0" w:space="0" w:color="auto"/>
            <w:right w:val="none" w:sz="0" w:space="0" w:color="auto"/>
          </w:divBdr>
          <w:divsChild>
            <w:div w:id="392851417">
              <w:marLeft w:val="0"/>
              <w:marRight w:val="0"/>
              <w:marTop w:val="0"/>
              <w:marBottom w:val="0"/>
              <w:divBdr>
                <w:top w:val="none" w:sz="0" w:space="0" w:color="auto"/>
                <w:left w:val="none" w:sz="0" w:space="0" w:color="auto"/>
                <w:bottom w:val="none" w:sz="0" w:space="0" w:color="auto"/>
                <w:right w:val="none" w:sz="0" w:space="0" w:color="auto"/>
              </w:divBdr>
              <w:divsChild>
                <w:div w:id="11836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67633185">
      <w:bodyDiv w:val="1"/>
      <w:marLeft w:val="0"/>
      <w:marRight w:val="0"/>
      <w:marTop w:val="0"/>
      <w:marBottom w:val="0"/>
      <w:divBdr>
        <w:top w:val="none" w:sz="0" w:space="0" w:color="auto"/>
        <w:left w:val="none" w:sz="0" w:space="0" w:color="auto"/>
        <w:bottom w:val="none" w:sz="0" w:space="0" w:color="auto"/>
        <w:right w:val="none" w:sz="0" w:space="0" w:color="auto"/>
      </w:divBdr>
    </w:div>
    <w:div w:id="1386874441">
      <w:bodyDiv w:val="1"/>
      <w:marLeft w:val="0"/>
      <w:marRight w:val="0"/>
      <w:marTop w:val="0"/>
      <w:marBottom w:val="0"/>
      <w:divBdr>
        <w:top w:val="none" w:sz="0" w:space="0" w:color="auto"/>
        <w:left w:val="none" w:sz="0" w:space="0" w:color="auto"/>
        <w:bottom w:val="none" w:sz="0" w:space="0" w:color="auto"/>
        <w:right w:val="none" w:sz="0" w:space="0" w:color="auto"/>
      </w:divBdr>
      <w:divsChild>
        <w:div w:id="887498510">
          <w:marLeft w:val="0"/>
          <w:marRight w:val="0"/>
          <w:marTop w:val="0"/>
          <w:marBottom w:val="0"/>
          <w:divBdr>
            <w:top w:val="none" w:sz="0" w:space="0" w:color="auto"/>
            <w:left w:val="none" w:sz="0" w:space="0" w:color="auto"/>
            <w:bottom w:val="none" w:sz="0" w:space="0" w:color="auto"/>
            <w:right w:val="none" w:sz="0" w:space="0" w:color="auto"/>
          </w:divBdr>
          <w:divsChild>
            <w:div w:id="1705248513">
              <w:marLeft w:val="0"/>
              <w:marRight w:val="0"/>
              <w:marTop w:val="0"/>
              <w:marBottom w:val="0"/>
              <w:divBdr>
                <w:top w:val="none" w:sz="0" w:space="0" w:color="auto"/>
                <w:left w:val="none" w:sz="0" w:space="0" w:color="auto"/>
                <w:bottom w:val="none" w:sz="0" w:space="0" w:color="auto"/>
                <w:right w:val="none" w:sz="0" w:space="0" w:color="auto"/>
              </w:divBdr>
              <w:divsChild>
                <w:div w:id="17977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3584">
      <w:bodyDiv w:val="1"/>
      <w:marLeft w:val="0"/>
      <w:marRight w:val="0"/>
      <w:marTop w:val="0"/>
      <w:marBottom w:val="0"/>
      <w:divBdr>
        <w:top w:val="none" w:sz="0" w:space="0" w:color="auto"/>
        <w:left w:val="none" w:sz="0" w:space="0" w:color="auto"/>
        <w:bottom w:val="none" w:sz="0" w:space="0" w:color="auto"/>
        <w:right w:val="none" w:sz="0" w:space="0" w:color="auto"/>
      </w:divBdr>
      <w:divsChild>
        <w:div w:id="1030227240">
          <w:marLeft w:val="0"/>
          <w:marRight w:val="0"/>
          <w:marTop w:val="0"/>
          <w:marBottom w:val="0"/>
          <w:divBdr>
            <w:top w:val="none" w:sz="0" w:space="0" w:color="auto"/>
            <w:left w:val="none" w:sz="0" w:space="0" w:color="auto"/>
            <w:bottom w:val="none" w:sz="0" w:space="0" w:color="auto"/>
            <w:right w:val="none" w:sz="0" w:space="0" w:color="auto"/>
          </w:divBdr>
          <w:divsChild>
            <w:div w:id="1197277769">
              <w:marLeft w:val="0"/>
              <w:marRight w:val="0"/>
              <w:marTop w:val="0"/>
              <w:marBottom w:val="0"/>
              <w:divBdr>
                <w:top w:val="none" w:sz="0" w:space="0" w:color="auto"/>
                <w:left w:val="none" w:sz="0" w:space="0" w:color="auto"/>
                <w:bottom w:val="none" w:sz="0" w:space="0" w:color="auto"/>
                <w:right w:val="none" w:sz="0" w:space="0" w:color="auto"/>
              </w:divBdr>
              <w:divsChild>
                <w:div w:id="20129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5468">
      <w:bodyDiv w:val="1"/>
      <w:marLeft w:val="0"/>
      <w:marRight w:val="0"/>
      <w:marTop w:val="0"/>
      <w:marBottom w:val="0"/>
      <w:divBdr>
        <w:top w:val="none" w:sz="0" w:space="0" w:color="auto"/>
        <w:left w:val="none" w:sz="0" w:space="0" w:color="auto"/>
        <w:bottom w:val="none" w:sz="0" w:space="0" w:color="auto"/>
        <w:right w:val="none" w:sz="0" w:space="0" w:color="auto"/>
      </w:divBdr>
    </w:div>
    <w:div w:id="1820343751">
      <w:bodyDiv w:val="1"/>
      <w:marLeft w:val="0"/>
      <w:marRight w:val="0"/>
      <w:marTop w:val="0"/>
      <w:marBottom w:val="0"/>
      <w:divBdr>
        <w:top w:val="none" w:sz="0" w:space="0" w:color="auto"/>
        <w:left w:val="none" w:sz="0" w:space="0" w:color="auto"/>
        <w:bottom w:val="none" w:sz="0" w:space="0" w:color="auto"/>
        <w:right w:val="none" w:sz="0" w:space="0" w:color="auto"/>
      </w:divBdr>
      <w:divsChild>
        <w:div w:id="913122013">
          <w:marLeft w:val="547"/>
          <w:marRight w:val="0"/>
          <w:marTop w:val="0"/>
          <w:marBottom w:val="120"/>
          <w:divBdr>
            <w:top w:val="none" w:sz="0" w:space="0" w:color="auto"/>
            <w:left w:val="none" w:sz="0" w:space="0" w:color="auto"/>
            <w:bottom w:val="none" w:sz="0" w:space="0" w:color="auto"/>
            <w:right w:val="none" w:sz="0" w:space="0" w:color="auto"/>
          </w:divBdr>
        </w:div>
        <w:div w:id="1139611368">
          <w:marLeft w:val="547"/>
          <w:marRight w:val="0"/>
          <w:marTop w:val="0"/>
          <w:marBottom w:val="120"/>
          <w:divBdr>
            <w:top w:val="none" w:sz="0" w:space="0" w:color="auto"/>
            <w:left w:val="none" w:sz="0" w:space="0" w:color="auto"/>
            <w:bottom w:val="none" w:sz="0" w:space="0" w:color="auto"/>
            <w:right w:val="none" w:sz="0" w:space="0" w:color="auto"/>
          </w:divBdr>
        </w:div>
        <w:div w:id="1240139609">
          <w:marLeft w:val="547"/>
          <w:marRight w:val="0"/>
          <w:marTop w:val="0"/>
          <w:marBottom w:val="120"/>
          <w:divBdr>
            <w:top w:val="none" w:sz="0" w:space="0" w:color="auto"/>
            <w:left w:val="none" w:sz="0" w:space="0" w:color="auto"/>
            <w:bottom w:val="none" w:sz="0" w:space="0" w:color="auto"/>
            <w:right w:val="none" w:sz="0" w:space="0" w:color="auto"/>
          </w:divBdr>
        </w:div>
      </w:divsChild>
    </w:div>
    <w:div w:id="1857377720">
      <w:bodyDiv w:val="1"/>
      <w:marLeft w:val="0"/>
      <w:marRight w:val="0"/>
      <w:marTop w:val="0"/>
      <w:marBottom w:val="0"/>
      <w:divBdr>
        <w:top w:val="none" w:sz="0" w:space="0" w:color="auto"/>
        <w:left w:val="none" w:sz="0" w:space="0" w:color="auto"/>
        <w:bottom w:val="none" w:sz="0" w:space="0" w:color="auto"/>
        <w:right w:val="none" w:sz="0" w:space="0" w:color="auto"/>
      </w:divBdr>
    </w:div>
    <w:div w:id="1912502623">
      <w:bodyDiv w:val="1"/>
      <w:marLeft w:val="0"/>
      <w:marRight w:val="0"/>
      <w:marTop w:val="0"/>
      <w:marBottom w:val="0"/>
      <w:divBdr>
        <w:top w:val="none" w:sz="0" w:space="0" w:color="auto"/>
        <w:left w:val="none" w:sz="0" w:space="0" w:color="auto"/>
        <w:bottom w:val="none" w:sz="0" w:space="0" w:color="auto"/>
        <w:right w:val="none" w:sz="0" w:space="0" w:color="auto"/>
      </w:divBdr>
    </w:div>
    <w:div w:id="1954707394">
      <w:bodyDiv w:val="1"/>
      <w:marLeft w:val="0"/>
      <w:marRight w:val="0"/>
      <w:marTop w:val="0"/>
      <w:marBottom w:val="0"/>
      <w:divBdr>
        <w:top w:val="none" w:sz="0" w:space="0" w:color="auto"/>
        <w:left w:val="none" w:sz="0" w:space="0" w:color="auto"/>
        <w:bottom w:val="none" w:sz="0" w:space="0" w:color="auto"/>
        <w:right w:val="none" w:sz="0" w:space="0" w:color="auto"/>
      </w:divBdr>
      <w:divsChild>
        <w:div w:id="529682091">
          <w:marLeft w:val="446"/>
          <w:marRight w:val="0"/>
          <w:marTop w:val="240"/>
          <w:marBottom w:val="120"/>
          <w:divBdr>
            <w:top w:val="none" w:sz="0" w:space="0" w:color="auto"/>
            <w:left w:val="none" w:sz="0" w:space="0" w:color="auto"/>
            <w:bottom w:val="none" w:sz="0" w:space="0" w:color="auto"/>
            <w:right w:val="none" w:sz="0" w:space="0" w:color="auto"/>
          </w:divBdr>
        </w:div>
        <w:div w:id="367143077">
          <w:marLeft w:val="446"/>
          <w:marRight w:val="0"/>
          <w:marTop w:val="240"/>
          <w:marBottom w:val="120"/>
          <w:divBdr>
            <w:top w:val="none" w:sz="0" w:space="0" w:color="auto"/>
            <w:left w:val="none" w:sz="0" w:space="0" w:color="auto"/>
            <w:bottom w:val="none" w:sz="0" w:space="0" w:color="auto"/>
            <w:right w:val="none" w:sz="0" w:space="0" w:color="auto"/>
          </w:divBdr>
        </w:div>
        <w:div w:id="1368330054">
          <w:marLeft w:val="907"/>
          <w:marRight w:val="0"/>
          <w:marTop w:val="0"/>
          <w:marBottom w:val="120"/>
          <w:divBdr>
            <w:top w:val="none" w:sz="0" w:space="0" w:color="auto"/>
            <w:left w:val="none" w:sz="0" w:space="0" w:color="auto"/>
            <w:bottom w:val="none" w:sz="0" w:space="0" w:color="auto"/>
            <w:right w:val="none" w:sz="0" w:space="0" w:color="auto"/>
          </w:divBdr>
        </w:div>
        <w:div w:id="2066562447">
          <w:marLeft w:val="907"/>
          <w:marRight w:val="0"/>
          <w:marTop w:val="0"/>
          <w:marBottom w:val="120"/>
          <w:divBdr>
            <w:top w:val="none" w:sz="0" w:space="0" w:color="auto"/>
            <w:left w:val="none" w:sz="0" w:space="0" w:color="auto"/>
            <w:bottom w:val="none" w:sz="0" w:space="0" w:color="auto"/>
            <w:right w:val="none" w:sz="0" w:space="0" w:color="auto"/>
          </w:divBdr>
        </w:div>
        <w:div w:id="326521175">
          <w:marLeft w:val="907"/>
          <w:marRight w:val="0"/>
          <w:marTop w:val="0"/>
          <w:marBottom w:val="120"/>
          <w:divBdr>
            <w:top w:val="none" w:sz="0" w:space="0" w:color="auto"/>
            <w:left w:val="none" w:sz="0" w:space="0" w:color="auto"/>
            <w:bottom w:val="none" w:sz="0" w:space="0" w:color="auto"/>
            <w:right w:val="none" w:sz="0" w:space="0" w:color="auto"/>
          </w:divBdr>
        </w:div>
        <w:div w:id="408503587">
          <w:marLeft w:val="907"/>
          <w:marRight w:val="0"/>
          <w:marTop w:val="0"/>
          <w:marBottom w:val="120"/>
          <w:divBdr>
            <w:top w:val="none" w:sz="0" w:space="0" w:color="auto"/>
            <w:left w:val="none" w:sz="0" w:space="0" w:color="auto"/>
            <w:bottom w:val="none" w:sz="0" w:space="0" w:color="auto"/>
            <w:right w:val="none" w:sz="0" w:space="0" w:color="auto"/>
          </w:divBdr>
        </w:div>
      </w:divsChild>
    </w:div>
    <w:div w:id="1986541984">
      <w:bodyDiv w:val="1"/>
      <w:marLeft w:val="0"/>
      <w:marRight w:val="0"/>
      <w:marTop w:val="0"/>
      <w:marBottom w:val="0"/>
      <w:divBdr>
        <w:top w:val="none" w:sz="0" w:space="0" w:color="auto"/>
        <w:left w:val="none" w:sz="0" w:space="0" w:color="auto"/>
        <w:bottom w:val="none" w:sz="0" w:space="0" w:color="auto"/>
        <w:right w:val="none" w:sz="0" w:space="0" w:color="auto"/>
      </w:divBdr>
      <w:divsChild>
        <w:div w:id="785122791">
          <w:marLeft w:val="0"/>
          <w:marRight w:val="0"/>
          <w:marTop w:val="0"/>
          <w:marBottom w:val="0"/>
          <w:divBdr>
            <w:top w:val="none" w:sz="0" w:space="0" w:color="auto"/>
            <w:left w:val="none" w:sz="0" w:space="0" w:color="auto"/>
            <w:bottom w:val="none" w:sz="0" w:space="0" w:color="auto"/>
            <w:right w:val="none" w:sz="0" w:space="0" w:color="auto"/>
          </w:divBdr>
          <w:divsChild>
            <w:div w:id="1981764625">
              <w:marLeft w:val="0"/>
              <w:marRight w:val="0"/>
              <w:marTop w:val="0"/>
              <w:marBottom w:val="0"/>
              <w:divBdr>
                <w:top w:val="none" w:sz="0" w:space="0" w:color="auto"/>
                <w:left w:val="none" w:sz="0" w:space="0" w:color="auto"/>
                <w:bottom w:val="none" w:sz="0" w:space="0" w:color="auto"/>
                <w:right w:val="none" w:sz="0" w:space="0" w:color="auto"/>
              </w:divBdr>
              <w:divsChild>
                <w:div w:id="14085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87859">
      <w:bodyDiv w:val="1"/>
      <w:marLeft w:val="0"/>
      <w:marRight w:val="0"/>
      <w:marTop w:val="0"/>
      <w:marBottom w:val="0"/>
      <w:divBdr>
        <w:top w:val="none" w:sz="0" w:space="0" w:color="auto"/>
        <w:left w:val="none" w:sz="0" w:space="0" w:color="auto"/>
        <w:bottom w:val="none" w:sz="0" w:space="0" w:color="auto"/>
        <w:right w:val="none" w:sz="0" w:space="0" w:color="auto"/>
      </w:divBdr>
      <w:divsChild>
        <w:div w:id="2011325340">
          <w:marLeft w:val="0"/>
          <w:marRight w:val="0"/>
          <w:marTop w:val="0"/>
          <w:marBottom w:val="0"/>
          <w:divBdr>
            <w:top w:val="none" w:sz="0" w:space="0" w:color="auto"/>
            <w:left w:val="none" w:sz="0" w:space="0" w:color="auto"/>
            <w:bottom w:val="none" w:sz="0" w:space="0" w:color="auto"/>
            <w:right w:val="none" w:sz="0" w:space="0" w:color="auto"/>
          </w:divBdr>
          <w:divsChild>
            <w:div w:id="739524886">
              <w:marLeft w:val="0"/>
              <w:marRight w:val="0"/>
              <w:marTop w:val="0"/>
              <w:marBottom w:val="0"/>
              <w:divBdr>
                <w:top w:val="none" w:sz="0" w:space="0" w:color="auto"/>
                <w:left w:val="none" w:sz="0" w:space="0" w:color="auto"/>
                <w:bottom w:val="none" w:sz="0" w:space="0" w:color="auto"/>
                <w:right w:val="none" w:sz="0" w:space="0" w:color="auto"/>
              </w:divBdr>
              <w:divsChild>
                <w:div w:id="8923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6959">
      <w:bodyDiv w:val="1"/>
      <w:marLeft w:val="0"/>
      <w:marRight w:val="0"/>
      <w:marTop w:val="0"/>
      <w:marBottom w:val="0"/>
      <w:divBdr>
        <w:top w:val="none" w:sz="0" w:space="0" w:color="auto"/>
        <w:left w:val="none" w:sz="0" w:space="0" w:color="auto"/>
        <w:bottom w:val="none" w:sz="0" w:space="0" w:color="auto"/>
        <w:right w:val="none" w:sz="0" w:space="0" w:color="auto"/>
      </w:divBdr>
      <w:divsChild>
        <w:div w:id="1586764031">
          <w:marLeft w:val="0"/>
          <w:marRight w:val="0"/>
          <w:marTop w:val="0"/>
          <w:marBottom w:val="0"/>
          <w:divBdr>
            <w:top w:val="none" w:sz="0" w:space="0" w:color="auto"/>
            <w:left w:val="none" w:sz="0" w:space="0" w:color="auto"/>
            <w:bottom w:val="none" w:sz="0" w:space="0" w:color="auto"/>
            <w:right w:val="none" w:sz="0" w:space="0" w:color="auto"/>
          </w:divBdr>
          <w:divsChild>
            <w:div w:id="806434138">
              <w:marLeft w:val="0"/>
              <w:marRight w:val="0"/>
              <w:marTop w:val="0"/>
              <w:marBottom w:val="0"/>
              <w:divBdr>
                <w:top w:val="none" w:sz="0" w:space="0" w:color="auto"/>
                <w:left w:val="none" w:sz="0" w:space="0" w:color="auto"/>
                <w:bottom w:val="none" w:sz="0" w:space="0" w:color="auto"/>
                <w:right w:val="none" w:sz="0" w:space="0" w:color="auto"/>
              </w:divBdr>
              <w:divsChild>
                <w:div w:id="1474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6505">
      <w:bodyDiv w:val="1"/>
      <w:marLeft w:val="0"/>
      <w:marRight w:val="0"/>
      <w:marTop w:val="0"/>
      <w:marBottom w:val="0"/>
      <w:divBdr>
        <w:top w:val="none" w:sz="0" w:space="0" w:color="auto"/>
        <w:left w:val="none" w:sz="0" w:space="0" w:color="auto"/>
        <w:bottom w:val="none" w:sz="0" w:space="0" w:color="auto"/>
        <w:right w:val="none" w:sz="0" w:space="0" w:color="auto"/>
      </w:divBdr>
      <w:divsChild>
        <w:div w:id="1596551202">
          <w:marLeft w:val="0"/>
          <w:marRight w:val="0"/>
          <w:marTop w:val="0"/>
          <w:marBottom w:val="0"/>
          <w:divBdr>
            <w:top w:val="none" w:sz="0" w:space="0" w:color="auto"/>
            <w:left w:val="none" w:sz="0" w:space="0" w:color="auto"/>
            <w:bottom w:val="none" w:sz="0" w:space="0" w:color="auto"/>
            <w:right w:val="none" w:sz="0" w:space="0" w:color="auto"/>
          </w:divBdr>
          <w:divsChild>
            <w:div w:id="2040935824">
              <w:marLeft w:val="0"/>
              <w:marRight w:val="0"/>
              <w:marTop w:val="0"/>
              <w:marBottom w:val="0"/>
              <w:divBdr>
                <w:top w:val="none" w:sz="0" w:space="0" w:color="auto"/>
                <w:left w:val="none" w:sz="0" w:space="0" w:color="auto"/>
                <w:bottom w:val="none" w:sz="0" w:space="0" w:color="auto"/>
                <w:right w:val="none" w:sz="0" w:space="0" w:color="auto"/>
              </w:divBdr>
              <w:divsChild>
                <w:div w:id="16101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05029">
      <w:bodyDiv w:val="1"/>
      <w:marLeft w:val="0"/>
      <w:marRight w:val="0"/>
      <w:marTop w:val="0"/>
      <w:marBottom w:val="0"/>
      <w:divBdr>
        <w:top w:val="none" w:sz="0" w:space="0" w:color="auto"/>
        <w:left w:val="none" w:sz="0" w:space="0" w:color="auto"/>
        <w:bottom w:val="none" w:sz="0" w:space="0" w:color="auto"/>
        <w:right w:val="none" w:sz="0" w:space="0" w:color="auto"/>
      </w:divBdr>
      <w:divsChild>
        <w:div w:id="1162895817">
          <w:marLeft w:val="0"/>
          <w:marRight w:val="0"/>
          <w:marTop w:val="0"/>
          <w:marBottom w:val="0"/>
          <w:divBdr>
            <w:top w:val="none" w:sz="0" w:space="0" w:color="auto"/>
            <w:left w:val="none" w:sz="0" w:space="0" w:color="auto"/>
            <w:bottom w:val="none" w:sz="0" w:space="0" w:color="auto"/>
            <w:right w:val="none" w:sz="0" w:space="0" w:color="auto"/>
          </w:divBdr>
          <w:divsChild>
            <w:div w:id="1168013285">
              <w:marLeft w:val="0"/>
              <w:marRight w:val="0"/>
              <w:marTop w:val="0"/>
              <w:marBottom w:val="0"/>
              <w:divBdr>
                <w:top w:val="none" w:sz="0" w:space="0" w:color="auto"/>
                <w:left w:val="none" w:sz="0" w:space="0" w:color="auto"/>
                <w:bottom w:val="none" w:sz="0" w:space="0" w:color="auto"/>
                <w:right w:val="none" w:sz="0" w:space="0" w:color="auto"/>
              </w:divBdr>
              <w:divsChild>
                <w:div w:id="18304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legislation.gov.au/Series/F2014L0083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legislation.gov.au/Series/C2004A05206"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gedcarequality.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gedcare.royalcommission.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gedcare.royalcommission.gov.au/publications/final-repor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au/Series/C2004A052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yperlink" Target="https://www.health.gov.au/"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AF84BD0-1EB6-4241-AF78-D5D4A09EA69B}">
  <ds:schemaRefs>
    <ds:schemaRef ds:uri="http://schemas.openxmlformats.org/officeDocument/2006/bibliography"/>
  </ds:schemaRefs>
</ds:datastoreItem>
</file>

<file path=customXml/itemProps4.xml><?xml version="1.0" encoding="utf-8"?>
<ds:datastoreItem xmlns:ds="http://schemas.openxmlformats.org/officeDocument/2006/customXml" ds:itemID="{CE45AA0D-DC12-43FD-857B-3C0E8B2E2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10904</Words>
  <Characters>62345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Ashleigh Kennedy</dc:creator>
  <cp:lastModifiedBy>HOARE, Lisa</cp:lastModifiedBy>
  <cp:revision>2</cp:revision>
  <dcterms:created xsi:type="dcterms:W3CDTF">2021-09-28T05:08:00Z</dcterms:created>
  <dcterms:modified xsi:type="dcterms:W3CDTF">2021-09-28T05:08:00Z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