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57" w:rsidRPr="00F70F57" w:rsidRDefault="00F70F57" w:rsidP="009D5258">
      <w:pPr>
        <w:pStyle w:val="Heading1"/>
      </w:pPr>
      <w:bookmarkStart w:id="0" w:name="_GoBack"/>
      <w:bookmarkEnd w:id="0"/>
      <w:r w:rsidRPr="00F70F57">
        <w:t>NATIONAL MEDICAL TRAINING ADVISORY NETWORK</w:t>
      </w:r>
    </w:p>
    <w:p w:rsidR="00F70F57" w:rsidRPr="00F70F57" w:rsidRDefault="000A6997" w:rsidP="009D5258">
      <w:pPr>
        <w:pStyle w:val="Heading2"/>
      </w:pPr>
      <w:r>
        <w:t>Prevocational Doctor Factsheet Methodology Paper</w:t>
      </w:r>
    </w:p>
    <w:p w:rsidR="00603BB2" w:rsidRDefault="00603BB2" w:rsidP="00EA7A8C"/>
    <w:p w:rsidR="009501BB" w:rsidRPr="009D5258" w:rsidRDefault="009501BB" w:rsidP="009D5258">
      <w:pPr>
        <w:pStyle w:val="Heading3"/>
      </w:pPr>
      <w:r w:rsidRPr="009D5258">
        <w:t>Overview</w:t>
      </w:r>
    </w:p>
    <w:p w:rsidR="007A7B37" w:rsidRPr="00724090" w:rsidRDefault="00724090" w:rsidP="00724090">
      <w:pPr>
        <w:spacing w:before="120" w:after="0" w:line="240" w:lineRule="auto"/>
      </w:pPr>
      <w:r>
        <w:t xml:space="preserve">The </w:t>
      </w:r>
      <w:r w:rsidR="006F59DA">
        <w:t>P</w:t>
      </w:r>
      <w:r w:rsidR="00585A41">
        <w:t>re</w:t>
      </w:r>
      <w:r w:rsidR="007A7B37" w:rsidRPr="00724090">
        <w:t>vocational</w:t>
      </w:r>
      <w:r w:rsidR="006F59DA">
        <w:t xml:space="preserve"> D</w:t>
      </w:r>
      <w:r>
        <w:t>octor</w:t>
      </w:r>
      <w:r w:rsidR="006F59DA">
        <w:t xml:space="preserve"> F</w:t>
      </w:r>
      <w:r>
        <w:t xml:space="preserve">actsheet </w:t>
      </w:r>
      <w:r w:rsidR="006F59DA">
        <w:t>S</w:t>
      </w:r>
      <w:r>
        <w:t xml:space="preserve">eries </w:t>
      </w:r>
      <w:r w:rsidR="00D71D5D">
        <w:t xml:space="preserve">is </w:t>
      </w:r>
      <w:r w:rsidR="007D4ECD">
        <w:t>being developed</w:t>
      </w:r>
      <w:r>
        <w:t xml:space="preserve"> by the National Medical Training Advisory Network </w:t>
      </w:r>
      <w:r w:rsidR="007A7B37" w:rsidRPr="00724090">
        <w:t xml:space="preserve">as a career planning resource for students, graduates and doctors in training. </w:t>
      </w:r>
      <w:r>
        <w:t xml:space="preserve">The factsheets outline </w:t>
      </w:r>
      <w:r w:rsidR="007D4ECD">
        <w:t xml:space="preserve">workforce </w:t>
      </w:r>
      <w:r w:rsidR="006F59DA">
        <w:t>characteristics</w:t>
      </w:r>
      <w:r w:rsidR="007D4ECD">
        <w:t>,</w:t>
      </w:r>
      <w:r w:rsidR="006F59DA">
        <w:t xml:space="preserve"> employment patterns and future concerns by </w:t>
      </w:r>
      <w:r w:rsidR="007D4ECD">
        <w:t xml:space="preserve">medical </w:t>
      </w:r>
      <w:r w:rsidR="006F59DA">
        <w:t xml:space="preserve">specialty, as well as the </w:t>
      </w:r>
      <w:r w:rsidRPr="00724090">
        <w:t>career inten</w:t>
      </w:r>
      <w:r w:rsidR="00585A41">
        <w:t>tions of pre</w:t>
      </w:r>
      <w:r w:rsidR="006F59DA">
        <w:t>vocational doctors.</w:t>
      </w:r>
    </w:p>
    <w:p w:rsidR="007A7B37" w:rsidRPr="00724090" w:rsidRDefault="00724090" w:rsidP="00724090">
      <w:pPr>
        <w:spacing w:before="120" w:after="0" w:line="240" w:lineRule="auto"/>
      </w:pPr>
      <w:r>
        <w:t>F</w:t>
      </w:r>
      <w:r w:rsidR="007A7B37" w:rsidRPr="00724090">
        <w:t xml:space="preserve">actsheets </w:t>
      </w:r>
      <w:r>
        <w:t xml:space="preserve">will be </w:t>
      </w:r>
      <w:r w:rsidR="007A7B37" w:rsidRPr="00724090">
        <w:t xml:space="preserve">for </w:t>
      </w:r>
      <w:r>
        <w:t>developed for all</w:t>
      </w:r>
      <w:r w:rsidR="007A7B37" w:rsidRPr="00724090">
        <w:t xml:space="preserve"> medical specialties covered in </w:t>
      </w:r>
      <w:hyperlink r:id="rId9" w:history="1">
        <w:r w:rsidR="008801C1" w:rsidRPr="008801C1">
          <w:rPr>
            <w:rStyle w:val="Hyperlink"/>
            <w:i/>
          </w:rPr>
          <w:t>Health Workforce Australia 2012: Health Workforce 2025 – Volume 3 – Medical Specialties</w:t>
        </w:r>
      </w:hyperlink>
      <w:r w:rsidR="008801C1">
        <w:t>.</w:t>
      </w:r>
    </w:p>
    <w:p w:rsidR="009501BB" w:rsidRPr="00F55CE3" w:rsidRDefault="009501BB" w:rsidP="009501BB">
      <w:pPr>
        <w:spacing w:before="120" w:after="0" w:line="240" w:lineRule="auto"/>
      </w:pPr>
      <w:r w:rsidRPr="00F55CE3">
        <w:rPr>
          <w:b/>
        </w:rPr>
        <w:t xml:space="preserve">The </w:t>
      </w:r>
      <w:r w:rsidR="00AC3792" w:rsidRPr="00F55CE3">
        <w:rPr>
          <w:b/>
        </w:rPr>
        <w:t>Pre-vocational Doctor Fact S</w:t>
      </w:r>
      <w:r w:rsidRPr="00F55CE3">
        <w:rPr>
          <w:b/>
        </w:rPr>
        <w:t>heets are divided into the following sections:</w:t>
      </w:r>
    </w:p>
    <w:p w:rsidR="009501BB" w:rsidRPr="00F55CE3" w:rsidRDefault="009501BB" w:rsidP="004F0695">
      <w:pPr>
        <w:pStyle w:val="ListParagraph"/>
        <w:numPr>
          <w:ilvl w:val="0"/>
          <w:numId w:val="19"/>
        </w:numPr>
        <w:tabs>
          <w:tab w:val="left" w:pos="5778"/>
        </w:tabs>
        <w:spacing w:before="120" w:after="0" w:line="240" w:lineRule="auto"/>
      </w:pPr>
      <w:r w:rsidRPr="003C3104">
        <w:rPr>
          <w:b/>
        </w:rPr>
        <w:t>The workforce</w:t>
      </w:r>
      <w:r w:rsidR="00AB30D2">
        <w:t xml:space="preserve"> – </w:t>
      </w:r>
      <w:r w:rsidR="004F0695">
        <w:t>the number and characteristics of the workforce</w:t>
      </w:r>
      <w:r w:rsidR="003C3104">
        <w:t>.</w:t>
      </w:r>
    </w:p>
    <w:p w:rsidR="009501BB" w:rsidRPr="00F55CE3" w:rsidRDefault="009501BB" w:rsidP="009501BB">
      <w:pPr>
        <w:pStyle w:val="ListParagraph"/>
        <w:numPr>
          <w:ilvl w:val="0"/>
          <w:numId w:val="19"/>
        </w:numPr>
        <w:tabs>
          <w:tab w:val="left" w:pos="5778"/>
        </w:tabs>
        <w:spacing w:before="120" w:after="0" w:line="240" w:lineRule="auto"/>
      </w:pPr>
      <w:r w:rsidRPr="003C3104">
        <w:rPr>
          <w:b/>
        </w:rPr>
        <w:t>Vocational training</w:t>
      </w:r>
      <w:r w:rsidR="00AB30D2">
        <w:t xml:space="preserve"> </w:t>
      </w:r>
      <w:r w:rsidR="003C3104">
        <w:t>–</w:t>
      </w:r>
      <w:r w:rsidR="00AB30D2">
        <w:t xml:space="preserve"> </w:t>
      </w:r>
      <w:r w:rsidR="00C279EF">
        <w:t>information on</w:t>
      </w:r>
      <w:r w:rsidR="00F67358">
        <w:t xml:space="preserve"> basic trainees, advanced trainees and new fellows.</w:t>
      </w:r>
    </w:p>
    <w:p w:rsidR="009501BB" w:rsidRPr="00AC15DA" w:rsidRDefault="009501BB" w:rsidP="009501BB">
      <w:pPr>
        <w:pStyle w:val="ListParagraph"/>
        <w:numPr>
          <w:ilvl w:val="0"/>
          <w:numId w:val="19"/>
        </w:numPr>
        <w:tabs>
          <w:tab w:val="left" w:pos="5778"/>
        </w:tabs>
        <w:spacing w:before="120" w:after="0" w:line="240" w:lineRule="auto"/>
      </w:pPr>
      <w:r w:rsidRPr="003C3104">
        <w:rPr>
          <w:b/>
        </w:rPr>
        <w:t>Vocational intentions</w:t>
      </w:r>
      <w:r w:rsidR="003C3104">
        <w:rPr>
          <w:b/>
        </w:rPr>
        <w:t xml:space="preserve"> – </w:t>
      </w:r>
      <w:r w:rsidR="00AC15DA" w:rsidRPr="00AC15DA">
        <w:t>intentions of hospital non-specialists to undertake specialist training</w:t>
      </w:r>
      <w:r w:rsidR="00F67358">
        <w:t>.</w:t>
      </w:r>
    </w:p>
    <w:p w:rsidR="009501BB" w:rsidRPr="00AC15DA" w:rsidRDefault="009501BB" w:rsidP="00AC15DA">
      <w:pPr>
        <w:pStyle w:val="ListParagraph"/>
        <w:numPr>
          <w:ilvl w:val="0"/>
          <w:numId w:val="19"/>
        </w:numPr>
        <w:tabs>
          <w:tab w:val="left" w:pos="5778"/>
        </w:tabs>
        <w:spacing w:before="120" w:after="0" w:line="240" w:lineRule="auto"/>
      </w:pPr>
      <w:r w:rsidRPr="003C3104">
        <w:rPr>
          <w:b/>
        </w:rPr>
        <w:t>Distribution</w:t>
      </w:r>
      <w:r w:rsidR="00AC15DA">
        <w:rPr>
          <w:b/>
        </w:rPr>
        <w:t xml:space="preserve"> - </w:t>
      </w:r>
      <w:r w:rsidR="00AC15DA" w:rsidRPr="00AC15DA">
        <w:t xml:space="preserve">distribution </w:t>
      </w:r>
      <w:r w:rsidR="00AC15DA">
        <w:t xml:space="preserve">of the workforce </w:t>
      </w:r>
      <w:r w:rsidR="00F67358">
        <w:t xml:space="preserve">by </w:t>
      </w:r>
      <w:r w:rsidR="00AC15DA" w:rsidRPr="00AC15DA">
        <w:t>remotenes</w:t>
      </w:r>
      <w:r w:rsidR="00F67358">
        <w:t>s</w:t>
      </w:r>
      <w:r w:rsidR="00AC15DA">
        <w:t xml:space="preserve"> (Modified Monash Model)</w:t>
      </w:r>
      <w:r w:rsidR="00AC15DA" w:rsidRPr="00AC15DA">
        <w:t>.</w:t>
      </w:r>
    </w:p>
    <w:p w:rsidR="009501BB" w:rsidRPr="003C3104" w:rsidRDefault="009501BB" w:rsidP="009501BB">
      <w:pPr>
        <w:pStyle w:val="ListParagraph"/>
        <w:numPr>
          <w:ilvl w:val="0"/>
          <w:numId w:val="19"/>
        </w:numPr>
        <w:tabs>
          <w:tab w:val="left" w:pos="5778"/>
        </w:tabs>
        <w:spacing w:before="120" w:after="0" w:line="240" w:lineRule="auto"/>
        <w:rPr>
          <w:b/>
        </w:rPr>
      </w:pPr>
      <w:r w:rsidRPr="003C3104">
        <w:rPr>
          <w:b/>
        </w:rPr>
        <w:t>Retirement intentions</w:t>
      </w:r>
      <w:r w:rsidR="00AC15DA" w:rsidRPr="00AC15DA">
        <w:t xml:space="preserve"> </w:t>
      </w:r>
      <w:r w:rsidR="00AC15DA">
        <w:t xml:space="preserve">– </w:t>
      </w:r>
      <w:r w:rsidR="00AC15DA" w:rsidRPr="003C3104">
        <w:t>intentions to retire within the next 10 years, 10-20 years and 20-30 years.</w:t>
      </w:r>
    </w:p>
    <w:p w:rsidR="009501BB" w:rsidRPr="00F55CE3" w:rsidRDefault="009501BB" w:rsidP="004F0695">
      <w:pPr>
        <w:pStyle w:val="ListParagraph"/>
        <w:numPr>
          <w:ilvl w:val="0"/>
          <w:numId w:val="19"/>
        </w:numPr>
        <w:tabs>
          <w:tab w:val="left" w:pos="5778"/>
        </w:tabs>
        <w:spacing w:before="120" w:after="0" w:line="240" w:lineRule="auto"/>
      </w:pPr>
      <w:r w:rsidRPr="003C3104">
        <w:rPr>
          <w:b/>
        </w:rPr>
        <w:t>Existing workforce position</w:t>
      </w:r>
      <w:r w:rsidR="004F0695">
        <w:t xml:space="preserve"> - whether or not workforce sup</w:t>
      </w:r>
      <w:r w:rsidR="007D6F3A">
        <w:t>ply matches demand for services</w:t>
      </w:r>
      <w:r w:rsidR="003C3104">
        <w:t>.</w:t>
      </w:r>
    </w:p>
    <w:p w:rsidR="00AB30D2" w:rsidRDefault="009501BB" w:rsidP="003C3104">
      <w:pPr>
        <w:pStyle w:val="ListParagraph"/>
        <w:numPr>
          <w:ilvl w:val="0"/>
          <w:numId w:val="19"/>
        </w:numPr>
        <w:tabs>
          <w:tab w:val="left" w:pos="5778"/>
        </w:tabs>
        <w:spacing w:before="120" w:after="0" w:line="240" w:lineRule="auto"/>
      </w:pPr>
      <w:r w:rsidRPr="003C3104">
        <w:rPr>
          <w:b/>
        </w:rPr>
        <w:t>Workforce dynamics indicator</w:t>
      </w:r>
      <w:r w:rsidR="004F0695">
        <w:t xml:space="preserve"> </w:t>
      </w:r>
      <w:r w:rsidR="003C3104">
        <w:t>–</w:t>
      </w:r>
      <w:r w:rsidR="004F0695">
        <w:t xml:space="preserve"> </w:t>
      </w:r>
      <w:r w:rsidR="003C3104">
        <w:t>aspects of the current workforce that may be of concern into the future.</w:t>
      </w:r>
    </w:p>
    <w:p w:rsidR="00AB404E" w:rsidRPr="000A6997" w:rsidRDefault="00AB404E" w:rsidP="000A6997">
      <w:pPr>
        <w:pStyle w:val="Heading3"/>
        <w:spacing w:before="120" w:after="120"/>
      </w:pPr>
      <w:r w:rsidRPr="000A6997">
        <w:t>Data sources</w:t>
      </w:r>
    </w:p>
    <w:p w:rsidR="004107AE" w:rsidRPr="000A6997" w:rsidRDefault="004107AE" w:rsidP="000A6997">
      <w:pPr>
        <w:pStyle w:val="Heading4"/>
        <w:spacing w:before="120" w:after="120"/>
      </w:pPr>
      <w:r w:rsidRPr="00F55CE3">
        <w:t>The National Health Workforce Dataset (NHWDS)</w:t>
      </w:r>
    </w:p>
    <w:p w:rsidR="004107AE" w:rsidRPr="00F55CE3" w:rsidRDefault="004107AE" w:rsidP="0005684B">
      <w:pPr>
        <w:spacing w:before="120" w:after="0" w:line="240" w:lineRule="auto"/>
      </w:pPr>
      <w:r w:rsidRPr="00F55CE3">
        <w:t>The NHWDS includes demographic and employment information for re</w:t>
      </w:r>
      <w:r w:rsidR="002A24F0" w:rsidRPr="00F55CE3">
        <w:t xml:space="preserve">gistered health professionals. </w:t>
      </w:r>
      <w:r w:rsidRPr="00F55CE3">
        <w:t>The Australian Health Practitioner Regulation Agency, in conjunction with the national boards, is responsible for the national registration process for 14 health professions, including medical practitioners. The data from this annual registration process, together with data from a workforce survey that is voluntarily completed at the time of registration, forms the NHWDS.</w:t>
      </w:r>
    </w:p>
    <w:p w:rsidR="00AB404E" w:rsidRPr="000A6997" w:rsidRDefault="004107AE" w:rsidP="000A6997">
      <w:pPr>
        <w:pStyle w:val="Heading4"/>
        <w:spacing w:before="120" w:after="120"/>
      </w:pPr>
      <w:r w:rsidRPr="00F55CE3">
        <w:t>The Medical Training Review Panel (MTRP) Report</w:t>
      </w:r>
    </w:p>
    <w:p w:rsidR="00AB404E" w:rsidRPr="00CB12AD" w:rsidRDefault="00AB404E" w:rsidP="00AB404E">
      <w:pPr>
        <w:spacing w:before="120" w:after="120" w:line="240" w:lineRule="auto"/>
      </w:pPr>
      <w:r w:rsidRPr="00F55CE3">
        <w:t xml:space="preserve">The </w:t>
      </w:r>
      <w:r w:rsidR="004107AE" w:rsidRPr="00F55CE3">
        <w:t>MTRP</w:t>
      </w:r>
      <w:r w:rsidRPr="00F55CE3">
        <w:t xml:space="preserve"> </w:t>
      </w:r>
      <w:r w:rsidR="00CB12AD" w:rsidRPr="00CB12AD">
        <w:t xml:space="preserve">was established under the </w:t>
      </w:r>
      <w:r w:rsidR="00CB12AD" w:rsidRPr="00887EB1">
        <w:rPr>
          <w:i/>
        </w:rPr>
        <w:t>Health Insurance Act 1973</w:t>
      </w:r>
      <w:r w:rsidR="00CB12AD" w:rsidRPr="00CB12AD">
        <w:t xml:space="preserve"> to look at the demand for and supply of medical training opportunities</w:t>
      </w:r>
      <w:r w:rsidR="00CB12AD">
        <w:t xml:space="preserve"> in Australia</w:t>
      </w:r>
      <w:r w:rsidRPr="00F55CE3">
        <w:t xml:space="preserve">. The eighteenth annual MTRP </w:t>
      </w:r>
      <w:r w:rsidR="005A21B6">
        <w:t xml:space="preserve">report </w:t>
      </w:r>
      <w:r w:rsidRPr="00F55CE3">
        <w:t>provides information on university, prevocational and vocational medical training positions, students and trainees, examination results and college fellows. Information is also included on overseas trained medical practitioners who are seeking to work or currently work in Australia. The report was compiled by the Australian Government Department of Health, with</w:t>
      </w:r>
      <w:r w:rsidRPr="00CB12AD">
        <w:t xml:space="preserve"> oversight by</w:t>
      </w:r>
      <w:r w:rsidR="004107AE" w:rsidRPr="00CB12AD">
        <w:t xml:space="preserve"> the </w:t>
      </w:r>
      <w:r w:rsidRPr="00CB12AD">
        <w:t>MTRP</w:t>
      </w:r>
      <w:r w:rsidR="00CB12AD">
        <w:t>.</w:t>
      </w:r>
    </w:p>
    <w:p w:rsidR="003F334F" w:rsidRPr="000A6997" w:rsidRDefault="003F334F" w:rsidP="000A6997">
      <w:pPr>
        <w:pStyle w:val="Heading4"/>
        <w:spacing w:before="120" w:after="120"/>
      </w:pPr>
      <w:r>
        <w:t xml:space="preserve">College </w:t>
      </w:r>
      <w:r w:rsidR="00F67358">
        <w:t xml:space="preserve">and jurisdiction </w:t>
      </w:r>
      <w:r>
        <w:t>data</w:t>
      </w:r>
    </w:p>
    <w:p w:rsidR="003F334F" w:rsidRDefault="00F67358" w:rsidP="00AB404E">
      <w:pPr>
        <w:spacing w:before="120" w:after="120" w:line="240" w:lineRule="auto"/>
      </w:pPr>
      <w:r>
        <w:t xml:space="preserve">Detailed data on vocational training positions/trainees was obtained </w:t>
      </w:r>
      <w:r w:rsidR="00AB30D2">
        <w:t>from specialist medical colleges and jurisdictions.</w:t>
      </w:r>
    </w:p>
    <w:p w:rsidR="006F59DA" w:rsidRDefault="006F59DA">
      <w:r>
        <w:br w:type="page"/>
      </w:r>
    </w:p>
    <w:p w:rsidR="00334F5D" w:rsidRPr="000A6997" w:rsidRDefault="00332EF5" w:rsidP="000A6997">
      <w:pPr>
        <w:pStyle w:val="Heading3"/>
        <w:spacing w:before="120" w:after="120"/>
      </w:pPr>
      <w:r w:rsidRPr="000A6997">
        <w:lastRenderedPageBreak/>
        <w:t>Existing workforce</w:t>
      </w:r>
      <w:r w:rsidR="00972059" w:rsidRPr="000A6997">
        <w:t xml:space="preserve"> position</w:t>
      </w:r>
    </w:p>
    <w:p w:rsidR="00334F5D" w:rsidRPr="00F55CE3" w:rsidRDefault="00334F5D" w:rsidP="0005684B">
      <w:pPr>
        <w:spacing w:before="120" w:after="120" w:line="240" w:lineRule="auto"/>
      </w:pPr>
      <w:r w:rsidRPr="00F55CE3">
        <w:t>The existing workforce position of the medical specialties was determined from expert opinion from jurisdictions, private e</w:t>
      </w:r>
      <w:r w:rsidR="0021642E">
        <w:t>mployers and the profession, as well as</w:t>
      </w:r>
      <w:r w:rsidRPr="00F55CE3">
        <w:t xml:space="preserve"> an analysis of current vacancies and waiting times (where relevant and available). It is an assessment of whether the workforce is perceived to be in balance or not. A traffic light approach was used, with the following assessment scale:</w:t>
      </w:r>
    </w:p>
    <w:tbl>
      <w:tblPr>
        <w:tblStyle w:val="TableGrid"/>
        <w:tblW w:w="0" w:type="auto"/>
        <w:tblLook w:val="04A0" w:firstRow="1" w:lastRow="0" w:firstColumn="1" w:lastColumn="0" w:noHBand="0" w:noVBand="1"/>
        <w:tblCaption w:val="Existing workforce position diagram"/>
      </w:tblPr>
      <w:tblGrid>
        <w:gridCol w:w="5353"/>
      </w:tblGrid>
      <w:tr w:rsidR="00600D85" w:rsidTr="00603BB2">
        <w:trPr>
          <w:trHeight w:val="623"/>
          <w:tblHeader/>
        </w:trPr>
        <w:tc>
          <w:tcPr>
            <w:tcW w:w="5353" w:type="dxa"/>
            <w:tcBorders>
              <w:top w:val="single" w:sz="12" w:space="0" w:color="auto"/>
              <w:left w:val="single" w:sz="18" w:space="0" w:color="auto"/>
              <w:right w:val="single" w:sz="18" w:space="0" w:color="auto"/>
            </w:tcBorders>
            <w:shd w:val="clear" w:color="auto" w:fill="00B050"/>
          </w:tcPr>
          <w:p w:rsidR="00600D85" w:rsidRPr="00F55CE3" w:rsidRDefault="00600D85" w:rsidP="009F23AA">
            <w:pPr>
              <w:jc w:val="center"/>
              <w:rPr>
                <w:sz w:val="20"/>
                <w:szCs w:val="20"/>
              </w:rPr>
            </w:pPr>
            <w:r w:rsidRPr="00F55CE3">
              <w:t>No current perceived shortage</w:t>
            </w:r>
          </w:p>
        </w:tc>
      </w:tr>
      <w:tr w:rsidR="00600D85" w:rsidTr="009D5258">
        <w:trPr>
          <w:trHeight w:val="624"/>
        </w:trPr>
        <w:tc>
          <w:tcPr>
            <w:tcW w:w="5353" w:type="dxa"/>
            <w:tcBorders>
              <w:left w:val="single" w:sz="18" w:space="0" w:color="auto"/>
              <w:bottom w:val="single" w:sz="8" w:space="0" w:color="auto"/>
              <w:right w:val="single" w:sz="18" w:space="0" w:color="auto"/>
            </w:tcBorders>
            <w:shd w:val="clear" w:color="auto" w:fill="F79646"/>
          </w:tcPr>
          <w:p w:rsidR="00600D85" w:rsidRPr="00F55CE3" w:rsidRDefault="00600D85" w:rsidP="009F23AA">
            <w:pPr>
              <w:jc w:val="center"/>
              <w:rPr>
                <w:sz w:val="20"/>
                <w:szCs w:val="20"/>
              </w:rPr>
            </w:pPr>
            <w:r w:rsidRPr="00F55CE3">
              <w:t>Some perceived difficulty in filling positions, either through maldistribution or insufficient workforce</w:t>
            </w:r>
          </w:p>
        </w:tc>
      </w:tr>
      <w:tr w:rsidR="00600D85" w:rsidTr="009D5258">
        <w:trPr>
          <w:trHeight w:val="675"/>
        </w:trPr>
        <w:tc>
          <w:tcPr>
            <w:tcW w:w="5353" w:type="dxa"/>
            <w:tcBorders>
              <w:top w:val="single" w:sz="8" w:space="0" w:color="auto"/>
              <w:left w:val="single" w:sz="18" w:space="0" w:color="auto"/>
              <w:bottom w:val="single" w:sz="18" w:space="0" w:color="auto"/>
              <w:right w:val="single" w:sz="18" w:space="0" w:color="auto"/>
            </w:tcBorders>
            <w:shd w:val="clear" w:color="auto" w:fill="FF0000"/>
          </w:tcPr>
          <w:p w:rsidR="00600D85" w:rsidRPr="00F55CE3" w:rsidRDefault="00600D85" w:rsidP="009F23AA">
            <w:pPr>
              <w:jc w:val="center"/>
              <w:rPr>
                <w:sz w:val="20"/>
                <w:szCs w:val="20"/>
              </w:rPr>
            </w:pPr>
            <w:r w:rsidRPr="00F55CE3">
              <w:t>Perceived current shortage</w:t>
            </w:r>
          </w:p>
        </w:tc>
      </w:tr>
    </w:tbl>
    <w:p w:rsidR="00972059" w:rsidRPr="000A6997" w:rsidRDefault="00972059" w:rsidP="000A6997">
      <w:pPr>
        <w:pStyle w:val="Heading3"/>
        <w:spacing w:before="120" w:after="120"/>
      </w:pPr>
      <w:r w:rsidRPr="000A6997">
        <w:t>Workforce dynamics indicator</w:t>
      </w:r>
    </w:p>
    <w:p w:rsidR="00972059" w:rsidRPr="00F55CE3" w:rsidRDefault="00972059" w:rsidP="00106B44">
      <w:pPr>
        <w:spacing w:before="120" w:after="0" w:line="240" w:lineRule="auto"/>
      </w:pPr>
      <w:r w:rsidRPr="00F55CE3">
        <w:t>The workforce dynamics indicator is used to highlight aspects of the current workforce that may be of concern into the future. A traffic light approach is used to score workforces against the selected indicators.</w:t>
      </w:r>
    </w:p>
    <w:p w:rsidR="00972059" w:rsidRPr="00F55CE3" w:rsidRDefault="00972059" w:rsidP="00D479E1">
      <w:pPr>
        <w:spacing w:before="120" w:after="120" w:line="240" w:lineRule="auto"/>
      </w:pPr>
      <w:r w:rsidRPr="00F55CE3">
        <w:t>The Department of Health selected the f</w:t>
      </w:r>
      <w:r w:rsidR="00D479E1" w:rsidRPr="00F55CE3">
        <w:t>ollowing indicators for scoring:</w:t>
      </w:r>
    </w:p>
    <w:p w:rsidR="00972059" w:rsidRPr="00F55CE3" w:rsidRDefault="00972059" w:rsidP="00AB404E">
      <w:pPr>
        <w:spacing w:after="120" w:line="240" w:lineRule="auto"/>
      </w:pPr>
      <w:r w:rsidRPr="00F55CE3">
        <w:rPr>
          <w:b/>
        </w:rPr>
        <w:t>Ag</w:t>
      </w:r>
      <w:r w:rsidR="00371ECE">
        <w:rPr>
          <w:b/>
        </w:rPr>
        <w:t>e</w:t>
      </w:r>
      <w:r w:rsidRPr="00F55CE3">
        <w:rPr>
          <w:b/>
        </w:rPr>
        <w:t xml:space="preserve">ing of the </w:t>
      </w:r>
      <w:r w:rsidR="009805D5" w:rsidRPr="00F55CE3">
        <w:rPr>
          <w:b/>
        </w:rPr>
        <w:t>workforce</w:t>
      </w:r>
      <w:r w:rsidR="00B80748" w:rsidRPr="00F55CE3">
        <w:rPr>
          <w:b/>
        </w:rPr>
        <w:t xml:space="preserve"> (average age)</w:t>
      </w:r>
      <w:r w:rsidR="009805D5" w:rsidRPr="00F55CE3">
        <w:t xml:space="preserve"> –</w:t>
      </w:r>
      <w:r w:rsidRPr="00F55CE3">
        <w:t xml:space="preserve"> workforces with a higher average age are more suscept</w:t>
      </w:r>
      <w:r w:rsidR="009805D5" w:rsidRPr="00F55CE3">
        <w:t xml:space="preserve">ible to higher exit </w:t>
      </w:r>
      <w:r w:rsidRPr="00F55CE3">
        <w:t>rates (through retirement).</w:t>
      </w:r>
    </w:p>
    <w:p w:rsidR="00972059" w:rsidRPr="00F55CE3" w:rsidRDefault="00972059" w:rsidP="00AB404E">
      <w:pPr>
        <w:spacing w:after="120" w:line="240" w:lineRule="auto"/>
      </w:pPr>
      <w:r w:rsidRPr="00F55CE3">
        <w:rPr>
          <w:b/>
        </w:rPr>
        <w:t>Replacement rate</w:t>
      </w:r>
      <w:r w:rsidRPr="00F55CE3">
        <w:t xml:space="preserve"> – this item calculated the ratio of new fellows to workforce exits in a given year. This indicates whether the number currently completing tr</w:t>
      </w:r>
      <w:r w:rsidR="009805D5" w:rsidRPr="00F55CE3">
        <w:t xml:space="preserve">aining is sufficient to replace </w:t>
      </w:r>
      <w:r w:rsidRPr="00F55CE3">
        <w:t>those presently leaving the workforce. Note: this is an i</w:t>
      </w:r>
      <w:r w:rsidR="009805D5" w:rsidRPr="00F55CE3">
        <w:t xml:space="preserve">ndicator for workforce dynamics </w:t>
      </w:r>
      <w:r w:rsidRPr="00F55CE3">
        <w:t>assessment purposes only and is not intended to guide training numbers for the future.</w:t>
      </w:r>
    </w:p>
    <w:p w:rsidR="00972059" w:rsidRPr="00F55CE3" w:rsidRDefault="009805D5" w:rsidP="007D48ED">
      <w:pPr>
        <w:spacing w:after="120" w:line="240" w:lineRule="auto"/>
      </w:pPr>
      <w:r w:rsidRPr="00F55CE3">
        <w:rPr>
          <w:b/>
        </w:rPr>
        <w:t>Reliance of overseas trained specialists (OTS</w:t>
      </w:r>
      <w:proofErr w:type="gramStart"/>
      <w:r w:rsidRPr="00F55CE3">
        <w:rPr>
          <w:b/>
        </w:rPr>
        <w:t>)</w:t>
      </w:r>
      <w:r w:rsidRPr="00F55CE3">
        <w:t xml:space="preserve">  –</w:t>
      </w:r>
      <w:proofErr w:type="gramEnd"/>
      <w:r w:rsidRPr="00F55CE3">
        <w:t xml:space="preserve"> workforces with high </w:t>
      </w:r>
      <w:r w:rsidR="00972059" w:rsidRPr="00F55CE3">
        <w:t xml:space="preserve">percentages of </w:t>
      </w:r>
      <w:r w:rsidR="008801C1">
        <w:t>OTS</w:t>
      </w:r>
      <w:r w:rsidR="00972059" w:rsidRPr="00F55CE3">
        <w:t>s are of greater concern due to thei</w:t>
      </w:r>
      <w:r w:rsidRPr="00F55CE3">
        <w:t xml:space="preserve">r dependence on a less reliable </w:t>
      </w:r>
      <w:r w:rsidR="00972059" w:rsidRPr="00F55CE3">
        <w:t>supply stream (for example, changes in immigration policy</w:t>
      </w:r>
      <w:r w:rsidRPr="00F55CE3">
        <w:t xml:space="preserve"> may impact on supply). For the </w:t>
      </w:r>
      <w:r w:rsidR="00972059" w:rsidRPr="00F55CE3">
        <w:t xml:space="preserve">medical specialties there is limited information on the stock of </w:t>
      </w:r>
      <w:r w:rsidR="008801C1">
        <w:t>OTS</w:t>
      </w:r>
      <w:r w:rsidR="007D48ED">
        <w:t xml:space="preserve">s, </w:t>
      </w:r>
      <w:r w:rsidR="007D48ED" w:rsidRPr="00F55CE3">
        <w:t>so</w:t>
      </w:r>
      <w:r w:rsidR="00972059" w:rsidRPr="00F55CE3">
        <w:t xml:space="preserve"> a proxy indicator</w:t>
      </w:r>
      <w:r w:rsidR="007D48ED">
        <w:t xml:space="preserve"> </w:t>
      </w:r>
      <w:r w:rsidR="00972059" w:rsidRPr="00F55CE3">
        <w:t>was developed. This calculated the number of migrants (temporary and permanent) as a</w:t>
      </w:r>
      <w:r w:rsidR="007D48ED">
        <w:t xml:space="preserve"> </w:t>
      </w:r>
      <w:r w:rsidR="00972059" w:rsidRPr="00F55CE3">
        <w:t>percentage of all inflows into the specialty, that is, new fellows plus migrants.</w:t>
      </w:r>
    </w:p>
    <w:p w:rsidR="00692A8D" w:rsidRPr="00F55CE3" w:rsidRDefault="00972059" w:rsidP="00AB404E">
      <w:pPr>
        <w:spacing w:after="120" w:line="240" w:lineRule="auto"/>
      </w:pPr>
      <w:r w:rsidRPr="00F55CE3">
        <w:rPr>
          <w:b/>
        </w:rPr>
        <w:t xml:space="preserve">Duration of training </w:t>
      </w:r>
      <w:proofErr w:type="gramStart"/>
      <w:r w:rsidR="00A76C32">
        <w:rPr>
          <w:b/>
        </w:rPr>
        <w:t>program  -</w:t>
      </w:r>
      <w:proofErr w:type="gramEnd"/>
      <w:r w:rsidR="00A76C32">
        <w:rPr>
          <w:b/>
        </w:rPr>
        <w:t xml:space="preserve"> </w:t>
      </w:r>
      <w:r w:rsidR="009805D5" w:rsidRPr="00F55CE3">
        <w:t>the</w:t>
      </w:r>
      <w:r w:rsidRPr="00F55CE3">
        <w:t xml:space="preserve"> greater the duration of training, the longer i</w:t>
      </w:r>
      <w:r w:rsidR="009805D5" w:rsidRPr="00F55CE3">
        <w:t xml:space="preserve">t takes to train </w:t>
      </w:r>
      <w:r w:rsidRPr="00F55CE3">
        <w:t>a replacement workforce. For the medical specialties, t</w:t>
      </w:r>
      <w:r w:rsidR="009805D5" w:rsidRPr="00F55CE3">
        <w:t xml:space="preserve">raining time for this indicator </w:t>
      </w:r>
      <w:r w:rsidRPr="00F55CE3">
        <w:t>included both basic and advanced training, where such a distinction is made.</w:t>
      </w:r>
    </w:p>
    <w:p w:rsidR="00692A8D" w:rsidRPr="00F55CE3" w:rsidRDefault="00D479E1" w:rsidP="00AB404E">
      <w:pPr>
        <w:spacing w:after="120" w:line="240" w:lineRule="auto"/>
      </w:pPr>
      <w:r w:rsidRPr="00F55CE3">
        <w:t xml:space="preserve">The below </w:t>
      </w:r>
      <w:r w:rsidR="007F1C4C">
        <w:t xml:space="preserve">scale is used to rate the </w:t>
      </w:r>
      <w:r w:rsidR="002E1EF9">
        <w:t>four indicators:</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Caption w:val="Workforce dynamics indicator diagram"/>
        <w:tblDescription w:val="Shows a scale from minimal concern (green) to significant concern (red)"/>
      </w:tblPr>
      <w:tblGrid>
        <w:gridCol w:w="1559"/>
        <w:gridCol w:w="1560"/>
        <w:gridCol w:w="1559"/>
        <w:gridCol w:w="1559"/>
        <w:gridCol w:w="1559"/>
      </w:tblGrid>
      <w:tr w:rsidR="009659CC" w:rsidTr="00603BB2">
        <w:trPr>
          <w:trHeight w:val="781"/>
          <w:tblHeader/>
        </w:trPr>
        <w:tc>
          <w:tcPr>
            <w:tcW w:w="1559" w:type="dxa"/>
            <w:tcBorders>
              <w:top w:val="single" w:sz="12" w:space="0" w:color="auto"/>
            </w:tcBorders>
            <w:shd w:val="clear" w:color="auto" w:fill="00B050"/>
          </w:tcPr>
          <w:p w:rsidR="009659CC" w:rsidRPr="009659CC" w:rsidRDefault="009659CC" w:rsidP="009659CC">
            <w:r w:rsidRPr="009659CC">
              <w:t>Minimal concern</w:t>
            </w:r>
          </w:p>
        </w:tc>
        <w:tc>
          <w:tcPr>
            <w:tcW w:w="1560" w:type="dxa"/>
            <w:tcBorders>
              <w:top w:val="single" w:sz="12" w:space="0" w:color="auto"/>
            </w:tcBorders>
            <w:shd w:val="clear" w:color="auto" w:fill="FFFF00"/>
          </w:tcPr>
          <w:p w:rsidR="009659CC" w:rsidRDefault="009659CC" w:rsidP="00F55CE3">
            <w:pPr>
              <w:spacing w:before="120"/>
              <w:jc w:val="center"/>
            </w:pPr>
          </w:p>
        </w:tc>
        <w:tc>
          <w:tcPr>
            <w:tcW w:w="1559" w:type="dxa"/>
            <w:tcBorders>
              <w:top w:val="single" w:sz="12" w:space="0" w:color="auto"/>
            </w:tcBorders>
            <w:shd w:val="clear" w:color="auto" w:fill="F79646"/>
          </w:tcPr>
          <w:p w:rsidR="009659CC" w:rsidRDefault="009659CC" w:rsidP="00F55CE3">
            <w:pPr>
              <w:spacing w:before="120"/>
              <w:jc w:val="center"/>
            </w:pPr>
          </w:p>
        </w:tc>
        <w:tc>
          <w:tcPr>
            <w:tcW w:w="1559" w:type="dxa"/>
            <w:tcBorders>
              <w:top w:val="single" w:sz="12" w:space="0" w:color="auto"/>
            </w:tcBorders>
            <w:shd w:val="clear" w:color="auto" w:fill="FF6600"/>
          </w:tcPr>
          <w:p w:rsidR="009659CC" w:rsidRDefault="009659CC" w:rsidP="00F55CE3">
            <w:pPr>
              <w:spacing w:before="120"/>
              <w:jc w:val="center"/>
            </w:pPr>
          </w:p>
        </w:tc>
        <w:tc>
          <w:tcPr>
            <w:tcW w:w="1559" w:type="dxa"/>
            <w:tcBorders>
              <w:top w:val="single" w:sz="12" w:space="0" w:color="auto"/>
              <w:right w:val="single" w:sz="18" w:space="0" w:color="auto"/>
            </w:tcBorders>
            <w:shd w:val="clear" w:color="auto" w:fill="E60000"/>
          </w:tcPr>
          <w:p w:rsidR="009659CC" w:rsidRDefault="009659CC" w:rsidP="00C15B16">
            <w:pPr>
              <w:jc w:val="right"/>
            </w:pPr>
            <w:r w:rsidRPr="00C15B16">
              <w:t>Significant concern</w:t>
            </w:r>
          </w:p>
        </w:tc>
      </w:tr>
    </w:tbl>
    <w:p w:rsidR="00106B44" w:rsidRDefault="00DD6ADC" w:rsidP="00106B44">
      <w:pPr>
        <w:spacing w:before="120" w:after="120" w:line="240" w:lineRule="auto"/>
      </w:pPr>
      <w:r>
        <w:t>For each specialty, t</w:t>
      </w:r>
      <w:r w:rsidR="007F1C4C">
        <w:t xml:space="preserve">he </w:t>
      </w:r>
      <w:r w:rsidR="00092B02">
        <w:t>future considerations</w:t>
      </w:r>
      <w:r w:rsidR="00681251">
        <w:t>,</w:t>
      </w:r>
      <w:r w:rsidR="00092B02">
        <w:t xml:space="preserve"> </w:t>
      </w:r>
      <w:r w:rsidR="00681251">
        <w:t>according to</w:t>
      </w:r>
      <w:r w:rsidR="00092B02">
        <w:t xml:space="preserve"> the </w:t>
      </w:r>
      <w:r w:rsidR="007F1C4C">
        <w:t>workforc</w:t>
      </w:r>
      <w:r>
        <w:t>e dynamics indicator ratings</w:t>
      </w:r>
      <w:r w:rsidR="00681251">
        <w:t>,</w:t>
      </w:r>
      <w:r>
        <w:t xml:space="preserve"> will be</w:t>
      </w:r>
      <w:r w:rsidR="007F1C4C">
        <w:t xml:space="preserve"> presented </w:t>
      </w:r>
      <w:r w:rsidR="00B94E61">
        <w:t xml:space="preserve">as per the following </w:t>
      </w:r>
      <w:r>
        <w:t>example</w:t>
      </w:r>
      <w:r w:rsidR="007F1C4C">
        <w:t>:</w:t>
      </w:r>
    </w:p>
    <w:tbl>
      <w:tblPr>
        <w:tblStyle w:val="TableGrid"/>
        <w:tblW w:w="0" w:type="auto"/>
        <w:tblLook w:val="04A0" w:firstRow="1" w:lastRow="0" w:firstColumn="1" w:lastColumn="0" w:noHBand="0" w:noVBand="1"/>
        <w:tblCaption w:val="Example of future considerations diagram"/>
        <w:tblDescription w:val="Example of the diagram which will be presented for each specialty, showing the relevant colour (from the workforce dynamics indicator scale) for the four workforce dynamics indicators (replacement rate, duration of training program, ageing of the workforce, reliance of OTSs)."/>
      </w:tblPr>
      <w:tblGrid>
        <w:gridCol w:w="5341"/>
        <w:gridCol w:w="5341"/>
      </w:tblGrid>
      <w:tr w:rsidR="00092B02" w:rsidTr="00603BB2">
        <w:trPr>
          <w:tblHeader/>
        </w:trPr>
        <w:tc>
          <w:tcPr>
            <w:tcW w:w="5341" w:type="dxa"/>
            <w:tcBorders>
              <w:top w:val="single" w:sz="12" w:space="0" w:color="auto"/>
              <w:left w:val="single" w:sz="18" w:space="0" w:color="auto"/>
            </w:tcBorders>
            <w:shd w:val="clear" w:color="auto" w:fill="00B050"/>
          </w:tcPr>
          <w:p w:rsidR="00092B02" w:rsidRDefault="00092B02" w:rsidP="00106B44">
            <w:pPr>
              <w:spacing w:before="120" w:after="120"/>
            </w:pPr>
            <w:r w:rsidRPr="00323B8E">
              <w:rPr>
                <w:sz w:val="24"/>
                <w:szCs w:val="24"/>
              </w:rPr>
              <w:t>Replacement rate</w:t>
            </w:r>
          </w:p>
        </w:tc>
        <w:tc>
          <w:tcPr>
            <w:tcW w:w="5341" w:type="dxa"/>
            <w:tcBorders>
              <w:top w:val="single" w:sz="12" w:space="0" w:color="auto"/>
              <w:right w:val="single" w:sz="18" w:space="0" w:color="auto"/>
            </w:tcBorders>
            <w:shd w:val="clear" w:color="auto" w:fill="FFFF00"/>
          </w:tcPr>
          <w:p w:rsidR="00092B02" w:rsidRDefault="00092B02" w:rsidP="00106B44">
            <w:pPr>
              <w:spacing w:before="120" w:after="120"/>
            </w:pPr>
            <w:r w:rsidRPr="00323B8E">
              <w:rPr>
                <w:sz w:val="24"/>
                <w:szCs w:val="24"/>
              </w:rPr>
              <w:t>Duration of training program</w:t>
            </w:r>
          </w:p>
        </w:tc>
      </w:tr>
      <w:tr w:rsidR="00092B02" w:rsidTr="009D5258">
        <w:tc>
          <w:tcPr>
            <w:tcW w:w="5341" w:type="dxa"/>
            <w:tcBorders>
              <w:left w:val="single" w:sz="18" w:space="0" w:color="auto"/>
              <w:bottom w:val="single" w:sz="18" w:space="0" w:color="auto"/>
            </w:tcBorders>
            <w:shd w:val="clear" w:color="auto" w:fill="F79646"/>
          </w:tcPr>
          <w:p w:rsidR="00092B02" w:rsidRDefault="00092B02" w:rsidP="00106B44">
            <w:pPr>
              <w:spacing w:before="120" w:after="120"/>
            </w:pPr>
            <w:r w:rsidRPr="00323B8E">
              <w:rPr>
                <w:sz w:val="24"/>
                <w:szCs w:val="24"/>
              </w:rPr>
              <w:t>Ag</w:t>
            </w:r>
            <w:r w:rsidR="00E46346">
              <w:rPr>
                <w:sz w:val="24"/>
                <w:szCs w:val="24"/>
              </w:rPr>
              <w:t>e</w:t>
            </w:r>
            <w:r w:rsidRPr="00323B8E">
              <w:rPr>
                <w:sz w:val="24"/>
                <w:szCs w:val="24"/>
              </w:rPr>
              <w:t>ing of the workforce</w:t>
            </w:r>
          </w:p>
        </w:tc>
        <w:tc>
          <w:tcPr>
            <w:tcW w:w="5341" w:type="dxa"/>
            <w:tcBorders>
              <w:bottom w:val="single" w:sz="18" w:space="0" w:color="auto"/>
              <w:right w:val="single" w:sz="18" w:space="0" w:color="auto"/>
            </w:tcBorders>
            <w:shd w:val="clear" w:color="auto" w:fill="E60000"/>
          </w:tcPr>
          <w:p w:rsidR="00092B02" w:rsidRDefault="00092B02" w:rsidP="00106B44">
            <w:pPr>
              <w:spacing w:before="120" w:after="120"/>
            </w:pPr>
            <w:r w:rsidRPr="00323B8E">
              <w:rPr>
                <w:sz w:val="24"/>
                <w:szCs w:val="24"/>
              </w:rPr>
              <w:t>Reliance of OTSs</w:t>
            </w:r>
          </w:p>
        </w:tc>
      </w:tr>
    </w:tbl>
    <w:p w:rsidR="00092B02" w:rsidRPr="00F55CE3" w:rsidRDefault="00092B02" w:rsidP="00106B44">
      <w:pPr>
        <w:spacing w:before="120" w:after="120" w:line="240" w:lineRule="auto"/>
      </w:pPr>
    </w:p>
    <w:p w:rsidR="006378C7" w:rsidRPr="000A6997" w:rsidRDefault="006378C7" w:rsidP="000A6997">
      <w:pPr>
        <w:pStyle w:val="Heading3"/>
        <w:spacing w:before="120" w:after="120"/>
      </w:pPr>
      <w:r w:rsidRPr="000A6997">
        <w:t>Further reading</w:t>
      </w:r>
    </w:p>
    <w:p w:rsidR="00CB3DD7" w:rsidRDefault="00CB3DD7" w:rsidP="006378C7">
      <w:pPr>
        <w:spacing w:before="120" w:after="0" w:line="240" w:lineRule="auto"/>
      </w:pPr>
      <w:r>
        <w:t>For</w:t>
      </w:r>
      <w:r w:rsidRPr="00CB3DD7">
        <w:t xml:space="preserve"> detailed </w:t>
      </w:r>
      <w:r w:rsidR="0030112C">
        <w:t xml:space="preserve">analysis </w:t>
      </w:r>
      <w:proofErr w:type="gramStart"/>
      <w:r w:rsidR="0030112C">
        <w:t xml:space="preserve">on </w:t>
      </w:r>
      <w:r w:rsidR="006378C7" w:rsidRPr="006378C7">
        <w:t xml:space="preserve"> the</w:t>
      </w:r>
      <w:proofErr w:type="gramEnd"/>
      <w:r w:rsidR="006378C7" w:rsidRPr="006378C7">
        <w:t xml:space="preserve"> medical specialt</w:t>
      </w:r>
      <w:r w:rsidR="00D71D5D">
        <w:t>ies</w:t>
      </w:r>
      <w:r w:rsidR="006378C7" w:rsidRPr="006378C7">
        <w:t xml:space="preserve"> </w:t>
      </w:r>
      <w:r w:rsidR="00724090">
        <w:t>on</w:t>
      </w:r>
      <w:r w:rsidR="006378C7">
        <w:t xml:space="preserve"> </w:t>
      </w:r>
      <w:r w:rsidR="009E336A">
        <w:t>workforce supply and</w:t>
      </w:r>
      <w:r>
        <w:t xml:space="preserve"> demand</w:t>
      </w:r>
      <w:r w:rsidR="0030112C">
        <w:t>;</w:t>
      </w:r>
      <w:r w:rsidR="0030112C" w:rsidRPr="00CB3DD7">
        <w:t xml:space="preserve"> </w:t>
      </w:r>
      <w:r w:rsidR="0030112C">
        <w:t>and</w:t>
      </w:r>
      <w:r>
        <w:t xml:space="preserve"> projections of </w:t>
      </w:r>
      <w:r w:rsidRPr="00CB3DD7">
        <w:t xml:space="preserve">the numbers </w:t>
      </w:r>
      <w:r w:rsidR="0030112C">
        <w:t xml:space="preserve">required between 2012 and 2025, refer to </w:t>
      </w:r>
      <w:hyperlink r:id="rId10" w:history="1">
        <w:r w:rsidR="007A7B37" w:rsidRPr="00F940F3">
          <w:rPr>
            <w:rStyle w:val="Hyperlink"/>
            <w:i/>
          </w:rPr>
          <w:t>Health Workforce Australia 2012: Health Workforce 2025 – Volume 3 – Medical Specialties</w:t>
        </w:r>
      </w:hyperlink>
      <w:r w:rsidR="007A7B37">
        <w:t>.</w:t>
      </w:r>
    </w:p>
    <w:p w:rsidR="00B47A37" w:rsidRDefault="00B47A37">
      <w:r>
        <w:br w:type="page"/>
      </w:r>
    </w:p>
    <w:p w:rsidR="00B47A37" w:rsidRDefault="00B47A37" w:rsidP="00B47A37">
      <w:pPr>
        <w:spacing w:before="120" w:after="0" w:line="240" w:lineRule="auto"/>
      </w:pPr>
      <w:r>
        <w:lastRenderedPageBreak/>
        <w:t>© of 2015</w:t>
      </w:r>
    </w:p>
    <w:p w:rsidR="00B47A37" w:rsidRDefault="00B47A37" w:rsidP="00B47A37">
      <w:pPr>
        <w:spacing w:before="120" w:after="0" w:line="240" w:lineRule="auto"/>
      </w:pPr>
      <w:r>
        <w:t>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w:t>
      </w:r>
    </w:p>
    <w:sectPr w:rsidR="00B47A37" w:rsidSect="00EA7A8C">
      <w:headerReference w:type="default" r:id="rId11"/>
      <w:footerReference w:type="default" r:id="rId12"/>
      <w:head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785" w:rsidRDefault="00A55785" w:rsidP="008F7267">
      <w:pPr>
        <w:spacing w:after="0" w:line="240" w:lineRule="auto"/>
      </w:pPr>
      <w:r>
        <w:separator/>
      </w:r>
    </w:p>
  </w:endnote>
  <w:endnote w:type="continuationSeparator" w:id="0">
    <w:p w:rsidR="00A55785" w:rsidRDefault="00A55785" w:rsidP="008F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67" w:rsidRDefault="008F7267" w:rsidP="008F7267">
    <w:pPr>
      <w:pStyle w:val="Footer"/>
      <w:tabs>
        <w:tab w:val="left" w:pos="3090"/>
      </w:tabs>
      <w:rPr>
        <w:rFonts w:ascii="Times New Roman" w:hAnsi="Times New Roman" w:cs="Times New Roman"/>
        <w:color w:val="1F497D" w:themeColor="text2"/>
        <w:sz w:val="18"/>
        <w:szCs w:val="18"/>
      </w:rPr>
    </w:pPr>
    <w:r>
      <w:rPr>
        <w:rFonts w:ascii="Times New Roman" w:hAnsi="Times New Roman" w:cs="Times New Roman"/>
        <w:color w:val="1F497D" w:themeColor="text2"/>
        <w:sz w:val="18"/>
        <w:szCs w:val="18"/>
      </w:rPr>
      <w:t>Commonwealth Department of Health</w:t>
    </w:r>
    <w:r>
      <w:rPr>
        <w:rFonts w:ascii="Times New Roman" w:hAnsi="Times New Roman" w:cs="Times New Roman"/>
        <w:color w:val="1F497D" w:themeColor="text2"/>
        <w:sz w:val="18"/>
        <w:szCs w:val="18"/>
      </w:rPr>
      <w:tab/>
    </w:r>
    <w:r>
      <w:rPr>
        <w:rFonts w:ascii="Times New Roman" w:hAnsi="Times New Roman" w:cs="Times New Roman"/>
        <w:color w:val="1F497D" w:themeColor="text2"/>
        <w:sz w:val="18"/>
        <w:szCs w:val="18"/>
      </w:rPr>
      <w:tab/>
    </w:r>
    <w:r>
      <w:rPr>
        <w:rFonts w:ascii="Times New Roman" w:hAnsi="Times New Roman" w:cs="Times New Roman"/>
        <w:color w:val="1F497D" w:themeColor="text2"/>
        <w:sz w:val="18"/>
        <w:szCs w:val="18"/>
      </w:rPr>
      <w:tab/>
      <w:t>NMTAN@health.gov.au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785" w:rsidRDefault="00A55785" w:rsidP="008F7267">
      <w:pPr>
        <w:spacing w:after="0" w:line="240" w:lineRule="auto"/>
      </w:pPr>
      <w:r>
        <w:separator/>
      </w:r>
    </w:p>
  </w:footnote>
  <w:footnote w:type="continuationSeparator" w:id="0">
    <w:p w:rsidR="00A55785" w:rsidRDefault="00A55785" w:rsidP="008F7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8C" w:rsidRDefault="00EA7A8C" w:rsidP="00EA7A8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8C" w:rsidRDefault="00EA7A8C" w:rsidP="00EA7A8C">
    <w:pPr>
      <w:pStyle w:val="Header"/>
      <w:jc w:val="center"/>
    </w:pPr>
    <w:r w:rsidRPr="00F70F57">
      <w:rPr>
        <w:rFonts w:ascii="Arial" w:eastAsiaTheme="majorEastAsia" w:hAnsi="Arial" w:cstheme="majorBidi"/>
        <w:b/>
        <w:bCs/>
        <w:noProof/>
        <w:color w:val="17365D" w:themeColor="text2" w:themeShade="BF"/>
        <w:sz w:val="28"/>
        <w:szCs w:val="28"/>
        <w:lang w:eastAsia="en-AU"/>
      </w:rPr>
      <w:drawing>
        <wp:inline distT="0" distB="0" distL="0" distR="0" wp14:anchorId="1DE0CF65" wp14:editId="54810622">
          <wp:extent cx="2005200" cy="482400"/>
          <wp:effectExtent l="0" t="0" r="0" b="0"/>
          <wp:docPr id="1" name="Picture 1" title="Australian Government -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200" cy="48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60"/>
    <w:multiLevelType w:val="hybridMultilevel"/>
    <w:tmpl w:val="3C8C4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455DF2"/>
    <w:multiLevelType w:val="hybridMultilevel"/>
    <w:tmpl w:val="958CB4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BA39FA"/>
    <w:multiLevelType w:val="hybridMultilevel"/>
    <w:tmpl w:val="FCC25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F901ED"/>
    <w:multiLevelType w:val="hybridMultilevel"/>
    <w:tmpl w:val="0C6ABF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A8A4699"/>
    <w:multiLevelType w:val="hybridMultilevel"/>
    <w:tmpl w:val="1CCADC10"/>
    <w:lvl w:ilvl="0" w:tplc="ED989322">
      <w:start w:val="1"/>
      <w:numFmt w:val="bullet"/>
      <w:lvlText w:val="•"/>
      <w:lvlJc w:val="left"/>
      <w:pPr>
        <w:tabs>
          <w:tab w:val="num" w:pos="720"/>
        </w:tabs>
        <w:ind w:left="720" w:hanging="360"/>
      </w:pPr>
      <w:rPr>
        <w:rFonts w:ascii="Times New Roman" w:hAnsi="Times New Roman" w:hint="default"/>
      </w:rPr>
    </w:lvl>
    <w:lvl w:ilvl="1" w:tplc="F6BC3E78" w:tentative="1">
      <w:start w:val="1"/>
      <w:numFmt w:val="bullet"/>
      <w:lvlText w:val="•"/>
      <w:lvlJc w:val="left"/>
      <w:pPr>
        <w:tabs>
          <w:tab w:val="num" w:pos="1440"/>
        </w:tabs>
        <w:ind w:left="1440" w:hanging="360"/>
      </w:pPr>
      <w:rPr>
        <w:rFonts w:ascii="Times New Roman" w:hAnsi="Times New Roman" w:hint="default"/>
      </w:rPr>
    </w:lvl>
    <w:lvl w:ilvl="2" w:tplc="F9A86766" w:tentative="1">
      <w:start w:val="1"/>
      <w:numFmt w:val="bullet"/>
      <w:lvlText w:val="•"/>
      <w:lvlJc w:val="left"/>
      <w:pPr>
        <w:tabs>
          <w:tab w:val="num" w:pos="2160"/>
        </w:tabs>
        <w:ind w:left="2160" w:hanging="360"/>
      </w:pPr>
      <w:rPr>
        <w:rFonts w:ascii="Times New Roman" w:hAnsi="Times New Roman" w:hint="default"/>
      </w:rPr>
    </w:lvl>
    <w:lvl w:ilvl="3" w:tplc="3B988774" w:tentative="1">
      <w:start w:val="1"/>
      <w:numFmt w:val="bullet"/>
      <w:lvlText w:val="•"/>
      <w:lvlJc w:val="left"/>
      <w:pPr>
        <w:tabs>
          <w:tab w:val="num" w:pos="2880"/>
        </w:tabs>
        <w:ind w:left="2880" w:hanging="360"/>
      </w:pPr>
      <w:rPr>
        <w:rFonts w:ascii="Times New Roman" w:hAnsi="Times New Roman" w:hint="default"/>
      </w:rPr>
    </w:lvl>
    <w:lvl w:ilvl="4" w:tplc="0164C80E" w:tentative="1">
      <w:start w:val="1"/>
      <w:numFmt w:val="bullet"/>
      <w:lvlText w:val="•"/>
      <w:lvlJc w:val="left"/>
      <w:pPr>
        <w:tabs>
          <w:tab w:val="num" w:pos="3600"/>
        </w:tabs>
        <w:ind w:left="3600" w:hanging="360"/>
      </w:pPr>
      <w:rPr>
        <w:rFonts w:ascii="Times New Roman" w:hAnsi="Times New Roman" w:hint="default"/>
      </w:rPr>
    </w:lvl>
    <w:lvl w:ilvl="5" w:tplc="4D10E4D8" w:tentative="1">
      <w:start w:val="1"/>
      <w:numFmt w:val="bullet"/>
      <w:lvlText w:val="•"/>
      <w:lvlJc w:val="left"/>
      <w:pPr>
        <w:tabs>
          <w:tab w:val="num" w:pos="4320"/>
        </w:tabs>
        <w:ind w:left="4320" w:hanging="360"/>
      </w:pPr>
      <w:rPr>
        <w:rFonts w:ascii="Times New Roman" w:hAnsi="Times New Roman" w:hint="default"/>
      </w:rPr>
    </w:lvl>
    <w:lvl w:ilvl="6" w:tplc="C616B160" w:tentative="1">
      <w:start w:val="1"/>
      <w:numFmt w:val="bullet"/>
      <w:lvlText w:val="•"/>
      <w:lvlJc w:val="left"/>
      <w:pPr>
        <w:tabs>
          <w:tab w:val="num" w:pos="5040"/>
        </w:tabs>
        <w:ind w:left="5040" w:hanging="360"/>
      </w:pPr>
      <w:rPr>
        <w:rFonts w:ascii="Times New Roman" w:hAnsi="Times New Roman" w:hint="default"/>
      </w:rPr>
    </w:lvl>
    <w:lvl w:ilvl="7" w:tplc="612098EA" w:tentative="1">
      <w:start w:val="1"/>
      <w:numFmt w:val="bullet"/>
      <w:lvlText w:val="•"/>
      <w:lvlJc w:val="left"/>
      <w:pPr>
        <w:tabs>
          <w:tab w:val="num" w:pos="5760"/>
        </w:tabs>
        <w:ind w:left="5760" w:hanging="360"/>
      </w:pPr>
      <w:rPr>
        <w:rFonts w:ascii="Times New Roman" w:hAnsi="Times New Roman" w:hint="default"/>
      </w:rPr>
    </w:lvl>
    <w:lvl w:ilvl="8" w:tplc="D318DC2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BB2C4F"/>
    <w:multiLevelType w:val="hybridMultilevel"/>
    <w:tmpl w:val="173E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6F7239"/>
    <w:multiLevelType w:val="hybridMultilevel"/>
    <w:tmpl w:val="BEC05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8B0711A"/>
    <w:multiLevelType w:val="hybridMultilevel"/>
    <w:tmpl w:val="E9B2F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733B1B"/>
    <w:multiLevelType w:val="hybridMultilevel"/>
    <w:tmpl w:val="74AEB296"/>
    <w:lvl w:ilvl="0" w:tplc="9C82954C">
      <w:start w:val="1"/>
      <w:numFmt w:val="bullet"/>
      <w:lvlText w:val="•"/>
      <w:lvlJc w:val="left"/>
      <w:pPr>
        <w:tabs>
          <w:tab w:val="num" w:pos="720"/>
        </w:tabs>
        <w:ind w:left="720" w:hanging="360"/>
      </w:pPr>
      <w:rPr>
        <w:rFonts w:ascii="Times New Roman" w:hAnsi="Times New Roman" w:hint="default"/>
      </w:rPr>
    </w:lvl>
    <w:lvl w:ilvl="1" w:tplc="F4BA087A" w:tentative="1">
      <w:start w:val="1"/>
      <w:numFmt w:val="bullet"/>
      <w:lvlText w:val="•"/>
      <w:lvlJc w:val="left"/>
      <w:pPr>
        <w:tabs>
          <w:tab w:val="num" w:pos="1440"/>
        </w:tabs>
        <w:ind w:left="1440" w:hanging="360"/>
      </w:pPr>
      <w:rPr>
        <w:rFonts w:ascii="Times New Roman" w:hAnsi="Times New Roman" w:hint="default"/>
      </w:rPr>
    </w:lvl>
    <w:lvl w:ilvl="2" w:tplc="B120B3D2" w:tentative="1">
      <w:start w:val="1"/>
      <w:numFmt w:val="bullet"/>
      <w:lvlText w:val="•"/>
      <w:lvlJc w:val="left"/>
      <w:pPr>
        <w:tabs>
          <w:tab w:val="num" w:pos="2160"/>
        </w:tabs>
        <w:ind w:left="2160" w:hanging="360"/>
      </w:pPr>
      <w:rPr>
        <w:rFonts w:ascii="Times New Roman" w:hAnsi="Times New Roman" w:hint="default"/>
      </w:rPr>
    </w:lvl>
    <w:lvl w:ilvl="3" w:tplc="1E9A55C4" w:tentative="1">
      <w:start w:val="1"/>
      <w:numFmt w:val="bullet"/>
      <w:lvlText w:val="•"/>
      <w:lvlJc w:val="left"/>
      <w:pPr>
        <w:tabs>
          <w:tab w:val="num" w:pos="2880"/>
        </w:tabs>
        <w:ind w:left="2880" w:hanging="360"/>
      </w:pPr>
      <w:rPr>
        <w:rFonts w:ascii="Times New Roman" w:hAnsi="Times New Roman" w:hint="default"/>
      </w:rPr>
    </w:lvl>
    <w:lvl w:ilvl="4" w:tplc="9F60A582" w:tentative="1">
      <w:start w:val="1"/>
      <w:numFmt w:val="bullet"/>
      <w:lvlText w:val="•"/>
      <w:lvlJc w:val="left"/>
      <w:pPr>
        <w:tabs>
          <w:tab w:val="num" w:pos="3600"/>
        </w:tabs>
        <w:ind w:left="3600" w:hanging="360"/>
      </w:pPr>
      <w:rPr>
        <w:rFonts w:ascii="Times New Roman" w:hAnsi="Times New Roman" w:hint="default"/>
      </w:rPr>
    </w:lvl>
    <w:lvl w:ilvl="5" w:tplc="E7787232" w:tentative="1">
      <w:start w:val="1"/>
      <w:numFmt w:val="bullet"/>
      <w:lvlText w:val="•"/>
      <w:lvlJc w:val="left"/>
      <w:pPr>
        <w:tabs>
          <w:tab w:val="num" w:pos="4320"/>
        </w:tabs>
        <w:ind w:left="4320" w:hanging="360"/>
      </w:pPr>
      <w:rPr>
        <w:rFonts w:ascii="Times New Roman" w:hAnsi="Times New Roman" w:hint="default"/>
      </w:rPr>
    </w:lvl>
    <w:lvl w:ilvl="6" w:tplc="61D80558" w:tentative="1">
      <w:start w:val="1"/>
      <w:numFmt w:val="bullet"/>
      <w:lvlText w:val="•"/>
      <w:lvlJc w:val="left"/>
      <w:pPr>
        <w:tabs>
          <w:tab w:val="num" w:pos="5040"/>
        </w:tabs>
        <w:ind w:left="5040" w:hanging="360"/>
      </w:pPr>
      <w:rPr>
        <w:rFonts w:ascii="Times New Roman" w:hAnsi="Times New Roman" w:hint="default"/>
      </w:rPr>
    </w:lvl>
    <w:lvl w:ilvl="7" w:tplc="643A8BCC" w:tentative="1">
      <w:start w:val="1"/>
      <w:numFmt w:val="bullet"/>
      <w:lvlText w:val="•"/>
      <w:lvlJc w:val="left"/>
      <w:pPr>
        <w:tabs>
          <w:tab w:val="num" w:pos="5760"/>
        </w:tabs>
        <w:ind w:left="5760" w:hanging="360"/>
      </w:pPr>
      <w:rPr>
        <w:rFonts w:ascii="Times New Roman" w:hAnsi="Times New Roman" w:hint="default"/>
      </w:rPr>
    </w:lvl>
    <w:lvl w:ilvl="8" w:tplc="AAA4041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C57B59"/>
    <w:multiLevelType w:val="hybridMultilevel"/>
    <w:tmpl w:val="C562F39E"/>
    <w:lvl w:ilvl="0" w:tplc="8348DE54">
      <w:start w:val="1"/>
      <w:numFmt w:val="bullet"/>
      <w:lvlText w:val="•"/>
      <w:lvlJc w:val="left"/>
      <w:pPr>
        <w:tabs>
          <w:tab w:val="num" w:pos="720"/>
        </w:tabs>
        <w:ind w:left="720" w:hanging="360"/>
      </w:pPr>
      <w:rPr>
        <w:rFonts w:ascii="Times New Roman" w:hAnsi="Times New Roman" w:hint="default"/>
      </w:rPr>
    </w:lvl>
    <w:lvl w:ilvl="1" w:tplc="F35CAD1C" w:tentative="1">
      <w:start w:val="1"/>
      <w:numFmt w:val="bullet"/>
      <w:lvlText w:val="•"/>
      <w:lvlJc w:val="left"/>
      <w:pPr>
        <w:tabs>
          <w:tab w:val="num" w:pos="1440"/>
        </w:tabs>
        <w:ind w:left="1440" w:hanging="360"/>
      </w:pPr>
      <w:rPr>
        <w:rFonts w:ascii="Times New Roman" w:hAnsi="Times New Roman" w:hint="default"/>
      </w:rPr>
    </w:lvl>
    <w:lvl w:ilvl="2" w:tplc="A16AEE46" w:tentative="1">
      <w:start w:val="1"/>
      <w:numFmt w:val="bullet"/>
      <w:lvlText w:val="•"/>
      <w:lvlJc w:val="left"/>
      <w:pPr>
        <w:tabs>
          <w:tab w:val="num" w:pos="2160"/>
        </w:tabs>
        <w:ind w:left="2160" w:hanging="360"/>
      </w:pPr>
      <w:rPr>
        <w:rFonts w:ascii="Times New Roman" w:hAnsi="Times New Roman" w:hint="default"/>
      </w:rPr>
    </w:lvl>
    <w:lvl w:ilvl="3" w:tplc="B14E88CC" w:tentative="1">
      <w:start w:val="1"/>
      <w:numFmt w:val="bullet"/>
      <w:lvlText w:val="•"/>
      <w:lvlJc w:val="left"/>
      <w:pPr>
        <w:tabs>
          <w:tab w:val="num" w:pos="2880"/>
        </w:tabs>
        <w:ind w:left="2880" w:hanging="360"/>
      </w:pPr>
      <w:rPr>
        <w:rFonts w:ascii="Times New Roman" w:hAnsi="Times New Roman" w:hint="default"/>
      </w:rPr>
    </w:lvl>
    <w:lvl w:ilvl="4" w:tplc="5FCC89EC" w:tentative="1">
      <w:start w:val="1"/>
      <w:numFmt w:val="bullet"/>
      <w:lvlText w:val="•"/>
      <w:lvlJc w:val="left"/>
      <w:pPr>
        <w:tabs>
          <w:tab w:val="num" w:pos="3600"/>
        </w:tabs>
        <w:ind w:left="3600" w:hanging="360"/>
      </w:pPr>
      <w:rPr>
        <w:rFonts w:ascii="Times New Roman" w:hAnsi="Times New Roman" w:hint="default"/>
      </w:rPr>
    </w:lvl>
    <w:lvl w:ilvl="5" w:tplc="BBC4D69C" w:tentative="1">
      <w:start w:val="1"/>
      <w:numFmt w:val="bullet"/>
      <w:lvlText w:val="•"/>
      <w:lvlJc w:val="left"/>
      <w:pPr>
        <w:tabs>
          <w:tab w:val="num" w:pos="4320"/>
        </w:tabs>
        <w:ind w:left="4320" w:hanging="360"/>
      </w:pPr>
      <w:rPr>
        <w:rFonts w:ascii="Times New Roman" w:hAnsi="Times New Roman" w:hint="default"/>
      </w:rPr>
    </w:lvl>
    <w:lvl w:ilvl="6" w:tplc="BCEC2598" w:tentative="1">
      <w:start w:val="1"/>
      <w:numFmt w:val="bullet"/>
      <w:lvlText w:val="•"/>
      <w:lvlJc w:val="left"/>
      <w:pPr>
        <w:tabs>
          <w:tab w:val="num" w:pos="5040"/>
        </w:tabs>
        <w:ind w:left="5040" w:hanging="360"/>
      </w:pPr>
      <w:rPr>
        <w:rFonts w:ascii="Times New Roman" w:hAnsi="Times New Roman" w:hint="default"/>
      </w:rPr>
    </w:lvl>
    <w:lvl w:ilvl="7" w:tplc="8EEC8736" w:tentative="1">
      <w:start w:val="1"/>
      <w:numFmt w:val="bullet"/>
      <w:lvlText w:val="•"/>
      <w:lvlJc w:val="left"/>
      <w:pPr>
        <w:tabs>
          <w:tab w:val="num" w:pos="5760"/>
        </w:tabs>
        <w:ind w:left="5760" w:hanging="360"/>
      </w:pPr>
      <w:rPr>
        <w:rFonts w:ascii="Times New Roman" w:hAnsi="Times New Roman" w:hint="default"/>
      </w:rPr>
    </w:lvl>
    <w:lvl w:ilvl="8" w:tplc="BD20E4E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1A5AF3"/>
    <w:multiLevelType w:val="hybridMultilevel"/>
    <w:tmpl w:val="DEC26EC2"/>
    <w:lvl w:ilvl="0" w:tplc="ABB4B830">
      <w:start w:val="1"/>
      <w:numFmt w:val="bullet"/>
      <w:lvlText w:val="•"/>
      <w:lvlJc w:val="left"/>
      <w:pPr>
        <w:tabs>
          <w:tab w:val="num" w:pos="720"/>
        </w:tabs>
        <w:ind w:left="720" w:hanging="360"/>
      </w:pPr>
      <w:rPr>
        <w:rFonts w:ascii="Times New Roman" w:hAnsi="Times New Roman" w:hint="default"/>
      </w:rPr>
    </w:lvl>
    <w:lvl w:ilvl="1" w:tplc="A1EE99B0" w:tentative="1">
      <w:start w:val="1"/>
      <w:numFmt w:val="bullet"/>
      <w:lvlText w:val="•"/>
      <w:lvlJc w:val="left"/>
      <w:pPr>
        <w:tabs>
          <w:tab w:val="num" w:pos="1440"/>
        </w:tabs>
        <w:ind w:left="1440" w:hanging="360"/>
      </w:pPr>
      <w:rPr>
        <w:rFonts w:ascii="Times New Roman" w:hAnsi="Times New Roman" w:hint="default"/>
      </w:rPr>
    </w:lvl>
    <w:lvl w:ilvl="2" w:tplc="A3E28576" w:tentative="1">
      <w:start w:val="1"/>
      <w:numFmt w:val="bullet"/>
      <w:lvlText w:val="•"/>
      <w:lvlJc w:val="left"/>
      <w:pPr>
        <w:tabs>
          <w:tab w:val="num" w:pos="2160"/>
        </w:tabs>
        <w:ind w:left="2160" w:hanging="360"/>
      </w:pPr>
      <w:rPr>
        <w:rFonts w:ascii="Times New Roman" w:hAnsi="Times New Roman" w:hint="default"/>
      </w:rPr>
    </w:lvl>
    <w:lvl w:ilvl="3" w:tplc="77B031E2" w:tentative="1">
      <w:start w:val="1"/>
      <w:numFmt w:val="bullet"/>
      <w:lvlText w:val="•"/>
      <w:lvlJc w:val="left"/>
      <w:pPr>
        <w:tabs>
          <w:tab w:val="num" w:pos="2880"/>
        </w:tabs>
        <w:ind w:left="2880" w:hanging="360"/>
      </w:pPr>
      <w:rPr>
        <w:rFonts w:ascii="Times New Roman" w:hAnsi="Times New Roman" w:hint="default"/>
      </w:rPr>
    </w:lvl>
    <w:lvl w:ilvl="4" w:tplc="FCF26036" w:tentative="1">
      <w:start w:val="1"/>
      <w:numFmt w:val="bullet"/>
      <w:lvlText w:val="•"/>
      <w:lvlJc w:val="left"/>
      <w:pPr>
        <w:tabs>
          <w:tab w:val="num" w:pos="3600"/>
        </w:tabs>
        <w:ind w:left="3600" w:hanging="360"/>
      </w:pPr>
      <w:rPr>
        <w:rFonts w:ascii="Times New Roman" w:hAnsi="Times New Roman" w:hint="default"/>
      </w:rPr>
    </w:lvl>
    <w:lvl w:ilvl="5" w:tplc="93523A3A" w:tentative="1">
      <w:start w:val="1"/>
      <w:numFmt w:val="bullet"/>
      <w:lvlText w:val="•"/>
      <w:lvlJc w:val="left"/>
      <w:pPr>
        <w:tabs>
          <w:tab w:val="num" w:pos="4320"/>
        </w:tabs>
        <w:ind w:left="4320" w:hanging="360"/>
      </w:pPr>
      <w:rPr>
        <w:rFonts w:ascii="Times New Roman" w:hAnsi="Times New Roman" w:hint="default"/>
      </w:rPr>
    </w:lvl>
    <w:lvl w:ilvl="6" w:tplc="2C807E9A" w:tentative="1">
      <w:start w:val="1"/>
      <w:numFmt w:val="bullet"/>
      <w:lvlText w:val="•"/>
      <w:lvlJc w:val="left"/>
      <w:pPr>
        <w:tabs>
          <w:tab w:val="num" w:pos="5040"/>
        </w:tabs>
        <w:ind w:left="5040" w:hanging="360"/>
      </w:pPr>
      <w:rPr>
        <w:rFonts w:ascii="Times New Roman" w:hAnsi="Times New Roman" w:hint="default"/>
      </w:rPr>
    </w:lvl>
    <w:lvl w:ilvl="7" w:tplc="7B587520" w:tentative="1">
      <w:start w:val="1"/>
      <w:numFmt w:val="bullet"/>
      <w:lvlText w:val="•"/>
      <w:lvlJc w:val="left"/>
      <w:pPr>
        <w:tabs>
          <w:tab w:val="num" w:pos="5760"/>
        </w:tabs>
        <w:ind w:left="5760" w:hanging="360"/>
      </w:pPr>
      <w:rPr>
        <w:rFonts w:ascii="Times New Roman" w:hAnsi="Times New Roman" w:hint="default"/>
      </w:rPr>
    </w:lvl>
    <w:lvl w:ilvl="8" w:tplc="B33C8A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247062"/>
    <w:multiLevelType w:val="hybridMultilevel"/>
    <w:tmpl w:val="40347AF8"/>
    <w:lvl w:ilvl="0" w:tplc="1EB6B08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E27255"/>
    <w:multiLevelType w:val="hybridMultilevel"/>
    <w:tmpl w:val="136A3514"/>
    <w:lvl w:ilvl="0" w:tplc="1EB6B086">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0FC65E5"/>
    <w:multiLevelType w:val="hybridMultilevel"/>
    <w:tmpl w:val="876A9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2B079B"/>
    <w:multiLevelType w:val="hybridMultilevel"/>
    <w:tmpl w:val="D7183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E7250DF"/>
    <w:multiLevelType w:val="hybridMultilevel"/>
    <w:tmpl w:val="9DBC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5241F2"/>
    <w:multiLevelType w:val="hybridMultilevel"/>
    <w:tmpl w:val="4134B1A8"/>
    <w:lvl w:ilvl="0" w:tplc="1EB6B086">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EF70EBE"/>
    <w:multiLevelType w:val="hybridMultilevel"/>
    <w:tmpl w:val="5FAE0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F7F08B0"/>
    <w:multiLevelType w:val="hybridMultilevel"/>
    <w:tmpl w:val="22A0E112"/>
    <w:lvl w:ilvl="0" w:tplc="FF50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7"/>
  </w:num>
  <w:num w:numId="6">
    <w:abstractNumId w:val="14"/>
  </w:num>
  <w:num w:numId="7">
    <w:abstractNumId w:val="15"/>
  </w:num>
  <w:num w:numId="8">
    <w:abstractNumId w:val="18"/>
  </w:num>
  <w:num w:numId="9">
    <w:abstractNumId w:val="16"/>
  </w:num>
  <w:num w:numId="10">
    <w:abstractNumId w:val="10"/>
  </w:num>
  <w:num w:numId="11">
    <w:abstractNumId w:val="9"/>
  </w:num>
  <w:num w:numId="12">
    <w:abstractNumId w:val="4"/>
  </w:num>
  <w:num w:numId="13">
    <w:abstractNumId w:val="12"/>
  </w:num>
  <w:num w:numId="14">
    <w:abstractNumId w:val="11"/>
  </w:num>
  <w:num w:numId="15">
    <w:abstractNumId w:val="8"/>
  </w:num>
  <w:num w:numId="16">
    <w:abstractNumId w:val="17"/>
  </w:num>
  <w:num w:numId="17">
    <w:abstractNumId w:val="3"/>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07"/>
    <w:rsid w:val="00004FF0"/>
    <w:rsid w:val="00012239"/>
    <w:rsid w:val="000221F6"/>
    <w:rsid w:val="00027407"/>
    <w:rsid w:val="00032751"/>
    <w:rsid w:val="000466F7"/>
    <w:rsid w:val="00050FA9"/>
    <w:rsid w:val="0005168E"/>
    <w:rsid w:val="000529A6"/>
    <w:rsid w:val="0005684B"/>
    <w:rsid w:val="000779B3"/>
    <w:rsid w:val="00084811"/>
    <w:rsid w:val="000879EF"/>
    <w:rsid w:val="00092B02"/>
    <w:rsid w:val="000A20D4"/>
    <w:rsid w:val="000A5D5C"/>
    <w:rsid w:val="000A6997"/>
    <w:rsid w:val="000A6C11"/>
    <w:rsid w:val="000C657C"/>
    <w:rsid w:val="000E1618"/>
    <w:rsid w:val="000E31E8"/>
    <w:rsid w:val="000F3A14"/>
    <w:rsid w:val="00106B44"/>
    <w:rsid w:val="00113C54"/>
    <w:rsid w:val="00127BB0"/>
    <w:rsid w:val="00136BB9"/>
    <w:rsid w:val="001417EA"/>
    <w:rsid w:val="001440B0"/>
    <w:rsid w:val="00154549"/>
    <w:rsid w:val="001605CF"/>
    <w:rsid w:val="00160807"/>
    <w:rsid w:val="001723F3"/>
    <w:rsid w:val="001824DB"/>
    <w:rsid w:val="00184727"/>
    <w:rsid w:val="00197A27"/>
    <w:rsid w:val="001A28B2"/>
    <w:rsid w:val="001A7413"/>
    <w:rsid w:val="001B3E7C"/>
    <w:rsid w:val="001B75C6"/>
    <w:rsid w:val="001C3B07"/>
    <w:rsid w:val="001C6546"/>
    <w:rsid w:val="001D61F3"/>
    <w:rsid w:val="001E68AF"/>
    <w:rsid w:val="00200F9A"/>
    <w:rsid w:val="00212758"/>
    <w:rsid w:val="00213869"/>
    <w:rsid w:val="0021642E"/>
    <w:rsid w:val="0022702E"/>
    <w:rsid w:val="0023020F"/>
    <w:rsid w:val="0023414C"/>
    <w:rsid w:val="00234B98"/>
    <w:rsid w:val="00254F24"/>
    <w:rsid w:val="00267A07"/>
    <w:rsid w:val="00270E59"/>
    <w:rsid w:val="00271B9C"/>
    <w:rsid w:val="0027542E"/>
    <w:rsid w:val="00283E73"/>
    <w:rsid w:val="00292859"/>
    <w:rsid w:val="00294D04"/>
    <w:rsid w:val="002A24F0"/>
    <w:rsid w:val="002A4166"/>
    <w:rsid w:val="002B452C"/>
    <w:rsid w:val="002C5D36"/>
    <w:rsid w:val="002E1EF9"/>
    <w:rsid w:val="002F1A00"/>
    <w:rsid w:val="0030112C"/>
    <w:rsid w:val="003143EA"/>
    <w:rsid w:val="00323B8E"/>
    <w:rsid w:val="00332EF5"/>
    <w:rsid w:val="00334F5D"/>
    <w:rsid w:val="00340C6C"/>
    <w:rsid w:val="00351659"/>
    <w:rsid w:val="00362E0E"/>
    <w:rsid w:val="00371ECE"/>
    <w:rsid w:val="00380BC3"/>
    <w:rsid w:val="003A7721"/>
    <w:rsid w:val="003B40BC"/>
    <w:rsid w:val="003C3104"/>
    <w:rsid w:val="003F334F"/>
    <w:rsid w:val="00402E60"/>
    <w:rsid w:val="00403AC6"/>
    <w:rsid w:val="004107AE"/>
    <w:rsid w:val="004113F3"/>
    <w:rsid w:val="0041420B"/>
    <w:rsid w:val="00417B36"/>
    <w:rsid w:val="004200FF"/>
    <w:rsid w:val="00433A85"/>
    <w:rsid w:val="0043561A"/>
    <w:rsid w:val="00457D1F"/>
    <w:rsid w:val="004674B2"/>
    <w:rsid w:val="004678A3"/>
    <w:rsid w:val="004709F5"/>
    <w:rsid w:val="0047783F"/>
    <w:rsid w:val="00480BE6"/>
    <w:rsid w:val="00482288"/>
    <w:rsid w:val="004A0A65"/>
    <w:rsid w:val="004C4E42"/>
    <w:rsid w:val="004D1873"/>
    <w:rsid w:val="004F0695"/>
    <w:rsid w:val="004F7332"/>
    <w:rsid w:val="00510397"/>
    <w:rsid w:val="005126FE"/>
    <w:rsid w:val="0052698A"/>
    <w:rsid w:val="00564942"/>
    <w:rsid w:val="0057264C"/>
    <w:rsid w:val="00573F25"/>
    <w:rsid w:val="005743F5"/>
    <w:rsid w:val="00583F63"/>
    <w:rsid w:val="00585A41"/>
    <w:rsid w:val="00587E4C"/>
    <w:rsid w:val="005A048A"/>
    <w:rsid w:val="005A0527"/>
    <w:rsid w:val="005A21B6"/>
    <w:rsid w:val="005A6EBB"/>
    <w:rsid w:val="005B2EC6"/>
    <w:rsid w:val="005C68D0"/>
    <w:rsid w:val="005D2CC8"/>
    <w:rsid w:val="005D7591"/>
    <w:rsid w:val="005E2224"/>
    <w:rsid w:val="005F5111"/>
    <w:rsid w:val="00600D85"/>
    <w:rsid w:val="00603BB2"/>
    <w:rsid w:val="00613975"/>
    <w:rsid w:val="00616918"/>
    <w:rsid w:val="00631A61"/>
    <w:rsid w:val="006371DA"/>
    <w:rsid w:val="006378C7"/>
    <w:rsid w:val="006472D6"/>
    <w:rsid w:val="006633F6"/>
    <w:rsid w:val="00680D42"/>
    <w:rsid w:val="00681251"/>
    <w:rsid w:val="006818CB"/>
    <w:rsid w:val="00681BC8"/>
    <w:rsid w:val="00692A8D"/>
    <w:rsid w:val="00695196"/>
    <w:rsid w:val="006A1467"/>
    <w:rsid w:val="006B1FD4"/>
    <w:rsid w:val="006B4892"/>
    <w:rsid w:val="006B77D1"/>
    <w:rsid w:val="006E33A3"/>
    <w:rsid w:val="006E44CD"/>
    <w:rsid w:val="006F527D"/>
    <w:rsid w:val="006F59DA"/>
    <w:rsid w:val="006F5F52"/>
    <w:rsid w:val="006F6532"/>
    <w:rsid w:val="006F6BF2"/>
    <w:rsid w:val="0070490C"/>
    <w:rsid w:val="007167CC"/>
    <w:rsid w:val="00724090"/>
    <w:rsid w:val="00724D14"/>
    <w:rsid w:val="0075159D"/>
    <w:rsid w:val="007609B5"/>
    <w:rsid w:val="00765C80"/>
    <w:rsid w:val="007663F5"/>
    <w:rsid w:val="00773930"/>
    <w:rsid w:val="00776302"/>
    <w:rsid w:val="007772B9"/>
    <w:rsid w:val="007A229A"/>
    <w:rsid w:val="007A7B37"/>
    <w:rsid w:val="007B4D10"/>
    <w:rsid w:val="007C286A"/>
    <w:rsid w:val="007D48ED"/>
    <w:rsid w:val="007D4ECD"/>
    <w:rsid w:val="007D6F3A"/>
    <w:rsid w:val="007E6255"/>
    <w:rsid w:val="007F1C4C"/>
    <w:rsid w:val="007F49F5"/>
    <w:rsid w:val="007F7C2F"/>
    <w:rsid w:val="00826809"/>
    <w:rsid w:val="00827216"/>
    <w:rsid w:val="00827DDA"/>
    <w:rsid w:val="00836530"/>
    <w:rsid w:val="0084042D"/>
    <w:rsid w:val="00854A2C"/>
    <w:rsid w:val="008568A9"/>
    <w:rsid w:val="00863238"/>
    <w:rsid w:val="008801C1"/>
    <w:rsid w:val="00882680"/>
    <w:rsid w:val="00887EB1"/>
    <w:rsid w:val="00895F79"/>
    <w:rsid w:val="008A38EA"/>
    <w:rsid w:val="008B14A6"/>
    <w:rsid w:val="008B2DFB"/>
    <w:rsid w:val="008B35AD"/>
    <w:rsid w:val="008B3AD5"/>
    <w:rsid w:val="008B469A"/>
    <w:rsid w:val="008F7267"/>
    <w:rsid w:val="00900D9F"/>
    <w:rsid w:val="0090137F"/>
    <w:rsid w:val="00902317"/>
    <w:rsid w:val="009211B7"/>
    <w:rsid w:val="00921C1B"/>
    <w:rsid w:val="00925FE8"/>
    <w:rsid w:val="0093668B"/>
    <w:rsid w:val="00947EA6"/>
    <w:rsid w:val="009501BB"/>
    <w:rsid w:val="009659CC"/>
    <w:rsid w:val="00966FBD"/>
    <w:rsid w:val="00972059"/>
    <w:rsid w:val="009768CD"/>
    <w:rsid w:val="009805D5"/>
    <w:rsid w:val="009A3400"/>
    <w:rsid w:val="009B2294"/>
    <w:rsid w:val="009B4FD4"/>
    <w:rsid w:val="009B60B3"/>
    <w:rsid w:val="009D5258"/>
    <w:rsid w:val="009E336A"/>
    <w:rsid w:val="009E67F5"/>
    <w:rsid w:val="009F0982"/>
    <w:rsid w:val="009F23AA"/>
    <w:rsid w:val="00A041AE"/>
    <w:rsid w:val="00A07CDB"/>
    <w:rsid w:val="00A15273"/>
    <w:rsid w:val="00A47996"/>
    <w:rsid w:val="00A53B0C"/>
    <w:rsid w:val="00A55785"/>
    <w:rsid w:val="00A71209"/>
    <w:rsid w:val="00A76C32"/>
    <w:rsid w:val="00AA0AC7"/>
    <w:rsid w:val="00AB30D2"/>
    <w:rsid w:val="00AB404E"/>
    <w:rsid w:val="00AB5F9D"/>
    <w:rsid w:val="00AC15DA"/>
    <w:rsid w:val="00AC3792"/>
    <w:rsid w:val="00AF1197"/>
    <w:rsid w:val="00AF2734"/>
    <w:rsid w:val="00AF310E"/>
    <w:rsid w:val="00AF4EC8"/>
    <w:rsid w:val="00B013C1"/>
    <w:rsid w:val="00B27FD8"/>
    <w:rsid w:val="00B47A37"/>
    <w:rsid w:val="00B503DB"/>
    <w:rsid w:val="00B52F60"/>
    <w:rsid w:val="00B70821"/>
    <w:rsid w:val="00B72444"/>
    <w:rsid w:val="00B765BF"/>
    <w:rsid w:val="00B80748"/>
    <w:rsid w:val="00B94B13"/>
    <w:rsid w:val="00B94E61"/>
    <w:rsid w:val="00B97367"/>
    <w:rsid w:val="00BA1CA3"/>
    <w:rsid w:val="00BA212C"/>
    <w:rsid w:val="00BB2DD2"/>
    <w:rsid w:val="00BB38C3"/>
    <w:rsid w:val="00BB5B50"/>
    <w:rsid w:val="00BC4651"/>
    <w:rsid w:val="00BD2A52"/>
    <w:rsid w:val="00BF095C"/>
    <w:rsid w:val="00C05F84"/>
    <w:rsid w:val="00C1039B"/>
    <w:rsid w:val="00C10FF3"/>
    <w:rsid w:val="00C148DC"/>
    <w:rsid w:val="00C15B16"/>
    <w:rsid w:val="00C1604C"/>
    <w:rsid w:val="00C26D6B"/>
    <w:rsid w:val="00C279EF"/>
    <w:rsid w:val="00C453A1"/>
    <w:rsid w:val="00C8071B"/>
    <w:rsid w:val="00C8565F"/>
    <w:rsid w:val="00C86A4A"/>
    <w:rsid w:val="00C92858"/>
    <w:rsid w:val="00CA0218"/>
    <w:rsid w:val="00CB0958"/>
    <w:rsid w:val="00CB12AD"/>
    <w:rsid w:val="00CB3DD7"/>
    <w:rsid w:val="00CC1DBE"/>
    <w:rsid w:val="00CD437B"/>
    <w:rsid w:val="00CE4B33"/>
    <w:rsid w:val="00D0352F"/>
    <w:rsid w:val="00D07663"/>
    <w:rsid w:val="00D07A7B"/>
    <w:rsid w:val="00D41875"/>
    <w:rsid w:val="00D47370"/>
    <w:rsid w:val="00D479E1"/>
    <w:rsid w:val="00D64711"/>
    <w:rsid w:val="00D71D5D"/>
    <w:rsid w:val="00D74112"/>
    <w:rsid w:val="00D7436F"/>
    <w:rsid w:val="00D75046"/>
    <w:rsid w:val="00D752A2"/>
    <w:rsid w:val="00D82341"/>
    <w:rsid w:val="00D82A6D"/>
    <w:rsid w:val="00D858E4"/>
    <w:rsid w:val="00D9537A"/>
    <w:rsid w:val="00DA4443"/>
    <w:rsid w:val="00DD6ADC"/>
    <w:rsid w:val="00E01374"/>
    <w:rsid w:val="00E14D18"/>
    <w:rsid w:val="00E33F8C"/>
    <w:rsid w:val="00E420E1"/>
    <w:rsid w:val="00E46346"/>
    <w:rsid w:val="00E47B40"/>
    <w:rsid w:val="00E57C03"/>
    <w:rsid w:val="00E66921"/>
    <w:rsid w:val="00E742F2"/>
    <w:rsid w:val="00E86608"/>
    <w:rsid w:val="00E87CA6"/>
    <w:rsid w:val="00EA7A8C"/>
    <w:rsid w:val="00EB7815"/>
    <w:rsid w:val="00EC07B1"/>
    <w:rsid w:val="00EC3E0E"/>
    <w:rsid w:val="00ED3A72"/>
    <w:rsid w:val="00ED44FE"/>
    <w:rsid w:val="00ED4EE0"/>
    <w:rsid w:val="00EE1449"/>
    <w:rsid w:val="00EE2882"/>
    <w:rsid w:val="00EE4D26"/>
    <w:rsid w:val="00EE6F98"/>
    <w:rsid w:val="00EF07B7"/>
    <w:rsid w:val="00EF3490"/>
    <w:rsid w:val="00F0098E"/>
    <w:rsid w:val="00F074F5"/>
    <w:rsid w:val="00F348B0"/>
    <w:rsid w:val="00F51806"/>
    <w:rsid w:val="00F55CE3"/>
    <w:rsid w:val="00F627A6"/>
    <w:rsid w:val="00F67358"/>
    <w:rsid w:val="00F70F57"/>
    <w:rsid w:val="00F744A3"/>
    <w:rsid w:val="00F77B1A"/>
    <w:rsid w:val="00F826DE"/>
    <w:rsid w:val="00F940F3"/>
    <w:rsid w:val="00FB18A7"/>
    <w:rsid w:val="00FB2CDE"/>
    <w:rsid w:val="00FB646C"/>
    <w:rsid w:val="00FC3A4C"/>
    <w:rsid w:val="00FD12FA"/>
    <w:rsid w:val="00FD6B4B"/>
    <w:rsid w:val="00FD76C2"/>
    <w:rsid w:val="00FF1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06"/>
  </w:style>
  <w:style w:type="paragraph" w:styleId="Heading1">
    <w:name w:val="heading 1"/>
    <w:basedOn w:val="Normal"/>
    <w:next w:val="Normal"/>
    <w:link w:val="Heading1Char"/>
    <w:uiPriority w:val="9"/>
    <w:qFormat/>
    <w:rsid w:val="009D5258"/>
    <w:pPr>
      <w:keepNext/>
      <w:keepLines/>
      <w:spacing w:before="480" w:after="0"/>
      <w:jc w:val="center"/>
      <w:outlineLvl w:val="0"/>
    </w:pPr>
    <w:rPr>
      <w:rFonts w:ascii="Arial" w:eastAsiaTheme="majorEastAsia" w:hAnsi="Arial" w:cstheme="majorBidi"/>
      <w:b/>
      <w:bCs/>
      <w:sz w:val="30"/>
      <w:szCs w:val="28"/>
    </w:rPr>
  </w:style>
  <w:style w:type="paragraph" w:styleId="Heading2">
    <w:name w:val="heading 2"/>
    <w:basedOn w:val="Normal"/>
    <w:next w:val="Normal"/>
    <w:link w:val="Heading2Char"/>
    <w:uiPriority w:val="9"/>
    <w:unhideWhenUsed/>
    <w:qFormat/>
    <w:rsid w:val="009D5258"/>
    <w:pPr>
      <w:keepNext/>
      <w:keepLines/>
      <w:spacing w:before="200" w:after="0"/>
      <w:jc w:val="center"/>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9D5258"/>
    <w:pPr>
      <w:keepNext/>
      <w:keepLines/>
      <w:spacing w:before="60" w:after="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9D5258"/>
    <w:pPr>
      <w:keepNext/>
      <w:keepLines/>
      <w:spacing w:before="200" w:after="0"/>
      <w:outlineLvl w:val="3"/>
    </w:pPr>
    <w:rPr>
      <w:rFonts w:ascii="Arial" w:eastAsiaTheme="majorEastAsia" w:hAnsi="Arial"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F5"/>
    <w:rPr>
      <w:rFonts w:ascii="Tahoma" w:hAnsi="Tahoma" w:cs="Tahoma"/>
      <w:sz w:val="16"/>
      <w:szCs w:val="16"/>
    </w:rPr>
  </w:style>
  <w:style w:type="table" w:styleId="TableGrid">
    <w:name w:val="Table Grid"/>
    <w:basedOn w:val="TableNormal"/>
    <w:uiPriority w:val="59"/>
    <w:rsid w:val="00D7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B33"/>
    <w:pPr>
      <w:ind w:left="720"/>
      <w:contextualSpacing/>
    </w:pPr>
  </w:style>
  <w:style w:type="character" w:styleId="CommentReference">
    <w:name w:val="annotation reference"/>
    <w:basedOn w:val="DefaultParagraphFont"/>
    <w:uiPriority w:val="99"/>
    <w:semiHidden/>
    <w:unhideWhenUsed/>
    <w:rsid w:val="00564942"/>
    <w:rPr>
      <w:sz w:val="16"/>
      <w:szCs w:val="16"/>
    </w:rPr>
  </w:style>
  <w:style w:type="paragraph" w:styleId="CommentText">
    <w:name w:val="annotation text"/>
    <w:basedOn w:val="Normal"/>
    <w:link w:val="CommentTextChar"/>
    <w:uiPriority w:val="99"/>
    <w:semiHidden/>
    <w:unhideWhenUsed/>
    <w:rsid w:val="00564942"/>
    <w:pPr>
      <w:spacing w:line="240" w:lineRule="auto"/>
    </w:pPr>
    <w:rPr>
      <w:sz w:val="20"/>
      <w:szCs w:val="20"/>
    </w:rPr>
  </w:style>
  <w:style w:type="character" w:customStyle="1" w:styleId="CommentTextChar">
    <w:name w:val="Comment Text Char"/>
    <w:basedOn w:val="DefaultParagraphFont"/>
    <w:link w:val="CommentText"/>
    <w:uiPriority w:val="99"/>
    <w:semiHidden/>
    <w:rsid w:val="00564942"/>
    <w:rPr>
      <w:sz w:val="20"/>
      <w:szCs w:val="20"/>
    </w:rPr>
  </w:style>
  <w:style w:type="paragraph" w:styleId="CommentSubject">
    <w:name w:val="annotation subject"/>
    <w:basedOn w:val="CommentText"/>
    <w:next w:val="CommentText"/>
    <w:link w:val="CommentSubjectChar"/>
    <w:uiPriority w:val="99"/>
    <w:semiHidden/>
    <w:unhideWhenUsed/>
    <w:rsid w:val="00564942"/>
    <w:rPr>
      <w:b/>
      <w:bCs/>
    </w:rPr>
  </w:style>
  <w:style w:type="character" w:customStyle="1" w:styleId="CommentSubjectChar">
    <w:name w:val="Comment Subject Char"/>
    <w:basedOn w:val="CommentTextChar"/>
    <w:link w:val="CommentSubject"/>
    <w:uiPriority w:val="99"/>
    <w:semiHidden/>
    <w:rsid w:val="00564942"/>
    <w:rPr>
      <w:b/>
      <w:bCs/>
      <w:sz w:val="20"/>
      <w:szCs w:val="20"/>
    </w:rPr>
  </w:style>
  <w:style w:type="character" w:styleId="Hyperlink">
    <w:name w:val="Hyperlink"/>
    <w:basedOn w:val="DefaultParagraphFont"/>
    <w:uiPriority w:val="99"/>
    <w:unhideWhenUsed/>
    <w:rsid w:val="005E2224"/>
    <w:rPr>
      <w:color w:val="0000FF" w:themeColor="hyperlink"/>
      <w:u w:val="single"/>
    </w:rPr>
  </w:style>
  <w:style w:type="paragraph" w:styleId="Header">
    <w:name w:val="header"/>
    <w:basedOn w:val="Normal"/>
    <w:link w:val="HeaderChar"/>
    <w:uiPriority w:val="99"/>
    <w:unhideWhenUsed/>
    <w:rsid w:val="008F7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267"/>
  </w:style>
  <w:style w:type="paragraph" w:styleId="Footer">
    <w:name w:val="footer"/>
    <w:basedOn w:val="Normal"/>
    <w:link w:val="FooterChar"/>
    <w:uiPriority w:val="99"/>
    <w:unhideWhenUsed/>
    <w:rsid w:val="008F7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267"/>
  </w:style>
  <w:style w:type="character" w:styleId="FollowedHyperlink">
    <w:name w:val="FollowedHyperlink"/>
    <w:basedOn w:val="DefaultParagraphFont"/>
    <w:uiPriority w:val="99"/>
    <w:semiHidden/>
    <w:unhideWhenUsed/>
    <w:rsid w:val="007A7B37"/>
    <w:rPr>
      <w:color w:val="800080" w:themeColor="followedHyperlink"/>
      <w:u w:val="single"/>
    </w:rPr>
  </w:style>
  <w:style w:type="character" w:customStyle="1" w:styleId="Heading3Char">
    <w:name w:val="Heading 3 Char"/>
    <w:basedOn w:val="DefaultParagraphFont"/>
    <w:link w:val="Heading3"/>
    <w:uiPriority w:val="9"/>
    <w:rsid w:val="009D5258"/>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9D5258"/>
    <w:rPr>
      <w:rFonts w:ascii="Arial" w:eastAsiaTheme="majorEastAsia" w:hAnsi="Arial" w:cstheme="majorBidi"/>
      <w:b/>
      <w:bCs/>
      <w:iCs/>
      <w:sz w:val="24"/>
    </w:rPr>
  </w:style>
  <w:style w:type="character" w:customStyle="1" w:styleId="Heading1Char">
    <w:name w:val="Heading 1 Char"/>
    <w:basedOn w:val="DefaultParagraphFont"/>
    <w:link w:val="Heading1"/>
    <w:uiPriority w:val="9"/>
    <w:rsid w:val="009D5258"/>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9D5258"/>
    <w:rPr>
      <w:rFonts w:ascii="Arial" w:eastAsiaTheme="majorEastAsia" w:hAnsi="Arial" w:cstheme="majorBidi"/>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06"/>
  </w:style>
  <w:style w:type="paragraph" w:styleId="Heading1">
    <w:name w:val="heading 1"/>
    <w:basedOn w:val="Normal"/>
    <w:next w:val="Normal"/>
    <w:link w:val="Heading1Char"/>
    <w:uiPriority w:val="9"/>
    <w:qFormat/>
    <w:rsid w:val="009D5258"/>
    <w:pPr>
      <w:keepNext/>
      <w:keepLines/>
      <w:spacing w:before="480" w:after="0"/>
      <w:jc w:val="center"/>
      <w:outlineLvl w:val="0"/>
    </w:pPr>
    <w:rPr>
      <w:rFonts w:ascii="Arial" w:eastAsiaTheme="majorEastAsia" w:hAnsi="Arial" w:cstheme="majorBidi"/>
      <w:b/>
      <w:bCs/>
      <w:sz w:val="30"/>
      <w:szCs w:val="28"/>
    </w:rPr>
  </w:style>
  <w:style w:type="paragraph" w:styleId="Heading2">
    <w:name w:val="heading 2"/>
    <w:basedOn w:val="Normal"/>
    <w:next w:val="Normal"/>
    <w:link w:val="Heading2Char"/>
    <w:uiPriority w:val="9"/>
    <w:unhideWhenUsed/>
    <w:qFormat/>
    <w:rsid w:val="009D5258"/>
    <w:pPr>
      <w:keepNext/>
      <w:keepLines/>
      <w:spacing w:before="200" w:after="0"/>
      <w:jc w:val="center"/>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9D5258"/>
    <w:pPr>
      <w:keepNext/>
      <w:keepLines/>
      <w:spacing w:before="60" w:after="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9D5258"/>
    <w:pPr>
      <w:keepNext/>
      <w:keepLines/>
      <w:spacing w:before="200" w:after="0"/>
      <w:outlineLvl w:val="3"/>
    </w:pPr>
    <w:rPr>
      <w:rFonts w:ascii="Arial" w:eastAsiaTheme="majorEastAsia" w:hAnsi="Arial"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F5"/>
    <w:rPr>
      <w:rFonts w:ascii="Tahoma" w:hAnsi="Tahoma" w:cs="Tahoma"/>
      <w:sz w:val="16"/>
      <w:szCs w:val="16"/>
    </w:rPr>
  </w:style>
  <w:style w:type="table" w:styleId="TableGrid">
    <w:name w:val="Table Grid"/>
    <w:basedOn w:val="TableNormal"/>
    <w:uiPriority w:val="59"/>
    <w:rsid w:val="00D7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B33"/>
    <w:pPr>
      <w:ind w:left="720"/>
      <w:contextualSpacing/>
    </w:pPr>
  </w:style>
  <w:style w:type="character" w:styleId="CommentReference">
    <w:name w:val="annotation reference"/>
    <w:basedOn w:val="DefaultParagraphFont"/>
    <w:uiPriority w:val="99"/>
    <w:semiHidden/>
    <w:unhideWhenUsed/>
    <w:rsid w:val="00564942"/>
    <w:rPr>
      <w:sz w:val="16"/>
      <w:szCs w:val="16"/>
    </w:rPr>
  </w:style>
  <w:style w:type="paragraph" w:styleId="CommentText">
    <w:name w:val="annotation text"/>
    <w:basedOn w:val="Normal"/>
    <w:link w:val="CommentTextChar"/>
    <w:uiPriority w:val="99"/>
    <w:semiHidden/>
    <w:unhideWhenUsed/>
    <w:rsid w:val="00564942"/>
    <w:pPr>
      <w:spacing w:line="240" w:lineRule="auto"/>
    </w:pPr>
    <w:rPr>
      <w:sz w:val="20"/>
      <w:szCs w:val="20"/>
    </w:rPr>
  </w:style>
  <w:style w:type="character" w:customStyle="1" w:styleId="CommentTextChar">
    <w:name w:val="Comment Text Char"/>
    <w:basedOn w:val="DefaultParagraphFont"/>
    <w:link w:val="CommentText"/>
    <w:uiPriority w:val="99"/>
    <w:semiHidden/>
    <w:rsid w:val="00564942"/>
    <w:rPr>
      <w:sz w:val="20"/>
      <w:szCs w:val="20"/>
    </w:rPr>
  </w:style>
  <w:style w:type="paragraph" w:styleId="CommentSubject">
    <w:name w:val="annotation subject"/>
    <w:basedOn w:val="CommentText"/>
    <w:next w:val="CommentText"/>
    <w:link w:val="CommentSubjectChar"/>
    <w:uiPriority w:val="99"/>
    <w:semiHidden/>
    <w:unhideWhenUsed/>
    <w:rsid w:val="00564942"/>
    <w:rPr>
      <w:b/>
      <w:bCs/>
    </w:rPr>
  </w:style>
  <w:style w:type="character" w:customStyle="1" w:styleId="CommentSubjectChar">
    <w:name w:val="Comment Subject Char"/>
    <w:basedOn w:val="CommentTextChar"/>
    <w:link w:val="CommentSubject"/>
    <w:uiPriority w:val="99"/>
    <w:semiHidden/>
    <w:rsid w:val="00564942"/>
    <w:rPr>
      <w:b/>
      <w:bCs/>
      <w:sz w:val="20"/>
      <w:szCs w:val="20"/>
    </w:rPr>
  </w:style>
  <w:style w:type="character" w:styleId="Hyperlink">
    <w:name w:val="Hyperlink"/>
    <w:basedOn w:val="DefaultParagraphFont"/>
    <w:uiPriority w:val="99"/>
    <w:unhideWhenUsed/>
    <w:rsid w:val="005E2224"/>
    <w:rPr>
      <w:color w:val="0000FF" w:themeColor="hyperlink"/>
      <w:u w:val="single"/>
    </w:rPr>
  </w:style>
  <w:style w:type="paragraph" w:styleId="Header">
    <w:name w:val="header"/>
    <w:basedOn w:val="Normal"/>
    <w:link w:val="HeaderChar"/>
    <w:uiPriority w:val="99"/>
    <w:unhideWhenUsed/>
    <w:rsid w:val="008F7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267"/>
  </w:style>
  <w:style w:type="paragraph" w:styleId="Footer">
    <w:name w:val="footer"/>
    <w:basedOn w:val="Normal"/>
    <w:link w:val="FooterChar"/>
    <w:uiPriority w:val="99"/>
    <w:unhideWhenUsed/>
    <w:rsid w:val="008F7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267"/>
  </w:style>
  <w:style w:type="character" w:styleId="FollowedHyperlink">
    <w:name w:val="FollowedHyperlink"/>
    <w:basedOn w:val="DefaultParagraphFont"/>
    <w:uiPriority w:val="99"/>
    <w:semiHidden/>
    <w:unhideWhenUsed/>
    <w:rsid w:val="007A7B37"/>
    <w:rPr>
      <w:color w:val="800080" w:themeColor="followedHyperlink"/>
      <w:u w:val="single"/>
    </w:rPr>
  </w:style>
  <w:style w:type="character" w:customStyle="1" w:styleId="Heading3Char">
    <w:name w:val="Heading 3 Char"/>
    <w:basedOn w:val="DefaultParagraphFont"/>
    <w:link w:val="Heading3"/>
    <w:uiPriority w:val="9"/>
    <w:rsid w:val="009D5258"/>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9D5258"/>
    <w:rPr>
      <w:rFonts w:ascii="Arial" w:eastAsiaTheme="majorEastAsia" w:hAnsi="Arial" w:cstheme="majorBidi"/>
      <w:b/>
      <w:bCs/>
      <w:iCs/>
      <w:sz w:val="24"/>
    </w:rPr>
  </w:style>
  <w:style w:type="character" w:customStyle="1" w:styleId="Heading1Char">
    <w:name w:val="Heading 1 Char"/>
    <w:basedOn w:val="DefaultParagraphFont"/>
    <w:link w:val="Heading1"/>
    <w:uiPriority w:val="9"/>
    <w:rsid w:val="009D5258"/>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9D5258"/>
    <w:rPr>
      <w:rFonts w:ascii="Arial" w:eastAsiaTheme="majorEastAsia" w:hAnsi="Arial"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7763">
      <w:bodyDiv w:val="1"/>
      <w:marLeft w:val="0"/>
      <w:marRight w:val="0"/>
      <w:marTop w:val="0"/>
      <w:marBottom w:val="0"/>
      <w:divBdr>
        <w:top w:val="none" w:sz="0" w:space="0" w:color="auto"/>
        <w:left w:val="none" w:sz="0" w:space="0" w:color="auto"/>
        <w:bottom w:val="none" w:sz="0" w:space="0" w:color="auto"/>
        <w:right w:val="none" w:sz="0" w:space="0" w:color="auto"/>
      </w:divBdr>
      <w:divsChild>
        <w:div w:id="669941209">
          <w:marLeft w:val="547"/>
          <w:marRight w:val="0"/>
          <w:marTop w:val="0"/>
          <w:marBottom w:val="0"/>
          <w:divBdr>
            <w:top w:val="none" w:sz="0" w:space="0" w:color="auto"/>
            <w:left w:val="none" w:sz="0" w:space="0" w:color="auto"/>
            <w:bottom w:val="none" w:sz="0" w:space="0" w:color="auto"/>
            <w:right w:val="none" w:sz="0" w:space="0" w:color="auto"/>
          </w:divBdr>
        </w:div>
      </w:divsChild>
    </w:div>
    <w:div w:id="888105977">
      <w:bodyDiv w:val="1"/>
      <w:marLeft w:val="0"/>
      <w:marRight w:val="0"/>
      <w:marTop w:val="0"/>
      <w:marBottom w:val="0"/>
      <w:divBdr>
        <w:top w:val="none" w:sz="0" w:space="0" w:color="auto"/>
        <w:left w:val="none" w:sz="0" w:space="0" w:color="auto"/>
        <w:bottom w:val="none" w:sz="0" w:space="0" w:color="auto"/>
        <w:right w:val="none" w:sz="0" w:space="0" w:color="auto"/>
      </w:divBdr>
      <w:divsChild>
        <w:div w:id="1717119043">
          <w:marLeft w:val="547"/>
          <w:marRight w:val="0"/>
          <w:marTop w:val="0"/>
          <w:marBottom w:val="0"/>
          <w:divBdr>
            <w:top w:val="none" w:sz="0" w:space="0" w:color="auto"/>
            <w:left w:val="none" w:sz="0" w:space="0" w:color="auto"/>
            <w:bottom w:val="none" w:sz="0" w:space="0" w:color="auto"/>
            <w:right w:val="none" w:sz="0" w:space="0" w:color="auto"/>
          </w:divBdr>
        </w:div>
      </w:divsChild>
    </w:div>
    <w:div w:id="97749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6936">
          <w:marLeft w:val="547"/>
          <w:marRight w:val="0"/>
          <w:marTop w:val="0"/>
          <w:marBottom w:val="0"/>
          <w:divBdr>
            <w:top w:val="none" w:sz="0" w:space="0" w:color="auto"/>
            <w:left w:val="none" w:sz="0" w:space="0" w:color="auto"/>
            <w:bottom w:val="none" w:sz="0" w:space="0" w:color="auto"/>
            <w:right w:val="none" w:sz="0" w:space="0" w:color="auto"/>
          </w:divBdr>
        </w:div>
      </w:divsChild>
    </w:div>
    <w:div w:id="1072391454">
      <w:bodyDiv w:val="1"/>
      <w:marLeft w:val="0"/>
      <w:marRight w:val="0"/>
      <w:marTop w:val="0"/>
      <w:marBottom w:val="0"/>
      <w:divBdr>
        <w:top w:val="none" w:sz="0" w:space="0" w:color="auto"/>
        <w:left w:val="none" w:sz="0" w:space="0" w:color="auto"/>
        <w:bottom w:val="none" w:sz="0" w:space="0" w:color="auto"/>
        <w:right w:val="none" w:sz="0" w:space="0" w:color="auto"/>
      </w:divBdr>
    </w:div>
    <w:div w:id="1415661187">
      <w:bodyDiv w:val="1"/>
      <w:marLeft w:val="0"/>
      <w:marRight w:val="0"/>
      <w:marTop w:val="0"/>
      <w:marBottom w:val="0"/>
      <w:divBdr>
        <w:top w:val="none" w:sz="0" w:space="0" w:color="auto"/>
        <w:left w:val="none" w:sz="0" w:space="0" w:color="auto"/>
        <w:bottom w:val="none" w:sz="0" w:space="0" w:color="auto"/>
        <w:right w:val="none" w:sz="0" w:space="0" w:color="auto"/>
      </w:divBdr>
      <w:divsChild>
        <w:div w:id="1298218367">
          <w:marLeft w:val="547"/>
          <w:marRight w:val="0"/>
          <w:marTop w:val="0"/>
          <w:marBottom w:val="0"/>
          <w:divBdr>
            <w:top w:val="none" w:sz="0" w:space="0" w:color="auto"/>
            <w:left w:val="none" w:sz="0" w:space="0" w:color="auto"/>
            <w:bottom w:val="none" w:sz="0" w:space="0" w:color="auto"/>
            <w:right w:val="none" w:sz="0" w:space="0" w:color="auto"/>
          </w:divBdr>
        </w:div>
      </w:divsChild>
    </w:div>
    <w:div w:id="1647199891">
      <w:bodyDiv w:val="1"/>
      <w:marLeft w:val="0"/>
      <w:marRight w:val="0"/>
      <w:marTop w:val="0"/>
      <w:marBottom w:val="0"/>
      <w:divBdr>
        <w:top w:val="none" w:sz="0" w:space="0" w:color="auto"/>
        <w:left w:val="none" w:sz="0" w:space="0" w:color="auto"/>
        <w:bottom w:val="none" w:sz="0" w:space="0" w:color="auto"/>
        <w:right w:val="none" w:sz="0" w:space="0" w:color="auto"/>
      </w:divBdr>
    </w:div>
    <w:div w:id="1732072430">
      <w:bodyDiv w:val="1"/>
      <w:marLeft w:val="0"/>
      <w:marRight w:val="0"/>
      <w:marTop w:val="0"/>
      <w:marBottom w:val="0"/>
      <w:divBdr>
        <w:top w:val="none" w:sz="0" w:space="0" w:color="auto"/>
        <w:left w:val="none" w:sz="0" w:space="0" w:color="auto"/>
        <w:bottom w:val="none" w:sz="0" w:space="0" w:color="auto"/>
        <w:right w:val="none" w:sz="0" w:space="0" w:color="auto"/>
      </w:divBdr>
    </w:div>
    <w:div w:id="1756631174">
      <w:bodyDiv w:val="1"/>
      <w:marLeft w:val="0"/>
      <w:marRight w:val="0"/>
      <w:marTop w:val="0"/>
      <w:marBottom w:val="0"/>
      <w:divBdr>
        <w:top w:val="none" w:sz="0" w:space="0" w:color="auto"/>
        <w:left w:val="none" w:sz="0" w:space="0" w:color="auto"/>
        <w:bottom w:val="none" w:sz="0" w:space="0" w:color="auto"/>
        <w:right w:val="none" w:sz="0" w:space="0" w:color="auto"/>
      </w:divBdr>
      <w:divsChild>
        <w:div w:id="297806533">
          <w:marLeft w:val="547"/>
          <w:marRight w:val="0"/>
          <w:marTop w:val="0"/>
          <w:marBottom w:val="0"/>
          <w:divBdr>
            <w:top w:val="none" w:sz="0" w:space="0" w:color="auto"/>
            <w:left w:val="none" w:sz="0" w:space="0" w:color="auto"/>
            <w:bottom w:val="none" w:sz="0" w:space="0" w:color="auto"/>
            <w:right w:val="none" w:sz="0" w:space="0" w:color="auto"/>
          </w:divBdr>
        </w:div>
      </w:divsChild>
    </w:div>
    <w:div w:id="1795294773">
      <w:bodyDiv w:val="1"/>
      <w:marLeft w:val="0"/>
      <w:marRight w:val="0"/>
      <w:marTop w:val="0"/>
      <w:marBottom w:val="0"/>
      <w:divBdr>
        <w:top w:val="none" w:sz="0" w:space="0" w:color="auto"/>
        <w:left w:val="none" w:sz="0" w:space="0" w:color="auto"/>
        <w:bottom w:val="none" w:sz="0" w:space="0" w:color="auto"/>
        <w:right w:val="none" w:sz="0" w:space="0" w:color="auto"/>
      </w:divBdr>
    </w:div>
    <w:div w:id="1844003048">
      <w:bodyDiv w:val="1"/>
      <w:marLeft w:val="0"/>
      <w:marRight w:val="0"/>
      <w:marTop w:val="0"/>
      <w:marBottom w:val="0"/>
      <w:divBdr>
        <w:top w:val="none" w:sz="0" w:space="0" w:color="auto"/>
        <w:left w:val="none" w:sz="0" w:space="0" w:color="auto"/>
        <w:bottom w:val="none" w:sz="0" w:space="0" w:color="auto"/>
        <w:right w:val="none" w:sz="0" w:space="0" w:color="auto"/>
      </w:divBdr>
    </w:div>
    <w:div w:id="20575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wa.gov.au/sites/uploads/HW2025_V3_FinalReport20121109.pdf" TargetMode="External"/><Relationship Id="rId4" Type="http://schemas.microsoft.com/office/2007/relationships/stylesWithEffects" Target="stylesWithEffects.xml"/><Relationship Id="rId9" Type="http://schemas.openxmlformats.org/officeDocument/2006/relationships/hyperlink" Target="https://www.hwa.gov.au/sites/uploads/HW2025_V3_FinalReport20121109.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0EAE-F78F-4F46-A5E5-96122490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Kate</dc:creator>
  <cp:lastModifiedBy>FAULKNER, Rachael</cp:lastModifiedBy>
  <cp:revision>2</cp:revision>
  <cp:lastPrinted>2015-08-27T06:13:00Z</cp:lastPrinted>
  <dcterms:created xsi:type="dcterms:W3CDTF">2017-09-29T01:32:00Z</dcterms:created>
  <dcterms:modified xsi:type="dcterms:W3CDTF">2017-09-29T01:32:00Z</dcterms:modified>
</cp:coreProperties>
</file>