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14, 2020 Summary Notes for Selected Diseases</w:t>
      </w:r>
      <w:r>
        <w:rPr>
          <w:spacing w:val="-52"/>
          <w:u w:val="none"/>
        </w:rPr>
        <w:t> </w:t>
      </w:r>
      <w:bookmarkStart w:name="4 July to 17 July 2020" w:id="1"/>
      <w:bookmarkEnd w:id="1"/>
      <w:r>
        <w:rPr>
          <w:u w:val="single"/>
        </w:rPr>
        <w:t>4</w:t>
      </w:r>
      <w:r>
        <w:rPr>
          <w:u w:val="single"/>
        </w:rPr>
        <w:t> July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17</w:t>
      </w:r>
      <w:r>
        <w:rPr>
          <w:spacing w:val="1"/>
          <w:u w:val="single"/>
        </w:rPr>
        <w:t> </w:t>
      </w:r>
      <w:r>
        <w:rPr>
          <w:u w:val="single"/>
        </w:rPr>
        <w:t>July 2020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Title"/>
        <w:spacing w:before="51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2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</w:t>
      </w:r>
      <w:r>
        <w:rPr>
          <w:spacing w:val="-1"/>
        </w:rPr>
        <w:t> </w:t>
      </w:r>
      <w:r>
        <w:rPr/>
        <w:t>Qld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2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line="195" w:lineRule="exact" w:before="0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(19/04/2020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17/07/2020).</w:t>
      </w:r>
    </w:p>
    <w:p>
      <w:pPr>
        <w:spacing w:before="119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17/07/2020.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(18/07/2019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17/07/2020).</w:t>
      </w:r>
    </w:p>
    <w:p>
      <w:pPr>
        <w:spacing w:before="121"/>
        <w:ind w:left="112" w:right="37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17/07/2020.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 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18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280" w:left="1020" w:right="1060"/>
        </w:sectPr>
      </w:pPr>
    </w:p>
    <w:p>
      <w:pPr>
        <w:spacing w:before="40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1.813285pt;width:922.2pt;height:701.8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FN14/2020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04/07/2020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17/07/2020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20/06/2020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03/07/2020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04/07/2019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17/07/2019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17/07/2020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19/04/2020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17/07/2020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18/07/2019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17/07/2020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18/07/2014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17/07/2019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137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2,807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1,270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1,521.8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5,293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6,089.6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4,066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1,804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2,427.8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7,774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9,936.6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1,170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16,191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5,861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6,148.2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33,690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27,169.0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1,939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2,927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3,938.8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244.8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382.0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8,485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2,314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3,512.0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14,489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16,118.2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449.6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2,619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1,803.6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2,905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3,087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11,493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4,681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4,681.0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11,493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11,493.0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854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834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397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2,449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2,666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3,896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40,919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16,277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24,258.8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84,334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97,261.4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1,356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17,300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6,505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6,645.8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32,564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25,514.4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2,494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1,032.8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5,197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3,954.2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538.8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26.2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2,699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2,114.0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240.2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33,866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21,407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36,363.8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165,484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146,259.8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147.6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3,358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3,087.6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9,198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16,194.2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523.8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1,728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1,824.2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1,281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875.2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5,800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4,109.2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1,291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3,664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3,274.6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7,590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2,740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2,440.8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15,307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9,432.8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6,969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3,404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3,474.8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12,285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14,353.4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112.2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95.6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569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417.0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388.2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774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1,487.8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5,041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3,688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1,288.8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1,534.0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5,544.8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537.2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298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100.8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14.9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513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400.6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51.6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1,511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1,389.0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145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2,086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133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2,051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618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3,501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984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9,637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8,063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43,883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159,694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54,446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429,717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(20/07/2020).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8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2021-09-07T23:04:54Z</dcterms:created>
  <dcterms:modified xsi:type="dcterms:W3CDTF">2021-09-07T23:04:54Z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