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ind w:left="2119" w:right="2080" w:firstLine="2"/>
        <w:jc w:val="center"/>
        <w:rPr>
          <w:u w:val="none"/>
        </w:rPr>
      </w:pPr>
      <w:r>
        <w:rPr>
          <w:u w:val="single"/>
        </w:rPr>
        <w:t>National Communicable Diseases Surveillance Report</w:t>
      </w:r>
      <w:r>
        <w:rPr>
          <w:spacing w:val="1"/>
          <w:u w:val="none"/>
        </w:rPr>
        <w:t> </w:t>
      </w:r>
      <w:r>
        <w:rPr>
          <w:u w:val="single"/>
        </w:rPr>
        <w:t>Fortnight 22, 2020 Summary Notes for Selected Diseases</w:t>
      </w:r>
      <w:r>
        <w:rPr>
          <w:spacing w:val="-52"/>
          <w:u w:val="none"/>
        </w:rPr>
        <w:t> </w:t>
      </w:r>
      <w:bookmarkStart w:name="26 October to 08 November 2020" w:id="1"/>
      <w:bookmarkEnd w:id="1"/>
      <w:r>
        <w:rPr>
          <w:u w:val="single"/>
        </w:rPr>
        <w:t>26</w:t>
      </w:r>
      <w:r>
        <w:rPr>
          <w:u w:val="single"/>
        </w:rPr>
        <w:t> October</w:t>
      </w:r>
      <w:r>
        <w:rPr>
          <w:spacing w:val="2"/>
          <w:u w:val="single"/>
        </w:rPr>
        <w:t> </w:t>
      </w:r>
      <w:r>
        <w:rPr>
          <w:u w:val="single"/>
        </w:rPr>
        <w:t>to</w:t>
      </w:r>
      <w:r>
        <w:rPr>
          <w:spacing w:val="-1"/>
          <w:u w:val="single"/>
        </w:rPr>
        <w:t> </w:t>
      </w:r>
      <w:r>
        <w:rPr>
          <w:u w:val="single"/>
        </w:rPr>
        <w:t>08 November</w:t>
      </w:r>
      <w:r>
        <w:rPr>
          <w:spacing w:val="1"/>
          <w:u w:val="single"/>
        </w:rPr>
        <w:t> </w:t>
      </w:r>
      <w:r>
        <w:rPr>
          <w:u w:val="single"/>
        </w:rPr>
        <w:t>2020</w:t>
      </w:r>
    </w:p>
    <w:p>
      <w:pPr>
        <w:pStyle w:val="BodyText"/>
        <w:spacing w:before="9"/>
        <w:rPr>
          <w:b/>
          <w:sz w:val="17"/>
        </w:rPr>
      </w:pPr>
    </w:p>
    <w:p>
      <w:pPr>
        <w:pStyle w:val="Title"/>
        <w:spacing w:before="51"/>
        <w:rPr>
          <w:u w:val="none"/>
        </w:rPr>
      </w:pPr>
      <w:r>
        <w:rPr>
          <w:u w:val="single"/>
        </w:rPr>
        <w:t>Infectious</w:t>
      </w:r>
      <w:r>
        <w:rPr>
          <w:spacing w:val="-5"/>
          <w:u w:val="single"/>
        </w:rPr>
        <w:t> </w:t>
      </w:r>
      <w:r>
        <w:rPr>
          <w:u w:val="single"/>
        </w:rPr>
        <w:t>and</w:t>
      </w:r>
      <w:r>
        <w:rPr>
          <w:spacing w:val="-3"/>
          <w:u w:val="single"/>
        </w:rPr>
        <w:t> </w:t>
      </w:r>
      <w:r>
        <w:rPr>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4"/>
        </w:rPr>
        <w:t> </w:t>
      </w:r>
      <w:r>
        <w:rPr/>
        <w:t>in</w:t>
      </w:r>
      <w:r>
        <w:rPr>
          <w:spacing w:val="-2"/>
        </w:rPr>
        <w:t> </w:t>
      </w:r>
      <w:r>
        <w:rPr/>
        <w:t>urban</w:t>
      </w:r>
      <w:r>
        <w:rPr>
          <w:spacing w:val="1"/>
        </w:rPr>
        <w:t> </w:t>
      </w:r>
      <w:r>
        <w:rPr/>
        <w:t>areas</w:t>
      </w:r>
      <w:r>
        <w:rPr>
          <w:spacing w:val="-1"/>
        </w:rPr>
        <w:t> </w:t>
      </w:r>
      <w:r>
        <w:rPr/>
        <w:t>of</w:t>
      </w:r>
      <w:r>
        <w:rPr>
          <w:spacing w:val="-2"/>
        </w:rPr>
        <w:t> </w:t>
      </w:r>
      <w:r>
        <w:rPr/>
        <w:t>NSW, Vic,</w:t>
      </w:r>
      <w:r>
        <w:rPr>
          <w:spacing w:val="-1"/>
        </w:rPr>
        <w:t> </w:t>
      </w:r>
      <w:r>
        <w:rPr/>
        <w:t>Qld</w:t>
      </w:r>
      <w:r>
        <w:rPr>
          <w:spacing w:val="1"/>
        </w:rPr>
        <w:t> </w:t>
      </w:r>
      <w:r>
        <w:rPr/>
        <w:t>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2"/>
        </w:rPr>
        <w:t> </w:t>
      </w:r>
      <w:r>
        <w:rPr/>
        <w:t>risk</w:t>
      </w:r>
      <w:r>
        <w:rPr>
          <w:spacing w:val="-2"/>
        </w:rPr>
        <w:t> </w:t>
      </w:r>
      <w:r>
        <w:rPr/>
        <w:t>of</w:t>
      </w:r>
      <w:r>
        <w:rPr>
          <w:spacing w:val="1"/>
        </w:rPr>
        <w:t> </w:t>
      </w:r>
      <w:r>
        <w:rPr/>
        <w:t>congenital</w:t>
      </w:r>
      <w:r>
        <w:rPr>
          <w:spacing w:val="1"/>
        </w:rPr>
        <w:t> </w:t>
      </w:r>
      <w:r>
        <w:rPr/>
        <w:t>syphilis.</w:t>
      </w:r>
    </w:p>
    <w:p>
      <w:pPr>
        <w:pStyle w:val="BodyText"/>
        <w:spacing w:before="11"/>
        <w:rPr>
          <w:sz w:val="23"/>
        </w:rPr>
      </w:pPr>
    </w:p>
    <w:p>
      <w:pPr>
        <w:spacing w:line="195" w:lineRule="exact" w:before="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20"/>
        <w:ind w:left="112" w:right="4"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1"/>
          <w:sz w:val="16"/>
        </w:rPr>
        <w:t> </w:t>
      </w:r>
      <w:r>
        <w:rPr>
          <w:i/>
          <w:sz w:val="16"/>
        </w:rPr>
        <w:t>previous</w:t>
      </w:r>
      <w:r>
        <w:rPr>
          <w:i/>
          <w:spacing w:val="1"/>
          <w:sz w:val="16"/>
        </w:rPr>
        <w:t> </w:t>
      </w:r>
      <w:r>
        <w:rPr>
          <w:i/>
          <w:sz w:val="16"/>
        </w:rPr>
        <w:t>period.</w:t>
      </w:r>
    </w:p>
    <w:p>
      <w:pPr>
        <w:spacing w:before="120"/>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(11/08/2020</w:t>
      </w:r>
      <w:r>
        <w:rPr>
          <w:i/>
          <w:spacing w:val="-2"/>
          <w:sz w:val="16"/>
          <w:vertAlign w:val="baseline"/>
        </w:rPr>
        <w:t> </w:t>
      </w:r>
      <w:r>
        <w:rPr>
          <w:i/>
          <w:sz w:val="16"/>
          <w:vertAlign w:val="baseline"/>
        </w:rPr>
        <w:t>to</w:t>
      </w:r>
      <w:r>
        <w:rPr>
          <w:i/>
          <w:spacing w:val="-3"/>
          <w:sz w:val="16"/>
          <w:vertAlign w:val="baseline"/>
        </w:rPr>
        <w:t> </w:t>
      </w:r>
      <w:r>
        <w:rPr>
          <w:i/>
          <w:sz w:val="16"/>
          <w:vertAlign w:val="baseline"/>
        </w:rPr>
        <w:t>08/11/2020).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08/11/2020.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(09/11/2019</w:t>
      </w:r>
      <w:r>
        <w:rPr>
          <w:i/>
          <w:spacing w:val="-3"/>
          <w:sz w:val="16"/>
          <w:vertAlign w:val="baseline"/>
        </w:rPr>
        <w:t> </w:t>
      </w:r>
      <w:r>
        <w:rPr>
          <w:i/>
          <w:sz w:val="16"/>
          <w:vertAlign w:val="baseline"/>
        </w:rPr>
        <w:t>to</w:t>
      </w:r>
      <w:r>
        <w:rPr>
          <w:i/>
          <w:spacing w:val="-2"/>
          <w:sz w:val="16"/>
          <w:vertAlign w:val="baseline"/>
        </w:rPr>
        <w:t> </w:t>
      </w:r>
      <w:r>
        <w:rPr>
          <w:i/>
          <w:sz w:val="16"/>
          <w:vertAlign w:val="baseline"/>
        </w:rPr>
        <w:t>08/11/2020).</w:t>
      </w:r>
    </w:p>
    <w:p>
      <w:pPr>
        <w:spacing w:before="121"/>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08/11/2020.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 (365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5"/>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type w:val="continuous"/>
          <w:pgSz w:w="11910" w:h="16840"/>
          <w:pgMar w:top="800" w:bottom="280" w:left="1020" w:right="1060"/>
        </w:sectPr>
      </w:pPr>
    </w:p>
    <w:p>
      <w:pPr>
        <w:spacing w:before="56"/>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733279pt;width:933pt;height:701.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FN22/2020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26/10/2020</w:t>
                        </w:r>
                      </w:p>
                      <w:p>
                        <w:pPr>
                          <w:pStyle w:val="TableParagraph"/>
                          <w:spacing w:line="134" w:lineRule="exact" w:before="21"/>
                          <w:ind w:left="22" w:right="5"/>
                          <w:jc w:val="center"/>
                          <w:rPr>
                            <w:b/>
                            <w:sz w:val="13"/>
                          </w:rPr>
                        </w:pPr>
                        <w:r>
                          <w:rPr>
                            <w:b/>
                            <w:color w:val="FFFFFF"/>
                            <w:w w:val="105"/>
                            <w:sz w:val="13"/>
                          </w:rPr>
                          <w:t>08/11/2020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10/10/2020</w:t>
                        </w:r>
                      </w:p>
                      <w:p>
                        <w:pPr>
                          <w:pStyle w:val="TableParagraph"/>
                          <w:spacing w:line="134" w:lineRule="exact" w:before="22"/>
                          <w:ind w:left="78" w:right="52"/>
                          <w:jc w:val="center"/>
                          <w:rPr>
                            <w:sz w:val="13"/>
                          </w:rPr>
                        </w:pPr>
                        <w:r>
                          <w:rPr>
                            <w:color w:val="FFFFFF"/>
                            <w:w w:val="105"/>
                            <w:sz w:val="13"/>
                          </w:rPr>
                          <w:t>25/10/2020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26/10/2019</w:t>
                        </w:r>
                      </w:p>
                      <w:p>
                        <w:pPr>
                          <w:pStyle w:val="TableParagraph"/>
                          <w:spacing w:line="134" w:lineRule="exact" w:before="21"/>
                          <w:ind w:left="78" w:right="52"/>
                          <w:jc w:val="center"/>
                          <w:rPr>
                            <w:sz w:val="13"/>
                          </w:rPr>
                        </w:pPr>
                        <w:r>
                          <w:rPr>
                            <w:color w:val="FFFFFF"/>
                            <w:w w:val="105"/>
                            <w:sz w:val="13"/>
                          </w:rPr>
                          <w:t>08/11/2019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01/01/2020</w:t>
                        </w:r>
                      </w:p>
                      <w:p>
                        <w:pPr>
                          <w:pStyle w:val="TableParagraph"/>
                          <w:spacing w:line="134" w:lineRule="exact" w:before="21"/>
                          <w:ind w:left="69" w:right="34"/>
                          <w:jc w:val="center"/>
                          <w:rPr>
                            <w:sz w:val="13"/>
                          </w:rPr>
                        </w:pPr>
                        <w:r>
                          <w:rPr>
                            <w:color w:val="FFFFFF"/>
                            <w:w w:val="105"/>
                            <w:sz w:val="13"/>
                          </w:rPr>
                          <w:t>08/11/2020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11/08/2020</w:t>
                        </w:r>
                      </w:p>
                      <w:p>
                        <w:pPr>
                          <w:pStyle w:val="TableParagraph"/>
                          <w:spacing w:line="134" w:lineRule="exact" w:before="21"/>
                          <w:ind w:left="91"/>
                          <w:jc w:val="left"/>
                          <w:rPr>
                            <w:sz w:val="13"/>
                          </w:rPr>
                        </w:pPr>
                        <w:r>
                          <w:rPr>
                            <w:color w:val="FFFFFF"/>
                            <w:w w:val="105"/>
                            <w:sz w:val="13"/>
                          </w:rPr>
                          <w:t>08/11/2020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09/11/2019</w:t>
                        </w:r>
                      </w:p>
                      <w:p>
                        <w:pPr>
                          <w:pStyle w:val="TableParagraph"/>
                          <w:spacing w:line="134" w:lineRule="exact" w:before="21"/>
                          <w:ind w:left="90"/>
                          <w:jc w:val="left"/>
                          <w:rPr>
                            <w:sz w:val="13"/>
                          </w:rPr>
                        </w:pPr>
                        <w:r>
                          <w:rPr>
                            <w:color w:val="FFFFFF"/>
                            <w:w w:val="105"/>
                            <w:sz w:val="13"/>
                          </w:rPr>
                          <w:t>08/11/2020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09/11/2014</w:t>
                        </w:r>
                      </w:p>
                      <w:p>
                        <w:pPr>
                          <w:pStyle w:val="TableParagraph"/>
                          <w:spacing w:line="134" w:lineRule="exact" w:before="21"/>
                          <w:ind w:left="42"/>
                          <w:jc w:val="left"/>
                          <w:rPr>
                            <w:sz w:val="13"/>
                          </w:rPr>
                        </w:pPr>
                        <w:r>
                          <w:rPr>
                            <w:color w:val="FFFFFF"/>
                            <w:w w:val="105"/>
                            <w:sz w:val="13"/>
                          </w:rPr>
                          <w:t>08/11/2019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90</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35.6</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0.4</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109</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153.6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4,307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1,177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1,507.0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5,027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6,016.6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580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730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708.4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279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332</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6,280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2,379.6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7,357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9,856.4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62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19.8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68.2</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1.0</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72"/>
                          <w:jc w:val="left"/>
                          <w:rPr>
                            <w:sz w:val="13"/>
                          </w:rPr>
                        </w:pPr>
                        <w:r>
                          <w:rPr>
                            <w:w w:val="105"/>
                            <w:sz w:val="13"/>
                          </w:rPr>
                          <w:t>‐</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47</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419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19</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344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139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221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139</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1,370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1,441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1,642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25,690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7,727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7,195.0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31,481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28,289.8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2,268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278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489.4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2,710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3,951.4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243.6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82.8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485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102.4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604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414.6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337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537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10,550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1,689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2,778.6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12,858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16,163.6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1,548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1,965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1,916.8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91</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27.6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113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146.8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0.8</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88</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23</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6</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17</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151</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286</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27,741</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6,125</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6,125.0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27,741</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27,741.0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49</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1,061</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60</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890</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201</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17</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59</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405</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2,742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3,202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3,506</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64,147</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17,796</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23,475.0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75,741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98,487.0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369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231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124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875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1,035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1,292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25,911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6,384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6,626.4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30,591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26,712.2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41</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12</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27</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34</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40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164</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185</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218</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4,436</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1,165</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1,118.4</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5,265</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4,197.6</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15</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1,782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535.2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2,165.2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1.8</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2.8</w:t>
                        </w: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5.2</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5</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1.6</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0.6</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7.2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0.8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2,131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21,779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82,612.6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28,828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162,122.8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124.6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148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149.4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506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3,580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4,371.0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5,555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16,119.2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953</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1,863.8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362</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1,615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1,865.8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3,277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4,454.4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108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2,246</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646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1,061.6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2,933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3,476.8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248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696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12,722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2,856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2,659.2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15,153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10,180.0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6</w:t>
                        </w:r>
                      </w:p>
                    </w:tc>
                    <w:tc>
                      <w:tcPr>
                        <w:tcW w:w="667" w:type="dxa"/>
                        <w:tcBorders>
                          <w:top w:val="single" w:sz="6" w:space="0" w:color="000000"/>
                          <w:left w:val="single" w:sz="6" w:space="0" w:color="000000"/>
                          <w:right w:val="single" w:sz="6" w:space="0" w:color="000000"/>
                        </w:tcBorders>
                      </w:tcPr>
                      <w:p>
                        <w:pPr>
                          <w:pStyle w:val="TableParagraph"/>
                          <w:spacing w:line="134" w:lineRule="exact"/>
                          <w:ind w:left="256"/>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3</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466</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61</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18</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17</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113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684</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869</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423</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11,432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4,219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3,478.0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13,043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14,308.4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7</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1</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20</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11</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657</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132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69.2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1.9</w:t>
                        </w:r>
                      </w:p>
                    </w:tc>
                    <w:tc>
                      <w:tcPr>
                        <w:tcW w:w="736" w:type="dxa"/>
                        <w:tcBorders>
                          <w:left w:val="single" w:sz="6" w:space="0" w:color="000000"/>
                          <w:bottom w:val="single" w:sz="6" w:space="0" w:color="000000"/>
                        </w:tcBorders>
                        <w:shd w:val="clear" w:color="auto" w:fill="DAEEF3"/>
                      </w:tcPr>
                      <w:p>
                        <w:pPr>
                          <w:pStyle w:val="TableParagraph"/>
                          <w:spacing w:line="129" w:lineRule="exact"/>
                          <w:ind w:right="36"/>
                          <w:rPr>
                            <w:sz w:val="13"/>
                          </w:rPr>
                        </w:pPr>
                        <w:r>
                          <w:rPr>
                            <w:w w:val="105"/>
                            <w:sz w:val="13"/>
                          </w:rPr>
                          <w:t>17.3</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681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408.6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38</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94.2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244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257.4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1,505.6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85.8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334.4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82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5,688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431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563.2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5,895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5,444.2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1"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0.6</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3.0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6.9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2.2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10.9</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416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138.6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495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543.0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2</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2.0</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7</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3</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17</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22</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423</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101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98.6</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1.0</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500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400.2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1.2</w:t>
                        </w:r>
                      </w:p>
                    </w:tc>
                    <w:tc>
                      <w:tcPr>
                        <w:tcW w:w="735" w:type="dxa"/>
                        <w:tcBorders>
                          <w:left w:val="single" w:sz="6" w:space="0" w:color="000000"/>
                          <w:bottom w:val="single" w:sz="6" w:space="0" w:color="000000"/>
                        </w:tcBorders>
                        <w:shd w:val="clear" w:color="auto" w:fill="DAEEF3"/>
                      </w:tcPr>
                      <w:p>
                        <w:pPr>
                          <w:pStyle w:val="TableParagraph"/>
                          <w:spacing w:line="129" w:lineRule="exact"/>
                          <w:ind w:right="35"/>
                          <w:rPr>
                            <w:sz w:val="13"/>
                          </w:rPr>
                        </w:pPr>
                        <w:r>
                          <w:rPr>
                            <w:w w:val="105"/>
                            <w:sz w:val="13"/>
                          </w:rPr>
                          <w:t>29.3</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8</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2</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6"/>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19</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5</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55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75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53</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1,321</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412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372.0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1,559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1,398.4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157</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2,347</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184</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2,321</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702</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104</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644</w:t>
                        </w:r>
                      </w:p>
                    </w:tc>
                    <w:tc>
                      <w:tcPr>
                        <w:tcW w:w="556" w:type="dxa"/>
                        <w:tcBorders>
                          <w:left w:val="single" w:sz="6" w:space="0" w:color="000000"/>
                        </w:tcBorders>
                      </w:tcPr>
                      <w:p>
                        <w:pPr>
                          <w:pStyle w:val="TableParagraph"/>
                          <w:spacing w:line="135" w:lineRule="exact"/>
                          <w:ind w:right="35"/>
                          <w:rPr>
                            <w:sz w:val="13"/>
                          </w:rPr>
                        </w:pPr>
                        <w:r>
                          <w:rPr>
                            <w:w w:val="105"/>
                            <w:sz w:val="13"/>
                          </w:rPr>
                          <w:t>1,140</w:t>
                        </w:r>
                      </w:p>
                    </w:tc>
                    <w:tc>
                      <w:tcPr>
                        <w:tcW w:w="846" w:type="dxa"/>
                      </w:tcPr>
                      <w:p>
                        <w:pPr>
                          <w:pStyle w:val="TableParagraph"/>
                          <w:spacing w:line="135" w:lineRule="exact"/>
                          <w:ind w:right="36"/>
                          <w:rPr>
                            <w:sz w:val="13"/>
                          </w:rPr>
                        </w:pPr>
                        <w:r>
                          <w:rPr>
                            <w:w w:val="105"/>
                            <w:sz w:val="13"/>
                          </w:rPr>
                          <w:t>7,615</w:t>
                        </w:r>
                      </w:p>
                    </w:tc>
                    <w:tc>
                      <w:tcPr>
                        <w:tcW w:w="845" w:type="dxa"/>
                      </w:tcPr>
                      <w:p>
                        <w:pPr>
                          <w:pStyle w:val="TableParagraph"/>
                          <w:spacing w:line="135" w:lineRule="exact"/>
                          <w:ind w:right="36"/>
                          <w:rPr>
                            <w:sz w:val="13"/>
                          </w:rPr>
                        </w:pPr>
                        <w:r>
                          <w:rPr>
                            <w:w w:val="105"/>
                            <w:sz w:val="13"/>
                          </w:rPr>
                          <w:t>8,810</w:t>
                        </w:r>
                      </w:p>
                    </w:tc>
                    <w:tc>
                      <w:tcPr>
                        <w:tcW w:w="845" w:type="dxa"/>
                      </w:tcPr>
                      <w:p>
                        <w:pPr>
                          <w:pStyle w:val="TableParagraph"/>
                          <w:spacing w:line="135" w:lineRule="exact"/>
                          <w:ind w:right="37"/>
                          <w:rPr>
                            <w:sz w:val="13"/>
                          </w:rPr>
                        </w:pPr>
                        <w:r>
                          <w:rPr>
                            <w:w w:val="105"/>
                            <w:sz w:val="13"/>
                          </w:rPr>
                          <w:t>12,801</w:t>
                        </w:r>
                      </w:p>
                    </w:tc>
                    <w:tc>
                      <w:tcPr>
                        <w:tcW w:w="844" w:type="dxa"/>
                      </w:tcPr>
                      <w:p>
                        <w:pPr>
                          <w:pStyle w:val="TableParagraph"/>
                          <w:spacing w:line="135" w:lineRule="exact"/>
                          <w:ind w:right="36"/>
                          <w:rPr>
                            <w:sz w:val="13"/>
                          </w:rPr>
                        </w:pPr>
                        <w:r>
                          <w:rPr>
                            <w:w w:val="105"/>
                            <w:sz w:val="13"/>
                          </w:rPr>
                          <w:t>239,908</w:t>
                        </w:r>
                      </w:p>
                    </w:tc>
                    <w:tc>
                      <w:tcPr>
                        <w:tcW w:w="846" w:type="dxa"/>
                      </w:tcPr>
                      <w:p>
                        <w:pPr>
                          <w:pStyle w:val="TableParagraph"/>
                          <w:spacing w:line="135" w:lineRule="exact"/>
                          <w:ind w:right="37"/>
                          <w:rPr>
                            <w:sz w:val="13"/>
                          </w:rPr>
                        </w:pPr>
                        <w:r>
                          <w:rPr>
                            <w:w w:val="105"/>
                            <w:sz w:val="13"/>
                          </w:rPr>
                          <w:t>54,939</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285,118</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1"/>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6"/>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(12/11/2020).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spacing w:before="33"/>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2021-09-07T04:27:36Z</dcterms:created>
  <dcterms:modified xsi:type="dcterms:W3CDTF">2021-09-07T04:27:36Z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Acrobat PDFMaker 20 for Word</vt:lpwstr>
  </property>
  <property fmtid="{D5CDD505-2E9C-101B-9397-08002B2CF9AE}" pid="4" name="LastSaved">
    <vt:filetime>2021-09-07T00:00:00Z</vt:filetime>
  </property>
</Properties>
</file>