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09, 2020 Summary Notes for Selected Diseases</w:t>
      </w:r>
      <w:r>
        <w:rPr>
          <w:spacing w:val="-52"/>
          <w:u w:val="none"/>
        </w:rPr>
        <w:t> </w:t>
      </w:r>
      <w:bookmarkStart w:name="25 April to 08 May 2020" w:id="1"/>
      <w:bookmarkEnd w:id="1"/>
      <w:r>
        <w:rPr>
          <w:u w:val="single"/>
        </w:rPr>
        <w:t>25</w:t>
      </w:r>
      <w:r>
        <w:rPr>
          <w:u w:val="single"/>
        </w:rPr>
        <w:t> April</w:t>
      </w:r>
      <w:r>
        <w:rPr>
          <w:spacing w:val="-1"/>
          <w:u w:val="single"/>
        </w:rPr>
        <w:t> </w:t>
      </w:r>
      <w:r>
        <w:rPr>
          <w:u w:val="single"/>
        </w:rPr>
        <w:t>to</w:t>
      </w:r>
      <w:r>
        <w:rPr>
          <w:spacing w:val="-1"/>
          <w:u w:val="single"/>
        </w:rPr>
        <w:t> </w:t>
      </w:r>
      <w:r>
        <w:rPr>
          <w:u w:val="single"/>
        </w:rPr>
        <w:t>08</w:t>
      </w:r>
      <w:r>
        <w:rPr>
          <w:spacing w:val="1"/>
          <w:u w:val="single"/>
        </w:rPr>
        <w:t> </w:t>
      </w:r>
      <w:r>
        <w:rPr>
          <w:u w:val="single"/>
        </w:rPr>
        <w:t>May 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2"/>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Influenza</w:t>
      </w:r>
    </w:p>
    <w:p>
      <w:pPr>
        <w:pStyle w:val="BodyText"/>
        <w:ind w:left="112" w:right="93"/>
      </w:pPr>
      <w:r>
        <w:rPr/>
        <w:t>In 2020 up to 8 May, there have been 20,850 laboratory confirmed influenza cases reported to the</w:t>
      </w:r>
      <w:r>
        <w:rPr>
          <w:spacing w:val="-52"/>
        </w:rPr>
        <w:t> </w:t>
      </w:r>
      <w:r>
        <w:rPr/>
        <w:t>National</w:t>
      </w:r>
      <w:r>
        <w:rPr>
          <w:spacing w:val="-4"/>
        </w:rPr>
        <w:t> </w:t>
      </w:r>
      <w:r>
        <w:rPr/>
        <w:t>Notifiable</w:t>
      </w:r>
      <w:r>
        <w:rPr>
          <w:spacing w:val="-3"/>
        </w:rPr>
        <w:t> </w:t>
      </w:r>
      <w:r>
        <w:rPr/>
        <w:t>Diseases</w:t>
      </w:r>
      <w:r>
        <w:rPr>
          <w:spacing w:val="-1"/>
        </w:rPr>
        <w:t> </w:t>
      </w:r>
      <w:r>
        <w:rPr/>
        <w:t>Surveillance System (NNDSS).</w:t>
      </w:r>
      <w:r>
        <w:rPr>
          <w:spacing w:val="-1"/>
        </w:rPr>
        <w:t> </w:t>
      </w:r>
      <w:r>
        <w:rPr/>
        <w:t>In</w:t>
      </w:r>
      <w:r>
        <w:rPr>
          <w:spacing w:val="1"/>
        </w:rPr>
        <w:t> </w:t>
      </w:r>
      <w:r>
        <w:rPr/>
        <w:t>the</w:t>
      </w:r>
      <w:r>
        <w:rPr>
          <w:spacing w:val="-3"/>
        </w:rPr>
        <w:t> </w:t>
      </w:r>
      <w:r>
        <w:rPr/>
        <w:t>reporting</w:t>
      </w:r>
      <w:r>
        <w:rPr>
          <w:spacing w:val="-3"/>
        </w:rPr>
        <w:t> </w:t>
      </w:r>
      <w:r>
        <w:rPr/>
        <w:t>period between</w:t>
      </w:r>
    </w:p>
    <w:p>
      <w:pPr>
        <w:pStyle w:val="BodyText"/>
        <w:ind w:left="112" w:right="480"/>
        <w:jc w:val="both"/>
      </w:pPr>
      <w:r>
        <w:rPr/>
        <w:t>25 April and 8 May 2020 there have been 156 confirmed influenza cases. This is lower than the</w:t>
      </w:r>
      <w:r>
        <w:rPr>
          <w:spacing w:val="-52"/>
        </w:rPr>
        <w:t> </w:t>
      </w:r>
      <w:r>
        <w:rPr/>
        <w:t>5 year mean for this period (n=2,595), for the same period in 2019 (n= 9,368) and is the lowest</w:t>
      </w:r>
      <w:r>
        <w:rPr>
          <w:spacing w:val="-52"/>
        </w:rPr>
        <w:t> </w:t>
      </w:r>
      <w:r>
        <w:rPr/>
        <w:t>number</w:t>
      </w:r>
      <w:r>
        <w:rPr>
          <w:spacing w:val="-3"/>
        </w:rPr>
        <w:t> </w:t>
      </w:r>
      <w:r>
        <w:rPr/>
        <w:t>of</w:t>
      </w:r>
      <w:r>
        <w:rPr>
          <w:spacing w:val="-1"/>
        </w:rPr>
        <w:t> </w:t>
      </w:r>
      <w:r>
        <w:rPr/>
        <w:t>notifications</w:t>
      </w:r>
      <w:r>
        <w:rPr>
          <w:spacing w:val="-2"/>
        </w:rPr>
        <w:t> </w:t>
      </w:r>
      <w:r>
        <w:rPr/>
        <w:t>for</w:t>
      </w:r>
      <w:r>
        <w:rPr>
          <w:spacing w:val="1"/>
        </w:rPr>
        <w:t> </w:t>
      </w:r>
      <w:r>
        <w:rPr/>
        <w:t>this</w:t>
      </w:r>
      <w:r>
        <w:rPr>
          <w:spacing w:val="-2"/>
        </w:rPr>
        <w:t> </w:t>
      </w:r>
      <w:r>
        <w:rPr/>
        <w:t>period</w:t>
      </w:r>
      <w:r>
        <w:rPr>
          <w:spacing w:val="2"/>
        </w:rPr>
        <w:t> </w:t>
      </w:r>
      <w:r>
        <w:rPr/>
        <w:t>since</w:t>
      </w:r>
      <w:r>
        <w:rPr>
          <w:spacing w:val="-2"/>
        </w:rPr>
        <w:t> </w:t>
      </w:r>
      <w:r>
        <w:rPr/>
        <w:t>2013</w:t>
      </w:r>
      <w:r>
        <w:rPr>
          <w:spacing w:val="-1"/>
        </w:rPr>
        <w:t> </w:t>
      </w:r>
      <w:r>
        <w:rPr/>
        <w:t>(n=258).</w:t>
      </w:r>
    </w:p>
    <w:p>
      <w:pPr>
        <w:pStyle w:val="BodyText"/>
        <w:spacing w:before="11"/>
        <w:rPr>
          <w:sz w:val="23"/>
        </w:rPr>
      </w:pPr>
    </w:p>
    <w:p>
      <w:pPr>
        <w:pStyle w:val="BodyText"/>
        <w:ind w:left="112" w:right="567"/>
      </w:pPr>
      <w:r>
        <w:rPr/>
        <w:t>Elements of the COVID-19 response, including social distancing measures and the diversion of</w:t>
      </w:r>
      <w:r>
        <w:rPr>
          <w:spacing w:val="-52"/>
        </w:rPr>
        <w:t> </w:t>
      </w:r>
      <w:r>
        <w:rPr/>
        <w:t>testing resources to COVID-19 diagnosis, are affecting the number of laboratory-confirmed</w:t>
      </w:r>
      <w:r>
        <w:rPr>
          <w:spacing w:val="1"/>
        </w:rPr>
        <w:t> </w:t>
      </w:r>
      <w:r>
        <w:rPr/>
        <w:t>influenza cases</w:t>
      </w:r>
      <w:r>
        <w:rPr>
          <w:spacing w:val="-2"/>
        </w:rPr>
        <w:t> </w:t>
      </w:r>
      <w:r>
        <w:rPr/>
        <w:t>notified</w:t>
      </w:r>
      <w:r>
        <w:rPr>
          <w:spacing w:val="-2"/>
        </w:rPr>
        <w:t> </w:t>
      </w:r>
      <w:r>
        <w:rPr/>
        <w:t>to</w:t>
      </w:r>
      <w:r>
        <w:rPr>
          <w:spacing w:val="1"/>
        </w:rPr>
        <w:t> </w:t>
      </w:r>
      <w:r>
        <w:rPr/>
        <w:t>the</w:t>
      </w:r>
      <w:r>
        <w:rPr>
          <w:spacing w:val="-2"/>
        </w:rPr>
        <w:t> </w:t>
      </w:r>
      <w:r>
        <w:rPr/>
        <w:t>NNDSS.</w:t>
      </w:r>
      <w:r>
        <w:rPr>
          <w:spacing w:val="-1"/>
        </w:rPr>
        <w:t> </w:t>
      </w:r>
      <w:r>
        <w:rPr/>
        <w:t>These</w:t>
      </w:r>
      <w:r>
        <w:rPr>
          <w:spacing w:val="-1"/>
        </w:rPr>
        <w:t> </w:t>
      </w:r>
      <w:r>
        <w:rPr/>
        <w:t>effects</w:t>
      </w:r>
      <w:r>
        <w:rPr>
          <w:spacing w:val="-1"/>
        </w:rPr>
        <w:t> </w:t>
      </w:r>
      <w:r>
        <w:rPr/>
        <w:t>may differ</w:t>
      </w:r>
      <w:r>
        <w:rPr>
          <w:spacing w:val="-2"/>
        </w:rPr>
        <w:t> </w:t>
      </w:r>
      <w:r>
        <w:rPr/>
        <w:t>by</w:t>
      </w:r>
      <w:r>
        <w:rPr>
          <w:spacing w:val="-1"/>
        </w:rPr>
        <w:t> </w:t>
      </w:r>
      <w:r>
        <w:rPr/>
        <w:t>jurisdiction.</w:t>
      </w:r>
    </w:p>
    <w:p>
      <w:pPr>
        <w:spacing w:after="0"/>
        <w:sectPr>
          <w:type w:val="continuous"/>
          <w:pgSz w:w="11910" w:h="16840"/>
          <w:pgMar w:top="800" w:bottom="280" w:left="1020" w:right="1060"/>
        </w:sectPr>
      </w:pPr>
    </w:p>
    <w:p>
      <w:pPr>
        <w:pStyle w:val="Heading1"/>
        <w:spacing w:before="33"/>
        <w:rPr>
          <w:u w:val="none"/>
        </w:rPr>
      </w:pPr>
      <w:r>
        <w:rPr>
          <w:u w:val="single"/>
        </w:rPr>
        <w:t>Legionellosis</w:t>
      </w:r>
    </w:p>
    <w:p>
      <w:pPr>
        <w:pStyle w:val="BodyText"/>
        <w:ind w:left="112" w:right="97"/>
      </w:pPr>
      <w:r>
        <w:rPr/>
        <w:t>This reporting period there were 20 notifications of legionellosis reported to the NNDSS. The cases</w:t>
      </w:r>
      <w:r>
        <w:rPr>
          <w:spacing w:val="-52"/>
        </w:rPr>
        <w:t> </w:t>
      </w:r>
      <w:r>
        <w:rPr/>
        <w:t>were notified by NSW (8), Qld (3), SA (2), Tas (2), Vic (3) and WA (2). These cases ranged in age</w:t>
      </w:r>
      <w:r>
        <w:rPr>
          <w:spacing w:val="1"/>
        </w:rPr>
        <w:t> </w:t>
      </w:r>
      <w:r>
        <w:rPr/>
        <w:t>from 36 to 85 years and 40% (8 cases) were female.</w:t>
      </w:r>
      <w:r>
        <w:rPr>
          <w:spacing w:val="54"/>
        </w:rPr>
        <w:t> </w:t>
      </w:r>
      <w:r>
        <w:rPr/>
        <w:t>All but two (2) of the cases were reported</w:t>
      </w:r>
      <w:r>
        <w:rPr>
          <w:spacing w:val="1"/>
        </w:rPr>
        <w:t> </w:t>
      </w:r>
      <w:r>
        <w:rPr/>
        <w:t>with</w:t>
      </w:r>
      <w:r>
        <w:rPr>
          <w:spacing w:val="1"/>
        </w:rPr>
        <w:t> </w:t>
      </w:r>
      <w:r>
        <w:rPr/>
        <w:t>species</w:t>
      </w:r>
      <w:r>
        <w:rPr>
          <w:spacing w:val="-3"/>
        </w:rPr>
        <w:t> </w:t>
      </w:r>
      <w:r>
        <w:rPr/>
        <w:t>identification, 50%</w:t>
      </w:r>
      <w:r>
        <w:rPr>
          <w:spacing w:val="-2"/>
        </w:rPr>
        <w:t> </w:t>
      </w:r>
      <w:r>
        <w:rPr/>
        <w:t>(10 cases)</w:t>
      </w:r>
      <w:r>
        <w:rPr>
          <w:spacing w:val="-1"/>
        </w:rPr>
        <w:t> </w:t>
      </w:r>
      <w:r>
        <w:rPr/>
        <w:t>were</w:t>
      </w:r>
      <w:r>
        <w:rPr>
          <w:spacing w:val="-2"/>
        </w:rPr>
        <w:t> </w:t>
      </w:r>
      <w:r>
        <w:rPr>
          <w:i/>
        </w:rPr>
        <w:t>Legionella</w:t>
      </w:r>
      <w:r>
        <w:rPr>
          <w:i/>
          <w:spacing w:val="-2"/>
        </w:rPr>
        <w:t> </w:t>
      </w:r>
      <w:r>
        <w:rPr>
          <w:i/>
        </w:rPr>
        <w:t>longbeachae </w:t>
      </w:r>
      <w:r>
        <w:rPr/>
        <w:t>and</w:t>
      </w:r>
      <w:r>
        <w:rPr>
          <w:spacing w:val="-2"/>
        </w:rPr>
        <w:t> </w:t>
      </w:r>
      <w:r>
        <w:rPr/>
        <w:t>40%</w:t>
      </w:r>
      <w:r>
        <w:rPr>
          <w:spacing w:val="-2"/>
        </w:rPr>
        <w:t> </w:t>
      </w:r>
      <w:r>
        <w:rPr/>
        <w:t>(8 cases)</w:t>
      </w:r>
    </w:p>
    <w:p>
      <w:pPr>
        <w:pStyle w:val="BodyText"/>
        <w:ind w:left="112" w:right="137"/>
      </w:pPr>
      <w:r>
        <w:rPr/>
        <w:t>were </w:t>
      </w:r>
      <w:r>
        <w:rPr>
          <w:i/>
        </w:rPr>
        <w:t>L. pneumophila</w:t>
      </w:r>
      <w:r>
        <w:rPr/>
        <w:t>. Sixteen (16) cases (80%) had place of acquisition reported.</w:t>
      </w:r>
      <w:r>
        <w:rPr>
          <w:spacing w:val="54"/>
        </w:rPr>
        <w:t> </w:t>
      </w:r>
      <w:r>
        <w:rPr/>
        <w:t>Of these cases</w:t>
      </w:r>
      <w:r>
        <w:rPr>
          <w:spacing w:val="1"/>
        </w:rPr>
        <w:t> </w:t>
      </w:r>
      <w:r>
        <w:rPr/>
        <w:t>14 were reported to be acquired in Australia, one (1) was acquired in Indonesia and the remaining</w:t>
      </w:r>
      <w:r>
        <w:rPr>
          <w:spacing w:val="-52"/>
        </w:rPr>
        <w:t> </w:t>
      </w:r>
      <w:r>
        <w:rPr/>
        <w:t>case was acquired</w:t>
      </w:r>
      <w:r>
        <w:rPr>
          <w:spacing w:val="1"/>
        </w:rPr>
        <w:t> </w:t>
      </w:r>
      <w:r>
        <w:rPr/>
        <w:t>overseas with</w:t>
      </w:r>
      <w:r>
        <w:rPr>
          <w:spacing w:val="-1"/>
        </w:rPr>
        <w:t> </w:t>
      </w:r>
      <w:r>
        <w:rPr/>
        <w:t>no</w:t>
      </w:r>
      <w:r>
        <w:rPr>
          <w:spacing w:val="-2"/>
        </w:rPr>
        <w:t> </w:t>
      </w:r>
      <w:r>
        <w:rPr/>
        <w:t>country information</w:t>
      </w:r>
      <w:r>
        <w:rPr>
          <w:spacing w:val="-1"/>
        </w:rPr>
        <w:t> </w:t>
      </w:r>
      <w:r>
        <w:rPr/>
        <w:t>provided.</w:t>
      </w:r>
    </w:p>
    <w:p>
      <w:pPr>
        <w:pStyle w:val="BodyText"/>
        <w:spacing w:before="10"/>
        <w:rPr>
          <w:sz w:val="23"/>
        </w:rPr>
      </w:pPr>
    </w:p>
    <w:p>
      <w:pPr>
        <w:pStyle w:val="Heading1"/>
        <w:rPr>
          <w:u w:val="none"/>
        </w:rPr>
      </w:pPr>
      <w:r>
        <w:rPr>
          <w:u w:val="single"/>
        </w:rPr>
        <w:t>Tularaemia</w:t>
      </w:r>
    </w:p>
    <w:p>
      <w:pPr>
        <w:pStyle w:val="BodyText"/>
        <w:ind w:left="112"/>
      </w:pPr>
      <w:r>
        <w:rPr/>
        <w:t>During</w:t>
      </w:r>
      <w:r>
        <w:rPr>
          <w:spacing w:val="-2"/>
        </w:rPr>
        <w:t> </w:t>
      </w:r>
      <w:r>
        <w:rPr/>
        <w:t>the</w:t>
      </w:r>
      <w:r>
        <w:rPr>
          <w:spacing w:val="-3"/>
        </w:rPr>
        <w:t> </w:t>
      </w:r>
      <w:r>
        <w:rPr/>
        <w:t>reporting</w:t>
      </w:r>
      <w:r>
        <w:rPr>
          <w:spacing w:val="-1"/>
        </w:rPr>
        <w:t> </w:t>
      </w:r>
      <w:r>
        <w:rPr/>
        <w:t>period one</w:t>
      </w:r>
      <w:r>
        <w:rPr>
          <w:spacing w:val="-1"/>
        </w:rPr>
        <w:t> </w:t>
      </w:r>
      <w:r>
        <w:rPr/>
        <w:t>(1)</w:t>
      </w:r>
      <w:r>
        <w:rPr>
          <w:spacing w:val="-5"/>
        </w:rPr>
        <w:t> </w:t>
      </w:r>
      <w:r>
        <w:rPr/>
        <w:t>case of Tularaemia</w:t>
      </w:r>
      <w:r>
        <w:rPr>
          <w:spacing w:val="-1"/>
        </w:rPr>
        <w:t> </w:t>
      </w:r>
      <w:r>
        <w:rPr/>
        <w:t>was</w:t>
      </w:r>
      <w:r>
        <w:rPr>
          <w:spacing w:val="-1"/>
        </w:rPr>
        <w:t> </w:t>
      </w:r>
      <w:r>
        <w:rPr/>
        <w:t>reported</w:t>
      </w:r>
      <w:r>
        <w:rPr>
          <w:spacing w:val="-3"/>
        </w:rPr>
        <w:t> </w:t>
      </w:r>
      <w:r>
        <w:rPr/>
        <w:t>to</w:t>
      </w:r>
      <w:r>
        <w:rPr>
          <w:spacing w:val="-3"/>
        </w:rPr>
        <w:t> </w:t>
      </w:r>
      <w:r>
        <w:rPr/>
        <w:t>the NNDSS</w:t>
      </w:r>
      <w:r>
        <w:rPr>
          <w:spacing w:val="-4"/>
        </w:rPr>
        <w:t> </w:t>
      </w:r>
      <w:r>
        <w:rPr/>
        <w:t>from</w:t>
      </w:r>
    </w:p>
    <w:p>
      <w:pPr>
        <w:pStyle w:val="BodyText"/>
        <w:ind w:left="112" w:right="126"/>
      </w:pPr>
      <w:r>
        <w:rPr/>
        <w:t>NSW.</w:t>
      </w:r>
      <w:r>
        <w:rPr>
          <w:spacing w:val="1"/>
        </w:rPr>
        <w:t> </w:t>
      </w:r>
      <w:r>
        <w:rPr/>
        <w:t>Tularaemia is a rare disease caused by the bacteria Francisella tularensis.</w:t>
      </w:r>
      <w:r>
        <w:rPr>
          <w:spacing w:val="1"/>
        </w:rPr>
        <w:t> </w:t>
      </w:r>
      <w:r>
        <w:rPr/>
        <w:t>Infections usually</w:t>
      </w:r>
      <w:r>
        <w:rPr>
          <w:spacing w:val="-52"/>
        </w:rPr>
        <w:t> </w:t>
      </w:r>
      <w:r>
        <w:rPr/>
        <w:t>occur through handling of infected animals, bites of an infected ticks, consumption of</w:t>
      </w:r>
      <w:r>
        <w:rPr>
          <w:spacing w:val="1"/>
        </w:rPr>
        <w:t> </w:t>
      </w:r>
      <w:r>
        <w:rPr/>
        <w:t>contaminated food, or contact with contaminated water. Most infections are reported from the</w:t>
      </w:r>
      <w:r>
        <w:rPr>
          <w:spacing w:val="1"/>
        </w:rPr>
        <w:t> </w:t>
      </w:r>
      <w:r>
        <w:rPr/>
        <w:t>Northern Hemisphere. Including the case reported in NSW, to date there have been three (3)</w:t>
      </w:r>
      <w:r>
        <w:rPr>
          <w:spacing w:val="1"/>
        </w:rPr>
        <w:t> </w:t>
      </w:r>
      <w:r>
        <w:rPr/>
        <w:t>locally acquired cases of Tularaemia in Australia.</w:t>
      </w:r>
      <w:r>
        <w:rPr>
          <w:spacing w:val="1"/>
        </w:rPr>
        <w:t> </w:t>
      </w:r>
      <w:r>
        <w:rPr/>
        <w:t>Two (2) of these cases were acquired through</w:t>
      </w:r>
      <w:r>
        <w:rPr>
          <w:spacing w:val="1"/>
        </w:rPr>
        <w:t> </w:t>
      </w:r>
      <w:r>
        <w:rPr/>
        <w:t>bites/scratches</w:t>
      </w:r>
      <w:r>
        <w:rPr>
          <w:spacing w:val="-3"/>
        </w:rPr>
        <w:t> </w:t>
      </w:r>
      <w:r>
        <w:rPr/>
        <w:t>from</w:t>
      </w:r>
      <w:r>
        <w:rPr>
          <w:spacing w:val="1"/>
        </w:rPr>
        <w:t> </w:t>
      </w:r>
      <w:r>
        <w:rPr/>
        <w:t>infected</w:t>
      </w:r>
      <w:r>
        <w:rPr>
          <w:spacing w:val="1"/>
        </w:rPr>
        <w:t> </w:t>
      </w:r>
      <w:r>
        <w:rPr/>
        <w:t>ringtail possums in</w:t>
      </w:r>
      <w:r>
        <w:rPr>
          <w:spacing w:val="-2"/>
        </w:rPr>
        <w:t> </w:t>
      </w:r>
      <w:r>
        <w:rPr/>
        <w:t>Tasmania in</w:t>
      </w:r>
      <w:r>
        <w:rPr>
          <w:spacing w:val="-1"/>
        </w:rPr>
        <w:t> </w:t>
      </w:r>
      <w:r>
        <w:rPr/>
        <w:t>2011.</w:t>
      </w:r>
      <w:r>
        <w:rPr>
          <w:vertAlign w:val="superscript"/>
        </w:rPr>
        <w:t>1</w:t>
      </w:r>
    </w:p>
    <w:p>
      <w:pPr>
        <w:pStyle w:val="BodyText"/>
        <w:spacing w:before="1"/>
      </w:pPr>
    </w:p>
    <w:p>
      <w:pPr>
        <w:spacing w:before="0"/>
        <w:ind w:left="472" w:right="0" w:firstLine="0"/>
        <w:jc w:val="left"/>
        <w:rPr>
          <w:sz w:val="22"/>
        </w:rPr>
      </w:pPr>
      <w:r>
        <w:rPr>
          <w:color w:val="1F487C"/>
          <w:sz w:val="22"/>
        </w:rPr>
        <w:t>1.</w:t>
      </w:r>
      <w:r>
        <w:rPr>
          <w:color w:val="0000FF"/>
          <w:spacing w:val="91"/>
          <w:sz w:val="22"/>
        </w:rPr>
        <w:t> </w:t>
      </w:r>
      <w:hyperlink r:id="rId6">
        <w:r>
          <w:rPr>
            <w:color w:val="0000FF"/>
            <w:sz w:val="22"/>
            <w:u w:val="single" w:color="0000FF"/>
          </w:rPr>
          <w:t>Tasmanian</w:t>
        </w:r>
        <w:r>
          <w:rPr>
            <w:color w:val="0000FF"/>
            <w:spacing w:val="-4"/>
            <w:sz w:val="22"/>
            <w:u w:val="single" w:color="0000FF"/>
          </w:rPr>
          <w:t> </w:t>
        </w:r>
        <w:r>
          <w:rPr>
            <w:color w:val="0000FF"/>
            <w:sz w:val="22"/>
            <w:u w:val="single" w:color="0000FF"/>
          </w:rPr>
          <w:t>Department</w:t>
        </w:r>
        <w:r>
          <w:rPr>
            <w:color w:val="0000FF"/>
            <w:spacing w:val="-2"/>
            <w:sz w:val="22"/>
            <w:u w:val="single" w:color="0000FF"/>
          </w:rPr>
          <w:t> </w:t>
        </w:r>
        <w:r>
          <w:rPr>
            <w:color w:val="0000FF"/>
            <w:sz w:val="22"/>
            <w:u w:val="single" w:color="0000FF"/>
          </w:rPr>
          <w:t>of</w:t>
        </w:r>
        <w:r>
          <w:rPr>
            <w:color w:val="0000FF"/>
            <w:spacing w:val="-4"/>
            <w:sz w:val="22"/>
            <w:u w:val="single" w:color="0000FF"/>
          </w:rPr>
          <w:t> </w:t>
        </w:r>
        <w:r>
          <w:rPr>
            <w:color w:val="0000FF"/>
            <w:sz w:val="22"/>
            <w:u w:val="single" w:color="0000FF"/>
          </w:rPr>
          <w:t>Health</w:t>
        </w:r>
      </w:hyperlink>
    </w:p>
    <w:p>
      <w:pPr>
        <w:pStyle w:val="BodyText"/>
        <w:rPr>
          <w:sz w:val="20"/>
        </w:rPr>
      </w:pPr>
    </w:p>
    <w:p>
      <w:pPr>
        <w:pStyle w:val="BodyText"/>
        <w:spacing w:before="6"/>
        <w:rPr>
          <w:sz w:val="22"/>
        </w:rPr>
      </w:pPr>
      <w:r>
        <w:rPr/>
        <w:pict>
          <v:shape style="position:absolute;margin-left:56.639999pt;margin-top:14.935722pt;width:474pt;height:.1pt;mso-position-horizontal-relative:page;mso-position-vertical-relative:paragraph;z-index:-15728640;mso-wrap-distance-left:0;mso-wrap-distance-right:0" id="docshape1" coordorigin="1133,299" coordsize="9480,0" path="m1133,299l10613,299e" filled="false" stroked="true" strokeweight=".48pt" strokecolor="#1e477b">
            <v:path arrowok="t"/>
            <v:stroke dashstyle="solid"/>
            <w10:wrap type="topAndBottom"/>
          </v:shape>
        </w:pict>
      </w:r>
    </w:p>
    <w:p>
      <w:pPr>
        <w:pStyle w:val="BodyText"/>
        <w:spacing w:before="9"/>
        <w:rPr>
          <w:sz w:val="18"/>
        </w:rPr>
      </w:pPr>
    </w:p>
    <w:p>
      <w:pPr>
        <w:spacing w:line="195" w:lineRule="exact" w:before="68"/>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0"/>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(25/04/2020</w:t>
      </w:r>
      <w:r>
        <w:rPr>
          <w:i/>
          <w:spacing w:val="-2"/>
          <w:sz w:val="16"/>
          <w:vertAlign w:val="baseline"/>
        </w:rPr>
        <w:t> </w:t>
      </w:r>
      <w:r>
        <w:rPr>
          <w:i/>
          <w:sz w:val="16"/>
          <w:vertAlign w:val="baseline"/>
        </w:rPr>
        <w:t>to</w:t>
      </w:r>
      <w:r>
        <w:rPr>
          <w:i/>
          <w:spacing w:val="-3"/>
          <w:sz w:val="16"/>
          <w:vertAlign w:val="baseline"/>
        </w:rPr>
        <w:t> </w:t>
      </w:r>
      <w:r>
        <w:rPr>
          <w:i/>
          <w:sz w:val="16"/>
          <w:vertAlign w:val="baseline"/>
        </w:rPr>
        <w:t>08/05/2020).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08/05/2020.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1"/>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2"/>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(09/05/2019</w:t>
      </w:r>
      <w:r>
        <w:rPr>
          <w:i/>
          <w:spacing w:val="-2"/>
          <w:sz w:val="16"/>
          <w:vertAlign w:val="baseline"/>
        </w:rPr>
        <w:t> </w:t>
      </w:r>
      <w:r>
        <w:rPr>
          <w:i/>
          <w:sz w:val="16"/>
          <w:vertAlign w:val="baseline"/>
        </w:rPr>
        <w:t>to</w:t>
      </w:r>
      <w:r>
        <w:rPr>
          <w:i/>
          <w:spacing w:val="-3"/>
          <w:sz w:val="16"/>
          <w:vertAlign w:val="baseline"/>
        </w:rPr>
        <w:t> </w:t>
      </w:r>
      <w:r>
        <w:rPr>
          <w:i/>
          <w:sz w:val="16"/>
          <w:vertAlign w:val="baseline"/>
        </w:rPr>
        <w:t>08/05/2020).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08/05/2020.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5"/>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80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9152" type="#_x0000_t202" id="docshape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FN09/2020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25/04/2020</w:t>
                        </w:r>
                      </w:p>
                      <w:p>
                        <w:pPr>
                          <w:pStyle w:val="TableParagraph"/>
                          <w:spacing w:line="134" w:lineRule="exact" w:before="21"/>
                          <w:ind w:left="22" w:right="5"/>
                          <w:jc w:val="center"/>
                          <w:rPr>
                            <w:b/>
                            <w:sz w:val="13"/>
                          </w:rPr>
                        </w:pPr>
                        <w:r>
                          <w:rPr>
                            <w:b/>
                            <w:color w:val="FFFFFF"/>
                            <w:w w:val="105"/>
                            <w:sz w:val="13"/>
                          </w:rPr>
                          <w:t>08/05/2020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11/04/2020</w:t>
                        </w:r>
                      </w:p>
                      <w:p>
                        <w:pPr>
                          <w:pStyle w:val="TableParagraph"/>
                          <w:spacing w:line="134" w:lineRule="exact" w:before="22"/>
                          <w:ind w:left="78" w:right="52"/>
                          <w:jc w:val="center"/>
                          <w:rPr>
                            <w:sz w:val="13"/>
                          </w:rPr>
                        </w:pPr>
                        <w:r>
                          <w:rPr>
                            <w:color w:val="FFFFFF"/>
                            <w:w w:val="105"/>
                            <w:sz w:val="13"/>
                          </w:rPr>
                          <w:t>24/04/2020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25/04/2019</w:t>
                        </w:r>
                      </w:p>
                      <w:p>
                        <w:pPr>
                          <w:pStyle w:val="TableParagraph"/>
                          <w:spacing w:line="134" w:lineRule="exact" w:before="21"/>
                          <w:ind w:left="78" w:right="52"/>
                          <w:jc w:val="center"/>
                          <w:rPr>
                            <w:sz w:val="13"/>
                          </w:rPr>
                        </w:pPr>
                        <w:r>
                          <w:rPr>
                            <w:color w:val="FFFFFF"/>
                            <w:w w:val="105"/>
                            <w:sz w:val="13"/>
                          </w:rPr>
                          <w:t>08/05/2019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01/01/2019</w:t>
                        </w:r>
                      </w:p>
                      <w:p>
                        <w:pPr>
                          <w:pStyle w:val="TableParagraph"/>
                          <w:spacing w:line="134" w:lineRule="exact" w:before="21"/>
                          <w:ind w:left="69" w:right="34"/>
                          <w:jc w:val="center"/>
                          <w:rPr>
                            <w:sz w:val="13"/>
                          </w:rPr>
                        </w:pPr>
                        <w:r>
                          <w:rPr>
                            <w:color w:val="FFFFFF"/>
                            <w:w w:val="105"/>
                            <w:sz w:val="13"/>
                          </w:rPr>
                          <w:t>08/05/2020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09/02/2020</w:t>
                        </w:r>
                      </w:p>
                      <w:p>
                        <w:pPr>
                          <w:pStyle w:val="TableParagraph"/>
                          <w:spacing w:line="134" w:lineRule="exact" w:before="21"/>
                          <w:ind w:left="91"/>
                          <w:jc w:val="left"/>
                          <w:rPr>
                            <w:sz w:val="13"/>
                          </w:rPr>
                        </w:pPr>
                        <w:r>
                          <w:rPr>
                            <w:color w:val="FFFFFF"/>
                            <w:w w:val="105"/>
                            <w:sz w:val="13"/>
                          </w:rPr>
                          <w:t>08/05/2020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09/05/2019</w:t>
                        </w:r>
                      </w:p>
                      <w:p>
                        <w:pPr>
                          <w:pStyle w:val="TableParagraph"/>
                          <w:spacing w:line="134" w:lineRule="exact" w:before="21"/>
                          <w:ind w:left="90"/>
                          <w:jc w:val="left"/>
                          <w:rPr>
                            <w:sz w:val="13"/>
                          </w:rPr>
                        </w:pPr>
                        <w:r>
                          <w:rPr>
                            <w:color w:val="FFFFFF"/>
                            <w:w w:val="105"/>
                            <w:sz w:val="13"/>
                          </w:rPr>
                          <w:t>08/05/2020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09/05/2014</w:t>
                        </w:r>
                      </w:p>
                      <w:p>
                        <w:pPr>
                          <w:pStyle w:val="TableParagraph"/>
                          <w:spacing w:line="134" w:lineRule="exact" w:before="21"/>
                          <w:ind w:left="42"/>
                          <w:jc w:val="left"/>
                          <w:rPr>
                            <w:sz w:val="13"/>
                          </w:rPr>
                        </w:pPr>
                        <w:r>
                          <w:rPr>
                            <w:color w:val="FFFFFF"/>
                            <w:w w:val="105"/>
                            <w:sz w:val="13"/>
                          </w:rPr>
                          <w:t>08/05/2019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40</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31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40.8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0.8</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144</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154.6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1,695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1,149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1,540.4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5,321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6,115.4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170.6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701.4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282</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2,613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2,567.2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8,008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9,994.4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15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0.4</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66.4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0.8</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14</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191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189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150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717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1,243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11,378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6,918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6,401.0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34,739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26,751.4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1,711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1,205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1,697.6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3,105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3,954.2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243.6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4.0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47.6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1.3</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275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365.2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415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691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6,797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4,475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5,295.6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15,024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16,250.6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1,175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1,729.4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83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54.4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182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140.6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1.3</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49</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144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238</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403</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7"/>
                          <w:rPr>
                            <w:sz w:val="13"/>
                          </w:rPr>
                        </w:pPr>
                        <w:r>
                          <w:rPr>
                            <w:w w:val="105"/>
                            <w:sz w:val="13"/>
                          </w:rPr>
                          <w:t>6,968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6,952</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6,952.0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6,968</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6,968.0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42</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704</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60</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771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186</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47</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5</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383</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2,198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2,167</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3,908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27,932</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18,685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25,565.2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92,020</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96,635.6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255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216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121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685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948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1,231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11,746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7,594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6,755.2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33,733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24,814.8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16</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8</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23</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129</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207</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1,576</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976</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1,002.0</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5,393</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3,802.8</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880</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657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2,527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2,087.4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85.8</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6"/>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5</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1.0</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1.7</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3</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1.4</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6.8</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1.2</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18.8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37</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44</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21</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40</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156</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154</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9,368</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20,850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12,162</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13,418.8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287,073</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122,423.2</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2.3</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16,799.0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124.4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93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2,866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3,324.6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10,774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16,113.8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396</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230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1,794.4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103</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1,052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6,252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4,047.6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832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689.8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3,978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3,192.4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36" w:right="198"/>
                          <w:jc w:val="center"/>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18</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82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301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499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4,193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2,356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2,449.8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14,595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9,103.2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2</w:t>
                        </w:r>
                      </w:p>
                    </w:tc>
                    <w:tc>
                      <w:tcPr>
                        <w:tcW w:w="667" w:type="dxa"/>
                        <w:tcBorders>
                          <w:top w:val="single" w:sz="6" w:space="0" w:color="000000"/>
                          <w:left w:val="single" w:sz="6" w:space="0" w:color="000000"/>
                          <w:right w:val="single" w:sz="6" w:space="0" w:color="000000"/>
                        </w:tcBorders>
                      </w:tcPr>
                      <w:p>
                        <w:pPr>
                          <w:pStyle w:val="TableParagraph"/>
                          <w:spacing w:line="134" w:lineRule="exact"/>
                          <w:ind w:left="71"/>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1</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308</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40</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13</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56</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420</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836</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612</w:t>
                        </w:r>
                      </w:p>
                    </w:tc>
                    <w:tc>
                      <w:tcPr>
                        <w:tcW w:w="844" w:type="dxa"/>
                        <w:tcBorders>
                          <w:top w:val="single" w:sz="6" w:space="0" w:color="000000"/>
                          <w:left w:val="single" w:sz="6" w:space="0" w:color="000000"/>
                        </w:tcBorders>
                      </w:tcPr>
                      <w:p>
                        <w:pPr>
                          <w:pStyle w:val="TableParagraph"/>
                          <w:spacing w:line="134" w:lineRule="exact"/>
                          <w:ind w:right="37"/>
                          <w:rPr>
                            <w:sz w:val="13"/>
                          </w:rPr>
                        </w:pPr>
                        <w:r>
                          <w:rPr>
                            <w:w w:val="105"/>
                            <w:sz w:val="13"/>
                          </w:rPr>
                          <w:t>5,523</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4,409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3,481.0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1.3</w:t>
                        </w:r>
                      </w:p>
                    </w:tc>
                    <w:tc>
                      <w:tcPr>
                        <w:tcW w:w="736" w:type="dxa"/>
                        <w:tcBorders>
                          <w:top w:val="single" w:sz="6" w:space="0" w:color="000000"/>
                          <w:left w:val="single" w:sz="6" w:space="0" w:color="000000"/>
                        </w:tcBorders>
                        <w:shd w:val="clear" w:color="auto" w:fill="DAEEF3"/>
                      </w:tcPr>
                      <w:p>
                        <w:pPr>
                          <w:pStyle w:val="TableParagraph"/>
                          <w:spacing w:line="134" w:lineRule="exact"/>
                          <w:ind w:right="36"/>
                          <w:rPr>
                            <w:sz w:val="13"/>
                          </w:rPr>
                        </w:pPr>
                        <w:r>
                          <w:rPr>
                            <w:w w:val="105"/>
                            <w:sz w:val="13"/>
                          </w:rPr>
                          <w:t>130.1</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13,582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14,236.2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1.0</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17</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29</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46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29</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13</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232</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188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148.2</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1.3</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377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435.2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94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94.2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473.8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1,104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1,502.4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31.8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4.0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0.6</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364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330.4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351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564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930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831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195</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2,741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2,602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2,561.8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4,462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5,572.2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1.4</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19</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139.8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0.7</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shd w:val="clear" w:color="auto" w:fill="FFFF00"/>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shd w:val="clear" w:color="auto" w:fill="FFFF00"/>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FFFF00"/>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shd w:val="clear" w:color="auto" w:fill="FFFF00"/>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shd w:val="clear" w:color="auto" w:fill="FFFF00"/>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182"/>
                          <w:rPr>
                            <w:sz w:val="13"/>
                          </w:rPr>
                        </w:pPr>
                        <w:r>
                          <w:rPr>
                            <w:w w:val="105"/>
                            <w:sz w:val="13"/>
                          </w:rPr>
                          <w:t>‐</w:t>
                        </w:r>
                      </w:p>
                    </w:tc>
                    <w:tc>
                      <w:tcPr>
                        <w:tcW w:w="845"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shd w:val="clear" w:color="auto" w:fill="FFFF00"/>
                      </w:tcPr>
                      <w:p>
                        <w:pPr>
                          <w:pStyle w:val="TableParagraph"/>
                          <w:spacing w:line="134" w:lineRule="exact"/>
                          <w:ind w:right="44"/>
                          <w:rPr>
                            <w:sz w:val="13"/>
                          </w:rPr>
                        </w:pPr>
                        <w:r>
                          <w:rPr>
                            <w:w w:val="105"/>
                            <w:sz w:val="13"/>
                          </w:rPr>
                          <w:t>1</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1.0</w:t>
                        </w:r>
                      </w:p>
                    </w:tc>
                    <w:tc>
                      <w:tcPr>
                        <w:tcW w:w="846" w:type="dxa"/>
                        <w:tcBorders>
                          <w:top w:val="single" w:sz="6" w:space="0" w:color="000000"/>
                          <w:right w:val="single" w:sz="6" w:space="0" w:color="000000"/>
                        </w:tcBorders>
                        <w:shd w:val="clear" w:color="auto" w:fill="FFFF00"/>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shd w:val="clear" w:color="auto" w:fill="FFFF00"/>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FFFF00"/>
                      </w:tcPr>
                      <w:p>
                        <w:pPr>
                          <w:pStyle w:val="TableParagraph"/>
                          <w:spacing w:line="134" w:lineRule="exact"/>
                          <w:ind w:right="35"/>
                          <w:rPr>
                            <w:sz w:val="13"/>
                          </w:rPr>
                        </w:pPr>
                        <w:r>
                          <w:rPr>
                            <w:w w:val="105"/>
                            <w:sz w:val="13"/>
                          </w:rPr>
                          <w:t>1.0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shd w:val="clear" w:color="auto" w:fill="FFFF00"/>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shd w:val="clear" w:color="auto" w:fill="FFFF00"/>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FFFF00"/>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8</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3</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3</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2</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3</w:t>
                        </w:r>
                      </w:p>
                    </w:tc>
                    <w:tc>
                      <w:tcPr>
                        <w:tcW w:w="556"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21</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28</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11</w:t>
                        </w:r>
                      </w:p>
                    </w:tc>
                    <w:tc>
                      <w:tcPr>
                        <w:tcW w:w="844" w:type="dxa"/>
                        <w:tcBorders>
                          <w:left w:val="single" w:sz="6" w:space="0" w:color="000000"/>
                          <w:bottom w:val="single" w:sz="6" w:space="0" w:color="000000"/>
                        </w:tcBorders>
                        <w:shd w:val="clear" w:color="auto" w:fill="FFFF00"/>
                      </w:tcPr>
                      <w:p>
                        <w:pPr>
                          <w:pStyle w:val="TableParagraph"/>
                          <w:spacing w:line="129" w:lineRule="exact"/>
                          <w:ind w:right="36"/>
                          <w:rPr>
                            <w:sz w:val="13"/>
                          </w:rPr>
                        </w:pPr>
                        <w:r>
                          <w:rPr>
                            <w:w w:val="105"/>
                            <w:sz w:val="13"/>
                          </w:rPr>
                          <w:t>205</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150</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98.0</w:t>
                        </w:r>
                      </w:p>
                    </w:tc>
                    <w:tc>
                      <w:tcPr>
                        <w:tcW w:w="72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90"/>
                          <w:jc w:val="left"/>
                          <w:rPr>
                            <w:sz w:val="13"/>
                          </w:rPr>
                        </w:pPr>
                        <w:r>
                          <w:rPr>
                            <w:w w:val="105"/>
                            <w:sz w:val="13"/>
                          </w:rPr>
                          <w:t>1.5</w:t>
                        </w:r>
                      </w:p>
                    </w:tc>
                    <w:tc>
                      <w:tcPr>
                        <w:tcW w:w="736" w:type="dxa"/>
                        <w:tcBorders>
                          <w:left w:val="single" w:sz="6" w:space="0" w:color="000000"/>
                          <w:bottom w:val="single" w:sz="6" w:space="0" w:color="000000"/>
                        </w:tcBorders>
                        <w:shd w:val="clear" w:color="auto" w:fill="FFFF00"/>
                      </w:tcPr>
                      <w:p>
                        <w:pPr>
                          <w:pStyle w:val="TableParagraph"/>
                          <w:spacing w:line="129" w:lineRule="exact"/>
                          <w:ind w:right="36"/>
                          <w:rPr>
                            <w:sz w:val="13"/>
                          </w:rPr>
                        </w:pPr>
                        <w:r>
                          <w:rPr>
                            <w:w w:val="105"/>
                            <w:sz w:val="13"/>
                          </w:rPr>
                          <w:t>32.3</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504</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399.0</w:t>
                        </w:r>
                      </w:p>
                    </w:tc>
                    <w:tc>
                      <w:tcPr>
                        <w:tcW w:w="71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39.4</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254.8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24</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6</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10</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42</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56</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57</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474</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348</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328.6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1,493</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1,380.2</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107</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2,032</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172</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2,478</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567</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140</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548</w:t>
                        </w:r>
                      </w:p>
                    </w:tc>
                    <w:tc>
                      <w:tcPr>
                        <w:tcW w:w="556" w:type="dxa"/>
                        <w:tcBorders>
                          <w:left w:val="single" w:sz="6" w:space="0" w:color="000000"/>
                        </w:tcBorders>
                      </w:tcPr>
                      <w:p>
                        <w:pPr>
                          <w:pStyle w:val="TableParagraph"/>
                          <w:spacing w:line="135" w:lineRule="exact"/>
                          <w:ind w:right="35"/>
                          <w:rPr>
                            <w:sz w:val="13"/>
                          </w:rPr>
                        </w:pPr>
                        <w:r>
                          <w:rPr>
                            <w:w w:val="105"/>
                            <w:sz w:val="13"/>
                          </w:rPr>
                          <w:t>913</w:t>
                        </w:r>
                      </w:p>
                    </w:tc>
                    <w:tc>
                      <w:tcPr>
                        <w:tcW w:w="846" w:type="dxa"/>
                      </w:tcPr>
                      <w:p>
                        <w:pPr>
                          <w:pStyle w:val="TableParagraph"/>
                          <w:spacing w:line="135" w:lineRule="exact"/>
                          <w:ind w:right="36"/>
                          <w:rPr>
                            <w:sz w:val="13"/>
                          </w:rPr>
                        </w:pPr>
                        <w:r>
                          <w:rPr>
                            <w:w w:val="105"/>
                            <w:sz w:val="13"/>
                          </w:rPr>
                          <w:t>6,957</w:t>
                        </w:r>
                      </w:p>
                    </w:tc>
                    <w:tc>
                      <w:tcPr>
                        <w:tcW w:w="845" w:type="dxa"/>
                      </w:tcPr>
                      <w:p>
                        <w:pPr>
                          <w:pStyle w:val="TableParagraph"/>
                          <w:spacing w:line="135" w:lineRule="exact"/>
                          <w:ind w:right="36"/>
                          <w:rPr>
                            <w:sz w:val="13"/>
                          </w:rPr>
                        </w:pPr>
                        <w:r>
                          <w:rPr>
                            <w:w w:val="105"/>
                            <w:sz w:val="13"/>
                          </w:rPr>
                          <w:t>7,803</w:t>
                        </w:r>
                      </w:p>
                    </w:tc>
                    <w:tc>
                      <w:tcPr>
                        <w:tcW w:w="845" w:type="dxa"/>
                      </w:tcPr>
                      <w:p>
                        <w:pPr>
                          <w:pStyle w:val="TableParagraph"/>
                          <w:spacing w:line="135" w:lineRule="exact"/>
                          <w:ind w:right="37"/>
                          <w:rPr>
                            <w:sz w:val="13"/>
                          </w:rPr>
                        </w:pPr>
                        <w:r>
                          <w:rPr>
                            <w:w w:val="105"/>
                            <w:sz w:val="13"/>
                          </w:rPr>
                          <w:t>19,819</w:t>
                        </w:r>
                      </w:p>
                    </w:tc>
                    <w:tc>
                      <w:tcPr>
                        <w:tcW w:w="844" w:type="dxa"/>
                      </w:tcPr>
                      <w:p>
                        <w:pPr>
                          <w:pStyle w:val="TableParagraph"/>
                          <w:spacing w:line="135" w:lineRule="exact"/>
                          <w:ind w:right="36"/>
                          <w:rPr>
                            <w:sz w:val="13"/>
                          </w:rPr>
                        </w:pPr>
                        <w:r>
                          <w:rPr>
                            <w:w w:val="105"/>
                            <w:sz w:val="13"/>
                          </w:rPr>
                          <w:t>115,409</w:t>
                        </w:r>
                      </w:p>
                    </w:tc>
                    <w:tc>
                      <w:tcPr>
                        <w:tcW w:w="846" w:type="dxa"/>
                      </w:tcPr>
                      <w:p>
                        <w:pPr>
                          <w:pStyle w:val="TableParagraph"/>
                          <w:spacing w:line="135" w:lineRule="exact"/>
                          <w:ind w:right="37"/>
                          <w:rPr>
                            <w:sz w:val="13"/>
                          </w:rPr>
                        </w:pPr>
                        <w:r>
                          <w:rPr>
                            <w:w w:val="105"/>
                            <w:sz w:val="13"/>
                          </w:rPr>
                          <w:t>77,169</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560,139</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(11/05/2020).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dhhs.tas.gov.au/publichealth/alerts/public_health_updates/tularaemia/notified_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2021-09-08T03:10:56Z</dcterms:created>
  <dcterms:modified xsi:type="dcterms:W3CDTF">2021-09-08T03:10:56Z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2021-09-08T00:00:00Z</vt:filetime>
  </property>
</Properties>
</file>