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02, 2020 Summary Notes for Selected Diseases</w:t>
      </w:r>
      <w:r>
        <w:rPr>
          <w:spacing w:val="-52"/>
          <w:u w:val="none"/>
        </w:rPr>
        <w:t> </w:t>
      </w:r>
      <w:bookmarkStart w:name="18 January to 31 January 2020" w:id="1"/>
      <w:bookmarkEnd w:id="1"/>
      <w:r>
        <w:rPr>
          <w:u w:val="single"/>
        </w:rPr>
        <w:t>18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31</w:t>
      </w:r>
      <w:r>
        <w:rPr>
          <w:spacing w:val="1"/>
          <w:u w:val="single"/>
        </w:rPr>
        <w:t> </w:t>
      </w:r>
      <w:r>
        <w:rPr>
          <w:u w:val="single"/>
        </w:rPr>
        <w:t>January 2020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51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Infectious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800080"/>
            <w:u w:val="single" w:color="800080"/>
          </w:rPr>
          <w:t>Department’s</w:t>
        </w:r>
        <w:r>
          <w:rPr>
            <w:color w:val="800080"/>
            <w:spacing w:val="-2"/>
            <w:u w:val="single" w:color="800080"/>
          </w:rPr>
          <w:t> </w:t>
        </w:r>
        <w:r>
          <w:rPr>
            <w:color w:val="800080"/>
            <w:u w:val="single" w:color="800080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Influenza</w:t>
      </w:r>
    </w:p>
    <w:p>
      <w:pPr>
        <w:pStyle w:val="BodyText"/>
        <w:ind w:left="112" w:right="132"/>
      </w:pPr>
      <w:r>
        <w:rPr/>
        <w:t>In 2020 up to 31 January, there have been 5,487 laboratory-confirmed influenza cases reported to</w:t>
      </w:r>
      <w:r>
        <w:rPr>
          <w:spacing w:val="-52"/>
        </w:rPr>
        <w:t> </w:t>
      </w:r>
      <w:r>
        <w:rPr/>
        <w:t>the National Notifiable Diseases Surveillance System (NNDSS). This is higher than the mean</w:t>
      </w:r>
      <w:r>
        <w:rPr>
          <w:spacing w:val="1"/>
        </w:rPr>
        <w:t> </w:t>
      </w:r>
      <w:r>
        <w:rPr/>
        <w:t>number of cases reported in the same period over the previous 5 years (n=2,411). However, the</w:t>
      </w:r>
      <w:r>
        <w:rPr>
          <w:spacing w:val="1"/>
        </w:rPr>
        <w:t> </w:t>
      </w:r>
      <w:r>
        <w:rPr/>
        <w:t>number of cases reported to the NNDSS in 2020 year to date remains lower than the number</w:t>
      </w:r>
      <w:r>
        <w:rPr>
          <w:spacing w:val="1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2019</w:t>
      </w:r>
      <w:r>
        <w:rPr>
          <w:spacing w:val="-1"/>
        </w:rPr>
        <w:t> </w:t>
      </w:r>
      <w:r>
        <w:rPr/>
        <w:t>(n=7,253).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12" w:right="227"/>
      </w:pPr>
      <w:r>
        <w:rPr/>
        <w:t>The Department of Health closely monitors national influenza activity throughout the year,</w:t>
      </w:r>
      <w:r>
        <w:rPr>
          <w:spacing w:val="1"/>
        </w:rPr>
        <w:t> </w:t>
      </w:r>
      <w:r>
        <w:rPr/>
        <w:t>including during the inter-seasonal period. The Australian Influenza Surveillance Reports for 2019</w:t>
      </w:r>
      <w:r>
        <w:rPr>
          <w:spacing w:val="-52"/>
        </w:rPr>
        <w:t> </w:t>
      </w:r>
      <w:r>
        <w:rPr/>
        <w:t>are available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Department’s website</w:t>
        </w:r>
      </w:hyperlink>
      <w:r>
        <w:rPr>
          <w:color w:val="0000FF"/>
          <w:u w:val="single" w:color="0000FF"/>
        </w:rPr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45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89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(03/11/2019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31/01/2020).</w:t>
      </w:r>
    </w:p>
    <w:p>
      <w:pPr>
        <w:spacing w:before="11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31/01/2020.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(01/02/2019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to31/01/2020).</w:t>
      </w:r>
    </w:p>
    <w:p>
      <w:pPr>
        <w:spacing w:before="119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31/01/2020.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1080" w:bottom="280" w:left="1020" w:right="1060"/>
        </w:sectPr>
      </w:pPr>
    </w:p>
    <w:p>
      <w:pPr>
        <w:spacing w:before="50"/>
        <w:ind w:left="10623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1.590607pt;margin-top:2.553286pt;width:907.7pt;height:684.7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5"/>
                    <w:gridCol w:w="2651"/>
                    <w:gridCol w:w="405"/>
                    <w:gridCol w:w="475"/>
                    <w:gridCol w:w="649"/>
                    <w:gridCol w:w="474"/>
                    <w:gridCol w:w="544"/>
                    <w:gridCol w:w="544"/>
                    <w:gridCol w:w="474"/>
                    <w:gridCol w:w="544"/>
                    <w:gridCol w:w="543"/>
                    <w:gridCol w:w="826"/>
                    <w:gridCol w:w="825"/>
                    <w:gridCol w:w="825"/>
                    <w:gridCol w:w="824"/>
                    <w:gridCol w:w="826"/>
                    <w:gridCol w:w="717"/>
                    <w:gridCol w:w="707"/>
                    <w:gridCol w:w="715"/>
                    <w:gridCol w:w="825"/>
                    <w:gridCol w:w="716"/>
                    <w:gridCol w:w="697"/>
                    <w:gridCol w:w="7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8146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468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7" w:lineRule="exact"/>
                          <w:ind w:left="1262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FN02/2020</w:t>
                        </w:r>
                      </w:p>
                    </w:tc>
                    <w:tc>
                      <w:tcPr>
                        <w:tcW w:w="4247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434" w:right="140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 Territory</w:t>
                        </w:r>
                      </w:p>
                    </w:tc>
                    <w:tc>
                      <w:tcPr>
                        <w:tcW w:w="330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8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296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52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5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53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93" w:hRule="atLeast"/>
                    </w:trPr>
                    <w:tc>
                      <w:tcPr>
                        <w:tcW w:w="1625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42" w:right="90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4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6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" w:right="1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" w:right="1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18/01/2020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11" w:right="1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43" w:right="14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04/01/2020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17/01/2020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64" w:lineRule="auto" w:before="29"/>
                          <w:ind w:left="105" w:right="111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68" w:right="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18/01/2019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68" w:right="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31/01/2019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53" w:right="5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" w:right="5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01/01/2019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52" w:right="5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03/11/2019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7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64" w:right="90" w:hanging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1" w:right="28" w:firstLine="48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5" w:right="28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 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01/02/2019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31/01/2020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64" w:lineRule="auto" w:before="29"/>
                          <w:ind w:left="160" w:right="183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01/02/2014</w:t>
                        </w:r>
                      </w:p>
                      <w:p>
                        <w:pPr>
                          <w:pStyle w:val="TableParagraph"/>
                          <w:spacing w:line="132" w:lineRule="exact" w:before="19"/>
                          <w:ind w:left="1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31/01/2019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8" w:right="34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1" w:right="31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152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158.6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209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1,340.0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5,591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6,149.2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 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705.6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1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1,822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2,307.8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8,324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10,041.2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 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4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419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1,383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1,732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1,466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3,409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9,936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7,685.2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36,093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25,889.6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77.4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2,775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3,933.8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Haemolytic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uraemic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 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242.4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 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17.6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335.8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1,639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4,189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4,370.8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14,843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16,384.8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3,198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1,592.4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283.8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Typhoid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132.2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1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0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Severe acute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haemorrhagic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1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Yellow 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5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5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17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Chlamydial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1,077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909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486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2,867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3,243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4,276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6,492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19,480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22,606.2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99,765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95,643.8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Gonococcal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1,391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1,404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2,542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7,363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5,946.8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33,055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23,851.2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&lt; 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5,591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3,596.4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&gt;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 unspecified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2,453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2,057.4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77.8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93"/>
                          <w:ind w:left="560" w:hanging="3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Vaccine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Haemophilus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type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(laboratory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1,101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2,465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2,608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2,883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5,487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13,347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8,658.4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312,332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114,917.6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41,161.1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130.8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619.2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4,956.8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11,665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16,012.0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Pneumococcal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29.4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2,154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1,772.4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Poliovirus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2,216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751.5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6,270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4,050.4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 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4,114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3,108.4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3,264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2,313.6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14,508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8,697.8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1,849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3,401.8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12,093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14,066.8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Barmah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Forest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263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478.6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Chikungunya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Dengue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1,390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1,540.4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Flavivirus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33.8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Japanese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328.4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Murray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Valley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Ross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River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1,139.0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2,888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5,729.6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West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Nile/Kunjin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Australian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1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115.4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22.2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Q fever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531.0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10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9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5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20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45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25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105.4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431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400.8</w:t>
                        </w:r>
                      </w:p>
                    </w:tc>
                    <w:tc>
                      <w:tcPr>
                        <w:tcW w:w="6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Meningococcal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2" w:right="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254.0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92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right="19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1,506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1,371.6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31" w:lineRule="exact"/>
                          <w:ind w:left="4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4681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2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229</w:t>
                        </w:r>
                      </w:p>
                    </w:tc>
                    <w:tc>
                      <w:tcPr>
                        <w:tcW w:w="6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3,729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2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248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3,445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2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866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2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697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1,522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10,886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12,701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13,849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25,546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74,484</w:t>
                        </w:r>
                      </w:p>
                    </w:tc>
                    <w:tc>
                      <w:tcPr>
                        <w:tcW w:w="213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585,522</w:t>
                        </w:r>
                      </w:p>
                    </w:tc>
                    <w:tc>
                      <w:tcPr>
                        <w:tcW w:w="212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9"/>
          <w:sz w:val="17"/>
        </w:rPr>
        <w:t> </w:t>
      </w:r>
      <w:r>
        <w:rPr>
          <w:b/>
          <w:color w:val="FFFFFF"/>
          <w:sz w:val="17"/>
        </w:rPr>
        <w:t>received</w:t>
      </w:r>
      <w:r>
        <w:rPr>
          <w:b/>
          <w:color w:val="FFFFFF"/>
          <w:spacing w:val="-9"/>
          <w:sz w:val="17"/>
        </w:rPr>
        <w:t> </w:t>
      </w:r>
      <w:r>
        <w:rPr>
          <w:b/>
          <w:color w:val="FFFFFF"/>
          <w:sz w:val="17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47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2" w:lineRule="auto" w:before="7"/>
        <w:ind w:left="147" w:right="10476" w:firstLine="0"/>
        <w:jc w:val="left"/>
        <w:rPr>
          <w:sz w:val="11"/>
        </w:rPr>
      </w:pPr>
      <w:r>
        <w:rPr>
          <w:spacing w:val="-1"/>
          <w:sz w:val="11"/>
        </w:rPr>
        <w:t>*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Ratio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90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day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prior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surveillance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period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past</w:t>
      </w:r>
      <w:r>
        <w:rPr>
          <w:spacing w:val="-5"/>
          <w:sz w:val="11"/>
        </w:rPr>
        <w:t> </w:t>
      </w:r>
      <w:r>
        <w:rPr>
          <w:sz w:val="11"/>
        </w:rPr>
        <w:t>90</w:t>
      </w:r>
      <w:r>
        <w:rPr>
          <w:spacing w:val="-4"/>
          <w:sz w:val="11"/>
        </w:rPr>
        <w:t> </w:t>
      </w:r>
      <w:r>
        <w:rPr>
          <w:sz w:val="11"/>
        </w:rPr>
        <w:t>day</w:t>
      </w:r>
      <w:r>
        <w:rPr>
          <w:spacing w:val="-6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mean,</w:t>
      </w:r>
      <w:r>
        <w:rPr>
          <w:spacing w:val="-6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ratio</w:t>
      </w:r>
      <w:r>
        <w:rPr>
          <w:spacing w:val="-4"/>
          <w:sz w:val="11"/>
        </w:rPr>
        <w:t> </w:t>
      </w:r>
      <w:r>
        <w:rPr>
          <w:sz w:val="11"/>
        </w:rPr>
        <w:t>of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5"/>
          <w:sz w:val="11"/>
        </w:rPr>
        <w:t> </w:t>
      </w:r>
      <w:r>
        <w:rPr>
          <w:sz w:val="11"/>
        </w:rPr>
        <w:t>prior</w:t>
      </w:r>
      <w:r>
        <w:rPr>
          <w:spacing w:val="-4"/>
          <w:sz w:val="11"/>
        </w:rPr>
        <w:t> </w:t>
      </w:r>
      <w:r>
        <w:rPr>
          <w:sz w:val="11"/>
        </w:rPr>
        <w:t>surveillance</w:t>
      </w:r>
      <w:r>
        <w:rPr>
          <w:spacing w:val="-5"/>
          <w:sz w:val="11"/>
        </w:rPr>
        <w:t> </w:t>
      </w:r>
      <w:r>
        <w:rPr>
          <w:sz w:val="11"/>
        </w:rPr>
        <w:t>period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5"/>
          <w:sz w:val="11"/>
        </w:rPr>
        <w:t> </w:t>
      </w:r>
      <w:r>
        <w:rPr>
          <w:sz w:val="11"/>
        </w:rPr>
        <w:t>period</w:t>
      </w:r>
      <w:r>
        <w:rPr>
          <w:spacing w:val="-4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5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-2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</w:t>
      </w:r>
      <w:r>
        <w:rPr>
          <w:spacing w:val="-2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2"/>
          <w:sz w:val="11"/>
        </w:rPr>
        <w:t> </w:t>
      </w:r>
      <w:r>
        <w:rPr>
          <w:sz w:val="11"/>
        </w:rPr>
        <w:t>Classified</w:t>
      </w:r>
    </w:p>
    <w:p>
      <w:pPr>
        <w:spacing w:line="252" w:lineRule="auto" w:before="9"/>
        <w:ind w:left="147" w:right="5263" w:firstLine="0"/>
        <w:jc w:val="left"/>
        <w:rPr>
          <w:sz w:val="11"/>
        </w:rPr>
      </w:pP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this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report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are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reliant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provision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from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states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territories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Australian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Government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Department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Health.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Backlogs</w:t>
      </w:r>
      <w:r>
        <w:rPr>
          <w:spacing w:val="-4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notifications</w:t>
      </w:r>
      <w:r>
        <w:rPr>
          <w:spacing w:val="-3"/>
          <w:sz w:val="11"/>
        </w:rPr>
        <w:t> </w:t>
      </w:r>
      <w:r>
        <w:rPr>
          <w:sz w:val="11"/>
        </w:rPr>
        <w:t>at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state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territory</w:t>
      </w:r>
      <w:r>
        <w:rPr>
          <w:spacing w:val="-5"/>
          <w:sz w:val="11"/>
        </w:rPr>
        <w:t> </w:t>
      </w:r>
      <w:r>
        <w:rPr>
          <w:sz w:val="11"/>
        </w:rPr>
        <w:t>level</w:t>
      </w:r>
      <w:r>
        <w:rPr>
          <w:spacing w:val="-5"/>
          <w:sz w:val="11"/>
        </w:rPr>
        <w:t> </w:t>
      </w:r>
      <w:r>
        <w:rPr>
          <w:sz w:val="11"/>
        </w:rPr>
        <w:t>may</w:t>
      </w:r>
      <w:r>
        <w:rPr>
          <w:spacing w:val="-5"/>
          <w:sz w:val="11"/>
        </w:rPr>
        <w:t> </w:t>
      </w:r>
      <w:r>
        <w:rPr>
          <w:sz w:val="11"/>
        </w:rPr>
        <w:t>contribute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5"/>
          <w:sz w:val="11"/>
        </w:rPr>
        <w:t> </w:t>
      </w:r>
      <w:r>
        <w:rPr>
          <w:sz w:val="11"/>
        </w:rPr>
        <w:t>delays</w:t>
      </w:r>
      <w:r>
        <w:rPr>
          <w:spacing w:val="-3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reporting</w:t>
      </w:r>
      <w:r>
        <w:rPr>
          <w:spacing w:val="-6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NNDSS.</w:t>
      </w:r>
      <w:r>
        <w:rPr>
          <w:spacing w:val="-5"/>
          <w:sz w:val="11"/>
        </w:rPr>
        <w:t> </w:t>
      </w:r>
      <w:r>
        <w:rPr>
          <w:sz w:val="11"/>
        </w:rPr>
        <w:t>Notifications</w:t>
      </w:r>
      <w:r>
        <w:rPr>
          <w:spacing w:val="-3"/>
          <w:sz w:val="11"/>
        </w:rPr>
        <w:t> </w:t>
      </w:r>
      <w:r>
        <w:rPr>
          <w:sz w:val="11"/>
        </w:rPr>
        <w:t>for</w:t>
      </w:r>
      <w:r>
        <w:rPr>
          <w:spacing w:val="-5"/>
          <w:sz w:val="11"/>
        </w:rPr>
        <w:t> </w:t>
      </w:r>
      <w:r>
        <w:rPr>
          <w:sz w:val="11"/>
        </w:rPr>
        <w:t>some</w:t>
      </w:r>
      <w:r>
        <w:rPr>
          <w:spacing w:val="-5"/>
          <w:sz w:val="11"/>
        </w:rPr>
        <w:t> </w:t>
      </w:r>
      <w:r>
        <w:rPr>
          <w:sz w:val="11"/>
        </w:rPr>
        <w:t>high</w:t>
      </w:r>
      <w:r>
        <w:rPr>
          <w:spacing w:val="-4"/>
          <w:sz w:val="11"/>
        </w:rPr>
        <w:t> </w:t>
      </w:r>
      <w:r>
        <w:rPr>
          <w:sz w:val="11"/>
        </w:rPr>
        <w:t>volume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-4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only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uploaded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quarterly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by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some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jurisdictions,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which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can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result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apparent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large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variability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over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time.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NNDSS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is</w:t>
      </w:r>
      <w:r>
        <w:rPr>
          <w:spacing w:val="-2"/>
          <w:sz w:val="11"/>
        </w:rPr>
        <w:t> </w:t>
      </w:r>
      <w:r>
        <w:rPr>
          <w:spacing w:val="-1"/>
          <w:sz w:val="11"/>
        </w:rPr>
        <w:t>a</w:t>
      </w:r>
      <w:r>
        <w:rPr>
          <w:spacing w:val="-2"/>
          <w:sz w:val="11"/>
        </w:rPr>
        <w:t> </w:t>
      </w:r>
      <w:r>
        <w:rPr>
          <w:spacing w:val="-1"/>
          <w:sz w:val="11"/>
        </w:rPr>
        <w:t>dynamic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dataset,</w:t>
      </w:r>
      <w:r>
        <w:rPr>
          <w:spacing w:val="-3"/>
          <w:sz w:val="11"/>
        </w:rPr>
        <w:t> </w:t>
      </w:r>
      <w:r>
        <w:rPr>
          <w:sz w:val="11"/>
        </w:rPr>
        <w:t>with</w:t>
      </w:r>
      <w:r>
        <w:rPr>
          <w:spacing w:val="-3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this</w:t>
      </w:r>
      <w:r>
        <w:rPr>
          <w:spacing w:val="-2"/>
          <w:sz w:val="11"/>
        </w:rPr>
        <w:t> </w:t>
      </w:r>
      <w:r>
        <w:rPr>
          <w:sz w:val="11"/>
        </w:rPr>
        <w:t>report</w:t>
      </w:r>
      <w:r>
        <w:rPr>
          <w:spacing w:val="-4"/>
          <w:sz w:val="11"/>
        </w:rPr>
        <w:t> </w:t>
      </w:r>
      <w:r>
        <w:rPr>
          <w:sz w:val="11"/>
        </w:rPr>
        <w:t>representing</w:t>
      </w:r>
      <w:r>
        <w:rPr>
          <w:spacing w:val="-3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available</w:t>
      </w:r>
      <w:r>
        <w:rPr>
          <w:spacing w:val="-4"/>
          <w:sz w:val="11"/>
        </w:rPr>
        <w:t> </w:t>
      </w:r>
      <w:r>
        <w:rPr>
          <w:sz w:val="11"/>
        </w:rPr>
        <w:t>on</w:t>
      </w:r>
      <w:r>
        <w:rPr>
          <w:spacing w:val="-3"/>
          <w:sz w:val="11"/>
        </w:rPr>
        <w:t> </w:t>
      </w:r>
      <w:r>
        <w:rPr>
          <w:b/>
          <w:color w:val="FF0000"/>
          <w:sz w:val="11"/>
        </w:rPr>
        <w:t>(03/02/2020).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this</w:t>
      </w:r>
      <w:r>
        <w:rPr>
          <w:spacing w:val="-2"/>
          <w:sz w:val="11"/>
        </w:rPr>
        <w:t> </w:t>
      </w:r>
      <w:r>
        <w:rPr>
          <w:sz w:val="11"/>
        </w:rPr>
        <w:t>report</w:t>
      </w:r>
      <w:r>
        <w:rPr>
          <w:spacing w:val="-4"/>
          <w:sz w:val="11"/>
        </w:rPr>
        <w:t> </w:t>
      </w:r>
      <w:r>
        <w:rPr>
          <w:sz w:val="11"/>
        </w:rPr>
        <w:t>are</w:t>
      </w:r>
      <w:r>
        <w:rPr>
          <w:spacing w:val="-4"/>
          <w:sz w:val="11"/>
        </w:rPr>
        <w:t> </w:t>
      </w:r>
      <w:r>
        <w:rPr>
          <w:sz w:val="11"/>
        </w:rPr>
        <w:t>subject</w:t>
      </w:r>
      <w:r>
        <w:rPr>
          <w:spacing w:val="-3"/>
          <w:sz w:val="11"/>
        </w:rPr>
        <w:t> </w:t>
      </w:r>
      <w:r>
        <w:rPr>
          <w:sz w:val="11"/>
        </w:rPr>
        <w:t>to</w:t>
      </w:r>
      <w:r>
        <w:rPr>
          <w:spacing w:val="-3"/>
          <w:sz w:val="11"/>
        </w:rPr>
        <w:t> </w:t>
      </w:r>
      <w:r>
        <w:rPr>
          <w:sz w:val="11"/>
        </w:rPr>
        <w:t>retrospective</w:t>
      </w:r>
      <w:r>
        <w:rPr>
          <w:spacing w:val="-4"/>
          <w:sz w:val="11"/>
        </w:rPr>
        <w:t> </w:t>
      </w:r>
      <w:r>
        <w:rPr>
          <w:sz w:val="11"/>
        </w:rPr>
        <w:t>revision</w:t>
      </w:r>
      <w:r>
        <w:rPr>
          <w:spacing w:val="-3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may</w:t>
      </w:r>
      <w:r>
        <w:rPr>
          <w:spacing w:val="-3"/>
          <w:sz w:val="11"/>
        </w:rPr>
        <w:t> </w:t>
      </w:r>
      <w:r>
        <w:rPr>
          <w:sz w:val="11"/>
        </w:rPr>
        <w:t>vary</w:t>
      </w:r>
      <w:r>
        <w:rPr>
          <w:spacing w:val="-4"/>
          <w:sz w:val="11"/>
        </w:rPr>
        <w:t> </w:t>
      </w:r>
      <w:r>
        <w:rPr>
          <w:sz w:val="11"/>
        </w:rPr>
        <w:t>from</w:t>
      </w:r>
      <w:r>
        <w:rPr>
          <w:spacing w:val="-3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 and</w:t>
      </w:r>
      <w:r>
        <w:rPr>
          <w:spacing w:val="-2"/>
          <w:sz w:val="11"/>
        </w:rPr>
        <w:t> </w:t>
      </w:r>
      <w:r>
        <w:rPr>
          <w:sz w:val="11"/>
        </w:rPr>
        <w:t>reports 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1"/>
          <w:sz w:val="11"/>
        </w:rPr>
        <w:t> </w:t>
      </w:r>
      <w:r>
        <w:rPr>
          <w:sz w:val="11"/>
        </w:rPr>
        <w:t>data by</w:t>
      </w:r>
      <w:r>
        <w:rPr>
          <w:spacing w:val="-3"/>
          <w:sz w:val="11"/>
        </w:rPr>
        <w:t> </w:t>
      </w:r>
      <w:r>
        <w:rPr>
          <w:sz w:val="11"/>
        </w:rPr>
        <w:t>states and</w:t>
      </w:r>
      <w:r>
        <w:rPr>
          <w:spacing w:val="-1"/>
          <w:sz w:val="11"/>
        </w:rPr>
        <w:t> </w:t>
      </w:r>
      <w:r>
        <w:rPr>
          <w:sz w:val="11"/>
        </w:rPr>
        <w:t>territories.</w:t>
      </w:r>
    </w:p>
    <w:sectPr>
      <w:pgSz w:w="23810" w:h="16840" w:orient="landscape"/>
      <w:pgMar w:top="960" w:bottom="280" w:left="2720" w:right="2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5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Relationship Id="rId6" Type="http://schemas.openxmlformats.org/officeDocument/2006/relationships/hyperlink" Target="http://www.health.gov.au/flure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2021-09-08T03:09:10Z</dcterms:created>
  <dcterms:modified xsi:type="dcterms:W3CDTF">2021-09-08T03:09:10Z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2021-09-08T00:00:00Z</vt:filetime>
  </property>
</Properties>
</file>