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33"/>
        <w:ind w:left="2119" w:right="244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06, 2021 Summary Notes for Selected Diseases</w:t>
      </w:r>
      <w:r>
        <w:rPr>
          <w:spacing w:val="-52"/>
          <w:u w:val="none"/>
        </w:rPr>
        <w:t> </w:t>
      </w:r>
      <w:bookmarkStart w:name="15 March to 28 March 2021" w:id="1"/>
      <w:bookmarkEnd w:id="1"/>
      <w:r>
        <w:rPr>
          <w:u w:val="single"/>
        </w:rPr>
        <w:t>15</w:t>
      </w:r>
      <w:r>
        <w:rPr>
          <w:u w:val="single"/>
        </w:rPr>
        <w:t> March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28</w:t>
      </w:r>
      <w:r>
        <w:rPr>
          <w:spacing w:val="-1"/>
          <w:u w:val="single"/>
        </w:rPr>
        <w:t> </w:t>
      </w:r>
      <w:r>
        <w:rPr>
          <w:u w:val="single"/>
        </w:rPr>
        <w:t>March</w:t>
      </w:r>
      <w:r>
        <w:rPr>
          <w:spacing w:val="1"/>
          <w:u w:val="single"/>
        </w:rPr>
        <w:t> </w:t>
      </w:r>
      <w:r>
        <w:rPr>
          <w:u w:val="single"/>
        </w:rPr>
        <w:t>2021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51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Infectious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congenital syphilis</w:t>
      </w:r>
    </w:p>
    <w:p>
      <w:pPr>
        <w:pStyle w:val="BodyText"/>
        <w:ind w:left="112" w:right="444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</w:t>
      </w:r>
      <w:r>
        <w:rPr>
          <w:spacing w:val="2"/>
        </w:rPr>
        <w:t> </w:t>
      </w:r>
      <w:r>
        <w:rPr/>
        <w:t>increases</w:t>
      </w:r>
      <w:r>
        <w:rPr>
          <w:spacing w:val="2"/>
        </w:rPr>
        <w:t> </w:t>
      </w:r>
      <w:r>
        <w:rPr/>
        <w:t>among</w:t>
      </w:r>
      <w:r>
        <w:rPr>
          <w:spacing w:val="1"/>
        </w:rPr>
        <w:t> </w:t>
      </w:r>
      <w:r>
        <w:rPr/>
        <w:t>men</w:t>
      </w:r>
      <w:r>
        <w:rPr>
          <w:spacing w:val="3"/>
        </w:rPr>
        <w:t> </w:t>
      </w:r>
      <w:r>
        <w:rPr/>
        <w:t>who have</w:t>
      </w:r>
      <w:r>
        <w:rPr>
          <w:spacing w:val="1"/>
        </w:rPr>
        <w:t> </w:t>
      </w:r>
      <w:r>
        <w:rPr/>
        <w:t>sex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men</w:t>
      </w:r>
      <w:r>
        <w:rPr>
          <w:spacing w:val="1"/>
        </w:rPr>
        <w:t> </w:t>
      </w:r>
      <w:r>
        <w:rPr/>
        <w:t>(MSM)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3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Victoria</w:t>
      </w:r>
      <w:r>
        <w:rPr>
          <w:spacing w:val="2"/>
        </w:rPr>
        <w:t> </w:t>
      </w:r>
      <w:r>
        <w:rPr/>
        <w:t>(Vic)</w:t>
      </w:r>
      <w:r>
        <w:rPr>
          <w:spacing w:val="1"/>
        </w:rPr>
        <w:t> </w:t>
      </w:r>
      <w:r>
        <w:rPr/>
        <w:t>and New South Wales (NSW), and increases in women (Indigenous and non-Indigenous) residing in</w:t>
      </w:r>
      <w:r>
        <w:rPr>
          <w:spacing w:val="-5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2"/>
        </w:rPr>
        <w:t> </w:t>
      </w:r>
      <w:r>
        <w:rPr/>
        <w:t>Vic,</w:t>
      </w:r>
      <w:r>
        <w:rPr>
          <w:spacing w:val="-3"/>
        </w:rPr>
        <w:t> </w:t>
      </w:r>
      <w:r>
        <w:rPr/>
        <w:t>NSW,</w:t>
      </w:r>
      <w:r>
        <w:rPr>
          <w:spacing w:val="-2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</w:t>
      </w:r>
      <w:r>
        <w:rPr>
          <w:spacing w:val="-2"/>
        </w:rPr>
        <w:t> </w:t>
      </w:r>
      <w:r>
        <w:rPr/>
        <w:t>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48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 and related</w:t>
      </w:r>
      <w:r>
        <w:rPr>
          <w:spacing w:val="1"/>
        </w:rPr>
        <w:t> </w:t>
      </w:r>
      <w:r>
        <w:rPr/>
        <w:t>national activities,</w:t>
      </w:r>
      <w:r>
        <w:rPr>
          <w:spacing w:val="-2"/>
        </w:rPr>
        <w:t> </w:t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>
          <w:color w:val="0000FF"/>
          <w:u w:val="single" w:color="0000FF"/>
        </w:rPr>
        <w:t>Department’s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website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64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age,</w:t>
      </w:r>
      <w:r>
        <w:rPr>
          <w:spacing w:val="1"/>
        </w:rPr>
        <w:t> </w:t>
      </w:r>
      <w:r>
        <w:rPr/>
        <w:t>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ind w:left="112" w:right="450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(Indigenous and non-Indigenous) aged predominately 20-39 years of age residing in urban areas of</w:t>
      </w:r>
      <w:r>
        <w:rPr>
          <w:spacing w:val="-52"/>
        </w:rPr>
        <w:t> </w:t>
      </w:r>
      <w:r>
        <w:rPr/>
        <w:t>NSW, Vic, Qld and WA.</w:t>
      </w:r>
      <w:r>
        <w:rPr>
          <w:spacing w:val="1"/>
        </w:rPr>
        <w:t> </w:t>
      </w:r>
      <w:r>
        <w:rPr/>
        <w:t>As noted in the outbreak in remote Australia, increases in women of child-</w:t>
      </w:r>
      <w:r>
        <w:rPr>
          <w:spacing w:val="-52"/>
        </w:rPr>
        <w:t> </w:t>
      </w:r>
      <w:r>
        <w:rPr/>
        <w:t>bearing</w:t>
      </w:r>
      <w:r>
        <w:rPr>
          <w:spacing w:val="-4"/>
        </w:rPr>
        <w:t> </w:t>
      </w:r>
      <w:r>
        <w:rPr/>
        <w:t>age 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 concern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4"/>
        </w:rPr>
        <w:t> </w:t>
      </w:r>
      <w:r>
        <w:rPr/>
        <w:t>of congenital syphilis.</w:t>
      </w:r>
    </w:p>
    <w:p>
      <w:pPr>
        <w:pStyle w:val="BodyText"/>
        <w:spacing w:before="2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61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</w:t>
      </w:r>
      <w:r>
        <w:rPr>
          <w:spacing w:val="1"/>
        </w:rPr>
        <w:t> </w:t>
      </w:r>
      <w:r>
        <w:rPr/>
        <w:t>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2" w:right="54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AHPPC for</w:t>
      </w:r>
      <w:r>
        <w:rPr>
          <w:spacing w:val="-3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coming months.</w:t>
      </w:r>
    </w:p>
    <w:p>
      <w:pPr>
        <w:pStyle w:val="BodyText"/>
        <w:spacing w:before="1"/>
      </w:pPr>
    </w:p>
    <w:p>
      <w:pPr>
        <w:pStyle w:val="BodyText"/>
        <w:ind w:left="112" w:right="1246"/>
      </w:pPr>
      <w:r>
        <w:rPr/>
        <w:t>For further information on national activities related to STIs, including syphilis, refer to the</w:t>
      </w:r>
      <w:r>
        <w:rPr>
          <w:spacing w:val="-52"/>
        </w:rPr>
        <w:t> </w:t>
      </w:r>
      <w:r>
        <w:rPr>
          <w:color w:val="0000FF"/>
          <w:u w:val="single" w:color="0000FF"/>
        </w:rPr>
        <w:t>Department’s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website</w:t>
      </w:r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700"/>
        </w:sectPr>
      </w:pPr>
    </w:p>
    <w:p>
      <w:pPr>
        <w:pStyle w:val="Heading1"/>
        <w:spacing w:before="33"/>
        <w:rPr>
          <w:u w:val="none"/>
        </w:rPr>
      </w:pPr>
      <w:r>
        <w:rPr>
          <w:u w:val="single"/>
        </w:rPr>
        <w:t>Barmah</w:t>
      </w:r>
      <w:r>
        <w:rPr>
          <w:spacing w:val="-1"/>
          <w:u w:val="single"/>
        </w:rPr>
        <w:t> </w:t>
      </w:r>
      <w:r>
        <w:rPr>
          <w:u w:val="single"/>
        </w:rPr>
        <w:t>Forest</w:t>
      </w:r>
      <w:r>
        <w:rPr>
          <w:spacing w:val="-1"/>
          <w:u w:val="single"/>
        </w:rPr>
        <w:t> </w:t>
      </w:r>
      <w:r>
        <w:rPr>
          <w:u w:val="single"/>
        </w:rPr>
        <w:t>virus</w:t>
      </w:r>
    </w:p>
    <w:p>
      <w:pPr>
        <w:pStyle w:val="BodyText"/>
        <w:ind w:left="112" w:right="472"/>
      </w:pPr>
      <w:r>
        <w:rPr>
          <w:color w:val="212121"/>
        </w:rPr>
        <w:t>Between 15 and 28 March 2021, there were 25 notifications of Barmah Forest virus (BFV)</w:t>
      </w:r>
      <w:r>
        <w:rPr>
          <w:color w:val="212121"/>
          <w:spacing w:val="1"/>
        </w:rPr>
        <w:t> </w:t>
      </w:r>
      <w:r>
        <w:rPr>
          <w:color w:val="212121"/>
        </w:rPr>
        <w:t>infection, compared with 18 during the previous period and 32 during the same period last year.</w:t>
      </w:r>
      <w:r>
        <w:rPr>
          <w:color w:val="212121"/>
          <w:spacing w:val="1"/>
        </w:rPr>
        <w:t> </w:t>
      </w:r>
      <w:r>
        <w:rPr>
          <w:color w:val="212121"/>
        </w:rPr>
        <w:t>During the past quarter there were 120 notifications, 1.1 times the quarterly rolling mean of 104.8</w:t>
      </w:r>
      <w:r>
        <w:rPr>
          <w:color w:val="212121"/>
          <w:spacing w:val="-52"/>
        </w:rPr>
        <w:t> </w:t>
      </w:r>
      <w:r>
        <w:rPr>
          <w:color w:val="212121"/>
        </w:rPr>
        <w:t>notifications</w:t>
      </w:r>
      <w:r>
        <w:rPr>
          <w:color w:val="212121"/>
          <w:spacing w:val="-1"/>
        </w:rPr>
        <w:t> </w:t>
      </w:r>
      <w:r>
        <w:rPr>
          <w:color w:val="212121"/>
        </w:rPr>
        <w:t>(Figure</w:t>
      </w:r>
      <w:r>
        <w:rPr>
          <w:color w:val="212121"/>
          <w:spacing w:val="1"/>
        </w:rPr>
        <w:t> </w:t>
      </w:r>
      <w:r>
        <w:rPr>
          <w:color w:val="212121"/>
        </w:rPr>
        <w:t>1).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4" w:lineRule="auto"/>
        <w:ind w:left="112" w:right="457"/>
      </w:pPr>
      <w:r>
        <w:rPr>
          <w:color w:val="212121"/>
        </w:rPr>
        <w:t>Seasonal increases in notifications for BFV are expected during the warmer months, and nationally</w:t>
      </w:r>
      <w:r>
        <w:rPr>
          <w:color w:val="212121"/>
          <w:spacing w:val="-52"/>
        </w:rPr>
        <w:t> </w:t>
      </w:r>
      <w:r>
        <w:rPr>
          <w:color w:val="212121"/>
        </w:rPr>
        <w:t>peak between January and June. The timing of the increase varies for different geographical</w:t>
      </w:r>
      <w:r>
        <w:rPr>
          <w:color w:val="212121"/>
          <w:spacing w:val="1"/>
        </w:rPr>
        <w:t> </w:t>
      </w:r>
      <w:r>
        <w:rPr>
          <w:color w:val="212121"/>
        </w:rPr>
        <w:t>regions.</w:t>
      </w:r>
    </w:p>
    <w:p>
      <w:pPr>
        <w:pStyle w:val="BodyText"/>
        <w:spacing w:before="1"/>
        <w:rPr>
          <w:sz w:val="25"/>
        </w:rPr>
      </w:pPr>
    </w:p>
    <w:p>
      <w:pPr>
        <w:spacing w:line="268" w:lineRule="auto" w:before="0"/>
        <w:ind w:left="112" w:right="797" w:firstLine="0"/>
        <w:jc w:val="left"/>
        <w:rPr>
          <w:b/>
          <w:sz w:val="22"/>
        </w:rPr>
      </w:pPr>
      <w:r>
        <w:rPr>
          <w:b/>
          <w:color w:val="212121"/>
          <w:sz w:val="22"/>
        </w:rPr>
        <w:t>Figure 1: Notifications of Barmah Forest virus, Australia, 1 January 2016 to 28 March 2021, by state or</w:t>
      </w:r>
      <w:r>
        <w:rPr>
          <w:b/>
          <w:color w:val="212121"/>
          <w:spacing w:val="-47"/>
          <w:sz w:val="22"/>
        </w:rPr>
        <w:t> </w:t>
      </w:r>
      <w:r>
        <w:rPr>
          <w:b/>
          <w:color w:val="212121"/>
          <w:sz w:val="22"/>
        </w:rPr>
        <w:t>territory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and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month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and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year</w:t>
      </w:r>
      <w:r>
        <w:rPr>
          <w:b/>
          <w:color w:val="212121"/>
          <w:spacing w:val="1"/>
          <w:sz w:val="22"/>
        </w:rPr>
        <w:t> </w:t>
      </w:r>
      <w:r>
        <w:rPr>
          <w:b/>
          <w:color w:val="212121"/>
          <w:sz w:val="22"/>
        </w:rPr>
        <w:t>of diagnosis (notification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received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date)</w:t>
      </w:r>
    </w:p>
    <w:p>
      <w:pPr>
        <w:pStyle w:val="BodyText"/>
        <w:spacing w:before="1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720090</wp:posOffset>
            </wp:positionH>
            <wp:positionV relativeFrom="paragraph">
              <wp:posOffset>132470</wp:posOffset>
            </wp:positionV>
            <wp:extent cx="5967596" cy="3901440"/>
            <wp:effectExtent l="0" t="0" r="0" b="0"/>
            <wp:wrapTopAndBottom/>
            <wp:docPr id="1" name="image1.png" descr="Figure 1: Notifications of Barmah Forest virus, Australia, 1 January 2016 to 28 March 2021, by state or territory and month and year of diagnosis (notification received date)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596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  <w:rPr>
          <w:u w:val="none"/>
        </w:rPr>
      </w:pPr>
      <w:r>
        <w:rPr>
          <w:u w:val="single"/>
        </w:rPr>
        <w:t>Legionellosis</w:t>
      </w:r>
    </w:p>
    <w:p>
      <w:pPr>
        <w:pStyle w:val="BodyText"/>
        <w:ind w:left="112" w:right="353"/>
      </w:pPr>
      <w:r>
        <w:rPr/>
        <w:t>In the past 12 months (29 March 2020 to 28 March 2021), there have been 542 cases of</w:t>
      </w:r>
      <w:r>
        <w:rPr>
          <w:spacing w:val="1"/>
        </w:rPr>
        <w:t> </w:t>
      </w:r>
      <w:r>
        <w:rPr/>
        <w:t>legionellosis reported to the National Notifiable Diseases Surveillance System (NNDSS), comprising</w:t>
      </w:r>
      <w:r>
        <w:rPr>
          <w:spacing w:val="-52"/>
        </w:rPr>
        <w:t> </w:t>
      </w:r>
      <w:r>
        <w:rPr/>
        <w:t>53.0% </w:t>
      </w:r>
      <w:r>
        <w:rPr>
          <w:i/>
        </w:rPr>
        <w:t>Legionella longbeachae </w:t>
      </w:r>
      <w:r>
        <w:rPr/>
        <w:t>(287/542) and 42.1% </w:t>
      </w:r>
      <w:r>
        <w:rPr>
          <w:i/>
        </w:rPr>
        <w:t>Legionella pneumophila </w:t>
      </w:r>
      <w:r>
        <w:rPr/>
        <w:t>(228/542). This is 1.3</w:t>
      </w:r>
      <w:r>
        <w:rPr>
          <w:spacing w:val="1"/>
        </w:rPr>
        <w:t> </w:t>
      </w:r>
      <w:r>
        <w:rPr/>
        <w:t>times</w:t>
      </w:r>
      <w:r>
        <w:rPr>
          <w:spacing w:val="-5"/>
        </w:rPr>
        <w:t> </w:t>
      </w:r>
      <w:r>
        <w:rPr/>
        <w:t>higher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historical</w:t>
      </w:r>
      <w:r>
        <w:rPr>
          <w:spacing w:val="-4"/>
        </w:rPr>
        <w:t> </w:t>
      </w:r>
      <w:r>
        <w:rPr/>
        <w:t>five-year</w:t>
      </w:r>
      <w:r>
        <w:rPr>
          <w:spacing w:val="-4"/>
        </w:rPr>
        <w:t> </w:t>
      </w:r>
      <w:r>
        <w:rPr/>
        <w:t>mean (n=411.2),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comprised a</w:t>
      </w:r>
      <w:r>
        <w:rPr>
          <w:spacing w:val="-2"/>
        </w:rPr>
        <w:t> </w:t>
      </w:r>
      <w:r>
        <w:rPr/>
        <w:t>greater</w:t>
      </w:r>
      <w:r>
        <w:rPr>
          <w:spacing w:val="-1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ind w:left="112" w:right="511"/>
      </w:pPr>
      <w:r>
        <w:rPr>
          <w:i/>
        </w:rPr>
        <w:t>L. pneumophila </w:t>
      </w:r>
      <w:r>
        <w:rPr/>
        <w:t>(56.4%) compared to </w:t>
      </w:r>
      <w:r>
        <w:rPr>
          <w:i/>
        </w:rPr>
        <w:t>L. longbeachae </w:t>
      </w:r>
      <w:r>
        <w:rPr/>
        <w:t>(40.6%) infections. Legionellosis notifications</w:t>
      </w:r>
      <w:r>
        <w:rPr>
          <w:spacing w:val="-52"/>
        </w:rPr>
        <w:t> </w:t>
      </w:r>
      <w:r>
        <w:rPr/>
        <w:t>were reported in all jurisdictions of Australia in the past 12 months, although the distribution of</w:t>
      </w:r>
      <w:r>
        <w:rPr>
          <w:spacing w:val="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varied</w:t>
      </w:r>
      <w:r>
        <w:rPr>
          <w:spacing w:val="-1"/>
        </w:rPr>
        <w:t> </w:t>
      </w:r>
      <w:r>
        <w:rPr/>
        <w:t>by jurisdiction</w:t>
      </w:r>
      <w:r>
        <w:rPr>
          <w:spacing w:val="-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570"/>
      </w:pPr>
      <w:r>
        <w:rPr/>
        <w:t>In the past fortnight (15 March 2021 to 28 March 2021), 24 cases of legionellosis were notified</w:t>
      </w:r>
      <w:r>
        <w:rPr>
          <w:spacing w:val="1"/>
        </w:rPr>
        <w:t> </w:t>
      </w:r>
      <w:r>
        <w:rPr/>
        <w:t>compared to 32 cases in the same reporting period in the previous year. Of the 24 cases reported</w:t>
      </w:r>
      <w:r>
        <w:rPr>
          <w:spacing w:val="-52"/>
        </w:rPr>
        <w:t> </w:t>
      </w:r>
      <w:r>
        <w:rPr/>
        <w:t>in the past fortnight, 22 cases had a species reported, with 15 cases identified as </w:t>
      </w:r>
      <w:r>
        <w:rPr>
          <w:i/>
        </w:rPr>
        <w:t>L. pneumophila</w:t>
      </w:r>
      <w:r>
        <w:rPr>
          <w:i/>
          <w:spacing w:val="1"/>
        </w:rPr>
        <w:t> </w:t>
      </w:r>
      <w:r>
        <w:rPr/>
        <w:t>(68%) and seven cases identified as </w:t>
      </w:r>
      <w:r>
        <w:rPr>
          <w:i/>
        </w:rPr>
        <w:t>L. longbeachae </w:t>
      </w:r>
      <w:r>
        <w:rPr/>
        <w:t>(32%). It is difficult to determine the extent to</w:t>
      </w:r>
      <w:r>
        <w:rPr>
          <w:spacing w:val="-52"/>
        </w:rPr>
        <w:t> </w:t>
      </w:r>
      <w:r>
        <w:rPr/>
        <w:t>which the increase in legionellosis notifications is associated with increased testing of individuals</w:t>
      </w:r>
      <w:r>
        <w:rPr>
          <w:spacing w:val="1"/>
        </w:rPr>
        <w:t> </w:t>
      </w:r>
      <w:r>
        <w:rPr/>
        <w:t>with influenza-like symptoms or pneumonia in response to the COVID-19 pandemic over the past</w:t>
      </w:r>
      <w:r>
        <w:rPr>
          <w:spacing w:val="-52"/>
        </w:rPr>
        <w:t> </w:t>
      </w:r>
      <w:r>
        <w:rPr/>
        <w:t>12 months,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factors.</w:t>
      </w:r>
    </w:p>
    <w:p>
      <w:pPr>
        <w:spacing w:after="0"/>
        <w:sectPr>
          <w:pgSz w:w="11910" w:h="16840"/>
          <w:pgMar w:top="800" w:bottom="280" w:left="1020" w:right="700"/>
        </w:sectPr>
      </w:pPr>
    </w:p>
    <w:p>
      <w:pPr>
        <w:spacing w:line="237" w:lineRule="auto" w:before="48"/>
        <w:ind w:left="112" w:right="470" w:firstLine="0"/>
        <w:jc w:val="left"/>
        <w:rPr>
          <w:b/>
          <w:sz w:val="22"/>
        </w:rPr>
      </w:pPr>
      <w:r>
        <w:rPr>
          <w:b/>
          <w:sz w:val="22"/>
        </w:rPr>
        <w:t>Figure 1. Notifications of </w:t>
      </w:r>
      <w:r>
        <w:rPr>
          <w:b/>
          <w:i/>
          <w:sz w:val="22"/>
        </w:rPr>
        <w:t>Legionella longbeachae</w:t>
      </w:r>
      <w:r>
        <w:rPr>
          <w:b/>
          <w:sz w:val="22"/>
        </w:rPr>
        <w:t>, Australia, 1 January 2016 to 28 March 2021, by state or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territory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month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notification</w:t>
      </w:r>
    </w:p>
    <w:p>
      <w:pPr>
        <w:pStyle w:val="BodyText"/>
        <w:spacing w:before="3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720090</wp:posOffset>
            </wp:positionH>
            <wp:positionV relativeFrom="paragraph">
              <wp:posOffset>172174</wp:posOffset>
            </wp:positionV>
            <wp:extent cx="6320261" cy="4119372"/>
            <wp:effectExtent l="0" t="0" r="0" b="0"/>
            <wp:wrapTopAndBottom/>
            <wp:docPr id="3" name="image2.png" descr="Figure 1. Notifications of Legionella longbeachae, Australia, 1 January 2016 to 28 March 2021, by state or territory and month and year of notificatio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261" cy="4119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080" w:bottom="280" w:left="1020" w:right="700"/>
        </w:sectPr>
      </w:pPr>
    </w:p>
    <w:p>
      <w:pPr>
        <w:spacing w:before="30" w:after="3"/>
        <w:ind w:left="112" w:right="438" w:firstLine="0"/>
        <w:jc w:val="left"/>
        <w:rPr>
          <w:b/>
          <w:sz w:val="22"/>
        </w:rPr>
      </w:pPr>
      <w:r>
        <w:rPr>
          <w:b/>
          <w:sz w:val="22"/>
        </w:rPr>
        <w:t>Figure 2. Notifications of </w:t>
      </w:r>
      <w:r>
        <w:rPr>
          <w:b/>
          <w:i/>
          <w:sz w:val="22"/>
        </w:rPr>
        <w:t>Legionella pneumophila</w:t>
      </w:r>
      <w:r>
        <w:rPr>
          <w:b/>
          <w:sz w:val="22"/>
        </w:rPr>
        <w:t>, Australia, 1 January 2016 to 28 March 2021, by state or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territory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month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notification</w:t>
      </w: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6320263" cy="4119372"/>
            <wp:effectExtent l="0" t="0" r="0" b="0"/>
            <wp:docPr id="5" name="image3.png" descr="Figure 2. Notifications of Legionella pneumophila, Australia, 1 January 2016 to 28 March 2021, by state or territory and month and year of notificatio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263" cy="41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rPr>
          <w:u w:val="none"/>
        </w:rPr>
      </w:pPr>
      <w:r>
        <w:rPr>
          <w:u w:val="single"/>
        </w:rPr>
        <w:t>Leptospirosis</w:t>
      </w:r>
    </w:p>
    <w:p>
      <w:pPr>
        <w:pStyle w:val="BodyText"/>
        <w:ind w:left="112" w:right="502"/>
      </w:pPr>
      <w:r>
        <w:rPr/>
        <w:t>In the past 12 months (29 March 2020 to 28 March 2021), there have been 134 cases of</w:t>
      </w:r>
      <w:r>
        <w:rPr>
          <w:spacing w:val="1"/>
        </w:rPr>
        <w:t> </w:t>
      </w:r>
      <w:r>
        <w:rPr/>
        <w:t>leptospirosis reported to the National Notifiable Diseases Surveillance System (NNDSS). This is</w:t>
      </w:r>
      <w:r>
        <w:rPr>
          <w:spacing w:val="1"/>
        </w:rPr>
        <w:t> </w:t>
      </w:r>
      <w:r>
        <w:rPr/>
        <w:t>higher than the mean number of cases reported for the historical five-year mean (n=116.0). In the</w:t>
      </w:r>
      <w:r>
        <w:rPr>
          <w:spacing w:val="-52"/>
        </w:rPr>
        <w:t> </w:t>
      </w:r>
      <w:r>
        <w:rPr/>
        <w:t>past fortnight (15 March 2021 to 28 March 2021), 9 cases of leptospirosis were notified compared</w:t>
      </w:r>
      <w:r>
        <w:rPr>
          <w:spacing w:val="-52"/>
        </w:rPr>
        <w:t> </w:t>
      </w:r>
      <w:r>
        <w:rPr/>
        <w:t>to 3 cases in the same reporting period in the previous year. In the past quarter (29 December</w:t>
      </w:r>
      <w:r>
        <w:rPr>
          <w:spacing w:val="1"/>
        </w:rPr>
        <w:t> </w:t>
      </w:r>
      <w:r>
        <w:rPr/>
        <w:t>2020 to 28 March 2021), 67 cases of leptospirosis were notified compared to the quarterly rolling</w:t>
      </w:r>
      <w:r>
        <w:rPr>
          <w:spacing w:val="1"/>
        </w:rPr>
        <w:t> </w:t>
      </w:r>
      <w:r>
        <w:rPr/>
        <w:t>five year mean of 35.6 notifications. Of the 67 cases notified in the past quarter, the highest</w:t>
      </w:r>
      <w:r>
        <w:rPr>
          <w:spacing w:val="1"/>
        </w:rPr>
        <w:t> </w:t>
      </w:r>
      <w:r>
        <w:rPr/>
        <w:t>number of notifications occurred in Queensland (39/67, 58%), followed by the Northern Territory</w:t>
      </w:r>
      <w:r>
        <w:rPr>
          <w:spacing w:val="1"/>
        </w:rPr>
        <w:t> </w:t>
      </w:r>
      <w:r>
        <w:rPr/>
        <w:t>(13/67, 19%) and New South Wales (9/67, 13%). Increased mouse and rat populations following</w:t>
      </w:r>
      <w:r>
        <w:rPr>
          <w:spacing w:val="1"/>
        </w:rPr>
        <w:t> </w:t>
      </w:r>
      <w:r>
        <w:rPr/>
        <w:t>recent wet weather in eastern Australian may be a contributing factor leading to increased case</w:t>
      </w:r>
      <w:r>
        <w:rPr>
          <w:spacing w:val="1"/>
        </w:rPr>
        <w:t> </w:t>
      </w:r>
      <w:r>
        <w:rPr/>
        <w:t>notifications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before="12"/>
        <w:rPr>
          <w:sz w:val="23"/>
        </w:rPr>
      </w:pPr>
    </w:p>
    <w:p>
      <w:pPr>
        <w:spacing w:line="195" w:lineRule="exact" w:before="0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61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48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(29/12/2020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28/03/2021).</w:t>
      </w:r>
    </w:p>
    <w:p>
      <w:pPr>
        <w:spacing w:before="121"/>
        <w:ind w:left="112" w:right="486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28/03/2021.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(29/03/2020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28/03/2021).</w:t>
      </w:r>
    </w:p>
    <w:p>
      <w:pPr>
        <w:spacing w:before="122"/>
        <w:ind w:left="112" w:right="73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28/03/2021.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45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800" w:bottom="280" w:left="1020" w:right="700"/>
        </w:sectPr>
      </w:pPr>
    </w:p>
    <w:p>
      <w:pPr>
        <w:spacing w:before="55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2.563276pt;width:922.2pt;height:702.2pt;mso-position-horizontal-relative:page;mso-position-vertical-relative:paragraph;z-index:1572966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FN06/2021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15/03/2021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28/03/2021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01/03/2021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14/03/2021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15/03/2020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28/03/2020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28/03/2021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29/12/2020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28/03/2021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29/03/2020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28/03/2021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29/03/2015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28/03/2020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1,125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1,159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1,435.4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4,804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5,958.8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1,748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1,801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2,359.8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7,196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9,760.8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1,106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1,501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1,167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9,326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9,729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8,305.2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31,528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29,566.4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1,574.6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1,510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4,015.0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3,971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4,128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5,587.0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10,325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15,997.6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2,117.4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3,749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25,396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20,697.6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1,128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209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2,848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3,220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3,833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19,083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19,632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26,402.6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83,419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100,257.6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1,400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6,585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6,800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7,816.0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27,248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28,159.8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1,163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1,193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1,163.4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5,024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4,477.8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1,802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2,193.6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2,220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13,649.0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166,378.8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3,610.0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1,411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15,665.0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267.8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1,031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1,901.0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1,067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4,754.6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2,257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3,609.6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1,997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2,085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3,044.8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12,858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11,030.2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4,307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4,608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3,485.8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15,253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14,231.4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117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104.8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380.6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157.9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1,409.8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1,461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1,507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1,467.8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7,063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4,344.8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13.0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33.1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545.4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106.6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7.4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411.2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25.7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1,419.6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164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2,444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2,467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583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1,091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7,752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9,015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16,330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55,081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57,184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247,087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(30/03/2021).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6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2021-09-06T23:13:37Z</dcterms:created>
  <dcterms:modified xsi:type="dcterms:W3CDTF">2021-09-06T23:13:37Z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2021-09-06T00:00:00Z</vt:filetime>
  </property>
</Properties>
</file>