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9" w:lineRule="auto" w:before="28"/>
        <w:ind w:left="2019" w:right="2235" w:hanging="2"/>
        <w:jc w:val="center"/>
        <w:rPr>
          <w:u w:val="none"/>
        </w:rPr>
      </w:pPr>
      <w:r>
        <w:rPr>
          <w:u w:val="single"/>
        </w:rPr>
        <w:t>National</w:t>
      </w:r>
      <w:r>
        <w:rPr>
          <w:spacing w:val="4"/>
          <w:u w:val="single"/>
        </w:rPr>
        <w:t> </w:t>
      </w:r>
      <w:r>
        <w:rPr>
          <w:u w:val="single"/>
        </w:rPr>
        <w:t>Communicable</w:t>
      </w:r>
      <w:r>
        <w:rPr>
          <w:spacing w:val="6"/>
          <w:u w:val="single"/>
        </w:rPr>
        <w:t> </w:t>
      </w:r>
      <w:r>
        <w:rPr>
          <w:u w:val="single"/>
        </w:rPr>
        <w:t>Diseases</w:t>
      </w:r>
      <w:r>
        <w:rPr>
          <w:spacing w:val="11"/>
          <w:u w:val="single"/>
        </w:rPr>
        <w:t> </w:t>
      </w:r>
      <w:r>
        <w:rPr>
          <w:u w:val="single"/>
        </w:rPr>
        <w:t>Surveillance</w:t>
      </w:r>
      <w:r>
        <w:rPr>
          <w:spacing w:val="7"/>
          <w:u w:val="single"/>
        </w:rPr>
        <w:t> </w:t>
      </w:r>
      <w:r>
        <w:rPr>
          <w:u w:val="single"/>
        </w:rPr>
        <w:t>Report</w:t>
      </w:r>
      <w:r>
        <w:rPr>
          <w:spacing w:val="1"/>
          <w:u w:val="none"/>
        </w:rPr>
        <w:t> </w:t>
      </w:r>
      <w:r>
        <w:rPr>
          <w:u w:val="single"/>
        </w:rPr>
        <w:t>Fortnight</w:t>
      </w:r>
      <w:r>
        <w:rPr>
          <w:spacing w:val="9"/>
          <w:u w:val="single"/>
        </w:rPr>
        <w:t> </w:t>
      </w:r>
      <w:r>
        <w:rPr>
          <w:u w:val="single"/>
        </w:rPr>
        <w:t>04,</w:t>
      </w:r>
      <w:r>
        <w:rPr>
          <w:spacing w:val="13"/>
          <w:u w:val="single"/>
        </w:rPr>
        <w:t> </w:t>
      </w:r>
      <w:r>
        <w:rPr>
          <w:u w:val="single"/>
        </w:rPr>
        <w:t>2021</w:t>
      </w:r>
      <w:r>
        <w:rPr>
          <w:spacing w:val="11"/>
          <w:u w:val="single"/>
        </w:rPr>
        <w:t> </w:t>
      </w:r>
      <w:r>
        <w:rPr>
          <w:u w:val="single"/>
        </w:rPr>
        <w:t>Summary</w:t>
      </w:r>
      <w:r>
        <w:rPr>
          <w:spacing w:val="10"/>
          <w:u w:val="single"/>
        </w:rPr>
        <w:t> </w:t>
      </w:r>
      <w:r>
        <w:rPr>
          <w:u w:val="single"/>
        </w:rPr>
        <w:t>Notes</w:t>
      </w:r>
      <w:r>
        <w:rPr>
          <w:spacing w:val="16"/>
          <w:u w:val="single"/>
        </w:rPr>
        <w:t> </w:t>
      </w:r>
      <w:r>
        <w:rPr>
          <w:u w:val="single"/>
        </w:rPr>
        <w:t>for</w:t>
      </w:r>
      <w:r>
        <w:rPr>
          <w:spacing w:val="12"/>
          <w:u w:val="single"/>
        </w:rPr>
        <w:t> </w:t>
      </w:r>
      <w:r>
        <w:rPr>
          <w:u w:val="single"/>
        </w:rPr>
        <w:t>Selected</w:t>
      </w:r>
      <w:r>
        <w:rPr>
          <w:spacing w:val="12"/>
          <w:u w:val="single"/>
        </w:rPr>
        <w:t> </w:t>
      </w:r>
      <w:r>
        <w:rPr>
          <w:u w:val="single"/>
        </w:rPr>
        <w:t>Diseases</w:t>
      </w:r>
      <w:r>
        <w:rPr>
          <w:spacing w:val="-47"/>
          <w:u w:val="none"/>
        </w:rPr>
        <w:t> </w:t>
      </w:r>
      <w:r>
        <w:rPr>
          <w:u w:val="single"/>
        </w:rPr>
        <w:t>15 February</w:t>
      </w:r>
      <w:r>
        <w:rPr>
          <w:spacing w:val="1"/>
          <w:u w:val="single"/>
        </w:rPr>
        <w:t> </w:t>
      </w:r>
      <w:r>
        <w:rPr>
          <w:u w:val="single"/>
        </w:rPr>
        <w:t>to</w:t>
      </w:r>
      <w:r>
        <w:rPr>
          <w:spacing w:val="-3"/>
          <w:u w:val="single"/>
        </w:rPr>
        <w:t> </w:t>
      </w:r>
      <w:r>
        <w:rPr>
          <w:u w:val="single"/>
        </w:rPr>
        <w:t>28</w:t>
      </w:r>
      <w:r>
        <w:rPr>
          <w:spacing w:val="6"/>
          <w:u w:val="single"/>
        </w:rPr>
        <w:t> </w:t>
      </w:r>
      <w:r>
        <w:rPr>
          <w:u w:val="single"/>
        </w:rPr>
        <w:t>February</w:t>
      </w:r>
      <w:r>
        <w:rPr>
          <w:spacing w:val="1"/>
          <w:u w:val="single"/>
        </w:rPr>
        <w:t> </w:t>
      </w:r>
      <w:r>
        <w:rPr>
          <w:u w:val="single"/>
        </w:rPr>
        <w:t>2021</w:t>
      </w:r>
    </w:p>
    <w:p>
      <w:pPr>
        <w:pStyle w:val="BodyText"/>
        <w:spacing w:before="5"/>
        <w:rPr>
          <w:b/>
          <w:sz w:val="15"/>
        </w:rPr>
      </w:pPr>
    </w:p>
    <w:p>
      <w:pPr>
        <w:spacing w:before="57"/>
        <w:ind w:left="121" w:right="0" w:firstLine="0"/>
        <w:jc w:val="left"/>
        <w:rPr>
          <w:b/>
          <w:sz w:val="22"/>
        </w:rPr>
      </w:pPr>
      <w:r>
        <w:rPr>
          <w:b/>
          <w:sz w:val="22"/>
          <w:u w:val="single"/>
        </w:rPr>
        <w:t>Infectious</w:t>
      </w:r>
      <w:r>
        <w:rPr>
          <w:b/>
          <w:spacing w:val="10"/>
          <w:sz w:val="22"/>
          <w:u w:val="single"/>
        </w:rPr>
        <w:t> </w:t>
      </w:r>
      <w:r>
        <w:rPr>
          <w:b/>
          <w:sz w:val="22"/>
          <w:u w:val="single"/>
        </w:rPr>
        <w:t>and</w:t>
      </w:r>
      <w:r>
        <w:rPr>
          <w:b/>
          <w:spacing w:val="1"/>
          <w:sz w:val="22"/>
          <w:u w:val="single"/>
        </w:rPr>
        <w:t> </w:t>
      </w:r>
      <w:r>
        <w:rPr>
          <w:b/>
          <w:sz w:val="22"/>
          <w:u w:val="single"/>
        </w:rPr>
        <w:t>congenital</w:t>
      </w:r>
      <w:r>
        <w:rPr>
          <w:b/>
          <w:spacing w:val="1"/>
          <w:sz w:val="22"/>
          <w:u w:val="single"/>
        </w:rPr>
        <w:t> </w:t>
      </w:r>
      <w:r>
        <w:rPr>
          <w:b/>
          <w:sz w:val="22"/>
          <w:u w:val="single"/>
        </w:rPr>
        <w:t>syphilis</w:t>
      </w:r>
    </w:p>
    <w:p>
      <w:pPr>
        <w:pStyle w:val="BodyText"/>
        <w:spacing w:before="57"/>
        <w:ind w:left="118" w:right="147" w:firstLine="3"/>
      </w:pPr>
      <w:r>
        <w:rPr/>
        <w:t>Increases in infectious syphilis notifications are attributed to an on-going outbreak occurring in young</w:t>
      </w:r>
      <w:r>
        <w:rPr>
          <w:spacing w:val="1"/>
        </w:rPr>
        <w:t> </w:t>
      </w:r>
      <w:r>
        <w:rPr/>
        <w:t>Aboriginal and Torres Strait Islander people residing in northern and central Australia, continued</w:t>
      </w:r>
      <w:r>
        <w:rPr>
          <w:spacing w:val="1"/>
        </w:rPr>
        <w:t> </w:t>
      </w:r>
      <w:r>
        <w:rPr/>
        <w:t>increases among men who have sex with men (MSM) in urban areas of Victoria (Vic) and New South</w:t>
      </w:r>
      <w:r>
        <w:rPr>
          <w:spacing w:val="1"/>
        </w:rPr>
        <w:t> </w:t>
      </w:r>
      <w:r>
        <w:rPr/>
        <w:t>Wales (NSW), and increases in non-Indigenous women residing in urban areas of Vic, NSW, Queensland</w:t>
      </w:r>
      <w:r>
        <w:rPr>
          <w:spacing w:val="-47"/>
        </w:rPr>
        <w:t> </w:t>
      </w:r>
      <w:r>
        <w:rPr/>
        <w:t>(Qld) and</w:t>
      </w:r>
      <w:r>
        <w:rPr>
          <w:spacing w:val="-1"/>
        </w:rPr>
        <w:t> </w:t>
      </w:r>
      <w:r>
        <w:rPr/>
        <w:t>Western</w:t>
      </w:r>
      <w:r>
        <w:rPr>
          <w:spacing w:val="-1"/>
        </w:rPr>
        <w:t> </w:t>
      </w:r>
      <w:r>
        <w:rPr/>
        <w:t>Australia (WA).</w:t>
      </w:r>
    </w:p>
    <w:p>
      <w:pPr>
        <w:pStyle w:val="BodyText"/>
        <w:spacing w:before="1"/>
        <w:rPr>
          <w:sz w:val="23"/>
        </w:rPr>
      </w:pPr>
    </w:p>
    <w:p>
      <w:pPr>
        <w:pStyle w:val="BodyText"/>
        <w:ind w:left="118"/>
      </w:pPr>
      <w:r>
        <w:rPr/>
        <w:t>Outbreak</w:t>
      </w:r>
      <w:r>
        <w:rPr>
          <w:spacing w:val="-2"/>
        </w:rPr>
        <w:t> </w:t>
      </w:r>
      <w:r>
        <w:rPr/>
        <w:t>in</w:t>
      </w:r>
      <w:r>
        <w:rPr>
          <w:spacing w:val="-4"/>
        </w:rPr>
        <w:t> </w:t>
      </w:r>
      <w:r>
        <w:rPr/>
        <w:t>remote</w:t>
      </w:r>
      <w:r>
        <w:rPr>
          <w:spacing w:val="-2"/>
        </w:rPr>
        <w:t> </w:t>
      </w:r>
      <w:r>
        <w:rPr/>
        <w:t>Australia</w:t>
      </w:r>
    </w:p>
    <w:p>
      <w:pPr>
        <w:pStyle w:val="BodyText"/>
        <w:ind w:left="112" w:right="92" w:firstLine="5"/>
      </w:pPr>
      <w:r>
        <w:rPr/>
        <w:t>In January 2011, an increase of infectious syphilis notifications among young (15-29 years) Aboriginal</w:t>
      </w:r>
      <w:r>
        <w:rPr>
          <w:spacing w:val="1"/>
        </w:rPr>
        <w:t> </w:t>
      </w:r>
      <w:r>
        <w:rPr/>
        <w:t>and Torres Strait Islander people was identified in the North West region of Qld, following a steady</w:t>
      </w:r>
      <w:r>
        <w:rPr>
          <w:spacing w:val="1"/>
        </w:rPr>
        <w:t> </w:t>
      </w:r>
      <w:r>
        <w:rPr/>
        <w:t>decline at a national level in remote communities. Subsequent increases in infectious syphilis</w:t>
      </w:r>
      <w:r>
        <w:rPr>
          <w:spacing w:val="1"/>
        </w:rPr>
        <w:t> </w:t>
      </w:r>
      <w:r>
        <w:rPr/>
        <w:t>notifications were reported in the Northern Territory (NT) in 2013, WA in 2014 and South Australia (SA)</w:t>
      </w:r>
      <w:r>
        <w:rPr>
          <w:spacing w:val="1"/>
        </w:rPr>
        <w:t> </w:t>
      </w:r>
      <w:r>
        <w:rPr/>
        <w:t>in 2016, following sustained periods of low notification rates. The outbreak is of significant public health</w:t>
      </w:r>
      <w:r>
        <w:rPr>
          <w:spacing w:val="-47"/>
        </w:rPr>
        <w:t> </w:t>
      </w:r>
      <w:r>
        <w:rPr/>
        <w:t>concern given the: elevated rates of infectious syphilis among women of child-bearing age, increasing</w:t>
      </w:r>
      <w:r>
        <w:rPr>
          <w:spacing w:val="1"/>
        </w:rPr>
        <w:t> </w:t>
      </w:r>
      <w:r>
        <w:rPr/>
        <w:t>the risk of congenital syphilis; and the concomitant risk of HIV transmission. For the latest information</w:t>
      </w:r>
      <w:r>
        <w:rPr>
          <w:spacing w:val="1"/>
        </w:rPr>
        <w:t> </w:t>
      </w:r>
      <w:r>
        <w:rPr/>
        <w:t>on</w:t>
      </w:r>
      <w:r>
        <w:rPr>
          <w:spacing w:val="-2"/>
        </w:rPr>
        <w:t> </w:t>
      </w:r>
      <w:r>
        <w:rPr/>
        <w:t>the</w:t>
      </w:r>
      <w:r>
        <w:rPr>
          <w:spacing w:val="-2"/>
        </w:rPr>
        <w:t> </w:t>
      </w:r>
      <w:r>
        <w:rPr/>
        <w:t>infectious syphilis outbreak, refer</w:t>
      </w:r>
      <w:r>
        <w:rPr>
          <w:spacing w:val="-3"/>
        </w:rPr>
        <w:t> </w:t>
      </w:r>
      <w:r>
        <w:rPr/>
        <w:t>to</w:t>
      </w:r>
      <w:r>
        <w:rPr>
          <w:spacing w:val="-1"/>
        </w:rPr>
        <w:t> </w:t>
      </w:r>
      <w:r>
        <w:rPr/>
        <w:t>the</w:t>
      </w:r>
      <w:r>
        <w:rPr>
          <w:spacing w:val="-2"/>
        </w:rPr>
        <w:t> </w:t>
      </w:r>
      <w:r>
        <w:rPr>
          <w:color w:val="0000FF"/>
          <w:u w:val="single" w:color="0000FF"/>
        </w:rPr>
        <w:t>Department’s website</w:t>
      </w:r>
      <w:r>
        <w:rPr/>
        <w:t>.</w:t>
      </w:r>
    </w:p>
    <w:p>
      <w:pPr>
        <w:pStyle w:val="BodyText"/>
        <w:spacing w:before="1"/>
        <w:rPr>
          <w:sz w:val="17"/>
        </w:rPr>
      </w:pPr>
    </w:p>
    <w:p>
      <w:pPr>
        <w:spacing w:before="56"/>
        <w:ind w:left="121" w:right="0" w:firstLine="0"/>
        <w:jc w:val="left"/>
        <w:rPr>
          <w:i/>
          <w:sz w:val="22"/>
        </w:rPr>
      </w:pPr>
      <w:r>
        <w:rPr>
          <w:i/>
          <w:sz w:val="22"/>
        </w:rPr>
        <w:t>Increases</w:t>
      </w:r>
      <w:r>
        <w:rPr>
          <w:i/>
          <w:spacing w:val="6"/>
          <w:sz w:val="22"/>
        </w:rPr>
        <w:t> </w:t>
      </w:r>
      <w:r>
        <w:rPr>
          <w:i/>
          <w:sz w:val="22"/>
        </w:rPr>
        <w:t>among</w:t>
      </w:r>
      <w:r>
        <w:rPr>
          <w:i/>
          <w:spacing w:val="7"/>
          <w:sz w:val="22"/>
        </w:rPr>
        <w:t> </w:t>
      </w:r>
      <w:r>
        <w:rPr>
          <w:i/>
          <w:sz w:val="22"/>
        </w:rPr>
        <w:t>MSM</w:t>
      </w:r>
    </w:p>
    <w:p>
      <w:pPr>
        <w:pStyle w:val="BodyText"/>
        <w:spacing w:line="242" w:lineRule="auto" w:before="58"/>
        <w:ind w:left="122" w:right="162" w:hanging="1"/>
      </w:pPr>
      <w:r>
        <w:rPr/>
        <w:t>Since</w:t>
      </w:r>
      <w:r>
        <w:rPr>
          <w:spacing w:val="11"/>
        </w:rPr>
        <w:t> </w:t>
      </w:r>
      <w:r>
        <w:rPr/>
        <w:t>2010,</w:t>
      </w:r>
      <w:r>
        <w:rPr>
          <w:spacing w:val="8"/>
        </w:rPr>
        <w:t> </w:t>
      </w:r>
      <w:r>
        <w:rPr/>
        <w:t>increases</w:t>
      </w:r>
      <w:r>
        <w:rPr>
          <w:spacing w:val="6"/>
        </w:rPr>
        <w:t> </w:t>
      </w:r>
      <w:r>
        <w:rPr/>
        <w:t>in</w:t>
      </w:r>
      <w:r>
        <w:rPr>
          <w:spacing w:val="10"/>
        </w:rPr>
        <w:t> </w:t>
      </w:r>
      <w:r>
        <w:rPr/>
        <w:t>notifications</w:t>
      </w:r>
      <w:r>
        <w:rPr>
          <w:spacing w:val="6"/>
        </w:rPr>
        <w:t> </w:t>
      </w:r>
      <w:r>
        <w:rPr/>
        <w:t>of</w:t>
      </w:r>
      <w:r>
        <w:rPr>
          <w:spacing w:val="10"/>
        </w:rPr>
        <w:t> </w:t>
      </w:r>
      <w:r>
        <w:rPr/>
        <w:t>infectious</w:t>
      </w:r>
      <w:r>
        <w:rPr>
          <w:spacing w:val="10"/>
        </w:rPr>
        <w:t> </w:t>
      </w:r>
      <w:r>
        <w:rPr/>
        <w:t>syphilis</w:t>
      </w:r>
      <w:r>
        <w:rPr>
          <w:spacing w:val="13"/>
        </w:rPr>
        <w:t> </w:t>
      </w:r>
      <w:r>
        <w:rPr/>
        <w:t>have</w:t>
      </w:r>
      <w:r>
        <w:rPr>
          <w:spacing w:val="13"/>
        </w:rPr>
        <w:t> </w:t>
      </w:r>
      <w:r>
        <w:rPr/>
        <w:t>been</w:t>
      </w:r>
      <w:r>
        <w:rPr>
          <w:spacing w:val="10"/>
        </w:rPr>
        <w:t> </w:t>
      </w:r>
      <w:r>
        <w:rPr/>
        <w:t>reported</w:t>
      </w:r>
      <w:r>
        <w:rPr>
          <w:spacing w:val="9"/>
        </w:rPr>
        <w:t> </w:t>
      </w:r>
      <w:r>
        <w:rPr/>
        <w:t>in</w:t>
      </w:r>
      <w:r>
        <w:rPr>
          <w:spacing w:val="7"/>
        </w:rPr>
        <w:t> </w:t>
      </w:r>
      <w:r>
        <w:rPr/>
        <w:t>MSM,predominately</w:t>
      </w:r>
      <w:r>
        <w:rPr>
          <w:spacing w:val="-47"/>
        </w:rPr>
        <w:t> </w:t>
      </w:r>
      <w:r>
        <w:rPr/>
        <w:t>20-39 years</w:t>
      </w:r>
      <w:r>
        <w:rPr>
          <w:spacing w:val="3"/>
        </w:rPr>
        <w:t> </w:t>
      </w:r>
      <w:r>
        <w:rPr/>
        <w:t>of</w:t>
      </w:r>
      <w:r>
        <w:rPr>
          <w:spacing w:val="2"/>
        </w:rPr>
        <w:t> </w:t>
      </w:r>
      <w:r>
        <w:rPr/>
        <w:t>age,</w:t>
      </w:r>
      <w:r>
        <w:rPr>
          <w:spacing w:val="3"/>
        </w:rPr>
        <w:t> </w:t>
      </w:r>
      <w:r>
        <w:rPr/>
        <w:t>residing</w:t>
      </w:r>
      <w:r>
        <w:rPr>
          <w:spacing w:val="2"/>
        </w:rPr>
        <w:t> </w:t>
      </w:r>
      <w:r>
        <w:rPr/>
        <w:t>in</w:t>
      </w:r>
      <w:r>
        <w:rPr>
          <w:spacing w:val="2"/>
        </w:rPr>
        <w:t> </w:t>
      </w:r>
      <w:r>
        <w:rPr/>
        <w:t>urban</w:t>
      </w:r>
      <w:r>
        <w:rPr>
          <w:spacing w:val="2"/>
        </w:rPr>
        <w:t> </w:t>
      </w:r>
      <w:r>
        <w:rPr/>
        <w:t>areas</w:t>
      </w:r>
      <w:r>
        <w:rPr>
          <w:spacing w:val="-1"/>
        </w:rPr>
        <w:t> </w:t>
      </w:r>
      <w:r>
        <w:rPr/>
        <w:t>of</w:t>
      </w:r>
      <w:r>
        <w:rPr>
          <w:spacing w:val="7"/>
        </w:rPr>
        <w:t> </w:t>
      </w:r>
      <w:r>
        <w:rPr/>
        <w:t>Vic</w:t>
      </w:r>
      <w:r>
        <w:rPr>
          <w:spacing w:val="5"/>
        </w:rPr>
        <w:t> </w:t>
      </w:r>
      <w:r>
        <w:rPr/>
        <w:t>and</w:t>
      </w:r>
      <w:r>
        <w:rPr>
          <w:spacing w:val="4"/>
        </w:rPr>
        <w:t> </w:t>
      </w:r>
      <w:r>
        <w:rPr/>
        <w:t>NSW.</w:t>
      </w:r>
    </w:p>
    <w:p>
      <w:pPr>
        <w:pStyle w:val="BodyText"/>
      </w:pPr>
    </w:p>
    <w:p>
      <w:pPr>
        <w:spacing w:before="0"/>
        <w:ind w:left="121" w:right="0" w:firstLine="0"/>
        <w:jc w:val="left"/>
        <w:rPr>
          <w:i/>
          <w:sz w:val="22"/>
        </w:rPr>
      </w:pPr>
      <w:r>
        <w:rPr>
          <w:i/>
          <w:sz w:val="22"/>
        </w:rPr>
        <w:t>Increases</w:t>
      </w:r>
      <w:r>
        <w:rPr>
          <w:i/>
          <w:spacing w:val="8"/>
          <w:sz w:val="22"/>
        </w:rPr>
        <w:t> </w:t>
      </w:r>
      <w:r>
        <w:rPr>
          <w:i/>
          <w:sz w:val="22"/>
        </w:rPr>
        <w:t>among</w:t>
      </w:r>
      <w:r>
        <w:rPr>
          <w:i/>
          <w:spacing w:val="11"/>
          <w:sz w:val="22"/>
        </w:rPr>
        <w:t> </w:t>
      </w:r>
      <w:r>
        <w:rPr>
          <w:i/>
          <w:sz w:val="22"/>
        </w:rPr>
        <w:t>non-Indigenous</w:t>
      </w:r>
      <w:r>
        <w:rPr>
          <w:i/>
          <w:spacing w:val="11"/>
          <w:sz w:val="22"/>
        </w:rPr>
        <w:t> </w:t>
      </w:r>
      <w:r>
        <w:rPr>
          <w:i/>
          <w:sz w:val="22"/>
        </w:rPr>
        <w:t>women</w:t>
      </w:r>
    </w:p>
    <w:p>
      <w:pPr>
        <w:pStyle w:val="BodyText"/>
        <w:ind w:left="121"/>
      </w:pPr>
      <w:r>
        <w:rPr/>
        <w:t>Since</w:t>
      </w:r>
      <w:r>
        <w:rPr>
          <w:spacing w:val="12"/>
        </w:rPr>
        <w:t> </w:t>
      </w:r>
      <w:r>
        <w:rPr/>
        <w:t>2016,</w:t>
      </w:r>
      <w:r>
        <w:rPr>
          <w:spacing w:val="11"/>
        </w:rPr>
        <w:t> </w:t>
      </w:r>
      <w:r>
        <w:rPr/>
        <w:t>increases</w:t>
      </w:r>
      <w:r>
        <w:rPr>
          <w:spacing w:val="8"/>
        </w:rPr>
        <w:t> </w:t>
      </w:r>
      <w:r>
        <w:rPr/>
        <w:t>in</w:t>
      </w:r>
      <w:r>
        <w:rPr>
          <w:spacing w:val="10"/>
        </w:rPr>
        <w:t> </w:t>
      </w:r>
      <w:r>
        <w:rPr/>
        <w:t>notifications</w:t>
      </w:r>
      <w:r>
        <w:rPr>
          <w:spacing w:val="6"/>
        </w:rPr>
        <w:t> </w:t>
      </w:r>
      <w:r>
        <w:rPr/>
        <w:t>of</w:t>
      </w:r>
      <w:r>
        <w:rPr>
          <w:spacing w:val="12"/>
        </w:rPr>
        <w:t> </w:t>
      </w:r>
      <w:r>
        <w:rPr/>
        <w:t>infectious</w:t>
      </w:r>
      <w:r>
        <w:rPr>
          <w:spacing w:val="13"/>
        </w:rPr>
        <w:t> </w:t>
      </w:r>
      <w:r>
        <w:rPr/>
        <w:t>syphilis</w:t>
      </w:r>
      <w:r>
        <w:rPr>
          <w:spacing w:val="13"/>
        </w:rPr>
        <w:t> </w:t>
      </w:r>
      <w:r>
        <w:rPr/>
        <w:t>have</w:t>
      </w:r>
      <w:r>
        <w:rPr>
          <w:spacing w:val="16"/>
        </w:rPr>
        <w:t> </w:t>
      </w:r>
      <w:r>
        <w:rPr/>
        <w:t>been</w:t>
      </w:r>
      <w:r>
        <w:rPr>
          <w:spacing w:val="12"/>
        </w:rPr>
        <w:t> </w:t>
      </w:r>
      <w:r>
        <w:rPr/>
        <w:t>reported</w:t>
      </w:r>
      <w:r>
        <w:rPr>
          <w:spacing w:val="9"/>
        </w:rPr>
        <w:t> </w:t>
      </w:r>
      <w:r>
        <w:rPr/>
        <w:t>in</w:t>
      </w:r>
      <w:r>
        <w:rPr>
          <w:spacing w:val="7"/>
        </w:rPr>
        <w:t> </w:t>
      </w:r>
      <w:r>
        <w:rPr/>
        <w:t>non-Indigenous</w:t>
      </w:r>
      <w:r>
        <w:rPr>
          <w:spacing w:val="-47"/>
        </w:rPr>
        <w:t> </w:t>
      </w:r>
      <w:r>
        <w:rPr/>
        <w:t>women</w:t>
      </w:r>
      <w:r>
        <w:rPr>
          <w:spacing w:val="2"/>
        </w:rPr>
        <w:t> </w:t>
      </w:r>
      <w:r>
        <w:rPr/>
        <w:t>aged</w:t>
      </w:r>
      <w:r>
        <w:rPr>
          <w:spacing w:val="8"/>
        </w:rPr>
        <w:t> </w:t>
      </w:r>
      <w:r>
        <w:rPr/>
        <w:t>predominately</w:t>
      </w:r>
      <w:r>
        <w:rPr>
          <w:spacing w:val="7"/>
        </w:rPr>
        <w:t> </w:t>
      </w:r>
      <w:r>
        <w:rPr/>
        <w:t>20-39</w:t>
      </w:r>
      <w:r>
        <w:rPr>
          <w:spacing w:val="5"/>
        </w:rPr>
        <w:t> </w:t>
      </w:r>
      <w:r>
        <w:rPr/>
        <w:t>years</w:t>
      </w:r>
      <w:r>
        <w:rPr>
          <w:spacing w:val="7"/>
        </w:rPr>
        <w:t> </w:t>
      </w:r>
      <w:r>
        <w:rPr/>
        <w:t>of</w:t>
      </w:r>
      <w:r>
        <w:rPr>
          <w:spacing w:val="6"/>
        </w:rPr>
        <w:t> </w:t>
      </w:r>
      <w:r>
        <w:rPr/>
        <w:t>age</w:t>
      </w:r>
      <w:r>
        <w:rPr>
          <w:spacing w:val="5"/>
        </w:rPr>
        <w:t> </w:t>
      </w:r>
      <w:r>
        <w:rPr/>
        <w:t>residing</w:t>
      </w:r>
      <w:r>
        <w:rPr>
          <w:spacing w:val="6"/>
        </w:rPr>
        <w:t> </w:t>
      </w:r>
      <w:r>
        <w:rPr/>
        <w:t>in</w:t>
      </w:r>
      <w:r>
        <w:rPr>
          <w:spacing w:val="8"/>
        </w:rPr>
        <w:t> </w:t>
      </w:r>
      <w:r>
        <w:rPr/>
        <w:t>urban</w:t>
      </w:r>
      <w:r>
        <w:rPr>
          <w:spacing w:val="2"/>
        </w:rPr>
        <w:t> </w:t>
      </w:r>
      <w:r>
        <w:rPr/>
        <w:t>areas</w:t>
      </w:r>
      <w:r>
        <w:rPr>
          <w:spacing w:val="4"/>
        </w:rPr>
        <w:t> </w:t>
      </w:r>
      <w:r>
        <w:rPr/>
        <w:t>of</w:t>
      </w:r>
      <w:r>
        <w:rPr>
          <w:spacing w:val="9"/>
        </w:rPr>
        <w:t> </w:t>
      </w:r>
      <w:r>
        <w:rPr/>
        <w:t>NSW,</w:t>
      </w:r>
      <w:r>
        <w:rPr>
          <w:spacing w:val="2"/>
        </w:rPr>
        <w:t> </w:t>
      </w:r>
      <w:r>
        <w:rPr/>
        <w:t>Vic,</w:t>
      </w:r>
      <w:r>
        <w:rPr>
          <w:spacing w:val="6"/>
        </w:rPr>
        <w:t> </w:t>
      </w:r>
      <w:r>
        <w:rPr/>
        <w:t>Qld</w:t>
      </w:r>
      <w:r>
        <w:rPr>
          <w:spacing w:val="3"/>
        </w:rPr>
        <w:t> </w:t>
      </w:r>
      <w:r>
        <w:rPr/>
        <w:t>and</w:t>
      </w:r>
    </w:p>
    <w:p>
      <w:pPr>
        <w:pStyle w:val="BodyText"/>
        <w:spacing w:line="247" w:lineRule="auto"/>
        <w:ind w:left="122"/>
      </w:pPr>
      <w:r>
        <w:rPr/>
        <w:t>WA.</w:t>
      </w:r>
      <w:r>
        <w:rPr>
          <w:spacing w:val="22"/>
        </w:rPr>
        <w:t> </w:t>
      </w:r>
      <w:r>
        <w:rPr/>
        <w:t>As</w:t>
      </w:r>
      <w:r>
        <w:rPr>
          <w:spacing w:val="12"/>
        </w:rPr>
        <w:t> </w:t>
      </w:r>
      <w:r>
        <w:rPr/>
        <w:t>noted</w:t>
      </w:r>
      <w:r>
        <w:rPr>
          <w:spacing w:val="10"/>
        </w:rPr>
        <w:t> </w:t>
      </w:r>
      <w:r>
        <w:rPr/>
        <w:t>in</w:t>
      </w:r>
      <w:r>
        <w:rPr>
          <w:spacing w:val="7"/>
        </w:rPr>
        <w:t> </w:t>
      </w:r>
      <w:r>
        <w:rPr/>
        <w:t>the</w:t>
      </w:r>
      <w:r>
        <w:rPr>
          <w:spacing w:val="7"/>
        </w:rPr>
        <w:t> </w:t>
      </w:r>
      <w:r>
        <w:rPr/>
        <w:t>outbreak</w:t>
      </w:r>
      <w:r>
        <w:rPr>
          <w:spacing w:val="8"/>
        </w:rPr>
        <w:t> </w:t>
      </w:r>
      <w:r>
        <w:rPr/>
        <w:t>in</w:t>
      </w:r>
      <w:r>
        <w:rPr>
          <w:spacing w:val="3"/>
        </w:rPr>
        <w:t> </w:t>
      </w:r>
      <w:r>
        <w:rPr/>
        <w:t>remote</w:t>
      </w:r>
      <w:r>
        <w:rPr>
          <w:spacing w:val="13"/>
        </w:rPr>
        <w:t> </w:t>
      </w:r>
      <w:r>
        <w:rPr/>
        <w:t>Australia,</w:t>
      </w:r>
      <w:r>
        <w:rPr>
          <w:spacing w:val="6"/>
        </w:rPr>
        <w:t> </w:t>
      </w:r>
      <w:r>
        <w:rPr/>
        <w:t>increases</w:t>
      </w:r>
      <w:r>
        <w:rPr>
          <w:spacing w:val="4"/>
        </w:rPr>
        <w:t> </w:t>
      </w:r>
      <w:r>
        <w:rPr/>
        <w:t>in</w:t>
      </w:r>
      <w:r>
        <w:rPr>
          <w:spacing w:val="5"/>
        </w:rPr>
        <w:t> </w:t>
      </w:r>
      <w:r>
        <w:rPr/>
        <w:t>women</w:t>
      </w:r>
      <w:r>
        <w:rPr>
          <w:spacing w:val="6"/>
        </w:rPr>
        <w:t> </w:t>
      </w:r>
      <w:r>
        <w:rPr/>
        <w:t>of</w:t>
      </w:r>
      <w:r>
        <w:rPr>
          <w:spacing w:val="8"/>
        </w:rPr>
        <w:t> </w:t>
      </w:r>
      <w:r>
        <w:rPr/>
        <w:t>child-bearing</w:t>
      </w:r>
      <w:r>
        <w:rPr>
          <w:spacing w:val="13"/>
        </w:rPr>
        <w:t> </w:t>
      </w:r>
      <w:r>
        <w:rPr/>
        <w:t>age</w:t>
      </w:r>
      <w:r>
        <w:rPr>
          <w:spacing w:val="8"/>
        </w:rPr>
        <w:t> </w:t>
      </w:r>
      <w:r>
        <w:rPr/>
        <w:t>is</w:t>
      </w:r>
      <w:r>
        <w:rPr>
          <w:spacing w:val="11"/>
        </w:rPr>
        <w:t> </w:t>
      </w:r>
      <w:r>
        <w:rPr/>
        <w:t>of</w:t>
      </w:r>
      <w:r>
        <w:rPr>
          <w:spacing w:val="-47"/>
        </w:rPr>
        <w:t> </w:t>
      </w:r>
      <w:r>
        <w:rPr/>
        <w:t>significant public</w:t>
      </w:r>
      <w:r>
        <w:rPr>
          <w:spacing w:val="4"/>
        </w:rPr>
        <w:t> </w:t>
      </w:r>
      <w:r>
        <w:rPr/>
        <w:t>health</w:t>
      </w:r>
      <w:r>
        <w:rPr>
          <w:spacing w:val="1"/>
        </w:rPr>
        <w:t> </w:t>
      </w:r>
      <w:r>
        <w:rPr/>
        <w:t>concern</w:t>
      </w:r>
      <w:r>
        <w:rPr>
          <w:spacing w:val="2"/>
        </w:rPr>
        <w:t> </w:t>
      </w:r>
      <w:r>
        <w:rPr/>
        <w:t>given</w:t>
      </w:r>
      <w:r>
        <w:rPr>
          <w:spacing w:val="1"/>
        </w:rPr>
        <w:t> </w:t>
      </w:r>
      <w:r>
        <w:rPr/>
        <w:t>the</w:t>
      </w:r>
      <w:r>
        <w:rPr>
          <w:spacing w:val="2"/>
        </w:rPr>
        <w:t> </w:t>
      </w:r>
      <w:r>
        <w:rPr/>
        <w:t>increased</w:t>
      </w:r>
      <w:r>
        <w:rPr>
          <w:spacing w:val="4"/>
        </w:rPr>
        <w:t> </w:t>
      </w:r>
      <w:r>
        <w:rPr/>
        <w:t>risk</w:t>
      </w:r>
      <w:r>
        <w:rPr>
          <w:spacing w:val="-1"/>
        </w:rPr>
        <w:t> </w:t>
      </w:r>
      <w:r>
        <w:rPr/>
        <w:t>of</w:t>
      </w:r>
      <w:r>
        <w:rPr>
          <w:spacing w:val="1"/>
        </w:rPr>
        <w:t> </w:t>
      </w:r>
      <w:r>
        <w:rPr/>
        <w:t>congenital</w:t>
      </w:r>
      <w:r>
        <w:rPr>
          <w:spacing w:val="4"/>
        </w:rPr>
        <w:t> </w:t>
      </w:r>
      <w:r>
        <w:rPr/>
        <w:t>syphilis.</w:t>
      </w:r>
    </w:p>
    <w:p>
      <w:pPr>
        <w:pStyle w:val="BodyText"/>
      </w:pPr>
    </w:p>
    <w:p>
      <w:pPr>
        <w:pStyle w:val="Heading1"/>
        <w:rPr>
          <w:u w:val="none"/>
        </w:rPr>
      </w:pPr>
      <w:r>
        <w:rPr>
          <w:u w:val="single"/>
        </w:rPr>
        <w:t>Legionellosis</w:t>
      </w:r>
    </w:p>
    <w:p>
      <w:pPr>
        <w:pStyle w:val="BodyText"/>
        <w:spacing w:line="247" w:lineRule="auto" w:before="10"/>
        <w:ind w:left="120" w:right="450"/>
      </w:pPr>
      <w:r>
        <w:rPr/>
        <w:t>In the past 12 months (29 February 2020 to 28 February 2021), there have been 544 cases of</w:t>
      </w:r>
      <w:r>
        <w:rPr>
          <w:spacing w:val="1"/>
        </w:rPr>
        <w:t> </w:t>
      </w:r>
      <w:r>
        <w:rPr/>
        <w:t>legionellosis reported to the National Notifiable Diseases Surveillance System (NNDSS), comprising</w:t>
      </w:r>
      <w:r>
        <w:rPr>
          <w:spacing w:val="-47"/>
        </w:rPr>
        <w:t> </w:t>
      </w:r>
      <w:r>
        <w:rPr/>
        <w:t>51.3% Legionella longbeachae (279/544) and 44.3% Legionella pneumophila (241/544). This is 1.3</w:t>
      </w:r>
      <w:r>
        <w:rPr>
          <w:spacing w:val="1"/>
        </w:rPr>
        <w:t> </w:t>
      </w:r>
      <w:r>
        <w:rPr/>
        <w:t>times</w:t>
      </w:r>
      <w:r>
        <w:rPr>
          <w:spacing w:val="-2"/>
        </w:rPr>
        <w:t> </w:t>
      </w:r>
      <w:r>
        <w:rPr/>
        <w:t>higher</w:t>
      </w:r>
      <w:r>
        <w:rPr>
          <w:spacing w:val="-2"/>
        </w:rPr>
        <w:t> </w:t>
      </w:r>
      <w:r>
        <w:rPr/>
        <w:t>than</w:t>
      </w:r>
      <w:r>
        <w:rPr>
          <w:spacing w:val="-4"/>
        </w:rPr>
        <w:t> </w:t>
      </w:r>
      <w:r>
        <w:rPr/>
        <w:t>the</w:t>
      </w:r>
      <w:r>
        <w:rPr>
          <w:spacing w:val="-1"/>
        </w:rPr>
        <w:t> </w:t>
      </w:r>
      <w:r>
        <w:rPr/>
        <w:t>historical</w:t>
      </w:r>
      <w:r>
        <w:rPr>
          <w:spacing w:val="-2"/>
        </w:rPr>
        <w:t> </w:t>
      </w:r>
      <w:r>
        <w:rPr/>
        <w:t>five-year</w:t>
      </w:r>
      <w:r>
        <w:rPr>
          <w:spacing w:val="-6"/>
        </w:rPr>
        <w:t> </w:t>
      </w:r>
      <w:r>
        <w:rPr/>
        <w:t>mean</w:t>
      </w:r>
      <w:r>
        <w:rPr>
          <w:spacing w:val="-3"/>
        </w:rPr>
        <w:t> </w:t>
      </w:r>
      <w:r>
        <w:rPr/>
        <w:t>(n=403.6),</w:t>
      </w:r>
      <w:r>
        <w:rPr>
          <w:spacing w:val="-1"/>
        </w:rPr>
        <w:t> </w:t>
      </w:r>
      <w:r>
        <w:rPr/>
        <w:t>which</w:t>
      </w:r>
      <w:r>
        <w:rPr>
          <w:spacing w:val="-5"/>
        </w:rPr>
        <w:t> </w:t>
      </w:r>
      <w:r>
        <w:rPr/>
        <w:t>comprised</w:t>
      </w:r>
      <w:r>
        <w:rPr>
          <w:spacing w:val="-2"/>
        </w:rPr>
        <w:t> </w:t>
      </w:r>
      <w:r>
        <w:rPr/>
        <w:t>a</w:t>
      </w:r>
      <w:r>
        <w:rPr>
          <w:spacing w:val="-2"/>
        </w:rPr>
        <w:t> </w:t>
      </w:r>
      <w:r>
        <w:rPr/>
        <w:t>greater</w:t>
      </w:r>
      <w:r>
        <w:rPr>
          <w:spacing w:val="-2"/>
        </w:rPr>
        <w:t> </w:t>
      </w:r>
      <w:r>
        <w:rPr/>
        <w:t>proportion</w:t>
      </w:r>
      <w:r>
        <w:rPr>
          <w:spacing w:val="-4"/>
        </w:rPr>
        <w:t> </w:t>
      </w:r>
      <w:r>
        <w:rPr/>
        <w:t>of</w:t>
      </w:r>
    </w:p>
    <w:p>
      <w:pPr>
        <w:pStyle w:val="BodyText"/>
        <w:spacing w:line="247" w:lineRule="auto"/>
        <w:ind w:left="118" w:right="620" w:firstLine="1"/>
      </w:pPr>
      <w:r>
        <w:rPr/>
        <w:t>L. pneumophila (55.9%) compared to L. longbeachae (41.2%) infections. Legionellosis notifications</w:t>
      </w:r>
      <w:r>
        <w:rPr>
          <w:spacing w:val="-47"/>
        </w:rPr>
        <w:t> </w:t>
      </w:r>
      <w:r>
        <w:rPr/>
        <w:t>were reported in all jurisdictions of Australia in the past 12 months, although the distribution of</w:t>
      </w:r>
      <w:r>
        <w:rPr>
          <w:spacing w:val="1"/>
        </w:rPr>
        <w:t> </w:t>
      </w:r>
      <w:r>
        <w:rPr/>
        <w:t>species</w:t>
      </w:r>
      <w:r>
        <w:rPr>
          <w:spacing w:val="-3"/>
        </w:rPr>
        <w:t> </w:t>
      </w:r>
      <w:r>
        <w:rPr/>
        <w:t>varied</w:t>
      </w:r>
      <w:r>
        <w:rPr>
          <w:spacing w:val="-3"/>
        </w:rPr>
        <w:t> </w:t>
      </w:r>
      <w:r>
        <w:rPr/>
        <w:t>by</w:t>
      </w:r>
      <w:r>
        <w:rPr>
          <w:spacing w:val="1"/>
        </w:rPr>
        <w:t> </w:t>
      </w:r>
      <w:r>
        <w:rPr/>
        <w:t>jurisdiction</w:t>
      </w:r>
      <w:r>
        <w:rPr>
          <w:spacing w:val="-1"/>
        </w:rPr>
        <w:t> </w:t>
      </w:r>
      <w:r>
        <w:rPr/>
        <w:t>(Figure</w:t>
      </w:r>
      <w:r>
        <w:rPr>
          <w:spacing w:val="1"/>
        </w:rPr>
        <w:t> </w:t>
      </w:r>
      <w:r>
        <w:rPr/>
        <w:t>1</w:t>
      </w:r>
      <w:r>
        <w:rPr>
          <w:spacing w:val="1"/>
        </w:rPr>
        <w:t> </w:t>
      </w:r>
      <w:r>
        <w:rPr/>
        <w:t>and</w:t>
      </w:r>
      <w:r>
        <w:rPr>
          <w:spacing w:val="-2"/>
        </w:rPr>
        <w:t> </w:t>
      </w:r>
      <w:r>
        <w:rPr/>
        <w:t>Figure</w:t>
      </w:r>
      <w:r>
        <w:rPr>
          <w:spacing w:val="-2"/>
        </w:rPr>
        <w:t> </w:t>
      </w:r>
      <w:r>
        <w:rPr/>
        <w:t>2).</w:t>
      </w:r>
    </w:p>
    <w:p>
      <w:pPr>
        <w:pStyle w:val="BodyText"/>
      </w:pPr>
    </w:p>
    <w:p>
      <w:pPr>
        <w:pStyle w:val="BodyText"/>
        <w:spacing w:line="247" w:lineRule="auto"/>
        <w:ind w:left="117" w:right="450" w:firstLine="1"/>
        <w:rPr>
          <w:sz w:val="20"/>
        </w:rPr>
      </w:pPr>
      <w:r>
        <w:rPr/>
        <w:t>In the past fortnight (15 February 2021 to 28 February 2021), 18 cases of legionellosis were notified</w:t>
      </w:r>
      <w:r>
        <w:rPr>
          <w:spacing w:val="1"/>
        </w:rPr>
        <w:t> </w:t>
      </w:r>
      <w:r>
        <w:rPr/>
        <w:t>compared to 24 cases in the same reporting period in the previous year. Of the 18 cases reported in</w:t>
      </w:r>
      <w:r>
        <w:rPr>
          <w:spacing w:val="-47"/>
        </w:rPr>
        <w:t> </w:t>
      </w:r>
      <w:r>
        <w:rPr/>
        <w:t>the past fortnight, all cases had a species reported, with 13 cases identified as L. pneumophila (72%)</w:t>
      </w:r>
      <w:r>
        <w:rPr>
          <w:spacing w:val="-47"/>
        </w:rPr>
        <w:t> </w:t>
      </w:r>
      <w:r>
        <w:rPr/>
        <w:t>and five cases identified as L. longbeachae (28%). It is difficult to determine the extent to which the</w:t>
      </w:r>
      <w:r>
        <w:rPr>
          <w:spacing w:val="1"/>
        </w:rPr>
        <w:t> </w:t>
      </w:r>
      <w:r>
        <w:rPr/>
        <w:t>increase in legionellosis notifications is associated with increased testing of individuals with</w:t>
      </w:r>
      <w:r>
        <w:rPr>
          <w:spacing w:val="1"/>
        </w:rPr>
        <w:t> </w:t>
      </w:r>
      <w:r>
        <w:rPr/>
        <w:t>influenza-like symptoms or pneumonia in response to the COVID-19 pandemic over the past 12</w:t>
      </w:r>
      <w:r>
        <w:rPr>
          <w:spacing w:val="1"/>
        </w:rPr>
        <w:t> </w:t>
      </w:r>
      <w:r>
        <w:rPr/>
        <w:t>months,</w:t>
      </w:r>
      <w:r>
        <w:rPr>
          <w:spacing w:val="-2"/>
        </w:rPr>
        <w:t> </w:t>
      </w:r>
      <w:r>
        <w:rPr/>
        <w:t>or</w:t>
      </w:r>
      <w:r>
        <w:rPr>
          <w:spacing w:val="-3"/>
        </w:rPr>
        <w:t> </w:t>
      </w:r>
      <w:r>
        <w:rPr/>
        <w:t>other factors</w:t>
      </w:r>
      <w:r>
        <w:rPr>
          <w:sz w:val="20"/>
        </w:rPr>
        <w:t>.</w:t>
      </w:r>
    </w:p>
    <w:p>
      <w:pPr>
        <w:spacing w:after="0" w:line="247" w:lineRule="auto"/>
        <w:rPr>
          <w:sz w:val="20"/>
        </w:rPr>
        <w:sectPr>
          <w:type w:val="continuous"/>
          <w:pgSz w:w="12240" w:h="15840"/>
          <w:pgMar w:top="780" w:bottom="280" w:left="1460" w:right="1260"/>
        </w:sectPr>
      </w:pPr>
    </w:p>
    <w:p>
      <w:pPr>
        <w:spacing w:line="244" w:lineRule="auto" w:before="42" w:after="2"/>
        <w:ind w:left="121" w:right="450" w:firstLine="0"/>
        <w:jc w:val="left"/>
        <w:rPr>
          <w:b/>
          <w:sz w:val="20"/>
        </w:rPr>
      </w:pPr>
      <w:r>
        <w:rPr>
          <w:b/>
          <w:sz w:val="20"/>
        </w:rPr>
        <w:t>Figure</w:t>
      </w:r>
      <w:r>
        <w:rPr>
          <w:b/>
          <w:spacing w:val="9"/>
          <w:sz w:val="20"/>
        </w:rPr>
        <w:t> </w:t>
      </w:r>
      <w:r>
        <w:rPr>
          <w:b/>
          <w:sz w:val="20"/>
        </w:rPr>
        <w:t>1.</w:t>
      </w:r>
      <w:r>
        <w:rPr>
          <w:b/>
          <w:spacing w:val="7"/>
          <w:sz w:val="20"/>
        </w:rPr>
        <w:t> </w:t>
      </w:r>
      <w:r>
        <w:rPr>
          <w:b/>
          <w:sz w:val="20"/>
        </w:rPr>
        <w:t>Notifications</w:t>
      </w:r>
      <w:r>
        <w:rPr>
          <w:b/>
          <w:spacing w:val="9"/>
          <w:sz w:val="20"/>
        </w:rPr>
        <w:t> </w:t>
      </w:r>
      <w:r>
        <w:rPr>
          <w:b/>
          <w:sz w:val="20"/>
        </w:rPr>
        <w:t>of</w:t>
      </w:r>
      <w:r>
        <w:rPr>
          <w:b/>
          <w:spacing w:val="9"/>
          <w:sz w:val="20"/>
        </w:rPr>
        <w:t> </w:t>
      </w:r>
      <w:r>
        <w:rPr>
          <w:b/>
          <w:i/>
          <w:sz w:val="20"/>
        </w:rPr>
        <w:t>Legionella</w:t>
      </w:r>
      <w:r>
        <w:rPr>
          <w:b/>
          <w:i/>
          <w:spacing w:val="12"/>
          <w:sz w:val="20"/>
        </w:rPr>
        <w:t> </w:t>
      </w:r>
      <w:r>
        <w:rPr>
          <w:b/>
          <w:i/>
          <w:sz w:val="20"/>
        </w:rPr>
        <w:t>longbeachae</w:t>
      </w:r>
      <w:r>
        <w:rPr>
          <w:b/>
          <w:sz w:val="20"/>
        </w:rPr>
        <w:t>,</w:t>
      </w:r>
      <w:r>
        <w:rPr>
          <w:b/>
          <w:spacing w:val="11"/>
          <w:sz w:val="20"/>
        </w:rPr>
        <w:t> </w:t>
      </w:r>
      <w:r>
        <w:rPr>
          <w:b/>
          <w:sz w:val="20"/>
        </w:rPr>
        <w:t>Australia,</w:t>
      </w:r>
      <w:r>
        <w:rPr>
          <w:b/>
          <w:spacing w:val="17"/>
          <w:sz w:val="20"/>
        </w:rPr>
        <w:t> </w:t>
      </w:r>
      <w:r>
        <w:rPr>
          <w:b/>
          <w:sz w:val="20"/>
        </w:rPr>
        <w:t>1</w:t>
      </w:r>
      <w:r>
        <w:rPr>
          <w:b/>
          <w:spacing w:val="15"/>
          <w:sz w:val="20"/>
        </w:rPr>
        <w:t> </w:t>
      </w:r>
      <w:r>
        <w:rPr>
          <w:b/>
          <w:sz w:val="20"/>
        </w:rPr>
        <w:t>January</w:t>
      </w:r>
      <w:r>
        <w:rPr>
          <w:b/>
          <w:spacing w:val="18"/>
          <w:sz w:val="20"/>
        </w:rPr>
        <w:t> </w:t>
      </w:r>
      <w:r>
        <w:rPr>
          <w:b/>
          <w:sz w:val="20"/>
        </w:rPr>
        <w:t>2016</w:t>
      </w:r>
      <w:r>
        <w:rPr>
          <w:b/>
          <w:spacing w:val="15"/>
          <w:sz w:val="20"/>
        </w:rPr>
        <w:t> </w:t>
      </w:r>
      <w:r>
        <w:rPr>
          <w:b/>
          <w:sz w:val="20"/>
        </w:rPr>
        <w:t>to</w:t>
      </w:r>
      <w:r>
        <w:rPr>
          <w:b/>
          <w:spacing w:val="9"/>
          <w:sz w:val="20"/>
        </w:rPr>
        <w:t> </w:t>
      </w:r>
      <w:r>
        <w:rPr>
          <w:b/>
          <w:sz w:val="20"/>
        </w:rPr>
        <w:t>28</w:t>
      </w:r>
      <w:r>
        <w:rPr>
          <w:b/>
          <w:spacing w:val="20"/>
          <w:sz w:val="20"/>
        </w:rPr>
        <w:t> </w:t>
      </w:r>
      <w:r>
        <w:rPr>
          <w:b/>
          <w:sz w:val="20"/>
        </w:rPr>
        <w:t>February</w:t>
      </w:r>
      <w:r>
        <w:rPr>
          <w:b/>
          <w:spacing w:val="13"/>
          <w:sz w:val="20"/>
        </w:rPr>
        <w:t> </w:t>
      </w:r>
      <w:r>
        <w:rPr>
          <w:b/>
          <w:sz w:val="20"/>
        </w:rPr>
        <w:t>2021,</w:t>
      </w:r>
      <w:r>
        <w:rPr>
          <w:b/>
          <w:spacing w:val="18"/>
          <w:sz w:val="20"/>
        </w:rPr>
        <w:t> </w:t>
      </w:r>
      <w:r>
        <w:rPr>
          <w:b/>
          <w:sz w:val="20"/>
        </w:rPr>
        <w:t>by</w:t>
      </w:r>
      <w:r>
        <w:rPr>
          <w:b/>
          <w:spacing w:val="15"/>
          <w:sz w:val="20"/>
        </w:rPr>
        <w:t> </w:t>
      </w:r>
      <w:r>
        <w:rPr>
          <w:b/>
          <w:sz w:val="20"/>
        </w:rPr>
        <w:t>state</w:t>
      </w:r>
      <w:r>
        <w:rPr>
          <w:b/>
          <w:spacing w:val="1"/>
          <w:sz w:val="20"/>
        </w:rPr>
        <w:t> </w:t>
      </w:r>
      <w:r>
        <w:rPr>
          <w:b/>
          <w:w w:val="105"/>
          <w:sz w:val="20"/>
        </w:rPr>
        <w:t>or</w:t>
      </w:r>
      <w:r>
        <w:rPr>
          <w:b/>
          <w:spacing w:val="-3"/>
          <w:w w:val="105"/>
          <w:sz w:val="20"/>
        </w:rPr>
        <w:t> </w:t>
      </w:r>
      <w:r>
        <w:rPr>
          <w:b/>
          <w:w w:val="105"/>
          <w:sz w:val="20"/>
        </w:rPr>
        <w:t>territory and</w:t>
      </w:r>
      <w:r>
        <w:rPr>
          <w:b/>
          <w:spacing w:val="-5"/>
          <w:w w:val="105"/>
          <w:sz w:val="20"/>
        </w:rPr>
        <w:t> </w:t>
      </w:r>
      <w:r>
        <w:rPr>
          <w:b/>
          <w:w w:val="105"/>
          <w:sz w:val="20"/>
        </w:rPr>
        <w:t>month</w:t>
      </w:r>
      <w:r>
        <w:rPr>
          <w:b/>
          <w:spacing w:val="-1"/>
          <w:w w:val="105"/>
          <w:sz w:val="20"/>
        </w:rPr>
        <w:t> </w:t>
      </w:r>
      <w:r>
        <w:rPr>
          <w:b/>
          <w:w w:val="105"/>
          <w:sz w:val="20"/>
        </w:rPr>
        <w:t>and</w:t>
      </w:r>
      <w:r>
        <w:rPr>
          <w:b/>
          <w:spacing w:val="-5"/>
          <w:w w:val="105"/>
          <w:sz w:val="20"/>
        </w:rPr>
        <w:t> </w:t>
      </w:r>
      <w:r>
        <w:rPr>
          <w:b/>
          <w:w w:val="105"/>
          <w:sz w:val="20"/>
        </w:rPr>
        <w:t>year</w:t>
      </w:r>
      <w:r>
        <w:rPr>
          <w:b/>
          <w:spacing w:val="1"/>
          <w:w w:val="105"/>
          <w:sz w:val="20"/>
        </w:rPr>
        <w:t> </w:t>
      </w:r>
      <w:r>
        <w:rPr>
          <w:b/>
          <w:w w:val="105"/>
          <w:sz w:val="20"/>
        </w:rPr>
        <w:t>of</w:t>
      </w:r>
      <w:r>
        <w:rPr>
          <w:b/>
          <w:spacing w:val="-2"/>
          <w:w w:val="105"/>
          <w:sz w:val="20"/>
        </w:rPr>
        <w:t> </w:t>
      </w:r>
      <w:r>
        <w:rPr>
          <w:b/>
          <w:w w:val="105"/>
          <w:sz w:val="20"/>
        </w:rPr>
        <w:t>notification</w:t>
      </w:r>
    </w:p>
    <w:p>
      <w:pPr>
        <w:pStyle w:val="BodyText"/>
        <w:ind w:left="119"/>
        <w:rPr>
          <w:sz w:val="20"/>
        </w:rPr>
      </w:pPr>
      <w:r>
        <w:rPr>
          <w:sz w:val="20"/>
        </w:rPr>
        <w:drawing>
          <wp:inline distT="0" distB="0" distL="0" distR="0">
            <wp:extent cx="5860375" cy="3811904"/>
            <wp:effectExtent l="0" t="0" r="0" b="0"/>
            <wp:docPr id="1" name="image1.jpeg" descr="Figure 1. Notifications of Legionella longbeachae, Australia, 1 January 2016 to 28 February 2021, by state or territory and month and year of notification "/>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60375" cy="3811904"/>
                    </a:xfrm>
                    <a:prstGeom prst="rect">
                      <a:avLst/>
                    </a:prstGeom>
                  </pic:spPr>
                </pic:pic>
              </a:graphicData>
            </a:graphic>
          </wp:inline>
        </w:drawing>
      </w:r>
      <w:r>
        <w:rPr>
          <w:sz w:val="20"/>
        </w:rPr>
      </w:r>
    </w:p>
    <w:p>
      <w:pPr>
        <w:pStyle w:val="BodyText"/>
        <w:spacing w:before="11"/>
        <w:rPr>
          <w:b/>
          <w:sz w:val="20"/>
        </w:rPr>
      </w:pPr>
    </w:p>
    <w:p>
      <w:pPr>
        <w:spacing w:line="247" w:lineRule="auto" w:before="0"/>
        <w:ind w:left="121" w:right="376" w:firstLine="0"/>
        <w:jc w:val="left"/>
        <w:rPr>
          <w:b/>
          <w:sz w:val="20"/>
        </w:rPr>
      </w:pPr>
      <w:r>
        <w:rPr>
          <w:b/>
          <w:sz w:val="20"/>
        </w:rPr>
        <w:t>Figure</w:t>
      </w:r>
      <w:r>
        <w:rPr>
          <w:b/>
          <w:spacing w:val="8"/>
          <w:sz w:val="20"/>
        </w:rPr>
        <w:t> </w:t>
      </w:r>
      <w:r>
        <w:rPr>
          <w:b/>
          <w:sz w:val="20"/>
        </w:rPr>
        <w:t>2.</w:t>
      </w:r>
      <w:r>
        <w:rPr>
          <w:b/>
          <w:spacing w:val="10"/>
          <w:sz w:val="20"/>
        </w:rPr>
        <w:t> </w:t>
      </w:r>
      <w:r>
        <w:rPr>
          <w:b/>
          <w:sz w:val="20"/>
        </w:rPr>
        <w:t>Notifications</w:t>
      </w:r>
      <w:r>
        <w:rPr>
          <w:b/>
          <w:spacing w:val="11"/>
          <w:sz w:val="20"/>
        </w:rPr>
        <w:t> </w:t>
      </w:r>
      <w:r>
        <w:rPr>
          <w:b/>
          <w:sz w:val="20"/>
        </w:rPr>
        <w:t>of</w:t>
      </w:r>
      <w:r>
        <w:rPr>
          <w:b/>
          <w:spacing w:val="10"/>
          <w:sz w:val="20"/>
        </w:rPr>
        <w:t> </w:t>
      </w:r>
      <w:r>
        <w:rPr>
          <w:b/>
          <w:i/>
          <w:sz w:val="20"/>
        </w:rPr>
        <w:t>Legionella</w:t>
      </w:r>
      <w:r>
        <w:rPr>
          <w:b/>
          <w:i/>
          <w:spacing w:val="16"/>
          <w:sz w:val="20"/>
        </w:rPr>
        <w:t> </w:t>
      </w:r>
      <w:r>
        <w:rPr>
          <w:b/>
          <w:i/>
          <w:sz w:val="20"/>
        </w:rPr>
        <w:t>pneumophila</w:t>
      </w:r>
      <w:r>
        <w:rPr>
          <w:b/>
          <w:sz w:val="20"/>
        </w:rPr>
        <w:t>,</w:t>
      </w:r>
      <w:r>
        <w:rPr>
          <w:b/>
          <w:spacing w:val="10"/>
          <w:sz w:val="20"/>
        </w:rPr>
        <w:t> </w:t>
      </w:r>
      <w:r>
        <w:rPr>
          <w:b/>
          <w:sz w:val="20"/>
        </w:rPr>
        <w:t>Australia,</w:t>
      </w:r>
      <w:r>
        <w:rPr>
          <w:b/>
          <w:spacing w:val="10"/>
          <w:sz w:val="20"/>
        </w:rPr>
        <w:t> </w:t>
      </w:r>
      <w:r>
        <w:rPr>
          <w:b/>
          <w:sz w:val="20"/>
        </w:rPr>
        <w:t>1</w:t>
      </w:r>
      <w:r>
        <w:rPr>
          <w:b/>
          <w:spacing w:val="15"/>
          <w:sz w:val="20"/>
        </w:rPr>
        <w:t> </w:t>
      </w:r>
      <w:r>
        <w:rPr>
          <w:b/>
          <w:sz w:val="20"/>
        </w:rPr>
        <w:t>January</w:t>
      </w:r>
      <w:r>
        <w:rPr>
          <w:b/>
          <w:spacing w:val="17"/>
          <w:sz w:val="20"/>
        </w:rPr>
        <w:t> </w:t>
      </w:r>
      <w:r>
        <w:rPr>
          <w:b/>
          <w:sz w:val="20"/>
        </w:rPr>
        <w:t>2016</w:t>
      </w:r>
      <w:r>
        <w:rPr>
          <w:b/>
          <w:spacing w:val="12"/>
          <w:sz w:val="20"/>
        </w:rPr>
        <w:t> </w:t>
      </w:r>
      <w:r>
        <w:rPr>
          <w:b/>
          <w:sz w:val="20"/>
        </w:rPr>
        <w:t>to</w:t>
      </w:r>
      <w:r>
        <w:rPr>
          <w:b/>
          <w:spacing w:val="8"/>
          <w:sz w:val="20"/>
        </w:rPr>
        <w:t> </w:t>
      </w:r>
      <w:r>
        <w:rPr>
          <w:b/>
          <w:sz w:val="20"/>
        </w:rPr>
        <w:t>28</w:t>
      </w:r>
      <w:r>
        <w:rPr>
          <w:b/>
          <w:spacing w:val="15"/>
          <w:sz w:val="20"/>
        </w:rPr>
        <w:t> </w:t>
      </w:r>
      <w:r>
        <w:rPr>
          <w:b/>
          <w:sz w:val="20"/>
        </w:rPr>
        <w:t>February</w:t>
      </w:r>
      <w:r>
        <w:rPr>
          <w:b/>
          <w:spacing w:val="17"/>
          <w:sz w:val="20"/>
        </w:rPr>
        <w:t> </w:t>
      </w:r>
      <w:r>
        <w:rPr>
          <w:b/>
          <w:sz w:val="20"/>
        </w:rPr>
        <w:t>2021,</w:t>
      </w:r>
      <w:r>
        <w:rPr>
          <w:b/>
          <w:spacing w:val="13"/>
          <w:sz w:val="20"/>
        </w:rPr>
        <w:t> </w:t>
      </w:r>
      <w:r>
        <w:rPr>
          <w:b/>
          <w:sz w:val="20"/>
        </w:rPr>
        <w:t>by</w:t>
      </w:r>
      <w:r>
        <w:rPr>
          <w:b/>
          <w:spacing w:val="22"/>
          <w:sz w:val="20"/>
        </w:rPr>
        <w:t> </w:t>
      </w:r>
      <w:r>
        <w:rPr>
          <w:b/>
          <w:sz w:val="20"/>
        </w:rPr>
        <w:t>state</w:t>
      </w:r>
      <w:r>
        <w:rPr>
          <w:b/>
          <w:spacing w:val="1"/>
          <w:sz w:val="20"/>
        </w:rPr>
        <w:t> </w:t>
      </w:r>
      <w:r>
        <w:rPr>
          <w:b/>
          <w:w w:val="105"/>
          <w:sz w:val="20"/>
        </w:rPr>
        <w:t>or</w:t>
      </w:r>
      <w:r>
        <w:rPr>
          <w:b/>
          <w:spacing w:val="-3"/>
          <w:w w:val="105"/>
          <w:sz w:val="20"/>
        </w:rPr>
        <w:t> </w:t>
      </w:r>
      <w:r>
        <w:rPr>
          <w:b/>
          <w:w w:val="105"/>
          <w:sz w:val="20"/>
        </w:rPr>
        <w:t>territory and</w:t>
      </w:r>
      <w:r>
        <w:rPr>
          <w:b/>
          <w:spacing w:val="-5"/>
          <w:w w:val="105"/>
          <w:sz w:val="20"/>
        </w:rPr>
        <w:t> </w:t>
      </w:r>
      <w:r>
        <w:rPr>
          <w:b/>
          <w:w w:val="105"/>
          <w:sz w:val="20"/>
        </w:rPr>
        <w:t>month</w:t>
      </w:r>
      <w:r>
        <w:rPr>
          <w:b/>
          <w:spacing w:val="-1"/>
          <w:w w:val="105"/>
          <w:sz w:val="20"/>
        </w:rPr>
        <w:t> </w:t>
      </w:r>
      <w:r>
        <w:rPr>
          <w:b/>
          <w:w w:val="105"/>
          <w:sz w:val="20"/>
        </w:rPr>
        <w:t>and</w:t>
      </w:r>
      <w:r>
        <w:rPr>
          <w:b/>
          <w:spacing w:val="-5"/>
          <w:w w:val="105"/>
          <w:sz w:val="20"/>
        </w:rPr>
        <w:t> </w:t>
      </w:r>
      <w:r>
        <w:rPr>
          <w:b/>
          <w:w w:val="105"/>
          <w:sz w:val="20"/>
        </w:rPr>
        <w:t>year</w:t>
      </w:r>
      <w:r>
        <w:rPr>
          <w:b/>
          <w:spacing w:val="1"/>
          <w:w w:val="105"/>
          <w:sz w:val="20"/>
        </w:rPr>
        <w:t> </w:t>
      </w:r>
      <w:r>
        <w:rPr>
          <w:b/>
          <w:w w:val="105"/>
          <w:sz w:val="20"/>
        </w:rPr>
        <w:t>of</w:t>
      </w:r>
      <w:r>
        <w:rPr>
          <w:b/>
          <w:spacing w:val="-2"/>
          <w:w w:val="105"/>
          <w:sz w:val="20"/>
        </w:rPr>
        <w:t> </w:t>
      </w:r>
      <w:r>
        <w:rPr>
          <w:b/>
          <w:w w:val="105"/>
          <w:sz w:val="20"/>
        </w:rPr>
        <w:t>notification</w:t>
      </w:r>
    </w:p>
    <w:p>
      <w:pPr>
        <w:pStyle w:val="BodyText"/>
        <w:ind w:left="119"/>
        <w:rPr>
          <w:sz w:val="20"/>
        </w:rPr>
      </w:pPr>
      <w:r>
        <w:rPr>
          <w:sz w:val="20"/>
        </w:rPr>
        <w:drawing>
          <wp:inline distT="0" distB="0" distL="0" distR="0">
            <wp:extent cx="5689958" cy="3701415"/>
            <wp:effectExtent l="0" t="0" r="0" b="0"/>
            <wp:docPr id="3" name="image2.jpeg" descr="Figure 2. Notifications of Legionella pneumophila, Australia, 1 January 2016 to 28 February 2021, by state or territory and month and year of notification "/>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689958" cy="3701415"/>
                    </a:xfrm>
                    <a:prstGeom prst="rect">
                      <a:avLst/>
                    </a:prstGeom>
                  </pic:spPr>
                </pic:pic>
              </a:graphicData>
            </a:graphic>
          </wp:inline>
        </w:drawing>
      </w:r>
      <w:r>
        <w:rPr>
          <w:sz w:val="20"/>
        </w:rPr>
      </w:r>
    </w:p>
    <w:p>
      <w:pPr>
        <w:spacing w:after="0"/>
        <w:rPr>
          <w:sz w:val="20"/>
        </w:rPr>
        <w:sectPr>
          <w:pgSz w:w="12240" w:h="15840"/>
          <w:pgMar w:top="720" w:bottom="280" w:left="1460" w:right="1260"/>
        </w:sectPr>
      </w:pPr>
    </w:p>
    <w:p>
      <w:pPr>
        <w:pStyle w:val="Heading1"/>
        <w:spacing w:before="40"/>
        <w:rPr>
          <w:u w:val="none"/>
        </w:rPr>
      </w:pPr>
      <w:r>
        <w:rPr>
          <w:u w:val="single"/>
        </w:rPr>
        <w:t>Leptospirosis</w:t>
      </w:r>
    </w:p>
    <w:p>
      <w:pPr>
        <w:pStyle w:val="BodyText"/>
        <w:spacing w:line="247" w:lineRule="auto" w:before="7"/>
        <w:ind w:left="118" w:right="371" w:firstLine="2"/>
      </w:pPr>
      <w:r>
        <w:rPr/>
        <w:t>In the past 12 months (29 February 2020 to 28 February 2021), there have been 119 cases of</w:t>
      </w:r>
      <w:r>
        <w:rPr>
          <w:spacing w:val="1"/>
        </w:rPr>
        <w:t> </w:t>
      </w:r>
      <w:r>
        <w:rPr/>
        <w:t>leptospirosis</w:t>
      </w:r>
      <w:r>
        <w:rPr>
          <w:spacing w:val="1"/>
        </w:rPr>
        <w:t> </w:t>
      </w:r>
      <w:r>
        <w:rPr/>
        <w:t>reported to</w:t>
      </w:r>
      <w:r>
        <w:rPr>
          <w:spacing w:val="-1"/>
        </w:rPr>
        <w:t> </w:t>
      </w:r>
      <w:r>
        <w:rPr/>
        <w:t>the</w:t>
      </w:r>
      <w:r>
        <w:rPr>
          <w:spacing w:val="2"/>
        </w:rPr>
        <w:t> </w:t>
      </w:r>
      <w:r>
        <w:rPr/>
        <w:t>National</w:t>
      </w:r>
      <w:r>
        <w:rPr>
          <w:spacing w:val="-2"/>
        </w:rPr>
        <w:t> </w:t>
      </w:r>
      <w:r>
        <w:rPr/>
        <w:t>Notifiable</w:t>
      </w:r>
      <w:r>
        <w:rPr>
          <w:spacing w:val="-1"/>
        </w:rPr>
        <w:t> </w:t>
      </w:r>
      <w:r>
        <w:rPr/>
        <w:t>Diseases</w:t>
      </w:r>
      <w:r>
        <w:rPr>
          <w:spacing w:val="1"/>
        </w:rPr>
        <w:t> </w:t>
      </w:r>
      <w:r>
        <w:rPr/>
        <w:t>Surveillance</w:t>
      </w:r>
      <w:r>
        <w:rPr>
          <w:spacing w:val="1"/>
        </w:rPr>
        <w:t> </w:t>
      </w:r>
      <w:r>
        <w:rPr/>
        <w:t>System (NNDSS). This</w:t>
      </w:r>
      <w:r>
        <w:rPr>
          <w:spacing w:val="1"/>
        </w:rPr>
        <w:t> </w:t>
      </w:r>
      <w:r>
        <w:rPr/>
        <w:t>is</w:t>
      </w:r>
      <w:r>
        <w:rPr>
          <w:spacing w:val="1"/>
        </w:rPr>
        <w:t> </w:t>
      </w:r>
      <w:r>
        <w:rPr/>
        <w:t>slightly lower than the mean number of cases reported for the historical five-year mean (n=117.2). In</w:t>
      </w:r>
      <w:r>
        <w:rPr>
          <w:spacing w:val="-47"/>
        </w:rPr>
        <w:t> </w:t>
      </w:r>
      <w:r>
        <w:rPr/>
        <w:t>the past fortnight (15 February 2021 to 28 February 2021), 9 cases of leptospirosis were notified</w:t>
      </w:r>
      <w:r>
        <w:rPr>
          <w:spacing w:val="1"/>
        </w:rPr>
        <w:t> </w:t>
      </w:r>
      <w:r>
        <w:rPr/>
        <w:t>compared to 14 cases in the same reporting period in the previous year. In the past quarter (1</w:t>
      </w:r>
      <w:r>
        <w:rPr>
          <w:spacing w:val="1"/>
        </w:rPr>
        <w:t> </w:t>
      </w:r>
      <w:r>
        <w:rPr/>
        <w:t>December 2020 – 28 February 2021), 50 cases of leptospirosis were notified compared to the</w:t>
      </w:r>
      <w:r>
        <w:rPr>
          <w:spacing w:val="1"/>
        </w:rPr>
        <w:t> </w:t>
      </w:r>
      <w:r>
        <w:rPr/>
        <w:t>quarterly rolling five year mean of 29.2 notifications. Of the 50 cases notified in the past quarter, the</w:t>
      </w:r>
      <w:r>
        <w:rPr>
          <w:spacing w:val="-47"/>
        </w:rPr>
        <w:t> </w:t>
      </w:r>
      <w:r>
        <w:rPr/>
        <w:t>highest number of notifications occurred in Queensland (26/50, 52%), followed by the Northern</w:t>
      </w:r>
      <w:r>
        <w:rPr>
          <w:spacing w:val="1"/>
        </w:rPr>
        <w:t> </w:t>
      </w:r>
      <w:r>
        <w:rPr/>
        <w:t>Territory (10/50, 20%) and New South Wales (8/50, 16%). Increased mouse and rat populations</w:t>
      </w:r>
      <w:r>
        <w:rPr>
          <w:spacing w:val="1"/>
        </w:rPr>
        <w:t> </w:t>
      </w:r>
      <w:r>
        <w:rPr/>
        <w:t>following recent wet weather in eastern Australian may be a contributing factor leading to increased</w:t>
      </w:r>
      <w:r>
        <w:rPr>
          <w:spacing w:val="-47"/>
        </w:rPr>
        <w:t> </w:t>
      </w:r>
      <w:r>
        <w:rPr/>
        <w:t>case notifications in</w:t>
      </w:r>
      <w:r>
        <w:rPr>
          <w:spacing w:val="-3"/>
        </w:rPr>
        <w:t> </w:t>
      </w:r>
      <w:r>
        <w:rPr/>
        <w:t>some</w:t>
      </w:r>
      <w:r>
        <w:rPr>
          <w:spacing w:val="-4"/>
        </w:rPr>
        <w:t> </w:t>
      </w:r>
      <w:r>
        <w:rPr/>
        <w:t>areas.</w:t>
      </w:r>
    </w:p>
    <w:p>
      <w:pPr>
        <w:pStyle w:val="BodyText"/>
      </w:pPr>
    </w:p>
    <w:p>
      <w:pPr>
        <w:pStyle w:val="BodyText"/>
        <w:spacing w:before="3"/>
        <w:rPr>
          <w:sz w:val="23"/>
        </w:rPr>
      </w:pPr>
    </w:p>
    <w:p>
      <w:pPr>
        <w:spacing w:before="0"/>
        <w:ind w:left="121" w:right="0" w:firstLine="0"/>
        <w:jc w:val="left"/>
        <w:rPr>
          <w:b/>
          <w:i/>
          <w:sz w:val="15"/>
        </w:rPr>
      </w:pPr>
      <w:r>
        <w:rPr>
          <w:b/>
          <w:i/>
          <w:sz w:val="15"/>
          <w:u w:val="single"/>
        </w:rPr>
        <w:t>Interpretative</w:t>
      </w:r>
      <w:r>
        <w:rPr>
          <w:b/>
          <w:i/>
          <w:spacing w:val="-4"/>
          <w:sz w:val="15"/>
          <w:u w:val="single"/>
        </w:rPr>
        <w:t> </w:t>
      </w:r>
      <w:r>
        <w:rPr>
          <w:b/>
          <w:i/>
          <w:sz w:val="15"/>
          <w:u w:val="single"/>
        </w:rPr>
        <w:t>Notes</w:t>
      </w:r>
    </w:p>
    <w:p>
      <w:pPr>
        <w:spacing w:before="2"/>
        <w:ind w:left="121" w:right="581" w:firstLine="0"/>
        <w:jc w:val="left"/>
        <w:rPr>
          <w:i/>
          <w:sz w:val="15"/>
        </w:rPr>
      </w:pPr>
      <w:r>
        <w:rPr>
          <w:i/>
          <w:sz w:val="15"/>
        </w:rPr>
        <w:t>Selected diseases are chosen each fortnight based on either exceeding two standard deviations from the 90 day and/or 365 day five year rolling</w:t>
      </w:r>
      <w:r>
        <w:rPr>
          <w:i/>
          <w:spacing w:val="1"/>
          <w:sz w:val="15"/>
        </w:rPr>
        <w:t> </w:t>
      </w:r>
      <w:r>
        <w:rPr>
          <w:i/>
          <w:sz w:val="15"/>
        </w:rPr>
        <w:t>mean or other disease issues of significance identified during the reporting period. All diseases reported are analysed by notification receive date.</w:t>
      </w:r>
      <w:r>
        <w:rPr>
          <w:i/>
          <w:spacing w:val="-31"/>
          <w:sz w:val="15"/>
        </w:rPr>
        <w:t> </w:t>
      </w:r>
      <w:r>
        <w:rPr>
          <w:i/>
          <w:sz w:val="15"/>
        </w:rPr>
        <w:t>Data</w:t>
      </w:r>
      <w:r>
        <w:rPr>
          <w:i/>
          <w:spacing w:val="-4"/>
          <w:sz w:val="15"/>
        </w:rPr>
        <w:t> </w:t>
      </w:r>
      <w:r>
        <w:rPr>
          <w:i/>
          <w:sz w:val="15"/>
        </w:rPr>
        <w:t>are</w:t>
      </w:r>
      <w:r>
        <w:rPr>
          <w:i/>
          <w:spacing w:val="-1"/>
          <w:sz w:val="15"/>
        </w:rPr>
        <w:t> </w:t>
      </w:r>
      <w:r>
        <w:rPr>
          <w:i/>
          <w:sz w:val="15"/>
        </w:rPr>
        <w:t>extracted</w:t>
      </w:r>
      <w:r>
        <w:rPr>
          <w:i/>
          <w:spacing w:val="-5"/>
          <w:sz w:val="15"/>
        </w:rPr>
        <w:t> </w:t>
      </w:r>
      <w:r>
        <w:rPr>
          <w:i/>
          <w:sz w:val="15"/>
        </w:rPr>
        <w:t>each</w:t>
      </w:r>
      <w:r>
        <w:rPr>
          <w:i/>
          <w:spacing w:val="-4"/>
          <w:sz w:val="15"/>
        </w:rPr>
        <w:t> </w:t>
      </w:r>
      <w:r>
        <w:rPr>
          <w:i/>
          <w:sz w:val="15"/>
        </w:rPr>
        <w:t>Monday</w:t>
      </w:r>
      <w:r>
        <w:rPr>
          <w:i/>
          <w:spacing w:val="-4"/>
          <w:sz w:val="15"/>
        </w:rPr>
        <w:t> </w:t>
      </w:r>
      <w:r>
        <w:rPr>
          <w:i/>
          <w:sz w:val="15"/>
        </w:rPr>
        <w:t>of</w:t>
      </w:r>
      <w:r>
        <w:rPr>
          <w:i/>
          <w:spacing w:val="-1"/>
          <w:sz w:val="15"/>
        </w:rPr>
        <w:t> </w:t>
      </w:r>
      <w:r>
        <w:rPr>
          <w:i/>
          <w:sz w:val="15"/>
        </w:rPr>
        <w:t>a</w:t>
      </w:r>
      <w:r>
        <w:rPr>
          <w:i/>
          <w:spacing w:val="-2"/>
          <w:sz w:val="15"/>
        </w:rPr>
        <w:t> </w:t>
      </w:r>
      <w:r>
        <w:rPr>
          <w:i/>
          <w:sz w:val="15"/>
        </w:rPr>
        <w:t>CDNA</w:t>
      </w:r>
      <w:r>
        <w:rPr>
          <w:i/>
          <w:spacing w:val="-7"/>
          <w:sz w:val="15"/>
        </w:rPr>
        <w:t> </w:t>
      </w:r>
      <w:r>
        <w:rPr>
          <w:i/>
          <w:sz w:val="15"/>
        </w:rPr>
        <w:t>week.</w:t>
      </w:r>
    </w:p>
    <w:p>
      <w:pPr>
        <w:spacing w:before="113"/>
        <w:ind w:left="121" w:right="452" w:firstLine="0"/>
        <w:jc w:val="left"/>
        <w:rPr>
          <w:i/>
          <w:sz w:val="15"/>
        </w:rPr>
      </w:pPr>
      <w:r>
        <w:rPr>
          <w:i/>
          <w:sz w:val="15"/>
        </w:rPr>
        <w:t>Totals comprise data from all States and Territories. Cumulative figures are subject to retrospective revision so there may be discrepancies between</w:t>
      </w:r>
      <w:r>
        <w:rPr>
          <w:i/>
          <w:spacing w:val="-31"/>
          <w:sz w:val="15"/>
        </w:rPr>
        <w:t> </w:t>
      </w:r>
      <w:r>
        <w:rPr>
          <w:i/>
          <w:sz w:val="15"/>
        </w:rPr>
        <w:t>the</w:t>
      </w:r>
      <w:r>
        <w:rPr>
          <w:i/>
          <w:spacing w:val="-2"/>
          <w:sz w:val="15"/>
        </w:rPr>
        <w:t> </w:t>
      </w:r>
      <w:r>
        <w:rPr>
          <w:i/>
          <w:sz w:val="15"/>
        </w:rPr>
        <w:t>number of</w:t>
      </w:r>
      <w:r>
        <w:rPr>
          <w:i/>
          <w:spacing w:val="-1"/>
          <w:sz w:val="15"/>
        </w:rPr>
        <w:t> </w:t>
      </w:r>
      <w:r>
        <w:rPr>
          <w:i/>
          <w:sz w:val="15"/>
        </w:rPr>
        <w:t>new</w:t>
      </w:r>
      <w:r>
        <w:rPr>
          <w:i/>
          <w:spacing w:val="-2"/>
          <w:sz w:val="15"/>
        </w:rPr>
        <w:t> </w:t>
      </w:r>
      <w:r>
        <w:rPr>
          <w:i/>
          <w:sz w:val="15"/>
        </w:rPr>
        <w:t>notifications and</w:t>
      </w:r>
      <w:r>
        <w:rPr>
          <w:i/>
          <w:spacing w:val="-2"/>
          <w:sz w:val="15"/>
        </w:rPr>
        <w:t> </w:t>
      </w:r>
      <w:r>
        <w:rPr>
          <w:i/>
          <w:sz w:val="15"/>
        </w:rPr>
        <w:t>the increment</w:t>
      </w:r>
      <w:r>
        <w:rPr>
          <w:i/>
          <w:spacing w:val="-6"/>
          <w:sz w:val="15"/>
        </w:rPr>
        <w:t> </w:t>
      </w:r>
      <w:r>
        <w:rPr>
          <w:i/>
          <w:sz w:val="15"/>
        </w:rPr>
        <w:t>in</w:t>
      </w:r>
      <w:r>
        <w:rPr>
          <w:i/>
          <w:spacing w:val="-4"/>
          <w:sz w:val="15"/>
        </w:rPr>
        <w:t> </w:t>
      </w:r>
      <w:r>
        <w:rPr>
          <w:i/>
          <w:sz w:val="15"/>
        </w:rPr>
        <w:t>the</w:t>
      </w:r>
      <w:r>
        <w:rPr>
          <w:i/>
          <w:spacing w:val="-1"/>
          <w:sz w:val="15"/>
        </w:rPr>
        <w:t> </w:t>
      </w:r>
      <w:r>
        <w:rPr>
          <w:i/>
          <w:sz w:val="15"/>
        </w:rPr>
        <w:t>cumulative figure</w:t>
      </w:r>
      <w:r>
        <w:rPr>
          <w:i/>
          <w:spacing w:val="-3"/>
          <w:sz w:val="15"/>
        </w:rPr>
        <w:t> </w:t>
      </w:r>
      <w:r>
        <w:rPr>
          <w:i/>
          <w:sz w:val="15"/>
        </w:rPr>
        <w:t>from</w:t>
      </w:r>
      <w:r>
        <w:rPr>
          <w:i/>
          <w:spacing w:val="-3"/>
          <w:sz w:val="15"/>
        </w:rPr>
        <w:t> </w:t>
      </w:r>
      <w:r>
        <w:rPr>
          <w:i/>
          <w:sz w:val="15"/>
        </w:rPr>
        <w:t>the</w:t>
      </w:r>
      <w:r>
        <w:rPr>
          <w:i/>
          <w:spacing w:val="-1"/>
          <w:sz w:val="15"/>
        </w:rPr>
        <w:t> </w:t>
      </w:r>
      <w:r>
        <w:rPr>
          <w:i/>
          <w:sz w:val="15"/>
        </w:rPr>
        <w:t>previous</w:t>
      </w:r>
      <w:r>
        <w:rPr>
          <w:i/>
          <w:spacing w:val="2"/>
          <w:sz w:val="15"/>
        </w:rPr>
        <w:t> </w:t>
      </w:r>
      <w:r>
        <w:rPr>
          <w:i/>
          <w:sz w:val="15"/>
        </w:rPr>
        <w:t>period.</w:t>
      </w:r>
    </w:p>
    <w:p>
      <w:pPr>
        <w:spacing w:before="113"/>
        <w:ind w:left="121" w:right="0" w:firstLine="0"/>
        <w:jc w:val="left"/>
        <w:rPr>
          <w:i/>
          <w:sz w:val="15"/>
        </w:rPr>
      </w:pPr>
      <w:r>
        <w:rPr>
          <w:i/>
          <w:position w:val="4"/>
          <w:sz w:val="10"/>
        </w:rPr>
        <w:t>1</w:t>
      </w:r>
      <w:r>
        <w:rPr>
          <w:i/>
          <w:sz w:val="15"/>
        </w:rPr>
        <w:t>The</w:t>
      </w:r>
      <w:r>
        <w:rPr>
          <w:i/>
          <w:spacing w:val="-3"/>
          <w:sz w:val="15"/>
        </w:rPr>
        <w:t> </w:t>
      </w:r>
      <w:r>
        <w:rPr>
          <w:i/>
          <w:sz w:val="15"/>
        </w:rPr>
        <w:t>past</w:t>
      </w:r>
      <w:r>
        <w:rPr>
          <w:i/>
          <w:spacing w:val="-6"/>
          <w:sz w:val="15"/>
        </w:rPr>
        <w:t> </w:t>
      </w:r>
      <w:r>
        <w:rPr>
          <w:i/>
          <w:sz w:val="15"/>
        </w:rPr>
        <w:t>quarter</w:t>
      </w:r>
      <w:r>
        <w:rPr>
          <w:i/>
          <w:spacing w:val="-2"/>
          <w:sz w:val="15"/>
        </w:rPr>
        <w:t> </w:t>
      </w:r>
      <w:r>
        <w:rPr>
          <w:i/>
          <w:sz w:val="15"/>
        </w:rPr>
        <w:t>(90</w:t>
      </w:r>
      <w:r>
        <w:rPr>
          <w:i/>
          <w:spacing w:val="-2"/>
          <w:sz w:val="15"/>
        </w:rPr>
        <w:t> </w:t>
      </w:r>
      <w:r>
        <w:rPr>
          <w:i/>
          <w:sz w:val="15"/>
        </w:rPr>
        <w:t>day)</w:t>
      </w:r>
      <w:r>
        <w:rPr>
          <w:i/>
          <w:spacing w:val="-3"/>
          <w:sz w:val="15"/>
        </w:rPr>
        <w:t> </w:t>
      </w:r>
      <w:r>
        <w:rPr>
          <w:i/>
          <w:sz w:val="15"/>
        </w:rPr>
        <w:t>surveillance</w:t>
      </w:r>
      <w:r>
        <w:rPr>
          <w:i/>
          <w:spacing w:val="-3"/>
          <w:sz w:val="15"/>
        </w:rPr>
        <w:t> </w:t>
      </w:r>
      <w:r>
        <w:rPr>
          <w:i/>
          <w:sz w:val="15"/>
        </w:rPr>
        <w:t>period</w:t>
      </w:r>
      <w:r>
        <w:rPr>
          <w:i/>
          <w:spacing w:val="-6"/>
          <w:sz w:val="15"/>
        </w:rPr>
        <w:t> </w:t>
      </w:r>
      <w:r>
        <w:rPr>
          <w:i/>
          <w:sz w:val="15"/>
        </w:rPr>
        <w:t>includes</w:t>
      </w:r>
      <w:r>
        <w:rPr>
          <w:i/>
          <w:spacing w:val="-1"/>
          <w:sz w:val="15"/>
        </w:rPr>
        <w:t> </w:t>
      </w:r>
      <w:r>
        <w:rPr>
          <w:i/>
          <w:sz w:val="15"/>
        </w:rPr>
        <w:t>the</w:t>
      </w:r>
      <w:r>
        <w:rPr>
          <w:i/>
          <w:spacing w:val="-5"/>
          <w:sz w:val="15"/>
        </w:rPr>
        <w:t> </w:t>
      </w:r>
      <w:r>
        <w:rPr>
          <w:i/>
          <w:sz w:val="15"/>
        </w:rPr>
        <w:t>date</w:t>
      </w:r>
      <w:r>
        <w:rPr>
          <w:i/>
          <w:spacing w:val="-3"/>
          <w:sz w:val="15"/>
        </w:rPr>
        <w:t> </w:t>
      </w:r>
      <w:r>
        <w:rPr>
          <w:i/>
          <w:sz w:val="15"/>
        </w:rPr>
        <w:t>range</w:t>
      </w:r>
      <w:r>
        <w:rPr>
          <w:i/>
          <w:spacing w:val="-5"/>
          <w:sz w:val="15"/>
        </w:rPr>
        <w:t> </w:t>
      </w:r>
      <w:r>
        <w:rPr>
          <w:i/>
          <w:sz w:val="15"/>
        </w:rPr>
        <w:t>(01/12/2020</w:t>
      </w:r>
      <w:r>
        <w:rPr>
          <w:i/>
          <w:spacing w:val="-4"/>
          <w:sz w:val="15"/>
        </w:rPr>
        <w:t> </w:t>
      </w:r>
      <w:r>
        <w:rPr>
          <w:i/>
          <w:sz w:val="15"/>
        </w:rPr>
        <w:t>to</w:t>
      </w:r>
      <w:r>
        <w:rPr>
          <w:i/>
          <w:spacing w:val="-4"/>
          <w:sz w:val="15"/>
        </w:rPr>
        <w:t> </w:t>
      </w:r>
      <w:r>
        <w:rPr>
          <w:i/>
          <w:sz w:val="15"/>
        </w:rPr>
        <w:t>28/02/2021).</w:t>
      </w:r>
    </w:p>
    <w:p>
      <w:pPr>
        <w:spacing w:before="113"/>
        <w:ind w:left="121" w:right="450" w:firstLine="0"/>
        <w:jc w:val="left"/>
        <w:rPr>
          <w:i/>
          <w:sz w:val="15"/>
        </w:rPr>
      </w:pPr>
      <w:r>
        <w:rPr>
          <w:i/>
          <w:sz w:val="15"/>
          <w:vertAlign w:val="superscript"/>
        </w:rPr>
        <w:t>2</w:t>
      </w:r>
      <w:r>
        <w:rPr>
          <w:i/>
          <w:sz w:val="15"/>
          <w:vertAlign w:val="baseline"/>
        </w:rPr>
        <w:t>The</w:t>
      </w:r>
      <w:r>
        <w:rPr>
          <w:i/>
          <w:spacing w:val="-3"/>
          <w:sz w:val="15"/>
          <w:vertAlign w:val="baseline"/>
        </w:rPr>
        <w:t> </w:t>
      </w:r>
      <w:r>
        <w:rPr>
          <w:i/>
          <w:sz w:val="15"/>
          <w:vertAlign w:val="baseline"/>
        </w:rPr>
        <w:t>quarterly</w:t>
      </w:r>
      <w:r>
        <w:rPr>
          <w:i/>
          <w:spacing w:val="-3"/>
          <w:sz w:val="15"/>
          <w:vertAlign w:val="baseline"/>
        </w:rPr>
        <w:t> </w:t>
      </w:r>
      <w:r>
        <w:rPr>
          <w:i/>
          <w:sz w:val="15"/>
          <w:vertAlign w:val="baseline"/>
        </w:rPr>
        <w:t>(90</w:t>
      </w:r>
      <w:r>
        <w:rPr>
          <w:i/>
          <w:spacing w:val="-2"/>
          <w:sz w:val="15"/>
          <w:vertAlign w:val="baseline"/>
        </w:rPr>
        <w:t> </w:t>
      </w:r>
      <w:r>
        <w:rPr>
          <w:i/>
          <w:sz w:val="15"/>
          <w:vertAlign w:val="baseline"/>
        </w:rPr>
        <w:t>day)</w:t>
      </w:r>
      <w:r>
        <w:rPr>
          <w:i/>
          <w:spacing w:val="-3"/>
          <w:sz w:val="15"/>
          <w:vertAlign w:val="baseline"/>
        </w:rPr>
        <w:t> </w:t>
      </w:r>
      <w:r>
        <w:rPr>
          <w:i/>
          <w:sz w:val="15"/>
          <w:vertAlign w:val="baseline"/>
        </w:rPr>
        <w:t>five</w:t>
      </w:r>
      <w:r>
        <w:rPr>
          <w:i/>
          <w:spacing w:val="-2"/>
          <w:sz w:val="15"/>
          <w:vertAlign w:val="baseline"/>
        </w:rPr>
        <w:t> </w:t>
      </w:r>
      <w:r>
        <w:rPr>
          <w:i/>
          <w:sz w:val="15"/>
          <w:vertAlign w:val="baseline"/>
        </w:rPr>
        <w:t>year</w:t>
      </w:r>
      <w:r>
        <w:rPr>
          <w:i/>
          <w:spacing w:val="-2"/>
          <w:sz w:val="15"/>
          <w:vertAlign w:val="baseline"/>
        </w:rPr>
        <w:t> </w:t>
      </w:r>
      <w:r>
        <w:rPr>
          <w:i/>
          <w:sz w:val="15"/>
          <w:vertAlign w:val="baseline"/>
        </w:rPr>
        <w:t>rolling mean</w:t>
      </w:r>
      <w:r>
        <w:rPr>
          <w:i/>
          <w:spacing w:val="-4"/>
          <w:sz w:val="15"/>
          <w:vertAlign w:val="baseline"/>
        </w:rPr>
        <w:t> </w:t>
      </w:r>
      <w:r>
        <w:rPr>
          <w:i/>
          <w:sz w:val="15"/>
          <w:vertAlign w:val="baseline"/>
        </w:rPr>
        <w:t>is</w:t>
      </w:r>
      <w:r>
        <w:rPr>
          <w:i/>
          <w:spacing w:val="-1"/>
          <w:sz w:val="15"/>
          <w:vertAlign w:val="baseline"/>
        </w:rPr>
        <w:t> </w:t>
      </w:r>
      <w:r>
        <w:rPr>
          <w:i/>
          <w:sz w:val="15"/>
          <w:vertAlign w:val="baseline"/>
        </w:rPr>
        <w:t>the</w:t>
      </w:r>
      <w:r>
        <w:rPr>
          <w:i/>
          <w:spacing w:val="-3"/>
          <w:sz w:val="15"/>
          <w:vertAlign w:val="baseline"/>
        </w:rPr>
        <w:t> </w:t>
      </w:r>
      <w:r>
        <w:rPr>
          <w:i/>
          <w:sz w:val="15"/>
          <w:vertAlign w:val="baseline"/>
        </w:rPr>
        <w:t>average</w:t>
      </w:r>
      <w:r>
        <w:rPr>
          <w:i/>
          <w:spacing w:val="-2"/>
          <w:sz w:val="15"/>
          <w:vertAlign w:val="baseline"/>
        </w:rPr>
        <w:t> </w:t>
      </w:r>
      <w:r>
        <w:rPr>
          <w:i/>
          <w:sz w:val="15"/>
          <w:vertAlign w:val="baseline"/>
        </w:rPr>
        <w:t>of</w:t>
      </w:r>
      <w:r>
        <w:rPr>
          <w:i/>
          <w:spacing w:val="-3"/>
          <w:sz w:val="15"/>
          <w:vertAlign w:val="baseline"/>
        </w:rPr>
        <w:t> </w:t>
      </w:r>
      <w:r>
        <w:rPr>
          <w:i/>
          <w:sz w:val="15"/>
          <w:vertAlign w:val="baseline"/>
        </w:rPr>
        <w:t>5</w:t>
      </w:r>
      <w:r>
        <w:rPr>
          <w:i/>
          <w:spacing w:val="-2"/>
          <w:sz w:val="15"/>
          <w:vertAlign w:val="baseline"/>
        </w:rPr>
        <w:t> </w:t>
      </w:r>
      <w:r>
        <w:rPr>
          <w:i/>
          <w:sz w:val="15"/>
          <w:vertAlign w:val="baseline"/>
        </w:rPr>
        <w:t>intervals</w:t>
      </w:r>
      <w:r>
        <w:rPr>
          <w:i/>
          <w:spacing w:val="-2"/>
          <w:sz w:val="15"/>
          <w:vertAlign w:val="baseline"/>
        </w:rPr>
        <w:t> </w:t>
      </w:r>
      <w:r>
        <w:rPr>
          <w:i/>
          <w:sz w:val="15"/>
          <w:vertAlign w:val="baseline"/>
        </w:rPr>
        <w:t>of</w:t>
      </w:r>
      <w:r>
        <w:rPr>
          <w:i/>
          <w:spacing w:val="-3"/>
          <w:sz w:val="15"/>
          <w:vertAlign w:val="baseline"/>
        </w:rPr>
        <w:t> </w:t>
      </w:r>
      <w:r>
        <w:rPr>
          <w:i/>
          <w:sz w:val="15"/>
          <w:vertAlign w:val="baseline"/>
        </w:rPr>
        <w:t>90</w:t>
      </w:r>
      <w:r>
        <w:rPr>
          <w:i/>
          <w:spacing w:val="-4"/>
          <w:sz w:val="15"/>
          <w:vertAlign w:val="baseline"/>
        </w:rPr>
        <w:t> </w:t>
      </w:r>
      <w:r>
        <w:rPr>
          <w:i/>
          <w:sz w:val="15"/>
          <w:vertAlign w:val="baseline"/>
        </w:rPr>
        <w:t>days</w:t>
      </w:r>
      <w:r>
        <w:rPr>
          <w:i/>
          <w:spacing w:val="-2"/>
          <w:sz w:val="15"/>
          <w:vertAlign w:val="baseline"/>
        </w:rPr>
        <w:t> </w:t>
      </w:r>
      <w:r>
        <w:rPr>
          <w:i/>
          <w:sz w:val="15"/>
          <w:vertAlign w:val="baseline"/>
        </w:rPr>
        <w:t>up</w:t>
      </w:r>
      <w:r>
        <w:rPr>
          <w:i/>
          <w:spacing w:val="-3"/>
          <w:sz w:val="15"/>
          <w:vertAlign w:val="baseline"/>
        </w:rPr>
        <w:t> </w:t>
      </w:r>
      <w:r>
        <w:rPr>
          <w:i/>
          <w:sz w:val="15"/>
          <w:vertAlign w:val="baseline"/>
        </w:rPr>
        <w:t>to</w:t>
      </w:r>
      <w:r>
        <w:rPr>
          <w:i/>
          <w:spacing w:val="-3"/>
          <w:sz w:val="15"/>
          <w:vertAlign w:val="baseline"/>
        </w:rPr>
        <w:t> </w:t>
      </w:r>
      <w:r>
        <w:rPr>
          <w:i/>
          <w:sz w:val="15"/>
          <w:vertAlign w:val="baseline"/>
        </w:rPr>
        <w:t>28/02/2021.</w:t>
      </w:r>
      <w:r>
        <w:rPr>
          <w:i/>
          <w:spacing w:val="-2"/>
          <w:sz w:val="15"/>
          <w:vertAlign w:val="baseline"/>
        </w:rPr>
        <w:t> </w:t>
      </w:r>
      <w:r>
        <w:rPr>
          <w:i/>
          <w:sz w:val="15"/>
          <w:vertAlign w:val="baseline"/>
        </w:rPr>
        <w:t>The</w:t>
      </w:r>
      <w:r>
        <w:rPr>
          <w:i/>
          <w:spacing w:val="-5"/>
          <w:sz w:val="15"/>
          <w:vertAlign w:val="baseline"/>
        </w:rPr>
        <w:t> </w:t>
      </w:r>
      <w:r>
        <w:rPr>
          <w:i/>
          <w:sz w:val="15"/>
          <w:vertAlign w:val="baseline"/>
        </w:rPr>
        <w:t>ratio</w:t>
      </w:r>
      <w:r>
        <w:rPr>
          <w:i/>
          <w:spacing w:val="-4"/>
          <w:sz w:val="15"/>
          <w:vertAlign w:val="baseline"/>
        </w:rPr>
        <w:t> </w:t>
      </w:r>
      <w:r>
        <w:rPr>
          <w:i/>
          <w:sz w:val="15"/>
          <w:vertAlign w:val="baseline"/>
        </w:rPr>
        <w:t>is</w:t>
      </w:r>
      <w:r>
        <w:rPr>
          <w:i/>
          <w:spacing w:val="-2"/>
          <w:sz w:val="15"/>
          <w:vertAlign w:val="baseline"/>
        </w:rPr>
        <w:t> </w:t>
      </w:r>
      <w:r>
        <w:rPr>
          <w:i/>
          <w:sz w:val="15"/>
          <w:vertAlign w:val="baseline"/>
        </w:rPr>
        <w:t>the</w:t>
      </w:r>
      <w:r>
        <w:rPr>
          <w:i/>
          <w:spacing w:val="-2"/>
          <w:sz w:val="15"/>
          <w:vertAlign w:val="baseline"/>
        </w:rPr>
        <w:t> </w:t>
      </w:r>
      <w:r>
        <w:rPr>
          <w:i/>
          <w:sz w:val="15"/>
          <w:vertAlign w:val="baseline"/>
        </w:rPr>
        <w:t>notification</w:t>
      </w:r>
      <w:r>
        <w:rPr>
          <w:i/>
          <w:spacing w:val="-4"/>
          <w:sz w:val="15"/>
          <w:vertAlign w:val="baseline"/>
        </w:rPr>
        <w:t> </w:t>
      </w:r>
      <w:r>
        <w:rPr>
          <w:i/>
          <w:sz w:val="15"/>
          <w:vertAlign w:val="baseline"/>
        </w:rPr>
        <w:t>activity in</w:t>
      </w:r>
      <w:r>
        <w:rPr>
          <w:i/>
          <w:spacing w:val="-4"/>
          <w:sz w:val="15"/>
          <w:vertAlign w:val="baseline"/>
        </w:rPr>
        <w:t> </w:t>
      </w:r>
      <w:r>
        <w:rPr>
          <w:i/>
          <w:sz w:val="15"/>
          <w:vertAlign w:val="baseline"/>
        </w:rPr>
        <w:t>the</w:t>
      </w:r>
      <w:r>
        <w:rPr>
          <w:i/>
          <w:spacing w:val="1"/>
          <w:sz w:val="15"/>
          <w:vertAlign w:val="baseline"/>
        </w:rPr>
        <w:t> </w:t>
      </w:r>
      <w:r>
        <w:rPr>
          <w:i/>
          <w:sz w:val="15"/>
          <w:vertAlign w:val="baseline"/>
        </w:rPr>
        <w:t>past</w:t>
      </w:r>
      <w:r>
        <w:rPr>
          <w:i/>
          <w:spacing w:val="-5"/>
          <w:sz w:val="15"/>
          <w:vertAlign w:val="baseline"/>
        </w:rPr>
        <w:t> </w:t>
      </w:r>
      <w:r>
        <w:rPr>
          <w:i/>
          <w:sz w:val="15"/>
          <w:vertAlign w:val="baseline"/>
        </w:rPr>
        <w:t>quarter (90</w:t>
      </w:r>
      <w:r>
        <w:rPr>
          <w:i/>
          <w:spacing w:val="-1"/>
          <w:sz w:val="15"/>
          <w:vertAlign w:val="baseline"/>
        </w:rPr>
        <w:t> </w:t>
      </w:r>
      <w:r>
        <w:rPr>
          <w:i/>
          <w:sz w:val="15"/>
          <w:vertAlign w:val="baseline"/>
        </w:rPr>
        <w:t>days)</w:t>
      </w:r>
      <w:r>
        <w:rPr>
          <w:i/>
          <w:spacing w:val="-1"/>
          <w:sz w:val="15"/>
          <w:vertAlign w:val="baseline"/>
        </w:rPr>
        <w:t> </w:t>
      </w:r>
      <w:r>
        <w:rPr>
          <w:i/>
          <w:sz w:val="15"/>
          <w:vertAlign w:val="baseline"/>
        </w:rPr>
        <w:t>compared</w:t>
      </w:r>
      <w:r>
        <w:rPr>
          <w:i/>
          <w:spacing w:val="-4"/>
          <w:sz w:val="15"/>
          <w:vertAlign w:val="baseline"/>
        </w:rPr>
        <w:t> </w:t>
      </w:r>
      <w:r>
        <w:rPr>
          <w:i/>
          <w:sz w:val="15"/>
          <w:vertAlign w:val="baseline"/>
        </w:rPr>
        <w:t>with</w:t>
      </w:r>
      <w:r>
        <w:rPr>
          <w:i/>
          <w:spacing w:val="-2"/>
          <w:sz w:val="15"/>
          <w:vertAlign w:val="baseline"/>
        </w:rPr>
        <w:t> </w:t>
      </w:r>
      <w:r>
        <w:rPr>
          <w:i/>
          <w:sz w:val="15"/>
          <w:vertAlign w:val="baseline"/>
        </w:rPr>
        <w:t>the</w:t>
      </w:r>
      <w:r>
        <w:rPr>
          <w:i/>
          <w:spacing w:val="-2"/>
          <w:sz w:val="15"/>
          <w:vertAlign w:val="baseline"/>
        </w:rPr>
        <w:t> </w:t>
      </w:r>
      <w:r>
        <w:rPr>
          <w:i/>
          <w:sz w:val="15"/>
          <w:vertAlign w:val="baseline"/>
        </w:rPr>
        <w:t>five</w:t>
      </w:r>
      <w:r>
        <w:rPr>
          <w:i/>
          <w:spacing w:val="-1"/>
          <w:sz w:val="15"/>
          <w:vertAlign w:val="baseline"/>
        </w:rPr>
        <w:t> </w:t>
      </w:r>
      <w:r>
        <w:rPr>
          <w:i/>
          <w:sz w:val="15"/>
          <w:vertAlign w:val="baseline"/>
        </w:rPr>
        <w:t>year rolling</w:t>
      </w:r>
      <w:r>
        <w:rPr>
          <w:i/>
          <w:spacing w:val="-4"/>
          <w:sz w:val="15"/>
          <w:vertAlign w:val="baseline"/>
        </w:rPr>
        <w:t> </w:t>
      </w:r>
      <w:r>
        <w:rPr>
          <w:i/>
          <w:sz w:val="15"/>
          <w:vertAlign w:val="baseline"/>
        </w:rPr>
        <w:t>mean</w:t>
      </w:r>
      <w:r>
        <w:rPr>
          <w:i/>
          <w:spacing w:val="-2"/>
          <w:sz w:val="15"/>
          <w:vertAlign w:val="baseline"/>
        </w:rPr>
        <w:t> </w:t>
      </w:r>
      <w:r>
        <w:rPr>
          <w:i/>
          <w:sz w:val="15"/>
          <w:vertAlign w:val="baseline"/>
        </w:rPr>
        <w:t>for</w:t>
      </w:r>
      <w:r>
        <w:rPr>
          <w:i/>
          <w:spacing w:val="-1"/>
          <w:sz w:val="15"/>
          <w:vertAlign w:val="baseline"/>
        </w:rPr>
        <w:t> </w:t>
      </w:r>
      <w:r>
        <w:rPr>
          <w:i/>
          <w:sz w:val="15"/>
          <w:vertAlign w:val="baseline"/>
        </w:rPr>
        <w:t>the</w:t>
      </w:r>
      <w:r>
        <w:rPr>
          <w:i/>
          <w:spacing w:val="-1"/>
          <w:sz w:val="15"/>
          <w:vertAlign w:val="baseline"/>
        </w:rPr>
        <w:t> </w:t>
      </w:r>
      <w:r>
        <w:rPr>
          <w:i/>
          <w:sz w:val="15"/>
          <w:vertAlign w:val="baseline"/>
        </w:rPr>
        <w:t>same</w:t>
      </w:r>
      <w:r>
        <w:rPr>
          <w:i/>
          <w:spacing w:val="-1"/>
          <w:sz w:val="15"/>
          <w:vertAlign w:val="baseline"/>
        </w:rPr>
        <w:t> </w:t>
      </w:r>
      <w:r>
        <w:rPr>
          <w:i/>
          <w:sz w:val="15"/>
          <w:vertAlign w:val="baseline"/>
        </w:rPr>
        <w:t>period.</w:t>
      </w:r>
    </w:p>
    <w:p>
      <w:pPr>
        <w:spacing w:before="116"/>
        <w:ind w:left="121" w:right="0" w:firstLine="0"/>
        <w:jc w:val="left"/>
        <w:rPr>
          <w:i/>
          <w:sz w:val="15"/>
        </w:rPr>
      </w:pPr>
      <w:r>
        <w:rPr>
          <w:i/>
          <w:position w:val="4"/>
          <w:sz w:val="10"/>
        </w:rPr>
        <w:t>3</w:t>
      </w:r>
      <w:r>
        <w:rPr>
          <w:i/>
          <w:sz w:val="15"/>
        </w:rPr>
        <w:t>The</w:t>
      </w:r>
      <w:r>
        <w:rPr>
          <w:i/>
          <w:spacing w:val="-1"/>
          <w:sz w:val="15"/>
        </w:rPr>
        <w:t> </w:t>
      </w:r>
      <w:r>
        <w:rPr>
          <w:i/>
          <w:sz w:val="15"/>
        </w:rPr>
        <w:t>past</w:t>
      </w:r>
      <w:r>
        <w:rPr>
          <w:i/>
          <w:spacing w:val="-6"/>
          <w:sz w:val="15"/>
        </w:rPr>
        <w:t> </w:t>
      </w:r>
      <w:r>
        <w:rPr>
          <w:i/>
          <w:sz w:val="15"/>
        </w:rPr>
        <w:t>year</w:t>
      </w:r>
      <w:r>
        <w:rPr>
          <w:i/>
          <w:spacing w:val="-2"/>
          <w:sz w:val="15"/>
        </w:rPr>
        <w:t> </w:t>
      </w:r>
      <w:r>
        <w:rPr>
          <w:i/>
          <w:sz w:val="15"/>
        </w:rPr>
        <w:t>(365</w:t>
      </w:r>
      <w:r>
        <w:rPr>
          <w:i/>
          <w:spacing w:val="-2"/>
          <w:sz w:val="15"/>
        </w:rPr>
        <w:t> </w:t>
      </w:r>
      <w:r>
        <w:rPr>
          <w:i/>
          <w:sz w:val="15"/>
        </w:rPr>
        <w:t>day)</w:t>
      </w:r>
      <w:r>
        <w:rPr>
          <w:i/>
          <w:spacing w:val="-8"/>
          <w:sz w:val="15"/>
        </w:rPr>
        <w:t> </w:t>
      </w:r>
      <w:r>
        <w:rPr>
          <w:i/>
          <w:sz w:val="15"/>
        </w:rPr>
        <w:t>surveillance</w:t>
      </w:r>
      <w:r>
        <w:rPr>
          <w:i/>
          <w:spacing w:val="-2"/>
          <w:sz w:val="15"/>
        </w:rPr>
        <w:t> </w:t>
      </w:r>
      <w:r>
        <w:rPr>
          <w:i/>
          <w:sz w:val="15"/>
        </w:rPr>
        <w:t>period</w:t>
      </w:r>
      <w:r>
        <w:rPr>
          <w:i/>
          <w:spacing w:val="-6"/>
          <w:sz w:val="15"/>
        </w:rPr>
        <w:t> </w:t>
      </w:r>
      <w:r>
        <w:rPr>
          <w:i/>
          <w:sz w:val="15"/>
        </w:rPr>
        <w:t>includes</w:t>
      </w:r>
      <w:r>
        <w:rPr>
          <w:i/>
          <w:spacing w:val="-2"/>
          <w:sz w:val="15"/>
        </w:rPr>
        <w:t> </w:t>
      </w:r>
      <w:r>
        <w:rPr>
          <w:i/>
          <w:sz w:val="15"/>
        </w:rPr>
        <w:t>the</w:t>
      </w:r>
      <w:r>
        <w:rPr>
          <w:i/>
          <w:spacing w:val="-2"/>
          <w:sz w:val="15"/>
        </w:rPr>
        <w:t> </w:t>
      </w:r>
      <w:r>
        <w:rPr>
          <w:i/>
          <w:sz w:val="15"/>
        </w:rPr>
        <w:t>date</w:t>
      </w:r>
      <w:r>
        <w:rPr>
          <w:i/>
          <w:spacing w:val="-3"/>
          <w:sz w:val="15"/>
        </w:rPr>
        <w:t> </w:t>
      </w:r>
      <w:r>
        <w:rPr>
          <w:i/>
          <w:sz w:val="15"/>
        </w:rPr>
        <w:t>range</w:t>
      </w:r>
      <w:r>
        <w:rPr>
          <w:i/>
          <w:spacing w:val="-3"/>
          <w:sz w:val="15"/>
        </w:rPr>
        <w:t> </w:t>
      </w:r>
      <w:r>
        <w:rPr>
          <w:i/>
          <w:sz w:val="15"/>
        </w:rPr>
        <w:t>(29/02/2020</w:t>
      </w:r>
      <w:r>
        <w:rPr>
          <w:i/>
          <w:spacing w:val="-2"/>
          <w:sz w:val="15"/>
        </w:rPr>
        <w:t> </w:t>
      </w:r>
      <w:r>
        <w:rPr>
          <w:i/>
          <w:sz w:val="15"/>
        </w:rPr>
        <w:t>to</w:t>
      </w:r>
      <w:r>
        <w:rPr>
          <w:i/>
          <w:spacing w:val="-4"/>
          <w:sz w:val="15"/>
        </w:rPr>
        <w:t> </w:t>
      </w:r>
      <w:r>
        <w:rPr>
          <w:i/>
          <w:sz w:val="15"/>
        </w:rPr>
        <w:t>28/02/2021).</w:t>
      </w:r>
    </w:p>
    <w:p>
      <w:pPr>
        <w:spacing w:before="112"/>
        <w:ind w:left="121" w:right="632" w:hanging="1"/>
        <w:jc w:val="left"/>
        <w:rPr>
          <w:i/>
          <w:sz w:val="15"/>
        </w:rPr>
      </w:pPr>
      <w:r>
        <w:rPr>
          <w:i/>
          <w:position w:val="4"/>
          <w:sz w:val="10"/>
        </w:rPr>
        <w:t>4</w:t>
      </w:r>
      <w:r>
        <w:rPr>
          <w:i/>
          <w:sz w:val="15"/>
        </w:rPr>
        <w:t>The yearly (365 day) five year rolling mean is the average of 5 intervals of 365 days up to 28/02/2021. The ratio is the notification activity in the</w:t>
      </w:r>
      <w:r>
        <w:rPr>
          <w:i/>
          <w:spacing w:val="-31"/>
          <w:sz w:val="15"/>
        </w:rPr>
        <w:t> </w:t>
      </w:r>
      <w:r>
        <w:rPr>
          <w:i/>
          <w:sz w:val="15"/>
        </w:rPr>
        <w:t>past</w:t>
      </w:r>
      <w:r>
        <w:rPr>
          <w:i/>
          <w:spacing w:val="-5"/>
          <w:sz w:val="15"/>
        </w:rPr>
        <w:t> </w:t>
      </w:r>
      <w:r>
        <w:rPr>
          <w:i/>
          <w:sz w:val="15"/>
        </w:rPr>
        <w:t>year (365</w:t>
      </w:r>
      <w:r>
        <w:rPr>
          <w:i/>
          <w:spacing w:val="2"/>
          <w:sz w:val="15"/>
        </w:rPr>
        <w:t> </w:t>
      </w:r>
      <w:r>
        <w:rPr>
          <w:i/>
          <w:sz w:val="15"/>
        </w:rPr>
        <w:t>days)</w:t>
      </w:r>
      <w:r>
        <w:rPr>
          <w:i/>
          <w:spacing w:val="-1"/>
          <w:sz w:val="15"/>
        </w:rPr>
        <w:t> </w:t>
      </w:r>
      <w:r>
        <w:rPr>
          <w:i/>
          <w:sz w:val="15"/>
        </w:rPr>
        <w:t>compared</w:t>
      </w:r>
      <w:r>
        <w:rPr>
          <w:i/>
          <w:spacing w:val="-4"/>
          <w:sz w:val="15"/>
        </w:rPr>
        <w:t> </w:t>
      </w:r>
      <w:r>
        <w:rPr>
          <w:i/>
          <w:sz w:val="15"/>
        </w:rPr>
        <w:t>with</w:t>
      </w:r>
      <w:r>
        <w:rPr>
          <w:i/>
          <w:spacing w:val="-5"/>
          <w:sz w:val="15"/>
        </w:rPr>
        <w:t> </w:t>
      </w:r>
      <w:r>
        <w:rPr>
          <w:i/>
          <w:sz w:val="15"/>
        </w:rPr>
        <w:t>the</w:t>
      </w:r>
      <w:r>
        <w:rPr>
          <w:i/>
          <w:spacing w:val="-4"/>
          <w:sz w:val="15"/>
        </w:rPr>
        <w:t> </w:t>
      </w:r>
      <w:r>
        <w:rPr>
          <w:i/>
          <w:sz w:val="15"/>
        </w:rPr>
        <w:t>five</w:t>
      </w:r>
      <w:r>
        <w:rPr>
          <w:i/>
          <w:spacing w:val="-1"/>
          <w:sz w:val="15"/>
        </w:rPr>
        <w:t> </w:t>
      </w:r>
      <w:r>
        <w:rPr>
          <w:i/>
          <w:sz w:val="15"/>
        </w:rPr>
        <w:t>year rolling</w:t>
      </w:r>
      <w:r>
        <w:rPr>
          <w:i/>
          <w:spacing w:val="-4"/>
          <w:sz w:val="15"/>
        </w:rPr>
        <w:t> </w:t>
      </w:r>
      <w:r>
        <w:rPr>
          <w:i/>
          <w:sz w:val="15"/>
        </w:rPr>
        <w:t>mean</w:t>
      </w:r>
      <w:r>
        <w:rPr>
          <w:i/>
          <w:spacing w:val="-4"/>
          <w:sz w:val="15"/>
        </w:rPr>
        <w:t> </w:t>
      </w:r>
      <w:r>
        <w:rPr>
          <w:i/>
          <w:sz w:val="15"/>
        </w:rPr>
        <w:t>for</w:t>
      </w:r>
      <w:r>
        <w:rPr>
          <w:i/>
          <w:spacing w:val="-1"/>
          <w:sz w:val="15"/>
        </w:rPr>
        <w:t> </w:t>
      </w:r>
      <w:r>
        <w:rPr>
          <w:i/>
          <w:sz w:val="15"/>
        </w:rPr>
        <w:t>the</w:t>
      </w:r>
      <w:r>
        <w:rPr>
          <w:i/>
          <w:spacing w:val="-1"/>
          <w:sz w:val="15"/>
        </w:rPr>
        <w:t> </w:t>
      </w:r>
      <w:r>
        <w:rPr>
          <w:i/>
          <w:sz w:val="15"/>
        </w:rPr>
        <w:t>same</w:t>
      </w:r>
      <w:r>
        <w:rPr>
          <w:i/>
          <w:spacing w:val="-1"/>
          <w:sz w:val="15"/>
        </w:rPr>
        <w:t> </w:t>
      </w:r>
      <w:r>
        <w:rPr>
          <w:i/>
          <w:sz w:val="15"/>
        </w:rPr>
        <w:t>period.</w:t>
      </w:r>
    </w:p>
    <w:p>
      <w:pPr>
        <w:spacing w:before="114"/>
        <w:ind w:left="121" w:right="376" w:firstLine="0"/>
        <w:jc w:val="left"/>
        <w:rPr>
          <w:i/>
          <w:sz w:val="15"/>
        </w:rPr>
      </w:pPr>
      <w:r>
        <w:rPr>
          <w:i/>
          <w:sz w:val="15"/>
        </w:rPr>
        <w:t>The five year rolling mean and the ratio of notifications compared with the five year rolling mean should be interpreted with caution. Changes in</w:t>
      </w:r>
      <w:r>
        <w:rPr>
          <w:i/>
          <w:spacing w:val="1"/>
          <w:sz w:val="15"/>
        </w:rPr>
        <w:t> </w:t>
      </w:r>
      <w:r>
        <w:rPr>
          <w:i/>
          <w:sz w:val="15"/>
        </w:rPr>
        <w:t>surveillance practice, diagnostic techniques and reporting may contribute to increases or decreases in the total notifications received over a five year</w:t>
      </w:r>
      <w:r>
        <w:rPr>
          <w:i/>
          <w:spacing w:val="-32"/>
          <w:sz w:val="15"/>
        </w:rPr>
        <w:t> </w:t>
      </w:r>
      <w:r>
        <w:rPr>
          <w:i/>
          <w:sz w:val="15"/>
        </w:rPr>
        <w:t>period. Ratios are to be taken as a crude measure of current disease activity and may reflect changes in reporting rather than changes in disease</w:t>
      </w:r>
      <w:r>
        <w:rPr>
          <w:i/>
          <w:spacing w:val="1"/>
          <w:sz w:val="15"/>
        </w:rPr>
        <w:t> </w:t>
      </w:r>
      <w:r>
        <w:rPr>
          <w:i/>
          <w:sz w:val="15"/>
        </w:rPr>
        <w:t>activity.</w:t>
      </w:r>
    </w:p>
    <w:p>
      <w:pPr>
        <w:spacing w:after="0"/>
        <w:jc w:val="left"/>
        <w:rPr>
          <w:sz w:val="15"/>
        </w:rPr>
        <w:sectPr>
          <w:pgSz w:w="12240" w:h="15840"/>
          <w:pgMar w:top="720" w:bottom="280" w:left="1460" w:right="1260"/>
        </w:sectPr>
      </w:pPr>
    </w:p>
    <w:p>
      <w:pPr>
        <w:spacing w:before="51"/>
        <w:ind w:left="10439" w:right="0" w:firstLine="0"/>
        <w:jc w:val="left"/>
        <w:rPr>
          <w:b/>
          <w:sz w:val="16"/>
        </w:rPr>
      </w:pPr>
      <w:r>
        <w:rPr/>
        <w:pict>
          <v:shapetype id="_x0000_t202" o:spt="202" coordsize="21600,21600" path="m,l,21600r21600,l21600,xe">
            <v:stroke joinstyle="miter"/>
            <v:path gradientshapeok="t" o:connecttype="rect"/>
          </v:shapetype>
          <v:shape style="position:absolute;margin-left:149.419998pt;margin-top:2.247195pt;width:892.35pt;height:676.0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7"/>
                    <w:gridCol w:w="398"/>
                    <w:gridCol w:w="465"/>
                    <w:gridCol w:w="638"/>
                    <w:gridCol w:w="465"/>
                    <w:gridCol w:w="532"/>
                    <w:gridCol w:w="532"/>
                    <w:gridCol w:w="465"/>
                    <w:gridCol w:w="532"/>
                    <w:gridCol w:w="532"/>
                    <w:gridCol w:w="808"/>
                    <w:gridCol w:w="808"/>
                    <w:gridCol w:w="808"/>
                    <w:gridCol w:w="808"/>
                    <w:gridCol w:w="808"/>
                    <w:gridCol w:w="702"/>
                    <w:gridCol w:w="692"/>
                    <w:gridCol w:w="702"/>
                    <w:gridCol w:w="808"/>
                    <w:gridCol w:w="702"/>
                    <w:gridCol w:w="683"/>
                    <w:gridCol w:w="702"/>
                  </w:tblGrid>
                  <w:tr>
                    <w:trPr>
                      <w:trHeight w:val="213" w:hRule="atLeast"/>
                    </w:trPr>
                    <w:tc>
                      <w:tcPr>
                        <w:tcW w:w="17795"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3"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FN04/2021</w:t>
                        </w:r>
                      </w:p>
                    </w:tc>
                    <w:tc>
                      <w:tcPr>
                        <w:tcW w:w="4161" w:type="dxa"/>
                        <w:gridSpan w:val="8"/>
                        <w:tcBorders>
                          <w:top w:val="nil"/>
                          <w:left w:val="nil"/>
                          <w:right w:val="single" w:sz="6" w:space="0" w:color="000000"/>
                        </w:tcBorders>
                      </w:tcPr>
                      <w:p>
                        <w:pPr>
                          <w:pStyle w:val="TableParagraph"/>
                          <w:spacing w:line="165" w:lineRule="exact"/>
                          <w:ind w:left="1426"/>
                          <w:jc w:val="left"/>
                          <w:rPr>
                            <w:b/>
                            <w:sz w:val="19"/>
                          </w:rPr>
                        </w:pPr>
                        <w:r>
                          <w:rPr>
                            <w:b/>
                            <w:sz w:val="19"/>
                          </w:rPr>
                          <w:t>State</w:t>
                        </w:r>
                        <w:r>
                          <w:rPr>
                            <w:b/>
                            <w:spacing w:val="-6"/>
                            <w:sz w:val="19"/>
                          </w:rPr>
                          <w:t> </w:t>
                        </w:r>
                        <w:r>
                          <w:rPr>
                            <w:b/>
                            <w:sz w:val="19"/>
                          </w:rPr>
                          <w:t>or</w:t>
                        </w:r>
                        <w:r>
                          <w:rPr>
                            <w:b/>
                            <w:spacing w:val="-6"/>
                            <w:sz w:val="19"/>
                          </w:rPr>
                          <w:t> </w:t>
                        </w:r>
                        <w:r>
                          <w:rPr>
                            <w:b/>
                            <w:sz w:val="19"/>
                          </w:rPr>
                          <w:t>Territory</w:t>
                        </w:r>
                      </w:p>
                    </w:tc>
                    <w:tc>
                      <w:tcPr>
                        <w:tcW w:w="3232" w:type="dxa"/>
                        <w:gridSpan w:val="4"/>
                        <w:tcBorders>
                          <w:top w:val="nil"/>
                          <w:left w:val="single" w:sz="6" w:space="0" w:color="000000"/>
                          <w:right w:val="single" w:sz="6" w:space="0" w:color="000000"/>
                        </w:tcBorders>
                      </w:tcPr>
                      <w:p>
                        <w:pPr>
                          <w:pStyle w:val="TableParagraph"/>
                          <w:spacing w:line="165" w:lineRule="exact"/>
                          <w:ind w:left="889"/>
                          <w:jc w:val="left"/>
                          <w:rPr>
                            <w:b/>
                            <w:sz w:val="19"/>
                          </w:rPr>
                        </w:pPr>
                        <w:r>
                          <w:rPr>
                            <w:b/>
                            <w:sz w:val="19"/>
                          </w:rPr>
                          <w:t>Totals</w:t>
                        </w:r>
                        <w:r>
                          <w:rPr>
                            <w:b/>
                            <w:spacing w:val="-5"/>
                            <w:sz w:val="19"/>
                          </w:rPr>
                          <w:t> </w:t>
                        </w:r>
                        <w:r>
                          <w:rPr>
                            <w:b/>
                            <w:sz w:val="19"/>
                          </w:rPr>
                          <w:t>for</w:t>
                        </w:r>
                        <w:r>
                          <w:rPr>
                            <w:b/>
                            <w:spacing w:val="-6"/>
                            <w:sz w:val="19"/>
                          </w:rPr>
                          <w:t> </w:t>
                        </w:r>
                        <w:r>
                          <w:rPr>
                            <w:b/>
                            <w:sz w:val="19"/>
                          </w:rPr>
                          <w:t>Australia</w:t>
                        </w:r>
                      </w:p>
                    </w:tc>
                    <w:tc>
                      <w:tcPr>
                        <w:tcW w:w="2904" w:type="dxa"/>
                        <w:gridSpan w:val="4"/>
                        <w:tcBorders>
                          <w:top w:val="nil"/>
                          <w:left w:val="single" w:sz="6" w:space="0" w:color="000000"/>
                          <w:right w:val="single" w:sz="6" w:space="0" w:color="000000"/>
                        </w:tcBorders>
                      </w:tcPr>
                      <w:p>
                        <w:pPr>
                          <w:pStyle w:val="TableParagraph"/>
                          <w:spacing w:line="165" w:lineRule="exact"/>
                          <w:ind w:left="537"/>
                          <w:jc w:val="left"/>
                          <w:rPr>
                            <w:b/>
                            <w:sz w:val="19"/>
                          </w:rPr>
                        </w:pPr>
                        <w:r>
                          <w:rPr>
                            <w:b/>
                            <w:sz w:val="19"/>
                          </w:rPr>
                          <w:t>Historical</w:t>
                        </w:r>
                        <w:r>
                          <w:rPr>
                            <w:b/>
                            <w:spacing w:val="-7"/>
                            <w:sz w:val="19"/>
                          </w:rPr>
                          <w:t> </w:t>
                        </w:r>
                        <w:r>
                          <w:rPr>
                            <w:b/>
                            <w:sz w:val="19"/>
                          </w:rPr>
                          <w:t>90</w:t>
                        </w:r>
                        <w:r>
                          <w:rPr>
                            <w:b/>
                            <w:spacing w:val="-5"/>
                            <w:sz w:val="19"/>
                          </w:rPr>
                          <w:t> </w:t>
                        </w:r>
                        <w:r>
                          <w:rPr>
                            <w:b/>
                            <w:sz w:val="19"/>
                          </w:rPr>
                          <w:t>Day</w:t>
                        </w:r>
                        <w:r>
                          <w:rPr>
                            <w:b/>
                            <w:spacing w:val="-6"/>
                            <w:sz w:val="19"/>
                          </w:rPr>
                          <w:t> </w:t>
                        </w:r>
                        <w:r>
                          <w:rPr>
                            <w:b/>
                            <w:sz w:val="19"/>
                          </w:rPr>
                          <w:t>Period</w:t>
                        </w:r>
                      </w:p>
                    </w:tc>
                    <w:tc>
                      <w:tcPr>
                        <w:tcW w:w="2895" w:type="dxa"/>
                        <w:gridSpan w:val="4"/>
                        <w:tcBorders>
                          <w:top w:val="nil"/>
                          <w:left w:val="single" w:sz="6" w:space="0" w:color="000000"/>
                        </w:tcBorders>
                      </w:tcPr>
                      <w:p>
                        <w:pPr>
                          <w:pStyle w:val="TableParagraph"/>
                          <w:spacing w:line="165" w:lineRule="exact"/>
                          <w:ind w:left="562"/>
                          <w:jc w:val="left"/>
                          <w:rPr>
                            <w:b/>
                            <w:sz w:val="19"/>
                          </w:rPr>
                        </w:pPr>
                        <w:r>
                          <w:rPr>
                            <w:b/>
                            <w:sz w:val="19"/>
                          </w:rPr>
                          <w:t>Historical</w:t>
                        </w:r>
                        <w:r>
                          <w:rPr>
                            <w:b/>
                            <w:spacing w:val="-8"/>
                            <w:sz w:val="19"/>
                          </w:rPr>
                          <w:t> </w:t>
                        </w:r>
                        <w:r>
                          <w:rPr>
                            <w:b/>
                            <w:sz w:val="19"/>
                          </w:rPr>
                          <w:t>Yearly</w:t>
                        </w:r>
                        <w:r>
                          <w:rPr>
                            <w:b/>
                            <w:spacing w:val="-8"/>
                            <w:sz w:val="19"/>
                          </w:rPr>
                          <w:t> </w:t>
                        </w:r>
                        <w:r>
                          <w:rPr>
                            <w:b/>
                            <w:sz w:val="19"/>
                          </w:rPr>
                          <w:t>Period</w:t>
                        </w:r>
                      </w:p>
                    </w:tc>
                  </w:tr>
                  <w:tr>
                    <w:trPr>
                      <w:trHeight w:val="1074"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7"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922" w:right="887"/>
                          <w:jc w:val="center"/>
                          <w:rPr>
                            <w:b/>
                            <w:sz w:val="13"/>
                          </w:rPr>
                        </w:pPr>
                        <w:r>
                          <w:rPr>
                            <w:b/>
                            <w:color w:val="FFFFFF"/>
                            <w:sz w:val="13"/>
                          </w:rPr>
                          <w:t>Disease</w:t>
                        </w:r>
                        <w:r>
                          <w:rPr>
                            <w:b/>
                            <w:color w:val="FFFFFF"/>
                            <w:spacing w:val="-5"/>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ind w:left="19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ind w:left="385" w:right="382"/>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387" w:right="382"/>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12"/>
                          <w:jc w:val="left"/>
                          <w:rPr>
                            <w:sz w:val="12"/>
                          </w:rPr>
                        </w:pPr>
                      </w:p>
                      <w:p>
                        <w:pPr>
                          <w:pStyle w:val="TableParagraph"/>
                          <w:spacing w:line="240" w:lineRule="auto"/>
                          <w:ind w:left="387" w:right="382"/>
                          <w:jc w:val="center"/>
                          <w:rPr>
                            <w:b/>
                            <w:sz w:val="13"/>
                          </w:rPr>
                        </w:pPr>
                        <w:r>
                          <w:rPr>
                            <w:b/>
                            <w:color w:val="FFFFFF"/>
                            <w:sz w:val="13"/>
                          </w:rPr>
                          <w:t>NT</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9"/>
                          <w:jc w:val="left"/>
                          <w:rPr>
                            <w:sz w:val="15"/>
                          </w:rPr>
                        </w:pPr>
                      </w:p>
                      <w:p>
                        <w:pPr>
                          <w:pStyle w:val="TableParagraph"/>
                          <w:spacing w:line="240" w:lineRule="auto"/>
                          <w:ind w:left="386" w:right="382"/>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ind w:left="387" w:right="382"/>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87" w:right="381"/>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1"/>
                          <w:jc w:val="left"/>
                          <w:rPr>
                            <w:sz w:val="15"/>
                          </w:rPr>
                        </w:pPr>
                      </w:p>
                      <w:p>
                        <w:pPr>
                          <w:pStyle w:val="TableParagraph"/>
                          <w:spacing w:line="240" w:lineRule="auto" w:before="1"/>
                          <w:ind w:left="387" w:right="381"/>
                          <w:jc w:val="center"/>
                          <w:rPr>
                            <w:b/>
                            <w:sz w:val="13"/>
                          </w:rPr>
                        </w:pPr>
                        <w:r>
                          <w:rPr>
                            <w:b/>
                            <w:color w:val="FFFFFF"/>
                            <w:sz w:val="13"/>
                          </w:rPr>
                          <w:t>Vic</w:t>
                        </w:r>
                      </w:p>
                    </w:tc>
                    <w:tc>
                      <w:tcPr>
                        <w:tcW w:w="532" w:type="dxa"/>
                        <w:tcBorders>
                          <w:lef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387" w:right="381"/>
                          <w:jc w:val="center"/>
                          <w:rPr>
                            <w:b/>
                            <w:sz w:val="13"/>
                          </w:rPr>
                        </w:pPr>
                        <w:r>
                          <w:rPr>
                            <w:b/>
                            <w:color w:val="FFFFFF"/>
                            <w:sz w:val="13"/>
                          </w:rPr>
                          <w:t>WA</w:t>
                        </w:r>
                      </w:p>
                    </w:tc>
                    <w:tc>
                      <w:tcPr>
                        <w:tcW w:w="80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32" w:right="1"/>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29" w:right="1"/>
                          <w:jc w:val="center"/>
                          <w:rPr>
                            <w:b/>
                            <w:sz w:val="13"/>
                          </w:rPr>
                        </w:pPr>
                        <w:r>
                          <w:rPr>
                            <w:b/>
                            <w:color w:val="FFFFFF"/>
                            <w:sz w:val="13"/>
                          </w:rPr>
                          <w:t>15/02/2021</w:t>
                        </w:r>
                      </w:p>
                      <w:p>
                        <w:pPr>
                          <w:pStyle w:val="TableParagraph"/>
                          <w:spacing w:line="131" w:lineRule="exact" w:before="17"/>
                          <w:ind w:left="29" w:right="1"/>
                          <w:jc w:val="center"/>
                          <w:rPr>
                            <w:b/>
                            <w:sz w:val="13"/>
                          </w:rPr>
                        </w:pPr>
                        <w:r>
                          <w:rPr>
                            <w:b/>
                            <w:color w:val="FFFFFF"/>
                            <w:sz w:val="13"/>
                          </w:rPr>
                          <w:t>28/02/2021</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01/02/2021</w:t>
                        </w:r>
                      </w:p>
                      <w:p>
                        <w:pPr>
                          <w:pStyle w:val="TableParagraph"/>
                          <w:spacing w:line="131" w:lineRule="exact" w:before="17"/>
                          <w:ind w:left="105"/>
                          <w:jc w:val="left"/>
                          <w:rPr>
                            <w:sz w:val="13"/>
                          </w:rPr>
                        </w:pPr>
                        <w:r>
                          <w:rPr>
                            <w:color w:val="FFFFFF"/>
                            <w:sz w:val="13"/>
                          </w:rPr>
                          <w:t>14/02/2021</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2"/>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2" w:right="43"/>
                          <w:jc w:val="center"/>
                          <w:rPr>
                            <w:sz w:val="13"/>
                          </w:rPr>
                        </w:pPr>
                        <w:r>
                          <w:rPr>
                            <w:color w:val="FFFFFF"/>
                            <w:sz w:val="13"/>
                          </w:rPr>
                          <w:t>15/02/2020</w:t>
                        </w:r>
                      </w:p>
                      <w:p>
                        <w:pPr>
                          <w:pStyle w:val="TableParagraph"/>
                          <w:spacing w:line="131" w:lineRule="exact" w:before="16"/>
                          <w:ind w:left="82" w:right="43"/>
                          <w:jc w:val="center"/>
                          <w:rPr>
                            <w:sz w:val="13"/>
                          </w:rPr>
                        </w:pPr>
                        <w:r>
                          <w:rPr>
                            <w:color w:val="FFFFFF"/>
                            <w:sz w:val="13"/>
                          </w:rPr>
                          <w:t>28/02/2020</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51" w:right="1"/>
                          <w:jc w:val="center"/>
                          <w:rPr>
                            <w:b/>
                            <w:sz w:val="13"/>
                          </w:rPr>
                        </w:pPr>
                        <w:r>
                          <w:rPr>
                            <w:b/>
                            <w:color w:val="FFFFFF"/>
                            <w:spacing w:val="-1"/>
                            <w:sz w:val="13"/>
                          </w:rPr>
                          <w:t>Current 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49" w:right="1"/>
                          <w:jc w:val="center"/>
                          <w:rPr>
                            <w:sz w:val="13"/>
                          </w:rPr>
                        </w:pPr>
                        <w:r>
                          <w:rPr>
                            <w:color w:val="FFFFFF"/>
                            <w:sz w:val="13"/>
                          </w:rPr>
                          <w:t>01/01/2021</w:t>
                        </w:r>
                      </w:p>
                      <w:p>
                        <w:pPr>
                          <w:pStyle w:val="TableParagraph"/>
                          <w:spacing w:line="131" w:lineRule="exact" w:before="17"/>
                          <w:ind w:left="49" w:right="1"/>
                          <w:jc w:val="center"/>
                          <w:rPr>
                            <w:sz w:val="13"/>
                          </w:rPr>
                        </w:pPr>
                        <w:r>
                          <w:rPr>
                            <w:color w:val="FFFFFF"/>
                            <w:sz w:val="13"/>
                          </w:rPr>
                          <w:t>28/02/2021</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5"/>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01/12/2020</w:t>
                        </w:r>
                      </w:p>
                      <w:p>
                        <w:pPr>
                          <w:pStyle w:val="TableParagraph"/>
                          <w:spacing w:line="131" w:lineRule="exact" w:before="17"/>
                          <w:ind w:left="100"/>
                          <w:jc w:val="left"/>
                          <w:rPr>
                            <w:sz w:val="13"/>
                          </w:rPr>
                        </w:pPr>
                        <w:r>
                          <w:rPr>
                            <w:color w:val="FFFFFF"/>
                            <w:sz w:val="13"/>
                          </w:rPr>
                          <w:t>28/02/2021</w:t>
                        </w:r>
                      </w:p>
                    </w:tc>
                    <w:tc>
                      <w:tcPr>
                        <w:tcW w:w="702" w:type="dxa"/>
                        <w:tcBorders>
                          <w:left w:val="single" w:sz="6" w:space="0" w:color="000000"/>
                          <w:right w:val="single" w:sz="6" w:space="0" w:color="000000"/>
                        </w:tcBorders>
                        <w:shd w:val="clear" w:color="auto" w:fill="76923B"/>
                      </w:tcPr>
                      <w:p>
                        <w:pPr>
                          <w:pStyle w:val="TableParagraph"/>
                          <w:spacing w:line="240" w:lineRule="auto"/>
                          <w:jc w:val="left"/>
                          <w:rPr>
                            <w:sz w:val="16"/>
                          </w:rPr>
                        </w:pPr>
                      </w:p>
                      <w:p>
                        <w:pPr>
                          <w:pStyle w:val="TableParagraph"/>
                          <w:spacing w:line="256" w:lineRule="auto"/>
                          <w:ind w:left="195" w:right="61" w:hanging="89"/>
                          <w:jc w:val="left"/>
                          <w:rPr>
                            <w:b/>
                            <w:sz w:val="13"/>
                          </w:rPr>
                        </w:pPr>
                        <w:r>
                          <w:rPr>
                            <w:b/>
                            <w:color w:val="FFFFFF"/>
                            <w:spacing w:val="-1"/>
                            <w:sz w:val="13"/>
                          </w:rPr>
                          <w:t>Quarterly</w:t>
                        </w:r>
                        <w:r>
                          <w:rPr>
                            <w:b/>
                            <w:color w:val="FFFFFF"/>
                            <w:spacing w:val="-27"/>
                            <w:sz w:val="13"/>
                          </w:rPr>
                          <w:t> </w:t>
                        </w:r>
                        <w:r>
                          <w:rPr>
                            <w:b/>
                            <w:color w:val="FFFFFF"/>
                            <w:sz w:val="13"/>
                          </w:rPr>
                          <w:t>rolling</w:t>
                        </w:r>
                        <w:r>
                          <w:rPr>
                            <w:b/>
                            <w:color w:val="FFFFFF"/>
                            <w:spacing w:val="1"/>
                            <w:sz w:val="13"/>
                          </w:rPr>
                          <w:t> </w:t>
                        </w:r>
                        <w:r>
                          <w:rPr>
                            <w:b/>
                            <w:color w:val="FFFFFF"/>
                            <w:sz w:val="13"/>
                          </w:rPr>
                          <w:t>5 year</w:t>
                        </w:r>
                        <w:r>
                          <w:rPr>
                            <w:b/>
                            <w:color w:val="FFFFFF"/>
                            <w:spacing w:val="1"/>
                            <w:sz w:val="13"/>
                          </w:rPr>
                          <w:t> </w:t>
                        </w:r>
                        <w:r>
                          <w:rPr>
                            <w:b/>
                            <w:color w:val="FFFFFF"/>
                            <w:sz w:val="13"/>
                          </w:rPr>
                          <w:t>mean</w:t>
                        </w:r>
                      </w:p>
                    </w:tc>
                    <w:tc>
                      <w:tcPr>
                        <w:tcW w:w="692"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5"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5"/>
                            <w:sz w:val="13"/>
                          </w:rPr>
                          <w:t> </w:t>
                        </w:r>
                        <w:r>
                          <w:rPr>
                            <w:b/>
                            <w:color w:val="FFFFFF"/>
                            <w:sz w:val="13"/>
                          </w:rPr>
                          <w:t>mean*</w:t>
                        </w:r>
                      </w:p>
                    </w:tc>
                    <w:tc>
                      <w:tcPr>
                        <w:tcW w:w="702" w:type="dxa"/>
                        <w:tcBorders>
                          <w:left w:val="single" w:sz="6" w:space="0" w:color="000000"/>
                        </w:tcBorders>
                        <w:shd w:val="clear" w:color="auto" w:fill="76923B"/>
                      </w:tcPr>
                      <w:p>
                        <w:pPr>
                          <w:pStyle w:val="TableParagraph"/>
                          <w:spacing w:line="240" w:lineRule="auto" w:before="11"/>
                          <w:jc w:val="left"/>
                          <w:rPr>
                            <w:sz w:val="8"/>
                          </w:rPr>
                        </w:pPr>
                      </w:p>
                      <w:p>
                        <w:pPr>
                          <w:pStyle w:val="TableParagraph"/>
                          <w:spacing w:line="256" w:lineRule="auto" w:before="1"/>
                          <w:ind w:left="51" w:right="-15" w:hanging="1"/>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3"/>
                          <w:jc w:val="left"/>
                          <w:rPr>
                            <w:b/>
                            <w:sz w:val="13"/>
                          </w:rPr>
                        </w:pPr>
                        <w:r>
                          <w:rPr>
                            <w:b/>
                            <w:color w:val="FFFFFF"/>
                            <w:sz w:val="13"/>
                          </w:rPr>
                          <w:t>Past</w:t>
                        </w:r>
                        <w:r>
                          <w:rPr>
                            <w:b/>
                            <w:color w:val="FFFFFF"/>
                            <w:spacing w:val="-2"/>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5"/>
                          <w:jc w:val="left"/>
                          <w:rPr>
                            <w:sz w:val="13"/>
                          </w:rPr>
                        </w:pPr>
                        <w:r>
                          <w:rPr>
                            <w:color w:val="FFFFFF"/>
                            <w:sz w:val="13"/>
                          </w:rPr>
                          <w:t>29/02/2020</w:t>
                        </w:r>
                      </w:p>
                      <w:p>
                        <w:pPr>
                          <w:pStyle w:val="TableParagraph"/>
                          <w:spacing w:line="131" w:lineRule="exact" w:before="17"/>
                          <w:ind w:left="105"/>
                          <w:jc w:val="left"/>
                          <w:rPr>
                            <w:sz w:val="13"/>
                          </w:rPr>
                        </w:pPr>
                        <w:r>
                          <w:rPr>
                            <w:color w:val="FFFFFF"/>
                            <w:sz w:val="13"/>
                          </w:rPr>
                          <w:t>28/02/2021</w:t>
                        </w:r>
                      </w:p>
                    </w:tc>
                    <w:tc>
                      <w:tcPr>
                        <w:tcW w:w="702" w:type="dxa"/>
                        <w:tcBorders>
                          <w:left w:val="single" w:sz="6" w:space="0" w:color="000000"/>
                          <w:right w:val="single" w:sz="6" w:space="0" w:color="000000"/>
                        </w:tcBorders>
                        <w:shd w:val="clear" w:color="auto" w:fill="30859B"/>
                      </w:tcPr>
                      <w:p>
                        <w:pPr>
                          <w:pStyle w:val="TableParagraph"/>
                          <w:spacing w:line="256" w:lineRule="auto" w:before="30"/>
                          <w:ind w:left="200" w:right="144" w:firstLine="2"/>
                          <w:jc w:val="both"/>
                          <w:rPr>
                            <w:b/>
                            <w:sz w:val="13"/>
                          </w:rPr>
                        </w:pPr>
                        <w:r>
                          <w:rPr>
                            <w:b/>
                            <w:color w:val="FFFFFF"/>
                            <w:sz w:val="13"/>
                          </w:rPr>
                          <w:t>Yearly</w:t>
                        </w:r>
                        <w:r>
                          <w:rPr>
                            <w:b/>
                            <w:color w:val="FFFFFF"/>
                            <w:spacing w:val="-27"/>
                            <w:sz w:val="13"/>
                          </w:rPr>
                          <w:t> </w:t>
                        </w:r>
                        <w:r>
                          <w:rPr>
                            <w:b/>
                            <w:color w:val="FFFFFF"/>
                            <w:spacing w:val="-1"/>
                            <w:sz w:val="13"/>
                          </w:rPr>
                          <w:t>rolling</w:t>
                        </w:r>
                        <w:r>
                          <w:rPr>
                            <w:b/>
                            <w:color w:val="FFFFFF"/>
                            <w:spacing w:val="-27"/>
                            <w:sz w:val="13"/>
                          </w:rPr>
                          <w:t> </w:t>
                        </w:r>
                        <w:r>
                          <w:rPr>
                            <w:b/>
                            <w:color w:val="FFFFFF"/>
                            <w:sz w:val="13"/>
                          </w:rPr>
                          <w:t>5 year</w:t>
                        </w:r>
                        <w:r>
                          <w:rPr>
                            <w:b/>
                            <w:color w:val="FFFFFF"/>
                            <w:spacing w:val="-27"/>
                            <w:sz w:val="13"/>
                          </w:rPr>
                          <w:t> </w:t>
                        </w:r>
                        <w:r>
                          <w:rPr>
                            <w:b/>
                            <w:color w:val="FFFFFF"/>
                            <w:sz w:val="13"/>
                          </w:rPr>
                          <w:t>mean</w:t>
                        </w:r>
                      </w:p>
                      <w:p>
                        <w:pPr>
                          <w:pStyle w:val="TableParagraph"/>
                          <w:spacing w:line="240" w:lineRule="auto" w:before="39"/>
                          <w:ind w:left="61"/>
                          <w:jc w:val="left"/>
                          <w:rPr>
                            <w:sz w:val="13"/>
                          </w:rPr>
                        </w:pPr>
                        <w:r>
                          <w:rPr>
                            <w:color w:val="FFFFFF"/>
                            <w:spacing w:val="-1"/>
                            <w:sz w:val="13"/>
                          </w:rPr>
                          <w:t>01/03/2015</w:t>
                        </w:r>
                      </w:p>
                      <w:p>
                        <w:pPr>
                          <w:pStyle w:val="TableParagraph"/>
                          <w:spacing w:line="131" w:lineRule="exact" w:before="16"/>
                          <w:ind w:left="61"/>
                          <w:jc w:val="left"/>
                          <w:rPr>
                            <w:sz w:val="13"/>
                          </w:rPr>
                        </w:pPr>
                        <w:r>
                          <w:rPr>
                            <w:color w:val="FFFFFF"/>
                            <w:spacing w:val="-1"/>
                            <w:sz w:val="13"/>
                          </w:rPr>
                          <w:t>29/02/2020</w:t>
                        </w:r>
                      </w:p>
                    </w:tc>
                    <w:tc>
                      <w:tcPr>
                        <w:tcW w:w="683"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50"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2" w:type="dxa"/>
                        <w:tcBorders>
                          <w:left w:val="single" w:sz="6" w:space="0" w:color="000000"/>
                        </w:tcBorders>
                        <w:shd w:val="clear" w:color="auto" w:fill="30859B"/>
                      </w:tcPr>
                      <w:p>
                        <w:pPr>
                          <w:pStyle w:val="TableParagraph"/>
                          <w:spacing w:line="240" w:lineRule="auto" w:before="11"/>
                          <w:jc w:val="left"/>
                          <w:rPr>
                            <w:sz w:val="8"/>
                          </w:rPr>
                        </w:pPr>
                      </w:p>
                      <w:p>
                        <w:pPr>
                          <w:pStyle w:val="TableParagraph"/>
                          <w:spacing w:line="256" w:lineRule="auto" w:before="1"/>
                          <w:ind w:left="56" w:right="-15" w:hanging="1"/>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pacing w:val="-1"/>
                            <w:sz w:val="13"/>
                          </w:rPr>
                          <w:t>mean </w:t>
                        </w:r>
                        <w:r>
                          <w:rPr>
                            <w:b/>
                            <w:color w:val="FFFFFF"/>
                            <w:sz w:val="13"/>
                          </w:rPr>
                          <w:t>+2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7"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5"/>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90" w:right="46"/>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1</w:t>
                        </w:r>
                      </w:p>
                    </w:tc>
                    <w:tc>
                      <w:tcPr>
                        <w:tcW w:w="808" w:type="dxa"/>
                        <w:tcBorders>
                          <w:bottom w:val="single" w:sz="6" w:space="0" w:color="000000"/>
                          <w:right w:val="single" w:sz="6" w:space="0" w:color="000000"/>
                        </w:tcBorders>
                      </w:tcPr>
                      <w:p>
                        <w:pPr>
                          <w:pStyle w:val="TableParagraph"/>
                          <w:ind w:right="40"/>
                          <w:rPr>
                            <w:sz w:val="13"/>
                          </w:rPr>
                        </w:pPr>
                        <w:r>
                          <w:rPr>
                            <w:w w:val="99"/>
                            <w:sz w:val="13"/>
                          </w:rPr>
                          <w:t>3</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7</w:t>
                        </w:r>
                      </w:p>
                    </w:tc>
                    <w:tc>
                      <w:tcPr>
                        <w:tcW w:w="808" w:type="dxa"/>
                        <w:tcBorders>
                          <w:left w:val="single" w:sz="6" w:space="0" w:color="000000"/>
                          <w:bottom w:val="single" w:sz="6" w:space="0" w:color="000000"/>
                        </w:tcBorders>
                      </w:tcPr>
                      <w:p>
                        <w:pPr>
                          <w:pStyle w:val="TableParagraph"/>
                          <w:ind w:right="30"/>
                          <w:rPr>
                            <w:sz w:val="13"/>
                          </w:rPr>
                        </w:pPr>
                        <w:r>
                          <w:rPr>
                            <w:sz w:val="13"/>
                          </w:rPr>
                          <w:t>12</w:t>
                        </w:r>
                      </w:p>
                    </w:tc>
                    <w:tc>
                      <w:tcPr>
                        <w:tcW w:w="808" w:type="dxa"/>
                        <w:tcBorders>
                          <w:bottom w:val="single" w:sz="6" w:space="0" w:color="000000"/>
                          <w:right w:val="single" w:sz="6" w:space="0" w:color="000000"/>
                        </w:tcBorders>
                      </w:tcPr>
                      <w:p>
                        <w:pPr>
                          <w:pStyle w:val="TableParagraph"/>
                          <w:ind w:right="37"/>
                          <w:rPr>
                            <w:sz w:val="13"/>
                          </w:rPr>
                        </w:pPr>
                        <w:r>
                          <w:rPr>
                            <w:sz w:val="13"/>
                          </w:rPr>
                          <w:t>22</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36.2</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0.6</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114</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150.6</w:t>
                        </w:r>
                      </w:p>
                    </w:tc>
                    <w:tc>
                      <w:tcPr>
                        <w:tcW w:w="683" w:type="dxa"/>
                        <w:tcBorders>
                          <w:left w:val="single" w:sz="6" w:space="0" w:color="000000"/>
                          <w:bottom w:val="single" w:sz="6" w:space="0" w:color="000000"/>
                          <w:right w:val="single" w:sz="6" w:space="0" w:color="000000"/>
                        </w:tcBorders>
                      </w:tcPr>
                      <w:p>
                        <w:pPr>
                          <w:pStyle w:val="TableParagraph"/>
                          <w:ind w:right="29"/>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7"/>
                            <w:sz w:val="13"/>
                          </w:rPr>
                          <w:t> </w:t>
                        </w:r>
                        <w:r>
                          <w:rPr>
                            <w:sz w:val="13"/>
                          </w:rPr>
                          <w:t>B</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63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37</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18</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158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174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271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648</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sz w:val="13"/>
                          </w:rPr>
                          <w:t>1,007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1,349.0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4,756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5,988.0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4"/>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104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151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176.2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650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723.2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7"/>
                            <w:sz w:val="13"/>
                          </w:rPr>
                          <w:t> </w:t>
                        </w:r>
                        <w:r>
                          <w:rPr>
                            <w:sz w:val="13"/>
                          </w:rPr>
                          <w:t>C</w:t>
                        </w:r>
                        <w:r>
                          <w:rPr>
                            <w:spacing w:val="-6"/>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96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41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46</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50</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248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325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372</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sz w:val="13"/>
                          </w:rPr>
                          <w:t>1,130</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sz w:val="13"/>
                          </w:rPr>
                          <w:t>1,701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2,277.0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7,230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9,797.2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7"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90" w:right="46"/>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5</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3"/>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w w:val="99"/>
                            <w:sz w:val="13"/>
                          </w:rPr>
                          <w:t>1</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6"/>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1</w:t>
                        </w:r>
                      </w:p>
                    </w:tc>
                    <w:tc>
                      <w:tcPr>
                        <w:tcW w:w="808" w:type="dxa"/>
                        <w:tcBorders>
                          <w:top w:val="single" w:sz="6" w:space="0" w:color="000000"/>
                          <w:right w:val="single" w:sz="6" w:space="0" w:color="000000"/>
                        </w:tcBorders>
                      </w:tcPr>
                      <w:p>
                        <w:pPr>
                          <w:pStyle w:val="TableParagraph"/>
                          <w:spacing w:line="130" w:lineRule="exact"/>
                          <w:ind w:right="40"/>
                          <w:rPr>
                            <w:sz w:val="13"/>
                          </w:rPr>
                        </w:pPr>
                        <w:r>
                          <w:rPr>
                            <w:w w:val="99"/>
                            <w:sz w:val="13"/>
                          </w:rPr>
                          <w:t>7</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3</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14</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22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14.6</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1.5</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72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67.6</w:t>
                        </w:r>
                      </w:p>
                    </w:tc>
                    <w:tc>
                      <w:tcPr>
                        <w:tcW w:w="683" w:type="dxa"/>
                        <w:tcBorders>
                          <w:top w:val="single" w:sz="6" w:space="0" w:color="000000"/>
                          <w:left w:val="single" w:sz="6" w:space="0" w:color="000000"/>
                          <w:right w:val="single" w:sz="6" w:space="0" w:color="000000"/>
                        </w:tcBorders>
                      </w:tcPr>
                      <w:p>
                        <w:pPr>
                          <w:pStyle w:val="TableParagraph"/>
                          <w:spacing w:line="130" w:lineRule="exact"/>
                          <w:ind w:right="29"/>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1"/>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59"/>
                          <w:jc w:val="left"/>
                          <w:rPr>
                            <w:b/>
                            <w:sz w:val="14"/>
                          </w:rPr>
                        </w:pPr>
                        <w:r>
                          <w:rPr>
                            <w:b/>
                            <w:sz w:val="14"/>
                          </w:rPr>
                          <w:t>Gastrointestinal diseases</w:t>
                        </w:r>
                      </w:p>
                    </w:tc>
                    <w:tc>
                      <w:tcPr>
                        <w:tcW w:w="2607" w:type="dxa"/>
                        <w:tcBorders>
                          <w:bottom w:val="single" w:sz="6" w:space="0" w:color="000000"/>
                          <w:right w:val="single" w:sz="6" w:space="0" w:color="000000"/>
                        </w:tcBorders>
                      </w:tcPr>
                      <w:p>
                        <w:pPr>
                          <w:pStyle w:val="TableParagraph"/>
                          <w:spacing w:line="121" w:lineRule="exact"/>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spacing w:line="121" w:lineRule="exact"/>
                          <w:ind w:left="90" w:right="46"/>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spacing w:line="121" w:lineRule="exact"/>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spacing w:line="121" w:lineRule="exact"/>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spacing w:line="121" w:lineRule="exact"/>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spacing w:line="121" w:lineRule="exact"/>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spacing w:line="121" w:lineRule="exact"/>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spacing w:line="121" w:lineRule="exact"/>
                          <w:ind w:left="234"/>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spacing w:line="121" w:lineRule="exact"/>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spacing w:line="121" w:lineRule="exact"/>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spacing w:line="121" w:lineRule="exact"/>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spacing w:line="121" w:lineRule="exact"/>
                          <w:ind w:right="39"/>
                          <w:rPr>
                            <w:sz w:val="13"/>
                          </w:rPr>
                        </w:pPr>
                        <w:r>
                          <w:rPr>
                            <w:w w:val="99"/>
                            <w:sz w:val="13"/>
                          </w:rPr>
                          <w:t>1</w:t>
                        </w:r>
                      </w:p>
                    </w:tc>
                    <w:tc>
                      <w:tcPr>
                        <w:tcW w:w="808" w:type="dxa"/>
                        <w:tcBorders>
                          <w:left w:val="single" w:sz="6" w:space="0" w:color="000000"/>
                          <w:bottom w:val="single" w:sz="6" w:space="0" w:color="000000"/>
                          <w:right w:val="single" w:sz="6" w:space="0" w:color="000000"/>
                        </w:tcBorders>
                      </w:tcPr>
                      <w:p>
                        <w:pPr>
                          <w:pStyle w:val="TableParagraph"/>
                          <w:spacing w:line="121" w:lineRule="exact"/>
                          <w:ind w:right="169"/>
                          <w:rPr>
                            <w:sz w:val="13"/>
                          </w:rPr>
                        </w:pPr>
                        <w:r>
                          <w:rPr>
                            <w:w w:val="99"/>
                            <w:sz w:val="13"/>
                          </w:rPr>
                          <w:t>-</w:t>
                        </w:r>
                      </w:p>
                    </w:tc>
                    <w:tc>
                      <w:tcPr>
                        <w:tcW w:w="808" w:type="dxa"/>
                        <w:tcBorders>
                          <w:left w:val="single" w:sz="6" w:space="0" w:color="000000"/>
                          <w:bottom w:val="single" w:sz="6" w:space="0" w:color="000000"/>
                        </w:tcBorders>
                      </w:tcPr>
                      <w:p>
                        <w:pPr>
                          <w:pStyle w:val="TableParagraph"/>
                          <w:spacing w:line="121" w:lineRule="exact"/>
                          <w:ind w:right="29"/>
                          <w:rPr>
                            <w:sz w:val="13"/>
                          </w:rPr>
                        </w:pPr>
                        <w:r>
                          <w:rPr>
                            <w:w w:val="99"/>
                            <w:sz w:val="13"/>
                          </w:rPr>
                          <w:t>1</w:t>
                        </w:r>
                      </w:p>
                    </w:tc>
                    <w:tc>
                      <w:tcPr>
                        <w:tcW w:w="808" w:type="dxa"/>
                        <w:tcBorders>
                          <w:bottom w:val="single" w:sz="6" w:space="0" w:color="000000"/>
                          <w:right w:val="single" w:sz="6" w:space="0" w:color="000000"/>
                        </w:tcBorders>
                      </w:tcPr>
                      <w:p>
                        <w:pPr>
                          <w:pStyle w:val="TableParagraph"/>
                          <w:spacing w:line="121" w:lineRule="exact"/>
                          <w:ind w:right="36"/>
                          <w:rPr>
                            <w:sz w:val="13"/>
                          </w:rPr>
                        </w:pPr>
                        <w:r>
                          <w:rPr>
                            <w:w w:val="99"/>
                            <w:sz w:val="13"/>
                          </w:rPr>
                          <w:t>2</w:t>
                        </w:r>
                      </w:p>
                    </w:tc>
                    <w:tc>
                      <w:tcPr>
                        <w:tcW w:w="702" w:type="dxa"/>
                        <w:tcBorders>
                          <w:left w:val="single" w:sz="6" w:space="0" w:color="000000"/>
                          <w:bottom w:val="single" w:sz="6" w:space="0" w:color="000000"/>
                          <w:right w:val="single" w:sz="6" w:space="0" w:color="000000"/>
                        </w:tcBorders>
                      </w:tcPr>
                      <w:p>
                        <w:pPr>
                          <w:pStyle w:val="TableParagraph"/>
                          <w:spacing w:line="121" w:lineRule="exact"/>
                          <w:ind w:right="35"/>
                          <w:rPr>
                            <w:sz w:val="13"/>
                          </w:rPr>
                        </w:pPr>
                        <w:r>
                          <w:rPr>
                            <w:sz w:val="13"/>
                          </w:rPr>
                          <w:t>0.8</w:t>
                        </w:r>
                      </w:p>
                    </w:tc>
                    <w:tc>
                      <w:tcPr>
                        <w:tcW w:w="692" w:type="dxa"/>
                        <w:tcBorders>
                          <w:left w:val="single" w:sz="6" w:space="0" w:color="000000"/>
                          <w:bottom w:val="single" w:sz="6" w:space="0" w:color="000000"/>
                          <w:right w:val="single" w:sz="6" w:space="0" w:color="000000"/>
                        </w:tcBorders>
                      </w:tcPr>
                      <w:p>
                        <w:pPr>
                          <w:pStyle w:val="TableParagraph"/>
                          <w:spacing w:line="121" w:lineRule="exact"/>
                          <w:ind w:right="33"/>
                          <w:rPr>
                            <w:sz w:val="13"/>
                          </w:rPr>
                        </w:pPr>
                        <w:r>
                          <w:rPr>
                            <w:sz w:val="13"/>
                          </w:rPr>
                          <w:t>2.5</w:t>
                        </w:r>
                      </w:p>
                    </w:tc>
                    <w:tc>
                      <w:tcPr>
                        <w:tcW w:w="702" w:type="dxa"/>
                        <w:tcBorders>
                          <w:left w:val="single" w:sz="6" w:space="0" w:color="000000"/>
                          <w:bottom w:val="single" w:sz="6" w:space="0" w:color="000000"/>
                        </w:tcBorders>
                        <w:shd w:val="clear" w:color="auto" w:fill="DAEDF3"/>
                      </w:tcPr>
                      <w:p>
                        <w:pPr>
                          <w:pStyle w:val="TableParagraph"/>
                          <w:spacing w:line="121" w:lineRule="exact"/>
                          <w:ind w:right="156"/>
                          <w:rPr>
                            <w:sz w:val="13"/>
                          </w:rPr>
                        </w:pPr>
                        <w:r>
                          <w:rPr>
                            <w:w w:val="99"/>
                            <w:sz w:val="13"/>
                          </w:rPr>
                          <w:t>-</w:t>
                        </w:r>
                      </w:p>
                    </w:tc>
                    <w:tc>
                      <w:tcPr>
                        <w:tcW w:w="808" w:type="dxa"/>
                        <w:tcBorders>
                          <w:bottom w:val="single" w:sz="6" w:space="0" w:color="000000"/>
                          <w:right w:val="single" w:sz="6" w:space="0" w:color="000000"/>
                        </w:tcBorders>
                      </w:tcPr>
                      <w:p>
                        <w:pPr>
                          <w:pStyle w:val="TableParagraph"/>
                          <w:spacing w:line="121" w:lineRule="exact"/>
                          <w:ind w:right="31"/>
                          <w:rPr>
                            <w:sz w:val="13"/>
                          </w:rPr>
                        </w:pPr>
                        <w:r>
                          <w:rPr>
                            <w:w w:val="99"/>
                            <w:sz w:val="13"/>
                          </w:rPr>
                          <w:t>2</w:t>
                        </w:r>
                      </w:p>
                    </w:tc>
                    <w:tc>
                      <w:tcPr>
                        <w:tcW w:w="702" w:type="dxa"/>
                        <w:tcBorders>
                          <w:left w:val="single" w:sz="6" w:space="0" w:color="000000"/>
                          <w:bottom w:val="single" w:sz="6" w:space="0" w:color="000000"/>
                          <w:right w:val="single" w:sz="6" w:space="0" w:color="000000"/>
                        </w:tcBorders>
                      </w:tcPr>
                      <w:p>
                        <w:pPr>
                          <w:pStyle w:val="TableParagraph"/>
                          <w:spacing w:line="121" w:lineRule="exact"/>
                          <w:ind w:right="30"/>
                          <w:rPr>
                            <w:sz w:val="13"/>
                          </w:rPr>
                        </w:pPr>
                        <w:r>
                          <w:rPr>
                            <w:sz w:val="13"/>
                          </w:rPr>
                          <w:t>1.4</w:t>
                        </w:r>
                      </w:p>
                    </w:tc>
                    <w:tc>
                      <w:tcPr>
                        <w:tcW w:w="683" w:type="dxa"/>
                        <w:tcBorders>
                          <w:left w:val="single" w:sz="6" w:space="0" w:color="000000"/>
                          <w:bottom w:val="single" w:sz="6" w:space="0" w:color="000000"/>
                          <w:right w:val="single" w:sz="6" w:space="0" w:color="000000"/>
                        </w:tcBorders>
                      </w:tcPr>
                      <w:p>
                        <w:pPr>
                          <w:pStyle w:val="TableParagraph"/>
                          <w:spacing w:line="121" w:lineRule="exact"/>
                          <w:ind w:right="29"/>
                          <w:rPr>
                            <w:sz w:val="13"/>
                          </w:rPr>
                        </w:pPr>
                        <w:r>
                          <w:rPr>
                            <w:sz w:val="13"/>
                          </w:rPr>
                          <w:t>1.4</w:t>
                        </w:r>
                      </w:p>
                    </w:tc>
                    <w:tc>
                      <w:tcPr>
                        <w:tcW w:w="702" w:type="dxa"/>
                        <w:tcBorders>
                          <w:left w:val="single" w:sz="6" w:space="0" w:color="000000"/>
                          <w:bottom w:val="single" w:sz="6" w:space="0" w:color="000000"/>
                        </w:tcBorders>
                        <w:shd w:val="clear" w:color="auto" w:fill="DAEDF3"/>
                      </w:tcPr>
                      <w:p>
                        <w:pPr>
                          <w:pStyle w:val="TableParagraph"/>
                          <w:spacing w:line="121" w:lineRule="exact"/>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37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533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451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128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36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251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101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1,551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1,646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1,600</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sz w:val="13"/>
                          </w:rPr>
                          <w:t>6,648</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sz w:val="13"/>
                          </w:rPr>
                          <w:t>9,783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8,586.8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31,450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29,392.8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82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4</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131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286</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392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491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1,280.2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1,933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4,031.0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Haemolytic</w:t>
                        </w:r>
                        <w:r>
                          <w:rPr>
                            <w:spacing w:val="-6"/>
                            <w:sz w:val="13"/>
                          </w:rPr>
                          <w:t> </w:t>
                        </w:r>
                        <w:r>
                          <w:rPr>
                            <w:sz w:val="13"/>
                          </w:rPr>
                          <w:t>uraemic</w:t>
                        </w:r>
                        <w:r>
                          <w:rPr>
                            <w:spacing w:val="-6"/>
                            <w:sz w:val="13"/>
                          </w:rPr>
                          <w:t> </w:t>
                        </w:r>
                        <w:r>
                          <w:rPr>
                            <w:sz w:val="13"/>
                          </w:rPr>
                          <w:t>syndrome</w:t>
                        </w:r>
                        <w:r>
                          <w:rPr>
                            <w:spacing w:val="-6"/>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9</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56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241.4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45.4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44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69.8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86.2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7</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50</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108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161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154.8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505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465.4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150</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236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58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48</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554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586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1,223</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sz w:val="13"/>
                          </w:rPr>
                          <w:t>2,738</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sz w:val="13"/>
                          </w:rPr>
                          <w:t>3,713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5,169.6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10,530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16,124.6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199</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90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137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632.8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963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2,082.4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7"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6"/>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3"/>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6"/>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2"/>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40"/>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20</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2</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3</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54.0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0.1</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52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151.6</w:t>
                        </w:r>
                      </w:p>
                    </w:tc>
                    <w:tc>
                      <w:tcPr>
                        <w:tcW w:w="683" w:type="dxa"/>
                        <w:tcBorders>
                          <w:top w:val="single" w:sz="6" w:space="0" w:color="000000"/>
                          <w:left w:val="single" w:sz="6" w:space="0" w:color="000000"/>
                          <w:right w:val="single" w:sz="6" w:space="0" w:color="000000"/>
                        </w:tcBorders>
                      </w:tcPr>
                      <w:p>
                        <w:pPr>
                          <w:pStyle w:val="TableParagraph"/>
                          <w:spacing w:line="130" w:lineRule="exact"/>
                          <w:ind w:right="29"/>
                          <w:rPr>
                            <w:sz w:val="13"/>
                          </w:rPr>
                        </w:pPr>
                        <w:r>
                          <w:rPr>
                            <w:sz w:val="13"/>
                          </w:rPr>
                          <w:t>0.3</w:t>
                        </w:r>
                      </w:p>
                    </w:tc>
                    <w:tc>
                      <w:tcPr>
                        <w:tcW w:w="702" w:type="dxa"/>
                        <w:tcBorders>
                          <w:top w:val="single" w:sz="6" w:space="0" w:color="000000"/>
                          <w:left w:val="single" w:sz="6" w:space="0" w:color="000000"/>
                        </w:tcBorders>
                        <w:shd w:val="clear" w:color="auto" w:fill="DAEDF3"/>
                      </w:tcPr>
                      <w:p>
                        <w:pPr>
                          <w:pStyle w:val="TableParagraph"/>
                          <w:spacing w:line="130" w:lineRule="exact"/>
                          <w:ind w:right="151"/>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2"/>
                            <w:sz w:val="14"/>
                          </w:rPr>
                          <w:t> </w:t>
                        </w:r>
                        <w:r>
                          <w:rPr>
                            <w:b/>
                            <w:sz w:val="14"/>
                          </w:rPr>
                          <w:t>diseases</w:t>
                        </w:r>
                      </w:p>
                    </w:tc>
                    <w:tc>
                      <w:tcPr>
                        <w:tcW w:w="2607"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90" w:right="46"/>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2"/>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6"/>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47</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10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10</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3"/>
                          <w:rPr>
                            <w:sz w:val="13"/>
                          </w:rPr>
                        </w:pPr>
                        <w:r>
                          <w:rPr>
                            <w:w w:val="99"/>
                            <w:sz w:val="13"/>
                          </w:rPr>
                          <w:t>5</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84</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97</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10</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0"/>
                          <w:rPr>
                            <w:sz w:val="13"/>
                          </w:rPr>
                        </w:pPr>
                        <w:r>
                          <w:rPr>
                            <w:sz w:val="13"/>
                          </w:rPr>
                          <w:t>600</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1,126</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5.0</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225.2</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5"/>
                          <w:rPr>
                            <w:sz w:val="13"/>
                          </w:rPr>
                        </w:pPr>
                        <w:r>
                          <w:rPr>
                            <w:sz w:val="13"/>
                          </w:rPr>
                          <w:t>1,098.6</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1"/>
                          <w:rPr>
                            <w:sz w:val="13"/>
                          </w:rPr>
                        </w:pPr>
                        <w:r>
                          <w:rPr>
                            <w:sz w:val="13"/>
                          </w:rPr>
                          <w:t>29,111</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6.0</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9"/>
                          <w:rPr>
                            <w:sz w:val="13"/>
                          </w:rPr>
                        </w:pPr>
                        <w:r>
                          <w:rPr>
                            <w:sz w:val="13"/>
                          </w:rPr>
                          <w:t>4,851.8</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0"/>
                          <w:rPr>
                            <w:sz w:val="13"/>
                          </w:rPr>
                        </w:pPr>
                        <w:r>
                          <w:rPr>
                            <w:sz w:val="13"/>
                          </w:rPr>
                          <w:t>29,078.2</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160"/>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5"/>
                            <w:sz w:val="13"/>
                          </w:rPr>
                          <w:t> </w:t>
                        </w:r>
                        <w:r>
                          <w:rPr>
                            <w:sz w:val="13"/>
                          </w:rPr>
                          <w:t>acute</w:t>
                        </w:r>
                        <w:r>
                          <w:rPr>
                            <w:spacing w:val="-5"/>
                            <w:sz w:val="13"/>
                          </w:rPr>
                          <w:t> </w:t>
                        </w:r>
                        <w:r>
                          <w:rPr>
                            <w:sz w:val="13"/>
                          </w:rPr>
                          <w:t>respiratory</w:t>
                        </w:r>
                        <w:r>
                          <w:rPr>
                            <w:spacing w:val="-6"/>
                            <w:sz w:val="13"/>
                          </w:rPr>
                          <w:t> </w:t>
                        </w:r>
                        <w:r>
                          <w:rPr>
                            <w:sz w:val="13"/>
                          </w:rPr>
                          <w:t>syndrome</w:t>
                        </w:r>
                        <w:r>
                          <w:rPr>
                            <w:spacing w:val="-5"/>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spacing w:line="121" w:lineRule="exact"/>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spacing w:line="121" w:lineRule="exact"/>
                          <w:ind w:left="90" w:right="46"/>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spacing w:line="121" w:lineRule="exact"/>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spacing w:line="121" w:lineRule="exact"/>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spacing w:line="121" w:lineRule="exact"/>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spacing w:line="121" w:lineRule="exact"/>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spacing w:line="121" w:lineRule="exact"/>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7"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6"/>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3"/>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6"/>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2"/>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2"/>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1"/>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1"/>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7"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5"/>
                            <w:sz w:val="13"/>
                          </w:rPr>
                          <w:t> </w:t>
                        </w:r>
                        <w:r>
                          <w:rPr>
                            <w:sz w:val="13"/>
                          </w:rPr>
                          <w:t>infection</w:t>
                        </w:r>
                      </w:p>
                    </w:tc>
                    <w:tc>
                      <w:tcPr>
                        <w:tcW w:w="398" w:type="dxa"/>
                        <w:tcBorders>
                          <w:left w:val="single" w:sz="6" w:space="0" w:color="000000"/>
                          <w:bottom w:val="single" w:sz="6" w:space="0" w:color="000000"/>
                        </w:tcBorders>
                      </w:tcPr>
                      <w:p>
                        <w:pPr>
                          <w:pStyle w:val="TableParagraph"/>
                          <w:ind w:left="90" w:right="46"/>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54</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sz w:val="13"/>
                          </w:rPr>
                          <w:t>1,204</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43</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981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266</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55</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26</w:t>
                        </w:r>
                      </w:p>
                    </w:tc>
                    <w:tc>
                      <w:tcPr>
                        <w:tcW w:w="532" w:type="dxa"/>
                        <w:tcBorders>
                          <w:left w:val="single" w:sz="6" w:space="0" w:color="000000"/>
                          <w:bottom w:val="single" w:sz="6" w:space="0" w:color="000000"/>
                        </w:tcBorders>
                      </w:tcPr>
                      <w:p>
                        <w:pPr>
                          <w:pStyle w:val="TableParagraph"/>
                          <w:ind w:right="34"/>
                          <w:rPr>
                            <w:sz w:val="13"/>
                          </w:rPr>
                        </w:pPr>
                        <w:r>
                          <w:rPr>
                            <w:sz w:val="13"/>
                          </w:rPr>
                          <w:t>487</w:t>
                        </w:r>
                      </w:p>
                    </w:tc>
                    <w:tc>
                      <w:tcPr>
                        <w:tcW w:w="808" w:type="dxa"/>
                        <w:tcBorders>
                          <w:bottom w:val="single" w:sz="6" w:space="0" w:color="000000"/>
                          <w:right w:val="single" w:sz="6" w:space="0" w:color="000000"/>
                        </w:tcBorders>
                      </w:tcPr>
                      <w:p>
                        <w:pPr>
                          <w:pStyle w:val="TableParagraph"/>
                          <w:ind w:right="40"/>
                          <w:rPr>
                            <w:sz w:val="13"/>
                          </w:rPr>
                        </w:pPr>
                        <w:r>
                          <w:rPr>
                            <w:sz w:val="13"/>
                          </w:rPr>
                          <w:t>3,116</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sz w:val="13"/>
                          </w:rPr>
                          <w:t>3,201</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sz w:val="13"/>
                          </w:rPr>
                          <w:t>5,040</w:t>
                        </w:r>
                      </w:p>
                    </w:tc>
                    <w:tc>
                      <w:tcPr>
                        <w:tcW w:w="808" w:type="dxa"/>
                        <w:tcBorders>
                          <w:left w:val="single" w:sz="6" w:space="0" w:color="000000"/>
                          <w:bottom w:val="single" w:sz="6" w:space="0" w:color="000000"/>
                        </w:tcBorders>
                      </w:tcPr>
                      <w:p>
                        <w:pPr>
                          <w:pStyle w:val="TableParagraph"/>
                          <w:ind w:right="29"/>
                          <w:rPr>
                            <w:sz w:val="13"/>
                          </w:rPr>
                        </w:pPr>
                        <w:r>
                          <w:rPr>
                            <w:sz w:val="13"/>
                          </w:rPr>
                          <w:t>12,441</w:t>
                        </w:r>
                      </w:p>
                    </w:tc>
                    <w:tc>
                      <w:tcPr>
                        <w:tcW w:w="808" w:type="dxa"/>
                        <w:tcBorders>
                          <w:bottom w:val="single" w:sz="6" w:space="0" w:color="000000"/>
                          <w:right w:val="single" w:sz="6" w:space="0" w:color="000000"/>
                        </w:tcBorders>
                      </w:tcPr>
                      <w:p>
                        <w:pPr>
                          <w:pStyle w:val="TableParagraph"/>
                          <w:ind w:right="36"/>
                          <w:rPr>
                            <w:sz w:val="13"/>
                          </w:rPr>
                        </w:pPr>
                        <w:r>
                          <w:rPr>
                            <w:sz w:val="13"/>
                          </w:rPr>
                          <w:t>19,068</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25,006.8</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sz w:val="13"/>
                          </w:rPr>
                          <w:t>84,474</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100,145.6</w:t>
                        </w:r>
                      </w:p>
                    </w:tc>
                    <w:tc>
                      <w:tcPr>
                        <w:tcW w:w="683" w:type="dxa"/>
                        <w:tcBorders>
                          <w:left w:val="single" w:sz="6" w:space="0" w:color="000000"/>
                          <w:bottom w:val="single" w:sz="6" w:space="0" w:color="000000"/>
                          <w:right w:val="single" w:sz="6" w:space="0" w:color="000000"/>
                        </w:tcBorders>
                      </w:tcPr>
                      <w:p>
                        <w:pPr>
                          <w:pStyle w:val="TableParagraph"/>
                          <w:ind w:right="29"/>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382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35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255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76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109</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116</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990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1,069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1,568</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sz w:val="13"/>
                          </w:rPr>
                          <w:t>4,341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sz w:val="13"/>
                          </w:rPr>
                          <w:t>6,371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7,397.2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27,660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27,905.6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6"/>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5</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39</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20</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10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58</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28</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169</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199</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214</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0"/>
                          <w:rPr>
                            <w:sz w:val="13"/>
                          </w:rPr>
                        </w:pPr>
                        <w:r>
                          <w:rPr>
                            <w:sz w:val="13"/>
                          </w:rPr>
                          <w:t>767</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1,157</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1,117.6</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1"/>
                          <w:rPr>
                            <w:sz w:val="13"/>
                          </w:rPr>
                        </w:pPr>
                        <w:r>
                          <w:rPr>
                            <w:sz w:val="13"/>
                          </w:rPr>
                          <w:t>5,057</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4,424.0</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9"/>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37</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48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255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402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512.4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1,881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2,190.2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7" w:type="dxa"/>
                        <w:tcBorders>
                          <w:top w:val="single" w:sz="6" w:space="0" w:color="000000"/>
                          <w:right w:val="single" w:sz="6" w:space="0" w:color="000000"/>
                        </w:tcBorders>
                      </w:tcPr>
                      <w:p>
                        <w:pPr>
                          <w:pStyle w:val="TableParagraph"/>
                          <w:spacing w:line="130" w:lineRule="exact"/>
                          <w:ind w:left="21"/>
                          <w:jc w:val="left"/>
                          <w:rPr>
                            <w:sz w:val="13"/>
                          </w:rPr>
                        </w:pPr>
                        <w:r>
                          <w:rPr>
                            <w:sz w:val="13"/>
                          </w:rPr>
                          <w:t>Syphilis</w:t>
                        </w:r>
                        <w:r>
                          <w:rPr>
                            <w:spacing w:val="-7"/>
                            <w:sz w:val="13"/>
                          </w:rPr>
                          <w:t> </w:t>
                        </w:r>
                        <w:r>
                          <w:rPr>
                            <w:sz w:val="13"/>
                          </w:rPr>
                          <w:t>congenital</w:t>
                        </w:r>
                      </w:p>
                    </w:tc>
                    <w:tc>
                      <w:tcPr>
                        <w:tcW w:w="398" w:type="dxa"/>
                        <w:tcBorders>
                          <w:top w:val="single" w:sz="6" w:space="0" w:color="000000"/>
                          <w:left w:val="single" w:sz="6" w:space="0" w:color="000000"/>
                        </w:tcBorders>
                      </w:tcPr>
                      <w:p>
                        <w:pPr>
                          <w:pStyle w:val="TableParagraph"/>
                          <w:spacing w:line="130" w:lineRule="exact"/>
                          <w:ind w:left="90" w:right="46"/>
                          <w:jc w:val="center"/>
                          <w:rPr>
                            <w:sz w:val="13"/>
                          </w:rPr>
                        </w:pPr>
                        <w:r>
                          <w:rPr>
                            <w:sz w:val="13"/>
                          </w:rPr>
                          <w:t>047</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3"/>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6"/>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2"/>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5</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1.6</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3.8</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18</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7.0</w:t>
                        </w:r>
                      </w:p>
                    </w:tc>
                    <w:tc>
                      <w:tcPr>
                        <w:tcW w:w="683" w:type="dxa"/>
                        <w:tcBorders>
                          <w:top w:val="single" w:sz="6" w:space="0" w:color="000000"/>
                          <w:left w:val="single" w:sz="6" w:space="0" w:color="000000"/>
                          <w:right w:val="single" w:sz="6" w:space="0" w:color="000000"/>
                        </w:tcBorders>
                      </w:tcPr>
                      <w:p>
                        <w:pPr>
                          <w:pStyle w:val="TableParagraph"/>
                          <w:spacing w:line="130" w:lineRule="exact"/>
                          <w:ind w:right="29"/>
                          <w:rPr>
                            <w:sz w:val="13"/>
                          </w:rPr>
                        </w:pPr>
                        <w:r>
                          <w:rPr>
                            <w:sz w:val="13"/>
                          </w:rPr>
                          <w:t>2.6</w:t>
                        </w:r>
                      </w:p>
                    </w:tc>
                    <w:tc>
                      <w:tcPr>
                        <w:tcW w:w="702" w:type="dxa"/>
                        <w:tcBorders>
                          <w:top w:val="single" w:sz="6" w:space="0" w:color="000000"/>
                          <w:left w:val="single" w:sz="6" w:space="0" w:color="000000"/>
                        </w:tcBorders>
                        <w:shd w:val="clear" w:color="auto" w:fill="DAEDF3"/>
                      </w:tcPr>
                      <w:p>
                        <w:pPr>
                          <w:pStyle w:val="TableParagraph"/>
                          <w:spacing w:line="130" w:lineRule="exact"/>
                          <w:ind w:right="20"/>
                          <w:rPr>
                            <w:sz w:val="13"/>
                          </w:rPr>
                        </w:pPr>
                        <w:r>
                          <w:rPr>
                            <w:sz w:val="13"/>
                          </w:rPr>
                          <w:t>4.7</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7" w:hanging="353"/>
                          <w:jc w:val="left"/>
                          <w:rPr>
                            <w:b/>
                            <w:sz w:val="14"/>
                          </w:rPr>
                        </w:pPr>
                        <w:r>
                          <w:rPr>
                            <w:b/>
                            <w:sz w:val="14"/>
                          </w:rPr>
                          <w:t>Vaccine</w:t>
                        </w:r>
                        <w:r>
                          <w:rPr>
                            <w:b/>
                            <w:spacing w:val="2"/>
                            <w:sz w:val="14"/>
                          </w:rPr>
                          <w:t> </w:t>
                        </w:r>
                        <w:r>
                          <w:rPr>
                            <w:b/>
                            <w:sz w:val="14"/>
                          </w:rPr>
                          <w:t>preventable</w:t>
                        </w:r>
                        <w:r>
                          <w:rPr>
                            <w:b/>
                            <w:spacing w:val="-28"/>
                            <w:sz w:val="14"/>
                          </w:rPr>
                          <w:t> </w:t>
                        </w:r>
                        <w:r>
                          <w:rPr>
                            <w:b/>
                            <w:sz w:val="14"/>
                          </w:rPr>
                          <w:t>diseases</w:t>
                        </w:r>
                      </w:p>
                    </w:tc>
                    <w:tc>
                      <w:tcPr>
                        <w:tcW w:w="2607"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90" w:right="46"/>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40"/>
                          <w:rPr>
                            <w:sz w:val="13"/>
                          </w:rPr>
                        </w:pPr>
                        <w:r>
                          <w:rPr>
                            <w:w w:val="99"/>
                            <w:sz w:val="13"/>
                          </w:rPr>
                          <w:t>1</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29"/>
                          <w:rPr>
                            <w:sz w:val="13"/>
                          </w:rPr>
                        </w:pPr>
                        <w:r>
                          <w:rPr>
                            <w:w w:val="99"/>
                            <w:sz w:val="13"/>
                          </w:rPr>
                          <w:t>1</w:t>
                        </w:r>
                      </w:p>
                    </w:tc>
                    <w:tc>
                      <w:tcPr>
                        <w:tcW w:w="808" w:type="dxa"/>
                        <w:tcBorders>
                          <w:bottom w:val="single" w:sz="6" w:space="0" w:color="000000"/>
                          <w:right w:val="single" w:sz="6" w:space="0" w:color="000000"/>
                        </w:tcBorders>
                      </w:tcPr>
                      <w:p>
                        <w:pPr>
                          <w:pStyle w:val="TableParagraph"/>
                          <w:ind w:right="36"/>
                          <w:rPr>
                            <w:sz w:val="13"/>
                          </w:rPr>
                        </w:pPr>
                        <w:r>
                          <w:rPr>
                            <w:w w:val="99"/>
                            <w:sz w:val="13"/>
                          </w:rPr>
                          <w:t>3</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2.4</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1.3</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9</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7.6</w:t>
                        </w:r>
                      </w:p>
                    </w:tc>
                    <w:tc>
                      <w:tcPr>
                        <w:tcW w:w="683" w:type="dxa"/>
                        <w:tcBorders>
                          <w:left w:val="single" w:sz="6" w:space="0" w:color="000000"/>
                          <w:bottom w:val="single" w:sz="6" w:space="0" w:color="000000"/>
                          <w:right w:val="single" w:sz="6" w:space="0" w:color="000000"/>
                        </w:tcBorders>
                      </w:tcPr>
                      <w:p>
                        <w:pPr>
                          <w:pStyle w:val="TableParagraph"/>
                          <w:ind w:right="29"/>
                          <w:rPr>
                            <w:sz w:val="13"/>
                          </w:rPr>
                        </w:pPr>
                        <w:r>
                          <w:rPr>
                            <w:sz w:val="13"/>
                          </w:rPr>
                          <w:t>1.2</w:t>
                        </w:r>
                      </w:p>
                    </w:tc>
                    <w:tc>
                      <w:tcPr>
                        <w:tcW w:w="702" w:type="dxa"/>
                        <w:tcBorders>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6"/>
                            <w:sz w:val="13"/>
                          </w:rPr>
                          <w:t> </w:t>
                        </w:r>
                        <w:r>
                          <w:rPr>
                            <w:sz w:val="13"/>
                          </w:rPr>
                          <w:t>influenzae</w:t>
                        </w:r>
                        <w:r>
                          <w:rPr>
                            <w:spacing w:val="-6"/>
                            <w:sz w:val="13"/>
                          </w:rPr>
                          <w:t> </w:t>
                        </w:r>
                        <w:r>
                          <w:rPr>
                            <w:sz w:val="13"/>
                          </w:rPr>
                          <w:t>type</w:t>
                        </w:r>
                        <w:r>
                          <w:rPr>
                            <w:spacing w:val="-6"/>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19.4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Influenza</w:t>
                        </w:r>
                        <w:r>
                          <w:rPr>
                            <w:spacing w:val="-6"/>
                            <w:sz w:val="13"/>
                          </w:rPr>
                          <w:t> </w:t>
                        </w:r>
                        <w:r>
                          <w:rPr>
                            <w:sz w:val="13"/>
                          </w:rPr>
                          <w:t>(laboratory</w:t>
                        </w:r>
                        <w:r>
                          <w:rPr>
                            <w:spacing w:val="-7"/>
                            <w:sz w:val="13"/>
                          </w:rPr>
                          <w:t> </w:t>
                        </w:r>
                        <w:r>
                          <w:rPr>
                            <w:sz w:val="13"/>
                          </w:rPr>
                          <w:t>confirmed)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3,588</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118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185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11,823.6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7,994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165,432.2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33.2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131.4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26</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159.2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89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622.2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6</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380</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88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4,136.0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2,081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15,780.2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4</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45</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133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242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288.6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1,034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1,895.6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98"/>
                          <w:jc w:val="left"/>
                          <w:rPr>
                            <w:sz w:val="13"/>
                          </w:rPr>
                        </w:pPr>
                        <w:r>
                          <w:rPr>
                            <w:sz w:val="13"/>
                          </w:rPr>
                          <w:t>NN</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110</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163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265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976.4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1,143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4,763.6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1"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spacing w:line="121" w:lineRule="exact"/>
                          <w:ind w:left="21"/>
                          <w:jc w:val="left"/>
                          <w:rPr>
                            <w:sz w:val="13"/>
                          </w:rPr>
                        </w:pPr>
                        <w:r>
                          <w:rPr>
                            <w:sz w:val="13"/>
                          </w:rPr>
                          <w:t>Rubella</w:t>
                        </w:r>
                        <w:r>
                          <w:rPr>
                            <w:spacing w:val="-7"/>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spacing w:line="121" w:lineRule="exact"/>
                          <w:ind w:left="90" w:right="46"/>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spacing w:line="121" w:lineRule="exact"/>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spacing w:line="121" w:lineRule="exact"/>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spacing w:line="121" w:lineRule="exact"/>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spacing w:line="121" w:lineRule="exact"/>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30"/>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160"/>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spacing w:line="121" w:lineRule="exact"/>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3.8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1.3</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1.8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10</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47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126</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225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428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839.0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2,401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3,585.4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19</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87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55</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91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281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339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743</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sz w:val="13"/>
                          </w:rPr>
                          <w:t>1,334</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sz w:val="13"/>
                          </w:rPr>
                          <w:t>2,079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2,996.8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13,397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10,870.4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7"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90" w:right="46"/>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8</w:t>
                        </w:r>
                      </w:p>
                    </w:tc>
                    <w:tc>
                      <w:tcPr>
                        <w:tcW w:w="638" w:type="dxa"/>
                        <w:tcBorders>
                          <w:top w:val="single" w:sz="6" w:space="0" w:color="000000"/>
                          <w:left w:val="single" w:sz="6" w:space="0" w:color="000000"/>
                          <w:right w:val="single" w:sz="6" w:space="0" w:color="000000"/>
                        </w:tcBorders>
                      </w:tcPr>
                      <w:p>
                        <w:pPr>
                          <w:pStyle w:val="TableParagraph"/>
                          <w:spacing w:line="130" w:lineRule="exact"/>
                          <w:ind w:left="70"/>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6</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431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sz w:val="13"/>
                          </w:rPr>
                          <w:t>61</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sz w:val="13"/>
                          </w:rPr>
                          <w:t>19</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1"/>
                          <w:rPr>
                            <w:sz w:val="13"/>
                          </w:rPr>
                        </w:pPr>
                        <w:r>
                          <w:rPr>
                            <w:w w:val="99"/>
                            <w:sz w:val="13"/>
                          </w:rPr>
                          <w:t>4</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73</w:t>
                        </w:r>
                      </w:p>
                    </w:tc>
                    <w:tc>
                      <w:tcPr>
                        <w:tcW w:w="808" w:type="dxa"/>
                        <w:tcBorders>
                          <w:top w:val="single" w:sz="6" w:space="0" w:color="000000"/>
                          <w:right w:val="single" w:sz="6" w:space="0" w:color="000000"/>
                        </w:tcBorders>
                      </w:tcPr>
                      <w:p>
                        <w:pPr>
                          <w:pStyle w:val="TableParagraph"/>
                          <w:spacing w:line="130" w:lineRule="exact"/>
                          <w:ind w:right="41"/>
                          <w:rPr>
                            <w:sz w:val="13"/>
                          </w:rPr>
                        </w:pPr>
                        <w:r>
                          <w:rPr>
                            <w:sz w:val="13"/>
                          </w:rPr>
                          <w:t>602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614</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461</w:t>
                        </w:r>
                      </w:p>
                    </w:tc>
                    <w:tc>
                      <w:tcPr>
                        <w:tcW w:w="808" w:type="dxa"/>
                        <w:tcBorders>
                          <w:top w:val="single" w:sz="6" w:space="0" w:color="000000"/>
                          <w:left w:val="single" w:sz="6" w:space="0" w:color="000000"/>
                        </w:tcBorders>
                      </w:tcPr>
                      <w:p>
                        <w:pPr>
                          <w:pStyle w:val="TableParagraph"/>
                          <w:spacing w:line="130" w:lineRule="exact"/>
                          <w:ind w:right="29"/>
                          <w:rPr>
                            <w:sz w:val="13"/>
                          </w:rPr>
                        </w:pPr>
                        <w:r>
                          <w:rPr>
                            <w:sz w:val="13"/>
                          </w:rPr>
                          <w:t>3,006</w:t>
                        </w:r>
                      </w:p>
                    </w:tc>
                    <w:tc>
                      <w:tcPr>
                        <w:tcW w:w="808" w:type="dxa"/>
                        <w:tcBorders>
                          <w:top w:val="single" w:sz="6" w:space="0" w:color="000000"/>
                          <w:right w:val="single" w:sz="6" w:space="0" w:color="000000"/>
                        </w:tcBorders>
                      </w:tcPr>
                      <w:p>
                        <w:pPr>
                          <w:pStyle w:val="TableParagraph"/>
                          <w:spacing w:line="130" w:lineRule="exact"/>
                          <w:ind w:right="36"/>
                          <w:rPr>
                            <w:sz w:val="13"/>
                          </w:rPr>
                        </w:pPr>
                        <w:r>
                          <w:rPr>
                            <w:sz w:val="13"/>
                          </w:rPr>
                          <w:t>4,862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3,328.2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1.5</w:t>
                        </w: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511.9</w:t>
                        </w:r>
                      </w:p>
                    </w:tc>
                    <w:tc>
                      <w:tcPr>
                        <w:tcW w:w="808" w:type="dxa"/>
                        <w:tcBorders>
                          <w:top w:val="single" w:sz="6" w:space="0" w:color="000000"/>
                          <w:right w:val="single" w:sz="6" w:space="0" w:color="000000"/>
                        </w:tcBorders>
                      </w:tcPr>
                      <w:p>
                        <w:pPr>
                          <w:pStyle w:val="TableParagraph"/>
                          <w:spacing w:line="130" w:lineRule="exact"/>
                          <w:ind w:right="31"/>
                          <w:rPr>
                            <w:sz w:val="13"/>
                          </w:rPr>
                        </w:pPr>
                        <w:r>
                          <w:rPr>
                            <w:sz w:val="13"/>
                          </w:rPr>
                          <w:t>15,007</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14,224.2</w:t>
                        </w:r>
                      </w:p>
                    </w:tc>
                    <w:tc>
                      <w:tcPr>
                        <w:tcW w:w="683" w:type="dxa"/>
                        <w:tcBorders>
                          <w:top w:val="single" w:sz="6" w:space="0" w:color="000000"/>
                          <w:left w:val="single" w:sz="6" w:space="0" w:color="000000"/>
                          <w:right w:val="single" w:sz="6" w:space="0" w:color="000000"/>
                        </w:tcBorders>
                      </w:tcPr>
                      <w:p>
                        <w:pPr>
                          <w:pStyle w:val="TableParagraph"/>
                          <w:spacing w:line="130" w:lineRule="exact"/>
                          <w:ind w:right="29"/>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1"/>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3"/>
                            <w:sz w:val="14"/>
                          </w:rPr>
                          <w:t> </w:t>
                        </w:r>
                        <w:r>
                          <w:rPr>
                            <w:b/>
                            <w:sz w:val="14"/>
                          </w:rPr>
                          <w:t>diseases</w:t>
                        </w:r>
                      </w:p>
                    </w:tc>
                    <w:tc>
                      <w:tcPr>
                        <w:tcW w:w="2607"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6"/>
                            <w:sz w:val="13"/>
                          </w:rPr>
                          <w:t> </w:t>
                        </w:r>
                        <w:r>
                          <w:rPr>
                            <w:sz w:val="13"/>
                          </w:rPr>
                          <w:t>virus</w:t>
                        </w:r>
                        <w:r>
                          <w:rPr>
                            <w:spacing w:val="-5"/>
                            <w:sz w:val="13"/>
                          </w:rPr>
                          <w:t> </w:t>
                        </w:r>
                        <w:r>
                          <w:rPr>
                            <w:sz w:val="13"/>
                          </w:rPr>
                          <w:t>infection</w:t>
                        </w:r>
                      </w:p>
                    </w:tc>
                    <w:tc>
                      <w:tcPr>
                        <w:tcW w:w="398" w:type="dxa"/>
                        <w:tcBorders>
                          <w:left w:val="single" w:sz="6" w:space="0" w:color="000000"/>
                          <w:bottom w:val="single" w:sz="6" w:space="0" w:color="000000"/>
                        </w:tcBorders>
                      </w:tcPr>
                      <w:p>
                        <w:pPr>
                          <w:pStyle w:val="TableParagraph"/>
                          <w:ind w:left="90" w:right="46"/>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15</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1</w:t>
                        </w:r>
                      </w:p>
                    </w:tc>
                    <w:tc>
                      <w:tcPr>
                        <w:tcW w:w="808" w:type="dxa"/>
                        <w:tcBorders>
                          <w:bottom w:val="single" w:sz="6" w:space="0" w:color="000000"/>
                          <w:right w:val="single" w:sz="6" w:space="0" w:color="000000"/>
                        </w:tcBorders>
                      </w:tcPr>
                      <w:p>
                        <w:pPr>
                          <w:pStyle w:val="TableParagraph"/>
                          <w:ind w:right="41"/>
                          <w:rPr>
                            <w:sz w:val="13"/>
                          </w:rPr>
                        </w:pPr>
                        <w:r>
                          <w:rPr>
                            <w:sz w:val="13"/>
                          </w:rPr>
                          <w:t>19</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24</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17</w:t>
                        </w:r>
                      </w:p>
                    </w:tc>
                    <w:tc>
                      <w:tcPr>
                        <w:tcW w:w="808" w:type="dxa"/>
                        <w:tcBorders>
                          <w:left w:val="single" w:sz="6" w:space="0" w:color="000000"/>
                          <w:bottom w:val="single" w:sz="6" w:space="0" w:color="000000"/>
                        </w:tcBorders>
                      </w:tcPr>
                      <w:p>
                        <w:pPr>
                          <w:pStyle w:val="TableParagraph"/>
                          <w:ind w:right="30"/>
                          <w:rPr>
                            <w:sz w:val="13"/>
                          </w:rPr>
                        </w:pPr>
                        <w:r>
                          <w:rPr>
                            <w:sz w:val="13"/>
                          </w:rPr>
                          <w:t>73</w:t>
                        </w:r>
                      </w:p>
                    </w:tc>
                    <w:tc>
                      <w:tcPr>
                        <w:tcW w:w="808" w:type="dxa"/>
                        <w:tcBorders>
                          <w:bottom w:val="single" w:sz="6" w:space="0" w:color="000000"/>
                          <w:right w:val="single" w:sz="6" w:space="0" w:color="000000"/>
                        </w:tcBorders>
                      </w:tcPr>
                      <w:p>
                        <w:pPr>
                          <w:pStyle w:val="TableParagraph"/>
                          <w:ind w:right="37"/>
                          <w:rPr>
                            <w:sz w:val="13"/>
                          </w:rPr>
                        </w:pPr>
                        <w:r>
                          <w:rPr>
                            <w:sz w:val="13"/>
                          </w:rPr>
                          <w:t>107</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84.2</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1.3</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746</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388.4</w:t>
                        </w:r>
                      </w:p>
                    </w:tc>
                    <w:tc>
                      <w:tcPr>
                        <w:tcW w:w="683" w:type="dxa"/>
                        <w:tcBorders>
                          <w:left w:val="single" w:sz="6" w:space="0" w:color="000000"/>
                          <w:bottom w:val="single" w:sz="6" w:space="0" w:color="000000"/>
                          <w:right w:val="single" w:sz="6" w:space="0" w:color="000000"/>
                        </w:tcBorders>
                      </w:tcPr>
                      <w:p>
                        <w:pPr>
                          <w:pStyle w:val="TableParagraph"/>
                          <w:ind w:right="29"/>
                          <w:rPr>
                            <w:sz w:val="13"/>
                          </w:rPr>
                        </w:pPr>
                        <w:r>
                          <w:rPr>
                            <w:sz w:val="13"/>
                          </w:rPr>
                          <w:t>1.9</w:t>
                        </w:r>
                      </w:p>
                    </w:tc>
                    <w:tc>
                      <w:tcPr>
                        <w:tcW w:w="702" w:type="dxa"/>
                        <w:tcBorders>
                          <w:left w:val="single" w:sz="6" w:space="0" w:color="000000"/>
                          <w:bottom w:val="single" w:sz="6" w:space="0" w:color="000000"/>
                        </w:tcBorders>
                        <w:shd w:val="clear" w:color="auto" w:fill="DAEDF3"/>
                      </w:tcPr>
                      <w:p>
                        <w:pPr>
                          <w:pStyle w:val="TableParagraph"/>
                          <w:ind w:right="20"/>
                          <w:rPr>
                            <w:sz w:val="13"/>
                          </w:rPr>
                        </w:pPr>
                        <w:r>
                          <w:rPr>
                            <w:sz w:val="13"/>
                          </w:rPr>
                          <w:t>115.3</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7</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22.0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88.0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Dengue</w:t>
                        </w:r>
                        <w:r>
                          <w:rPr>
                            <w:spacing w:val="-6"/>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28</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357.0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1,430.0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33.0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7"/>
                            <w:sz w:val="13"/>
                          </w:rPr>
                          <w:t> </w:t>
                        </w:r>
                        <w:r>
                          <w:rPr>
                            <w:sz w:val="13"/>
                          </w:rPr>
                          <w:t>encephalitis</w:t>
                        </w:r>
                        <w:r>
                          <w:rPr>
                            <w:spacing w:val="-6"/>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160"/>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23</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95.6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101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342.2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160"/>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30</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99</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53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236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61</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sz w:val="13"/>
                          </w:rPr>
                          <w:t>1,082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sz w:val="13"/>
                          </w:rPr>
                          <w:t>1,385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1,171.0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sz w:val="13"/>
                          </w:rPr>
                          <w:t>7,039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4,783.8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7"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6"/>
                            <w:sz w:val="13"/>
                          </w:rPr>
                          <w:t> </w:t>
                        </w:r>
                        <w:r>
                          <w:rPr>
                            <w:sz w:val="13"/>
                          </w:rPr>
                          <w:t>Nile/Kunjin</w:t>
                        </w:r>
                        <w:r>
                          <w:rPr>
                            <w:spacing w:val="-7"/>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90" w:right="46"/>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3"/>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6"/>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2"/>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165"/>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2"/>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1.6</w:t>
                        </w:r>
                      </w:p>
                    </w:tc>
                    <w:tc>
                      <w:tcPr>
                        <w:tcW w:w="683" w:type="dxa"/>
                        <w:tcBorders>
                          <w:top w:val="single" w:sz="6" w:space="0" w:color="000000"/>
                          <w:left w:val="single" w:sz="6" w:space="0" w:color="000000"/>
                          <w:right w:val="single" w:sz="6" w:space="0" w:color="000000"/>
                        </w:tcBorders>
                      </w:tcPr>
                      <w:p>
                        <w:pPr>
                          <w:pStyle w:val="TableParagraph"/>
                          <w:spacing w:line="130" w:lineRule="exact"/>
                          <w:ind w:right="160"/>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1"/>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before="1"/>
                          <w:ind w:left="515"/>
                          <w:jc w:val="left"/>
                          <w:rPr>
                            <w:b/>
                            <w:sz w:val="14"/>
                          </w:rPr>
                        </w:pPr>
                        <w:r>
                          <w:rPr>
                            <w:b/>
                            <w:sz w:val="14"/>
                          </w:rPr>
                          <w:t>Zoonoses</w:t>
                        </w:r>
                      </w:p>
                    </w:tc>
                    <w:tc>
                      <w:tcPr>
                        <w:tcW w:w="2607"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90" w:right="46"/>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2"/>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7"/>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Brucellosis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19.0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Leptospirosis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6"/>
                          <w:jc w:val="center"/>
                          <w:rPr>
                            <w:sz w:val="13"/>
                          </w:rPr>
                        </w:pPr>
                        <w:r>
                          <w:rPr>
                            <w:sz w:val="13"/>
                          </w:rPr>
                          <w:t>017</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w w:val="99"/>
                            <w:sz w:val="13"/>
                          </w:rPr>
                          <w:t>9</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14</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8"/>
                          <w:rPr>
                            <w:sz w:val="13"/>
                          </w:rPr>
                        </w:pPr>
                        <w:r>
                          <w:rPr>
                            <w:w w:val="99"/>
                            <w:sz w:val="13"/>
                          </w:rPr>
                          <w:t>5</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0"/>
                          <w:rPr>
                            <w:sz w:val="13"/>
                          </w:rPr>
                        </w:pPr>
                        <w:r>
                          <w:rPr>
                            <w:sz w:val="13"/>
                          </w:rPr>
                          <w:t>44</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50</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29.2</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5"/>
                          <w:rPr>
                            <w:sz w:val="13"/>
                          </w:rPr>
                        </w:pPr>
                        <w:r>
                          <w:rPr>
                            <w:sz w:val="13"/>
                          </w:rPr>
                          <w:t>9.4</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119</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117.2</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9"/>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1"/>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spacing w:line="121" w:lineRule="exact"/>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spacing w:line="121" w:lineRule="exact"/>
                          <w:ind w:left="90" w:right="46"/>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spacing w:line="121" w:lineRule="exact"/>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21" w:lineRule="exact"/>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spacing w:line="121" w:lineRule="exact"/>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spacing w:line="121" w:lineRule="exact"/>
                          <w:ind w:right="29"/>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37"/>
                          <w:rPr>
                            <w:sz w:val="13"/>
                          </w:rPr>
                        </w:pPr>
                        <w:r>
                          <w:rPr>
                            <w:sz w:val="13"/>
                          </w:rPr>
                          <w:t>13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35"/>
                          <w:rPr>
                            <w:sz w:val="13"/>
                          </w:rPr>
                        </w:pPr>
                        <w:r>
                          <w:rPr>
                            <w:sz w:val="13"/>
                          </w:rPr>
                          <w:t>5.0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33"/>
                          <w:rPr>
                            <w:sz w:val="13"/>
                          </w:rPr>
                        </w:pPr>
                        <w:r>
                          <w:rPr>
                            <w:sz w:val="13"/>
                          </w:rPr>
                          <w:t>2.6</w:t>
                        </w:r>
                      </w:p>
                    </w:tc>
                    <w:tc>
                      <w:tcPr>
                        <w:tcW w:w="702" w:type="dxa"/>
                        <w:tcBorders>
                          <w:top w:val="single" w:sz="6" w:space="0" w:color="000000"/>
                          <w:left w:val="single" w:sz="6" w:space="0" w:color="000000"/>
                          <w:bottom w:val="single" w:sz="6" w:space="0" w:color="000000"/>
                        </w:tcBorders>
                        <w:shd w:val="clear" w:color="auto" w:fill="DAEDF3"/>
                      </w:tcPr>
                      <w:p>
                        <w:pPr>
                          <w:pStyle w:val="TableParagraph"/>
                          <w:spacing w:line="121" w:lineRule="exact"/>
                          <w:ind w:right="25"/>
                          <w:rPr>
                            <w:sz w:val="13"/>
                          </w:rPr>
                        </w:pPr>
                        <w:r>
                          <w:rPr>
                            <w:sz w:val="13"/>
                          </w:rPr>
                          <w:t>0.9</w:t>
                        </w:r>
                      </w:p>
                    </w:tc>
                    <w:tc>
                      <w:tcPr>
                        <w:tcW w:w="808" w:type="dxa"/>
                        <w:tcBorders>
                          <w:top w:val="single" w:sz="6" w:space="0" w:color="000000"/>
                          <w:bottom w:val="single" w:sz="6" w:space="0" w:color="000000"/>
                          <w:right w:val="single" w:sz="6" w:space="0" w:color="000000"/>
                        </w:tcBorders>
                      </w:tcPr>
                      <w:p>
                        <w:pPr>
                          <w:pStyle w:val="TableParagraph"/>
                          <w:spacing w:line="121" w:lineRule="exact"/>
                          <w:ind w:right="32"/>
                          <w:rPr>
                            <w:sz w:val="13"/>
                          </w:rPr>
                        </w:pPr>
                        <w:r>
                          <w:rPr>
                            <w:sz w:val="13"/>
                          </w:rPr>
                          <w:t>63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30"/>
                          <w:rPr>
                            <w:sz w:val="13"/>
                          </w:rPr>
                        </w:pPr>
                        <w:r>
                          <w:rPr>
                            <w:sz w:val="13"/>
                          </w:rPr>
                          <w:t>18.8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right="29"/>
                          <w:rPr>
                            <w:sz w:val="13"/>
                          </w:rPr>
                        </w:pPr>
                        <w:r>
                          <w:rPr>
                            <w:sz w:val="13"/>
                          </w:rPr>
                          <w:t>3.4</w:t>
                        </w:r>
                      </w:p>
                    </w:tc>
                    <w:tc>
                      <w:tcPr>
                        <w:tcW w:w="702" w:type="dxa"/>
                        <w:tcBorders>
                          <w:top w:val="single" w:sz="6" w:space="0" w:color="000000"/>
                          <w:left w:val="single" w:sz="6" w:space="0" w:color="000000"/>
                          <w:bottom w:val="single" w:sz="6" w:space="0" w:color="000000"/>
                        </w:tcBorders>
                        <w:shd w:val="clear" w:color="auto" w:fill="DAEDF3"/>
                      </w:tcPr>
                      <w:p>
                        <w:pPr>
                          <w:pStyle w:val="TableParagraph"/>
                          <w:spacing w:line="121" w:lineRule="exact"/>
                          <w:ind w:right="20"/>
                          <w:rPr>
                            <w:sz w:val="13"/>
                          </w:rPr>
                        </w:pPr>
                        <w:r>
                          <w:rPr>
                            <w:sz w:val="13"/>
                          </w:rPr>
                          <w:t>33.9</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25</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68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92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140.0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440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547.0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7"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90" w:right="46"/>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3"/>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6"/>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2"/>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1"/>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20"/>
                          <w:rPr>
                            <w:sz w:val="13"/>
                          </w:rPr>
                        </w:pPr>
                        <w:r>
                          <w:rPr>
                            <w:sz w:val="13"/>
                          </w:rPr>
                          <w:t>2.0</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 bacterial</w:t>
                        </w:r>
                        <w:r>
                          <w:rPr>
                            <w:b/>
                            <w:spacing w:val="-2"/>
                            <w:sz w:val="14"/>
                          </w:rPr>
                          <w:t> </w:t>
                        </w:r>
                        <w:r>
                          <w:rPr>
                            <w:b/>
                            <w:sz w:val="14"/>
                          </w:rPr>
                          <w:t>infections</w:t>
                        </w:r>
                      </w:p>
                    </w:tc>
                    <w:tc>
                      <w:tcPr>
                        <w:tcW w:w="2607" w:type="dxa"/>
                        <w:tcBorders>
                          <w:bottom w:val="single" w:sz="6" w:space="0" w:color="000000"/>
                          <w:right w:val="single" w:sz="6" w:space="0" w:color="000000"/>
                        </w:tcBorders>
                        <w:shd w:val="clear" w:color="auto" w:fill="FFFF00"/>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shd w:val="clear" w:color="auto" w:fill="FFFF00"/>
                      </w:tcPr>
                      <w:p>
                        <w:pPr>
                          <w:pStyle w:val="TableParagraph"/>
                          <w:ind w:left="90" w:right="46"/>
                          <w:jc w:val="center"/>
                          <w:rPr>
                            <w:sz w:val="13"/>
                          </w:rPr>
                        </w:pPr>
                        <w:r>
                          <w:rPr>
                            <w:sz w:val="13"/>
                          </w:rPr>
                          <w:t>015</w:t>
                        </w:r>
                      </w:p>
                    </w:tc>
                    <w:tc>
                      <w:tcPr>
                        <w:tcW w:w="465" w:type="dxa"/>
                        <w:tcBorders>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5</w:t>
                        </w:r>
                      </w:p>
                    </w:tc>
                    <w:tc>
                      <w:tcPr>
                        <w:tcW w:w="465" w:type="dxa"/>
                        <w:tcBorders>
                          <w:left w:val="single" w:sz="6" w:space="0" w:color="000000"/>
                          <w:bottom w:val="single" w:sz="6" w:space="0" w:color="000000"/>
                          <w:right w:val="single" w:sz="6" w:space="0" w:color="000000"/>
                        </w:tcBorders>
                        <w:shd w:val="clear" w:color="auto" w:fill="FFFF00"/>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3</w:t>
                        </w:r>
                      </w:p>
                    </w:tc>
                    <w:tc>
                      <w:tcPr>
                        <w:tcW w:w="465" w:type="dxa"/>
                        <w:tcBorders>
                          <w:left w:val="single" w:sz="6" w:space="0" w:color="000000"/>
                          <w:bottom w:val="single" w:sz="6" w:space="0" w:color="000000"/>
                          <w:right w:val="single" w:sz="6" w:space="0" w:color="000000"/>
                        </w:tcBorders>
                        <w:shd w:val="clear" w:color="auto" w:fill="FFFF00"/>
                      </w:tcPr>
                      <w:p>
                        <w:pPr>
                          <w:pStyle w:val="TableParagraph"/>
                          <w:ind w:left="234"/>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right="41"/>
                          <w:rPr>
                            <w:sz w:val="13"/>
                          </w:rPr>
                        </w:pPr>
                        <w:r>
                          <w:rPr>
                            <w:w w:val="99"/>
                            <w:sz w:val="13"/>
                          </w:rPr>
                          <w:t>6</w:t>
                        </w:r>
                      </w:p>
                    </w:tc>
                    <w:tc>
                      <w:tcPr>
                        <w:tcW w:w="532" w:type="dxa"/>
                        <w:tcBorders>
                          <w:left w:val="single" w:sz="6" w:space="0" w:color="000000"/>
                          <w:bottom w:val="single" w:sz="6" w:space="0" w:color="000000"/>
                        </w:tcBorders>
                        <w:shd w:val="clear" w:color="auto" w:fill="FFFF00"/>
                      </w:tcPr>
                      <w:p>
                        <w:pPr>
                          <w:pStyle w:val="TableParagraph"/>
                          <w:ind w:right="33"/>
                          <w:rPr>
                            <w:sz w:val="13"/>
                          </w:rPr>
                        </w:pPr>
                        <w:r>
                          <w:rPr>
                            <w:w w:val="99"/>
                            <w:sz w:val="13"/>
                          </w:rPr>
                          <w:t>1</w:t>
                        </w:r>
                      </w:p>
                    </w:tc>
                    <w:tc>
                      <w:tcPr>
                        <w:tcW w:w="808" w:type="dxa"/>
                        <w:tcBorders>
                          <w:bottom w:val="single" w:sz="6" w:space="0" w:color="000000"/>
                          <w:right w:val="single" w:sz="6" w:space="0" w:color="000000"/>
                        </w:tcBorders>
                        <w:shd w:val="clear" w:color="auto" w:fill="FFFF00"/>
                      </w:tcPr>
                      <w:p>
                        <w:pPr>
                          <w:pStyle w:val="TableParagraph"/>
                          <w:ind w:right="41"/>
                          <w:rPr>
                            <w:sz w:val="13"/>
                          </w:rPr>
                        </w:pPr>
                        <w:r>
                          <w:rPr>
                            <w:sz w:val="13"/>
                          </w:rPr>
                          <w:t>18</w:t>
                        </w:r>
                      </w:p>
                    </w:tc>
                    <w:tc>
                      <w:tcPr>
                        <w:tcW w:w="808" w:type="dxa"/>
                        <w:tcBorders>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30</w:t>
                        </w:r>
                      </w:p>
                    </w:tc>
                    <w:tc>
                      <w:tcPr>
                        <w:tcW w:w="808" w:type="dxa"/>
                        <w:tcBorders>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24</w:t>
                        </w:r>
                      </w:p>
                    </w:tc>
                    <w:tc>
                      <w:tcPr>
                        <w:tcW w:w="808" w:type="dxa"/>
                        <w:tcBorders>
                          <w:left w:val="single" w:sz="6" w:space="0" w:color="000000"/>
                          <w:bottom w:val="single" w:sz="6" w:space="0" w:color="000000"/>
                        </w:tcBorders>
                        <w:shd w:val="clear" w:color="auto" w:fill="FFFF00"/>
                      </w:tcPr>
                      <w:p>
                        <w:pPr>
                          <w:pStyle w:val="TableParagraph"/>
                          <w:ind w:right="30"/>
                          <w:rPr>
                            <w:sz w:val="13"/>
                          </w:rPr>
                        </w:pPr>
                        <w:r>
                          <w:rPr>
                            <w:sz w:val="13"/>
                          </w:rPr>
                          <w:t>95</w:t>
                        </w:r>
                      </w:p>
                    </w:tc>
                    <w:tc>
                      <w:tcPr>
                        <w:tcW w:w="808" w:type="dxa"/>
                        <w:tcBorders>
                          <w:bottom w:val="single" w:sz="6" w:space="0" w:color="000000"/>
                          <w:right w:val="single" w:sz="6" w:space="0" w:color="000000"/>
                        </w:tcBorders>
                        <w:shd w:val="clear" w:color="auto" w:fill="FFFF00"/>
                      </w:tcPr>
                      <w:p>
                        <w:pPr>
                          <w:pStyle w:val="TableParagraph"/>
                          <w:ind w:right="37"/>
                          <w:rPr>
                            <w:sz w:val="13"/>
                          </w:rPr>
                        </w:pPr>
                        <w:r>
                          <w:rPr>
                            <w:sz w:val="13"/>
                          </w:rPr>
                          <w:t>169</w:t>
                        </w:r>
                      </w:p>
                    </w:tc>
                    <w:tc>
                      <w:tcPr>
                        <w:tcW w:w="702" w:type="dxa"/>
                        <w:tcBorders>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102.6</w:t>
                        </w:r>
                      </w:p>
                    </w:tc>
                    <w:tc>
                      <w:tcPr>
                        <w:tcW w:w="692" w:type="dxa"/>
                        <w:tcBorders>
                          <w:left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1.6</w:t>
                        </w:r>
                      </w:p>
                    </w:tc>
                    <w:tc>
                      <w:tcPr>
                        <w:tcW w:w="702" w:type="dxa"/>
                        <w:tcBorders>
                          <w:left w:val="single" w:sz="6" w:space="0" w:color="000000"/>
                          <w:bottom w:val="single" w:sz="6" w:space="0" w:color="000000"/>
                        </w:tcBorders>
                        <w:shd w:val="clear" w:color="auto" w:fill="FFFF00"/>
                      </w:tcPr>
                      <w:p>
                        <w:pPr>
                          <w:pStyle w:val="TableParagraph"/>
                          <w:ind w:right="25"/>
                          <w:rPr>
                            <w:sz w:val="13"/>
                          </w:rPr>
                        </w:pPr>
                        <w:r>
                          <w:rPr>
                            <w:sz w:val="13"/>
                          </w:rPr>
                          <w:t>15.8</w:t>
                        </w:r>
                      </w:p>
                    </w:tc>
                    <w:tc>
                      <w:tcPr>
                        <w:tcW w:w="808" w:type="dxa"/>
                        <w:tcBorders>
                          <w:bottom w:val="single" w:sz="6" w:space="0" w:color="000000"/>
                          <w:right w:val="single" w:sz="6" w:space="0" w:color="000000"/>
                        </w:tcBorders>
                        <w:shd w:val="clear" w:color="auto" w:fill="FFFF00"/>
                      </w:tcPr>
                      <w:p>
                        <w:pPr>
                          <w:pStyle w:val="TableParagraph"/>
                          <w:ind w:right="32"/>
                          <w:rPr>
                            <w:sz w:val="13"/>
                          </w:rPr>
                        </w:pPr>
                        <w:r>
                          <w:rPr>
                            <w:sz w:val="13"/>
                          </w:rPr>
                          <w:t>544</w:t>
                        </w:r>
                      </w:p>
                    </w:tc>
                    <w:tc>
                      <w:tcPr>
                        <w:tcW w:w="702" w:type="dxa"/>
                        <w:tcBorders>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403.6</w:t>
                        </w:r>
                      </w:p>
                    </w:tc>
                    <w:tc>
                      <w:tcPr>
                        <w:tcW w:w="683" w:type="dxa"/>
                        <w:tcBorders>
                          <w:left w:val="single" w:sz="6" w:space="0" w:color="000000"/>
                          <w:bottom w:val="single" w:sz="6" w:space="0" w:color="000000"/>
                          <w:right w:val="single" w:sz="6" w:space="0" w:color="000000"/>
                        </w:tcBorders>
                        <w:shd w:val="clear" w:color="auto" w:fill="FFFF00"/>
                      </w:tcPr>
                      <w:p>
                        <w:pPr>
                          <w:pStyle w:val="TableParagraph"/>
                          <w:ind w:right="29"/>
                          <w:rPr>
                            <w:sz w:val="13"/>
                          </w:rPr>
                        </w:pPr>
                        <w:r>
                          <w:rPr>
                            <w:sz w:val="13"/>
                          </w:rPr>
                          <w:t>1.3</w:t>
                        </w:r>
                      </w:p>
                    </w:tc>
                    <w:tc>
                      <w:tcPr>
                        <w:tcW w:w="702" w:type="dxa"/>
                        <w:tcBorders>
                          <w:left w:val="single" w:sz="6" w:space="0" w:color="000000"/>
                          <w:bottom w:val="single" w:sz="6" w:space="0" w:color="000000"/>
                        </w:tcBorders>
                        <w:shd w:val="clear" w:color="auto" w:fill="FFFF00"/>
                      </w:tcPr>
                      <w:p>
                        <w:pPr>
                          <w:pStyle w:val="TableParagraph"/>
                          <w:ind w:right="20"/>
                          <w:rPr>
                            <w:sz w:val="13"/>
                          </w:rPr>
                        </w:pPr>
                        <w:r>
                          <w:rPr>
                            <w:sz w:val="13"/>
                          </w:rPr>
                          <w:t>46.5</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11.8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7"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51.0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77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262.8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right="29"/>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1"/>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7"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90" w:right="46"/>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6"/>
                          <w:rPr>
                            <w:sz w:val="13"/>
                          </w:rPr>
                        </w:pPr>
                        <w:r>
                          <w:rPr>
                            <w:sz w:val="13"/>
                          </w:rPr>
                          <w:t>17</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3"/>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w w:val="99"/>
                            <w:sz w:val="13"/>
                          </w:rPr>
                          <w:t>9</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15</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1</w:t>
                        </w:r>
                      </w:p>
                    </w:tc>
                    <w:tc>
                      <w:tcPr>
                        <w:tcW w:w="808" w:type="dxa"/>
                        <w:tcBorders>
                          <w:top w:val="single" w:sz="6" w:space="0" w:color="000000"/>
                          <w:right w:val="single" w:sz="6" w:space="0" w:color="000000"/>
                        </w:tcBorders>
                      </w:tcPr>
                      <w:p>
                        <w:pPr>
                          <w:pStyle w:val="TableParagraph"/>
                          <w:spacing w:line="130" w:lineRule="exact"/>
                          <w:ind w:right="41"/>
                          <w:rPr>
                            <w:sz w:val="13"/>
                          </w:rPr>
                        </w:pPr>
                        <w:r>
                          <w:rPr>
                            <w:sz w:val="13"/>
                          </w:rPr>
                          <w:t>42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74</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208</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350</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350.2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1"/>
                          <w:rPr>
                            <w:sz w:val="13"/>
                          </w:rPr>
                        </w:pPr>
                        <w:r>
                          <w:rPr>
                            <w:sz w:val="13"/>
                          </w:rPr>
                          <w:t>1,578</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1,415.0</w:t>
                        </w:r>
                      </w:p>
                    </w:tc>
                    <w:tc>
                      <w:tcPr>
                        <w:tcW w:w="683" w:type="dxa"/>
                        <w:tcBorders>
                          <w:top w:val="single" w:sz="6" w:space="0" w:color="000000"/>
                          <w:left w:val="single" w:sz="6" w:space="0" w:color="000000"/>
                          <w:right w:val="single" w:sz="6" w:space="0" w:color="000000"/>
                        </w:tcBorders>
                      </w:tcPr>
                      <w:p>
                        <w:pPr>
                          <w:pStyle w:val="TableParagraph"/>
                          <w:spacing w:line="130" w:lineRule="exact"/>
                          <w:ind w:right="29"/>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1"/>
                          <w:rPr>
                            <w:sz w:val="13"/>
                          </w:rPr>
                        </w:pPr>
                        <w:r>
                          <w:rPr>
                            <w:w w:val="99"/>
                            <w:sz w:val="13"/>
                          </w:rPr>
                          <w:t>-</w:t>
                        </w:r>
                      </w:p>
                    </w:tc>
                  </w:tr>
                  <w:tr>
                    <w:trPr>
                      <w:trHeight w:val="150" w:hRule="atLeast"/>
                    </w:trPr>
                    <w:tc>
                      <w:tcPr>
                        <w:tcW w:w="4603"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155</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2,707</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186</w:t>
                        </w:r>
                      </w:p>
                    </w:tc>
                    <w:tc>
                      <w:tcPr>
                        <w:tcW w:w="532" w:type="dxa"/>
                        <w:tcBorders>
                          <w:left w:val="single" w:sz="6" w:space="0" w:color="000000"/>
                          <w:right w:val="single" w:sz="6" w:space="0" w:color="000000"/>
                        </w:tcBorders>
                      </w:tcPr>
                      <w:p>
                        <w:pPr>
                          <w:pStyle w:val="TableParagraph"/>
                          <w:spacing w:line="130" w:lineRule="exact"/>
                          <w:ind w:right="43"/>
                          <w:rPr>
                            <w:sz w:val="13"/>
                          </w:rPr>
                        </w:pPr>
                        <w:r>
                          <w:rPr>
                            <w:sz w:val="13"/>
                          </w:rPr>
                          <w:t>2,622</w:t>
                        </w:r>
                      </w:p>
                    </w:tc>
                    <w:tc>
                      <w:tcPr>
                        <w:tcW w:w="532" w:type="dxa"/>
                        <w:tcBorders>
                          <w:left w:val="single" w:sz="6" w:space="0" w:color="000000"/>
                          <w:right w:val="single" w:sz="6" w:space="0" w:color="000000"/>
                        </w:tcBorders>
                        <w:shd w:val="clear" w:color="auto" w:fill="D9D9D9"/>
                      </w:tcPr>
                      <w:p>
                        <w:pPr>
                          <w:pStyle w:val="TableParagraph"/>
                          <w:spacing w:line="130" w:lineRule="exact"/>
                          <w:ind w:right="44"/>
                          <w:rPr>
                            <w:sz w:val="13"/>
                          </w:rPr>
                        </w:pPr>
                        <w:r>
                          <w:rPr>
                            <w:sz w:val="13"/>
                          </w:rPr>
                          <w:t>711</w:t>
                        </w:r>
                      </w:p>
                    </w:tc>
                    <w:tc>
                      <w:tcPr>
                        <w:tcW w:w="465" w:type="dxa"/>
                        <w:tcBorders>
                          <w:left w:val="single" w:sz="6" w:space="0" w:color="000000"/>
                          <w:right w:val="single" w:sz="6" w:space="0" w:color="000000"/>
                        </w:tcBorders>
                      </w:tcPr>
                      <w:p>
                        <w:pPr>
                          <w:pStyle w:val="TableParagraph"/>
                          <w:spacing w:line="130" w:lineRule="exact"/>
                          <w:ind w:right="43"/>
                          <w:rPr>
                            <w:sz w:val="13"/>
                          </w:rPr>
                        </w:pPr>
                        <w:r>
                          <w:rPr>
                            <w:sz w:val="13"/>
                          </w:rPr>
                          <w:t>162</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849</w:t>
                        </w:r>
                      </w:p>
                    </w:tc>
                    <w:tc>
                      <w:tcPr>
                        <w:tcW w:w="532" w:type="dxa"/>
                        <w:tcBorders>
                          <w:left w:val="single" w:sz="6" w:space="0" w:color="000000"/>
                        </w:tcBorders>
                      </w:tcPr>
                      <w:p>
                        <w:pPr>
                          <w:pStyle w:val="TableParagraph"/>
                          <w:spacing w:line="130" w:lineRule="exact"/>
                          <w:ind w:right="33"/>
                          <w:rPr>
                            <w:sz w:val="13"/>
                          </w:rPr>
                        </w:pPr>
                        <w:r>
                          <w:rPr>
                            <w:sz w:val="13"/>
                          </w:rPr>
                          <w:t>1,134</w:t>
                        </w:r>
                      </w:p>
                    </w:tc>
                    <w:tc>
                      <w:tcPr>
                        <w:tcW w:w="808" w:type="dxa"/>
                      </w:tcPr>
                      <w:p>
                        <w:pPr>
                          <w:pStyle w:val="TableParagraph"/>
                          <w:spacing w:line="130" w:lineRule="exact"/>
                          <w:ind w:right="32"/>
                          <w:rPr>
                            <w:sz w:val="13"/>
                          </w:rPr>
                        </w:pPr>
                        <w:r>
                          <w:rPr>
                            <w:sz w:val="13"/>
                          </w:rPr>
                          <w:t>8,526</w:t>
                        </w:r>
                      </w:p>
                    </w:tc>
                    <w:tc>
                      <w:tcPr>
                        <w:tcW w:w="808" w:type="dxa"/>
                      </w:tcPr>
                      <w:p>
                        <w:pPr>
                          <w:pStyle w:val="TableParagraph"/>
                          <w:spacing w:line="130" w:lineRule="exact"/>
                          <w:ind w:right="31"/>
                          <w:rPr>
                            <w:sz w:val="13"/>
                          </w:rPr>
                        </w:pPr>
                        <w:r>
                          <w:rPr>
                            <w:sz w:val="13"/>
                          </w:rPr>
                          <w:t>9,131</w:t>
                        </w:r>
                      </w:p>
                    </w:tc>
                    <w:tc>
                      <w:tcPr>
                        <w:tcW w:w="808" w:type="dxa"/>
                      </w:tcPr>
                      <w:p>
                        <w:pPr>
                          <w:pStyle w:val="TableParagraph"/>
                          <w:spacing w:line="130" w:lineRule="exact"/>
                          <w:ind w:right="30"/>
                          <w:rPr>
                            <w:sz w:val="13"/>
                          </w:rPr>
                        </w:pPr>
                        <w:r>
                          <w:rPr>
                            <w:sz w:val="13"/>
                          </w:rPr>
                          <w:t>16,751</w:t>
                        </w:r>
                      </w:p>
                    </w:tc>
                    <w:tc>
                      <w:tcPr>
                        <w:tcW w:w="808" w:type="dxa"/>
                      </w:tcPr>
                      <w:p>
                        <w:pPr>
                          <w:pStyle w:val="TableParagraph"/>
                          <w:spacing w:line="130" w:lineRule="exact"/>
                          <w:ind w:right="29"/>
                          <w:rPr>
                            <w:sz w:val="13"/>
                          </w:rPr>
                        </w:pPr>
                        <w:r>
                          <w:rPr>
                            <w:sz w:val="13"/>
                          </w:rPr>
                          <w:t>36,983</w:t>
                        </w:r>
                      </w:p>
                    </w:tc>
                    <w:tc>
                      <w:tcPr>
                        <w:tcW w:w="808" w:type="dxa"/>
                      </w:tcPr>
                      <w:p>
                        <w:pPr>
                          <w:pStyle w:val="TableParagraph"/>
                          <w:spacing w:line="130" w:lineRule="exact"/>
                          <w:ind w:right="29"/>
                          <w:rPr>
                            <w:sz w:val="13"/>
                          </w:rPr>
                        </w:pPr>
                        <w:r>
                          <w:rPr>
                            <w:sz w:val="13"/>
                          </w:rPr>
                          <w:t>55,757</w:t>
                        </w:r>
                      </w:p>
                    </w:tc>
                    <w:tc>
                      <w:tcPr>
                        <w:tcW w:w="2096" w:type="dxa"/>
                        <w:gridSpan w:val="3"/>
                        <w:tcBorders>
                          <w:bottom w:val="nil"/>
                          <w:right w:val="single" w:sz="6" w:space="0" w:color="000000"/>
                        </w:tcBorders>
                      </w:tcPr>
                      <w:p>
                        <w:pPr>
                          <w:pStyle w:val="TableParagraph"/>
                          <w:spacing w:line="240" w:lineRule="auto"/>
                          <w:jc w:val="left"/>
                          <w:rPr>
                            <w:rFonts w:ascii="Times New Roman"/>
                            <w:sz w:val="8"/>
                          </w:rPr>
                        </w:pPr>
                      </w:p>
                    </w:tc>
                    <w:tc>
                      <w:tcPr>
                        <w:tcW w:w="808" w:type="dxa"/>
                        <w:tcBorders>
                          <w:left w:val="single" w:sz="6" w:space="0" w:color="000000"/>
                        </w:tcBorders>
                      </w:tcPr>
                      <w:p>
                        <w:pPr>
                          <w:pStyle w:val="TableParagraph"/>
                          <w:spacing w:line="130" w:lineRule="exact"/>
                          <w:ind w:right="23"/>
                          <w:rPr>
                            <w:sz w:val="13"/>
                          </w:rPr>
                        </w:pPr>
                        <w:r>
                          <w:rPr>
                            <w:sz w:val="13"/>
                          </w:rPr>
                          <w:t>260,676</w:t>
                        </w:r>
                      </w:p>
                    </w:tc>
                    <w:tc>
                      <w:tcPr>
                        <w:tcW w:w="20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8"/>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20"/>
        </w:rPr>
      </w:pPr>
    </w:p>
    <w:p>
      <w:pPr>
        <w:spacing w:before="0"/>
        <w:ind w:left="141" w:right="0" w:firstLine="0"/>
        <w:jc w:val="left"/>
        <w:rPr>
          <w:sz w:val="10"/>
        </w:rPr>
      </w:pPr>
      <w:r>
        <w:rPr>
          <w:w w:val="105"/>
          <w:sz w:val="10"/>
        </w:rPr>
        <w:t>Footnotes:</w:t>
      </w:r>
    </w:p>
    <w:p>
      <w:pPr>
        <w:spacing w:line="273" w:lineRule="auto" w:before="17"/>
        <w:ind w:left="141" w:right="10341"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 Notifiable, NEC</w:t>
      </w:r>
      <w:r>
        <w:rPr>
          <w:spacing w:val="-1"/>
          <w:w w:val="105"/>
          <w:sz w:val="10"/>
        </w:rPr>
        <w:t> </w:t>
      </w:r>
      <w:r>
        <w:rPr>
          <w:w w:val="105"/>
          <w:sz w:val="10"/>
        </w:rPr>
        <w:t>=</w:t>
      </w:r>
      <w:r>
        <w:rPr>
          <w:spacing w:val="-1"/>
          <w:w w:val="105"/>
          <w:sz w:val="10"/>
        </w:rPr>
        <w:t> </w:t>
      </w:r>
      <w:r>
        <w:rPr>
          <w:w w:val="105"/>
          <w:sz w:val="10"/>
        </w:rPr>
        <w:t>Not Elsewhere Classified</w:t>
      </w:r>
    </w:p>
    <w:p>
      <w:pPr>
        <w:spacing w:line="273" w:lineRule="auto" w:before="8"/>
        <w:ind w:left="141" w:right="519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w:t>
      </w:r>
      <w:r>
        <w:rPr>
          <w:spacing w:val="1"/>
          <w:w w:val="105"/>
          <w:sz w:val="10"/>
        </w:rPr>
        <w:t> </w:t>
      </w:r>
      <w:r>
        <w:rPr>
          <w:w w:val="105"/>
          <w:sz w:val="10"/>
        </w:rPr>
        <w:t>only uploaded quarterly by some jurisdictions, which can result in apparent large variability over time. The NNDSS is a dynamic dataset, with data in this report representing data available on </w:t>
      </w:r>
      <w:r>
        <w:rPr>
          <w:b/>
          <w:color w:val="FF0000"/>
          <w:w w:val="105"/>
          <w:sz w:val="10"/>
        </w:rPr>
        <w:t>(03/03/2021). </w:t>
      </w:r>
      <w:r>
        <w:rPr>
          <w:w w:val="105"/>
          <w:sz w:val="10"/>
        </w:rPr>
        <w:t>Data in this report are subject to retrospective revision and may vary from data reported in</w:t>
      </w:r>
      <w:r>
        <w:rPr>
          <w:spacing w:val="1"/>
          <w:w w:val="105"/>
          <w:sz w:val="10"/>
        </w:rPr>
        <w:t> </w:t>
      </w:r>
      <w:r>
        <w:rPr>
          <w:w w:val="105"/>
          <w:sz w:val="10"/>
        </w:rPr>
        <w:t>published</w:t>
      </w:r>
      <w:r>
        <w:rPr>
          <w:spacing w:val="-1"/>
          <w:w w:val="105"/>
          <w:sz w:val="10"/>
        </w:rPr>
        <w:t> </w:t>
      </w:r>
      <w:r>
        <w:rPr>
          <w:w w:val="105"/>
          <w:sz w:val="10"/>
        </w:rPr>
        <w:t>NNDSS</w:t>
      </w:r>
      <w:r>
        <w:rPr>
          <w:spacing w:val="-1"/>
          <w:w w:val="105"/>
          <w:sz w:val="10"/>
        </w:rPr>
        <w:t> </w:t>
      </w:r>
      <w:r>
        <w:rPr>
          <w:w w:val="105"/>
          <w:sz w:val="10"/>
        </w:rPr>
        <w:t>reports</w:t>
      </w:r>
      <w:r>
        <w:rPr>
          <w:spacing w:val="-1"/>
          <w:w w:val="105"/>
          <w:sz w:val="10"/>
        </w:rPr>
        <w:t> </w:t>
      </w:r>
      <w:r>
        <w:rPr>
          <w:w w:val="105"/>
          <w:sz w:val="10"/>
        </w:rPr>
        <w:t>and</w:t>
      </w:r>
      <w:r>
        <w:rPr>
          <w:spacing w:val="-1"/>
          <w:w w:val="105"/>
          <w:sz w:val="10"/>
        </w:rPr>
        <w:t> </w:t>
      </w:r>
      <w:r>
        <w:rPr>
          <w:w w:val="105"/>
          <w:sz w:val="10"/>
        </w:rPr>
        <w:t>reports</w:t>
      </w:r>
      <w:r>
        <w:rPr>
          <w:spacing w:val="-1"/>
          <w:w w:val="105"/>
          <w:sz w:val="10"/>
        </w:rPr>
        <w:t> </w:t>
      </w:r>
      <w:r>
        <w:rPr>
          <w:w w:val="105"/>
          <w:sz w:val="10"/>
        </w:rPr>
        <w:t>of</w:t>
      </w:r>
      <w:r>
        <w:rPr>
          <w:spacing w:val="-2"/>
          <w:w w:val="105"/>
          <w:sz w:val="10"/>
        </w:rPr>
        <w:t> </w:t>
      </w:r>
      <w:r>
        <w:rPr>
          <w:w w:val="105"/>
          <w:sz w:val="10"/>
        </w:rPr>
        <w:t>notification</w:t>
      </w:r>
      <w:r>
        <w:rPr>
          <w:spacing w:val="-1"/>
          <w:w w:val="105"/>
          <w:sz w:val="10"/>
        </w:rPr>
        <w:t> </w:t>
      </w:r>
      <w:r>
        <w:rPr>
          <w:w w:val="105"/>
          <w:sz w:val="10"/>
        </w:rPr>
        <w:t>data by states and</w:t>
      </w:r>
      <w:r>
        <w:rPr>
          <w:spacing w:val="-1"/>
          <w:w w:val="105"/>
          <w:sz w:val="10"/>
        </w:rPr>
        <w:t> </w:t>
      </w:r>
      <w:r>
        <w:rPr>
          <w:w w:val="105"/>
          <w:sz w:val="10"/>
        </w:rPr>
        <w:t>territories.</w:t>
      </w:r>
    </w:p>
    <w:sectPr>
      <w:pgSz w:w="23810" w:h="16840" w:orient="landscape"/>
      <w:pgMar w:top="1060" w:bottom="280" w:left="2880" w:right="2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21"/>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REYESA</dc:creator>
  <dc:subject>Communicable diseases</dc:subject>
  <dc:title>Microsoft Word - 2. Fortnight_04 - 03Mar2021 Summary Notes.docx</dc:title>
  <dcterms:created xsi:type="dcterms:W3CDTF">2021-09-06T23:32:06Z</dcterms:created>
  <dcterms:modified xsi:type="dcterms:W3CDTF">2021-09-06T23:32:06Z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Acrobat PDFMaker 21 for Word</vt:lpwstr>
  </property>
  <property fmtid="{D5CDD505-2E9C-101B-9397-08002B2CF9AE}" pid="4" name="LastSaved">
    <vt:filetime>2021-09-06T00:00:00Z</vt:filetime>
  </property>
</Properties>
</file>