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04, 2020 Summary Notes for Selected Diseases</w:t>
      </w:r>
      <w:r>
        <w:rPr>
          <w:spacing w:val="-52"/>
          <w:u w:val="none"/>
        </w:rPr>
        <w:t> </w:t>
      </w:r>
      <w:bookmarkStart w:name="15 February to 28 February 2020" w:id="1"/>
      <w:bookmarkEnd w:id="1"/>
      <w:r>
        <w:rPr>
          <w:u w:val="single"/>
        </w:rPr>
        <w:t>15</w:t>
      </w:r>
      <w:r>
        <w:rPr>
          <w:u w:val="single"/>
        </w:rPr>
        <w:t> February to</w:t>
      </w:r>
      <w:r>
        <w:rPr>
          <w:spacing w:val="1"/>
          <w:u w:val="single"/>
        </w:rPr>
        <w:t> </w:t>
      </w:r>
      <w:r>
        <w:rPr>
          <w:u w:val="single"/>
        </w:rPr>
        <w:t>28</w:t>
      </w:r>
      <w:r>
        <w:rPr>
          <w:spacing w:val="1"/>
          <w:u w:val="single"/>
        </w:rPr>
        <w:t> </w:t>
      </w:r>
      <w:r>
        <w:rPr>
          <w:u w:val="single"/>
        </w:rPr>
        <w:t>February</w:t>
      </w:r>
      <w:r>
        <w:rPr>
          <w:spacing w:val="-1"/>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rPr>
          <w:rFonts w:ascii="Times New Roman" w:hAnsi="Times New Roman"/>
        </w:rPr>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w:t>
      </w:r>
      <w:r>
        <w:rPr>
          <w:rFonts w:ascii="Times New Roman" w:hAnsi="Times New Roman"/>
        </w:rPr>
        <w:t>refer to the</w:t>
      </w:r>
      <w:r>
        <w:rPr>
          <w:rFonts w:ascii="Times New Roman" w:hAnsi="Times New Roman"/>
          <w:spacing w:val="1"/>
        </w:rPr>
        <w:t> </w:t>
      </w:r>
      <w:hyperlink r:id="rId5">
        <w:r>
          <w:rPr>
            <w:rFonts w:ascii="Times New Roman" w:hAnsi="Times New Roman"/>
            <w:color w:val="0000FF"/>
            <w:u w:val="single" w:color="0000FF"/>
          </w:rPr>
          <w:t>Department’s</w:t>
        </w:r>
        <w:r>
          <w:rPr>
            <w:rFonts w:ascii="Times New Roman" w:hAnsi="Times New Roman"/>
            <w:color w:val="0000FF"/>
            <w:spacing w:val="1"/>
            <w:u w:val="single" w:color="0000FF"/>
          </w:rPr>
          <w:t> </w:t>
        </w:r>
        <w:r>
          <w:rPr>
            <w:rFonts w:ascii="Times New Roman" w:hAnsi="Times New Roman"/>
            <w:color w:val="0000FF"/>
            <w:u w:val="single" w:color="0000FF"/>
          </w:rPr>
          <w:t>website</w:t>
        </w:r>
        <w:r>
          <w:rPr>
            <w:rFonts w:ascii="Times New Roman" w:hAnsi="Times New Roman"/>
          </w:rPr>
          <w:t>.</w:t>
        </w:r>
      </w:hyperlink>
    </w:p>
    <w:p>
      <w:pPr>
        <w:pStyle w:val="BodyText"/>
        <w:spacing w:before="1"/>
        <w:rPr>
          <w:rFonts w:ascii="Times New Roman"/>
          <w:sz w:val="21"/>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line="242" w:lineRule="auto"/>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spacing w:before="8"/>
        <w:rPr>
          <w:sz w:val="23"/>
        </w:rPr>
      </w:pPr>
    </w:p>
    <w:p>
      <w:pPr>
        <w:pStyle w:val="Heading1"/>
        <w:rPr>
          <w:u w:val="none"/>
        </w:rPr>
      </w:pPr>
      <w:r>
        <w:rPr>
          <w:u w:val="single"/>
        </w:rPr>
        <w:t>Influenza</w:t>
      </w:r>
    </w:p>
    <w:p>
      <w:pPr>
        <w:pStyle w:val="BodyText"/>
        <w:ind w:left="112" w:right="150"/>
      </w:pPr>
      <w:r>
        <w:rPr/>
        <w:t>In 2020 up to 28 February, there have been 13,121 laboratory-confirmed influenza cases reported</w:t>
      </w:r>
      <w:r>
        <w:rPr>
          <w:spacing w:val="-52"/>
        </w:rPr>
        <w:t> </w:t>
      </w:r>
      <w:r>
        <w:rPr/>
        <w:t>to the National Notifiable Diseases Surveillance System (NNDSS). This is higher than the mean</w:t>
      </w:r>
      <w:r>
        <w:rPr>
          <w:spacing w:val="1"/>
        </w:rPr>
        <w:t> </w:t>
      </w:r>
      <w:r>
        <w:rPr/>
        <w:t>number of cases reported in the same period over the previous 5 years (n=6,329). However, the</w:t>
      </w:r>
      <w:r>
        <w:rPr>
          <w:spacing w:val="1"/>
        </w:rPr>
        <w:t> </w:t>
      </w:r>
      <w:r>
        <w:rPr/>
        <w:t>number of cases reported to the NNDSS in 2020 year to date remains lower than the number</w:t>
      </w:r>
      <w:r>
        <w:rPr>
          <w:spacing w:val="1"/>
        </w:rPr>
        <w:t> </w:t>
      </w:r>
      <w:r>
        <w:rPr/>
        <w:t>reported</w:t>
      </w:r>
      <w:r>
        <w:rPr>
          <w:spacing w:val="-2"/>
        </w:rPr>
        <w:t> </w:t>
      </w:r>
      <w:r>
        <w:rPr/>
        <w:t>in</w:t>
      </w:r>
      <w:r>
        <w:rPr>
          <w:spacing w:val="-1"/>
        </w:rPr>
        <w:t> </w:t>
      </w:r>
      <w:r>
        <w:rPr/>
        <w:t>the</w:t>
      </w:r>
      <w:r>
        <w:rPr>
          <w:spacing w:val="1"/>
        </w:rPr>
        <w:t> </w:t>
      </w:r>
      <w:r>
        <w:rPr/>
        <w:t>same</w:t>
      </w:r>
      <w:r>
        <w:rPr>
          <w:spacing w:val="1"/>
        </w:rPr>
        <w:t> </w:t>
      </w:r>
      <w:r>
        <w:rPr/>
        <w:t>period</w:t>
      </w:r>
      <w:r>
        <w:rPr>
          <w:spacing w:val="1"/>
        </w:rPr>
        <w:t> </w:t>
      </w:r>
      <w:r>
        <w:rPr/>
        <w:t>in</w:t>
      </w:r>
      <w:r>
        <w:rPr>
          <w:spacing w:val="2"/>
        </w:rPr>
        <w:t> </w:t>
      </w:r>
      <w:r>
        <w:rPr/>
        <w:t>2019</w:t>
      </w:r>
      <w:r>
        <w:rPr>
          <w:spacing w:val="-2"/>
        </w:rPr>
        <w:t> </w:t>
      </w:r>
      <w:r>
        <w:rPr/>
        <w:t>(n=13,768).</w:t>
      </w:r>
    </w:p>
    <w:p>
      <w:pPr>
        <w:pStyle w:val="BodyText"/>
        <w:spacing w:before="6"/>
        <w:rPr>
          <w:sz w:val="22"/>
        </w:rPr>
      </w:pPr>
    </w:p>
    <w:p>
      <w:pPr>
        <w:pStyle w:val="BodyText"/>
        <w:ind w:left="112" w:right="227"/>
      </w:pPr>
      <w:r>
        <w:rPr/>
        <w:t>The Department of Health closely monitors national influenza activity throughout the year,</w:t>
      </w:r>
      <w:r>
        <w:rPr>
          <w:spacing w:val="1"/>
        </w:rPr>
        <w:t> </w:t>
      </w:r>
      <w:r>
        <w:rPr/>
        <w:t>including during the inter-seasonal period. The Australian Influenza Surveillance Reports for 2019</w:t>
      </w:r>
      <w:r>
        <w:rPr>
          <w:spacing w:val="-52"/>
        </w:rPr>
        <w:t> </w:t>
      </w:r>
      <w:r>
        <w:rPr/>
        <w:t>are available</w:t>
      </w:r>
      <w:r>
        <w:rPr>
          <w:spacing w:val="1"/>
        </w:rPr>
        <w:t> </w:t>
      </w:r>
      <w:r>
        <w:rPr/>
        <w:t>on</w:t>
      </w:r>
      <w:r>
        <w:rPr>
          <w:spacing w:val="-1"/>
        </w:rPr>
        <w:t> </w:t>
      </w:r>
      <w:r>
        <w:rPr/>
        <w:t>the</w:t>
      </w:r>
      <w:r>
        <w:rPr>
          <w:spacing w:val="1"/>
        </w:rPr>
        <w:t> </w:t>
      </w:r>
      <w:hyperlink r:id="rId6">
        <w:r>
          <w:rPr>
            <w:color w:val="0000FF"/>
            <w:u w:val="single" w:color="0000FF"/>
          </w:rPr>
          <w:t>Department’s website</w:t>
        </w:r>
      </w:hyperlink>
      <w:r>
        <w:rPr>
          <w:color w:val="0000FF"/>
          <w:u w:val="single" w:color="0000FF"/>
        </w:rPr>
        <w:t>.</w:t>
      </w:r>
    </w:p>
    <w:p>
      <w:pPr>
        <w:spacing w:after="0"/>
        <w:sectPr>
          <w:type w:val="continuous"/>
          <w:pgSz w:w="11910" w:h="16840"/>
          <w:pgMar w:top="800" w:bottom="280" w:left="1020" w:right="1060"/>
        </w:sectPr>
      </w:pPr>
    </w:p>
    <w:p>
      <w:pPr>
        <w:spacing w:line="195" w:lineRule="exact" w:before="45"/>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227"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(01/12/2019</w:t>
      </w:r>
      <w:r>
        <w:rPr>
          <w:i/>
          <w:spacing w:val="-3"/>
          <w:sz w:val="16"/>
          <w:vertAlign w:val="baseline"/>
        </w:rPr>
        <w:t> </w:t>
      </w:r>
      <w:r>
        <w:rPr>
          <w:i/>
          <w:sz w:val="16"/>
          <w:vertAlign w:val="baseline"/>
        </w:rPr>
        <w:t>to</w:t>
      </w:r>
      <w:r>
        <w:rPr>
          <w:i/>
          <w:spacing w:val="-3"/>
          <w:sz w:val="16"/>
          <w:vertAlign w:val="baseline"/>
        </w:rPr>
        <w:t> </w:t>
      </w:r>
      <w:r>
        <w:rPr>
          <w:i/>
          <w:sz w:val="16"/>
          <w:vertAlign w:val="baseline"/>
        </w:rPr>
        <w:t>28/02/2020).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28/02/2020.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0"/>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2"/>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(01/03/2019</w:t>
      </w:r>
      <w:r>
        <w:rPr>
          <w:i/>
          <w:spacing w:val="-3"/>
          <w:sz w:val="16"/>
          <w:vertAlign w:val="baseline"/>
        </w:rPr>
        <w:t> </w:t>
      </w:r>
      <w:r>
        <w:rPr>
          <w:i/>
          <w:sz w:val="16"/>
          <w:vertAlign w:val="baseline"/>
        </w:rPr>
        <w:t>to28/02/2020).</w:t>
      </w:r>
    </w:p>
    <w:p>
      <w:pPr>
        <w:spacing w:before="119"/>
        <w:ind w:left="112" w:right="370" w:firstLine="0"/>
        <w:jc w:val="left"/>
        <w:rPr>
          <w:i/>
          <w:sz w:val="16"/>
        </w:rPr>
      </w:pPr>
      <w:r>
        <w:rPr>
          <w:i/>
          <w:sz w:val="16"/>
          <w:vertAlign w:val="superscript"/>
        </w:rPr>
        <w:t>4</w:t>
      </w:r>
      <w:r>
        <w:rPr>
          <w:i/>
          <w:sz w:val="16"/>
          <w:vertAlign w:val="baseline"/>
        </w:rPr>
        <w:t>The yearly (365 day) five year rolling mean is the average of 5 intervals of 365 days up to 28/02/2020.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1"/>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1080" w:bottom="280" w:left="1020" w:right="1060"/>
        </w:sectPr>
      </w:pPr>
    </w:p>
    <w:p>
      <w:pPr>
        <w:spacing w:before="51"/>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2.247214pt;width:892.3pt;height:675.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FN04/2020</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3"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5" w:right="381"/>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6" w:right="381"/>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6" w:right="381"/>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5" w:right="381"/>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5" w:right="381"/>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6" w:right="380"/>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6" w:right="381"/>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6" w:right="380"/>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15/02/2020</w:t>
                        </w:r>
                      </w:p>
                      <w:p>
                        <w:pPr>
                          <w:pStyle w:val="TableParagraph"/>
                          <w:spacing w:line="131" w:lineRule="exact" w:before="17"/>
                          <w:ind w:left="28"/>
                          <w:jc w:val="center"/>
                          <w:rPr>
                            <w:b/>
                            <w:sz w:val="13"/>
                          </w:rPr>
                        </w:pPr>
                        <w:r>
                          <w:rPr>
                            <w:b/>
                            <w:color w:val="FFFFFF"/>
                            <w:sz w:val="13"/>
                          </w:rPr>
                          <w:t>28/02/2020</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01/02/2020</w:t>
                        </w:r>
                      </w:p>
                      <w:p>
                        <w:pPr>
                          <w:pStyle w:val="TableParagraph"/>
                          <w:spacing w:line="131" w:lineRule="exact" w:before="17"/>
                          <w:ind w:left="105"/>
                          <w:jc w:val="left"/>
                          <w:rPr>
                            <w:sz w:val="13"/>
                          </w:rPr>
                        </w:pPr>
                        <w:r>
                          <w:rPr>
                            <w:color w:val="FFFFFF"/>
                            <w:sz w:val="13"/>
                          </w:rPr>
                          <w:t>14/02/2020</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15/02/2019</w:t>
                        </w:r>
                      </w:p>
                      <w:p>
                        <w:pPr>
                          <w:pStyle w:val="TableParagraph"/>
                          <w:spacing w:line="131" w:lineRule="exact" w:before="16"/>
                          <w:ind w:left="81" w:right="43"/>
                          <w:jc w:val="center"/>
                          <w:rPr>
                            <w:sz w:val="13"/>
                          </w:rPr>
                        </w:pPr>
                        <w:r>
                          <w:rPr>
                            <w:color w:val="FFFFFF"/>
                            <w:sz w:val="13"/>
                          </w:rPr>
                          <w:t>28/02/2019</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01/01/2019</w:t>
                        </w:r>
                      </w:p>
                      <w:p>
                        <w:pPr>
                          <w:pStyle w:val="TableParagraph"/>
                          <w:spacing w:line="131" w:lineRule="exact" w:before="17"/>
                          <w:ind w:left="48"/>
                          <w:jc w:val="center"/>
                          <w:rPr>
                            <w:sz w:val="13"/>
                          </w:rPr>
                        </w:pPr>
                        <w:r>
                          <w:rPr>
                            <w:color w:val="FFFFFF"/>
                            <w:sz w:val="13"/>
                          </w:rPr>
                          <w:t>28/02/2020</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01/12/2019</w:t>
                        </w:r>
                      </w:p>
                      <w:p>
                        <w:pPr>
                          <w:pStyle w:val="TableParagraph"/>
                          <w:spacing w:line="131" w:lineRule="exact" w:before="17"/>
                          <w:ind w:left="100"/>
                          <w:jc w:val="left"/>
                          <w:rPr>
                            <w:sz w:val="13"/>
                          </w:rPr>
                        </w:pPr>
                        <w:r>
                          <w:rPr>
                            <w:color w:val="FFFFFF"/>
                            <w:sz w:val="13"/>
                          </w:rPr>
                          <w:t>28/02/2020</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01/03/2019</w:t>
                        </w:r>
                      </w:p>
                      <w:p>
                        <w:pPr>
                          <w:pStyle w:val="TableParagraph"/>
                          <w:spacing w:line="131" w:lineRule="exact" w:before="17"/>
                          <w:ind w:left="105"/>
                          <w:jc w:val="left"/>
                          <w:rPr>
                            <w:sz w:val="13"/>
                          </w:rPr>
                        </w:pPr>
                        <w:r>
                          <w:rPr>
                            <w:color w:val="FFFFFF"/>
                            <w:sz w:val="13"/>
                          </w:rPr>
                          <w:t>28/02/2020</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28/02/2014</w:t>
                        </w:r>
                      </w:p>
                      <w:p>
                        <w:pPr>
                          <w:pStyle w:val="TableParagraph"/>
                          <w:spacing w:line="131" w:lineRule="exact" w:before="16"/>
                          <w:ind w:left="60"/>
                          <w:jc w:val="left"/>
                          <w:rPr>
                            <w:sz w:val="13"/>
                          </w:rPr>
                        </w:pPr>
                        <w:r>
                          <w:rPr>
                            <w:color w:val="FFFFFF"/>
                            <w:spacing w:val="-1"/>
                            <w:sz w:val="13"/>
                          </w:rPr>
                          <w:t>28/02/2019</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39"/>
                          <w:rPr>
                            <w:sz w:val="13"/>
                          </w:rPr>
                        </w:pPr>
                        <w:r>
                          <w:rPr>
                            <w:w w:val="99"/>
                            <w:sz w:val="13"/>
                          </w:rPr>
                          <w:t>4</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left w:val="single" w:sz="6" w:space="0" w:color="000000"/>
                          <w:bottom w:val="single" w:sz="6" w:space="0" w:color="000000"/>
                        </w:tcBorders>
                      </w:tcPr>
                      <w:p>
                        <w:pPr>
                          <w:pStyle w:val="TableParagraph"/>
                          <w:ind w:right="31"/>
                          <w:rPr>
                            <w:sz w:val="13"/>
                          </w:rPr>
                        </w:pPr>
                        <w:r>
                          <w:rPr>
                            <w:sz w:val="13"/>
                          </w:rPr>
                          <w:t>15</w:t>
                        </w:r>
                      </w:p>
                    </w:tc>
                    <w:tc>
                      <w:tcPr>
                        <w:tcW w:w="808" w:type="dxa"/>
                        <w:tcBorders>
                          <w:bottom w:val="single" w:sz="6" w:space="0" w:color="000000"/>
                          <w:right w:val="single" w:sz="6" w:space="0" w:color="000000"/>
                        </w:tcBorders>
                      </w:tcPr>
                      <w:p>
                        <w:pPr>
                          <w:pStyle w:val="TableParagraph"/>
                          <w:ind w:right="37"/>
                          <w:rPr>
                            <w:sz w:val="13"/>
                          </w:rPr>
                        </w:pPr>
                        <w:r>
                          <w:rPr>
                            <w:sz w:val="13"/>
                          </w:rPr>
                          <w:t>30</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38.8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4"/>
                          <w:rPr>
                            <w:sz w:val="13"/>
                          </w:rPr>
                        </w:pPr>
                        <w:r>
                          <w:rPr>
                            <w:sz w:val="13"/>
                          </w:rPr>
                          <w:t>148</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158.0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19</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252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869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1,249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1,373.0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5,666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6,136.6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167.2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701.0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94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66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46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343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357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1,304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2,333.4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8,370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10,037.4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1</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2</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71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66.0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471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429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88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53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17</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159</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1,253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1,485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6,180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9,410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7,690.4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35,891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26,166.6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71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71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72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190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892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1,145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1,223.0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2,931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3,955.4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36</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244.0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5</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17</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23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30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100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77.8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45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169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705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345.6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10</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305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473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58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165</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1,164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1,316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4,152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5,514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5,197.4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15,764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16,367.2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56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186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780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497.0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75.5</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3,308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1,629.2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258.6</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1</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4</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2</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w w:val="99"/>
                            <w:sz w:val="13"/>
                          </w:rPr>
                          <w:t>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6</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18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14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25</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45</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57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49.4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179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137.6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1.3</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25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25.0</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25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25.0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71</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1,277</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131</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1,050</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295</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15</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4"/>
                          <w:rPr>
                            <w:sz w:val="13"/>
                          </w:rPr>
                        </w:pPr>
                        <w:r>
                          <w:rPr>
                            <w:sz w:val="13"/>
                          </w:rPr>
                          <w:t>643</w:t>
                        </w:r>
                      </w:p>
                    </w:tc>
                    <w:tc>
                      <w:tcPr>
                        <w:tcW w:w="808" w:type="dxa"/>
                        <w:tcBorders>
                          <w:bottom w:val="single" w:sz="6" w:space="0" w:color="000000"/>
                          <w:right w:val="single" w:sz="6" w:space="0" w:color="000000"/>
                        </w:tcBorders>
                      </w:tcPr>
                      <w:p>
                        <w:pPr>
                          <w:pStyle w:val="TableParagraph"/>
                          <w:ind w:right="40"/>
                          <w:rPr>
                            <w:sz w:val="13"/>
                          </w:rPr>
                        </w:pPr>
                        <w:r>
                          <w:rPr>
                            <w:sz w:val="13"/>
                          </w:rPr>
                          <w:t>3,482</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3,462</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4,640</w:t>
                        </w:r>
                      </w:p>
                    </w:tc>
                    <w:tc>
                      <w:tcPr>
                        <w:tcW w:w="808" w:type="dxa"/>
                        <w:tcBorders>
                          <w:left w:val="single" w:sz="6" w:space="0" w:color="000000"/>
                          <w:bottom w:val="single" w:sz="6" w:space="0" w:color="000000"/>
                        </w:tcBorders>
                      </w:tcPr>
                      <w:p>
                        <w:pPr>
                          <w:pStyle w:val="TableParagraph"/>
                          <w:ind w:right="30"/>
                          <w:rPr>
                            <w:sz w:val="13"/>
                          </w:rPr>
                        </w:pPr>
                        <w:r>
                          <w:rPr>
                            <w:sz w:val="13"/>
                          </w:rPr>
                          <w:t>13,817</w:t>
                        </w:r>
                      </w:p>
                    </w:tc>
                    <w:tc>
                      <w:tcPr>
                        <w:tcW w:w="808" w:type="dxa"/>
                        <w:tcBorders>
                          <w:bottom w:val="single" w:sz="6" w:space="0" w:color="000000"/>
                          <w:right w:val="single" w:sz="6" w:space="0" w:color="000000"/>
                        </w:tcBorders>
                      </w:tcPr>
                      <w:p>
                        <w:pPr>
                          <w:pStyle w:val="TableParagraph"/>
                          <w:ind w:right="37"/>
                          <w:rPr>
                            <w:sz w:val="13"/>
                          </w:rPr>
                        </w:pPr>
                        <w:r>
                          <w:rPr>
                            <w:sz w:val="13"/>
                          </w:rPr>
                          <w:t>19,898</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23,826.6</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97,989</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96,013.4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403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73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341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61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5</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203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1,112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1,165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1,352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5,418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7,946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6,432.6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33,509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24,107.8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26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33</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32</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131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210</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220</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770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1,210</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943.0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5,668</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3,653.8</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44</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323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482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492.8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2,427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2,062.0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51.6</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4</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15.0</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4.5</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5.8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1.7</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9"/>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1</w:t>
                        </w:r>
                      </w:p>
                    </w:tc>
                    <w:tc>
                      <w:tcPr>
                        <w:tcW w:w="808" w:type="dxa"/>
                        <w:tcBorders>
                          <w:bottom w:val="single" w:sz="6" w:space="0" w:color="000000"/>
                          <w:right w:val="single" w:sz="6" w:space="0" w:color="000000"/>
                        </w:tcBorders>
                      </w:tcPr>
                      <w:p>
                        <w:pPr>
                          <w:pStyle w:val="TableParagraph"/>
                          <w:ind w:right="36"/>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2.2</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7</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6.6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17</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1,086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1,044</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224</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501</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203</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3,117</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3,576</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3,507</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13,121</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17,384</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8,878.6</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313,126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116,069.4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2.7</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41,426.7</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2.2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0"/>
                          <w:rPr>
                            <w:sz w:val="13"/>
                          </w:rPr>
                        </w:pPr>
                        <w:r>
                          <w:rPr>
                            <w:sz w:val="13"/>
                          </w:rPr>
                          <w:t>15.2</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75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617.4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166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57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94</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379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1,642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2,745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4,404.6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11,594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16,017.8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8</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225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372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260.8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6"/>
                          <w:rPr>
                            <w:sz w:val="13"/>
                          </w:rPr>
                        </w:pPr>
                        <w:r>
                          <w:rPr>
                            <w:sz w:val="13"/>
                          </w:rPr>
                          <w:t>43.9</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2,176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1,774.2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4"/>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736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1,598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767.4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525.5</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6,438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4,039.2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51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376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607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759.4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4,084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3,132.2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93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96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73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542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2,054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3,218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2,441.4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14,728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8,807.4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9</w:t>
                        </w:r>
                      </w:p>
                    </w:tc>
                    <w:tc>
                      <w:tcPr>
                        <w:tcW w:w="638" w:type="dxa"/>
                        <w:tcBorders>
                          <w:top w:val="single" w:sz="6" w:space="0" w:color="000000"/>
                          <w:left w:val="single" w:sz="6" w:space="0" w:color="000000"/>
                          <w:right w:val="single" w:sz="6" w:space="0" w:color="000000"/>
                        </w:tcBorders>
                      </w:tcPr>
                      <w:p>
                        <w:pPr>
                          <w:pStyle w:val="TableParagraph"/>
                          <w:spacing w:line="130" w:lineRule="exact"/>
                          <w:ind w:left="248"/>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338</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57</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98</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514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229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563</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1,004</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1,265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3,390.0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0.4</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11,186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14,118.6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0.8</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8</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3</w:t>
                        </w:r>
                      </w:p>
                    </w:tc>
                    <w:tc>
                      <w:tcPr>
                        <w:tcW w:w="808" w:type="dxa"/>
                        <w:tcBorders>
                          <w:bottom w:val="single" w:sz="6" w:space="0" w:color="000000"/>
                          <w:right w:val="single" w:sz="6" w:space="0" w:color="000000"/>
                        </w:tcBorders>
                      </w:tcPr>
                      <w:p>
                        <w:pPr>
                          <w:pStyle w:val="TableParagraph"/>
                          <w:ind w:right="40"/>
                          <w:rPr>
                            <w:sz w:val="13"/>
                          </w:rPr>
                        </w:pPr>
                        <w:r>
                          <w:rPr>
                            <w:sz w:val="13"/>
                          </w:rPr>
                          <w:t>16</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14</w:t>
                        </w:r>
                      </w:p>
                    </w:tc>
                    <w:tc>
                      <w:tcPr>
                        <w:tcW w:w="808" w:type="dxa"/>
                        <w:tcBorders>
                          <w:left w:val="single" w:sz="6" w:space="0" w:color="000000"/>
                          <w:bottom w:val="single" w:sz="6" w:space="0" w:color="000000"/>
                        </w:tcBorders>
                      </w:tcPr>
                      <w:p>
                        <w:pPr>
                          <w:pStyle w:val="TableParagraph"/>
                          <w:ind w:right="31"/>
                          <w:rPr>
                            <w:sz w:val="13"/>
                          </w:rPr>
                        </w:pPr>
                        <w:r>
                          <w:rPr>
                            <w:sz w:val="13"/>
                          </w:rPr>
                          <w:t>68</w:t>
                        </w:r>
                      </w:p>
                    </w:tc>
                    <w:tc>
                      <w:tcPr>
                        <w:tcW w:w="808" w:type="dxa"/>
                        <w:tcBorders>
                          <w:bottom w:val="single" w:sz="6" w:space="0" w:color="000000"/>
                          <w:right w:val="single" w:sz="6" w:space="0" w:color="000000"/>
                        </w:tcBorders>
                      </w:tcPr>
                      <w:p>
                        <w:pPr>
                          <w:pStyle w:val="TableParagraph"/>
                          <w:ind w:right="38"/>
                          <w:rPr>
                            <w:sz w:val="13"/>
                          </w:rPr>
                        </w:pPr>
                        <w:r>
                          <w:rPr>
                            <w:sz w:val="13"/>
                          </w:rPr>
                          <w:t>78</w:t>
                        </w:r>
                      </w:p>
                    </w:tc>
                    <w:tc>
                      <w:tcPr>
                        <w:tcW w:w="702" w:type="dxa"/>
                        <w:tcBorders>
                          <w:left w:val="single" w:sz="6" w:space="0" w:color="000000"/>
                          <w:bottom w:val="single" w:sz="6" w:space="0" w:color="000000"/>
                          <w:right w:val="single" w:sz="6" w:space="0" w:color="000000"/>
                        </w:tcBorders>
                      </w:tcPr>
                      <w:p>
                        <w:pPr>
                          <w:pStyle w:val="TableParagraph"/>
                          <w:ind w:right="36"/>
                          <w:rPr>
                            <w:sz w:val="13"/>
                          </w:rPr>
                        </w:pPr>
                        <w:r>
                          <w:rPr>
                            <w:sz w:val="13"/>
                          </w:rPr>
                          <w:t>102.4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272</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461.0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27.8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96.2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72</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105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1,299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1,521.6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4.0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78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90.8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364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7"/>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21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5"/>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50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130</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210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1,787.4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2,736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5,708.0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1.0</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27.6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21.8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138.2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530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531.2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4</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7</w:t>
                        </w:r>
                      </w:p>
                    </w:tc>
                    <w:tc>
                      <w:tcPr>
                        <w:tcW w:w="532" w:type="dxa"/>
                        <w:tcBorders>
                          <w:left w:val="single" w:sz="6" w:space="0" w:color="000000"/>
                          <w:bottom w:val="single" w:sz="6" w:space="0" w:color="000000"/>
                        </w:tcBorders>
                      </w:tcPr>
                      <w:p>
                        <w:pPr>
                          <w:pStyle w:val="TableParagraph"/>
                          <w:ind w:right="33"/>
                          <w:rPr>
                            <w:sz w:val="13"/>
                          </w:rPr>
                        </w:pPr>
                        <w:r>
                          <w:rPr>
                            <w:w w:val="99"/>
                            <w:sz w:val="13"/>
                          </w:rPr>
                          <w:t>4</w:t>
                        </w:r>
                      </w:p>
                    </w:tc>
                    <w:tc>
                      <w:tcPr>
                        <w:tcW w:w="808" w:type="dxa"/>
                        <w:tcBorders>
                          <w:bottom w:val="single" w:sz="6" w:space="0" w:color="000000"/>
                          <w:right w:val="single" w:sz="6" w:space="0" w:color="000000"/>
                        </w:tcBorders>
                      </w:tcPr>
                      <w:p>
                        <w:pPr>
                          <w:pStyle w:val="TableParagraph"/>
                          <w:ind w:right="40"/>
                          <w:rPr>
                            <w:sz w:val="13"/>
                          </w:rPr>
                        </w:pPr>
                        <w:r>
                          <w:rPr>
                            <w:sz w:val="13"/>
                          </w:rPr>
                          <w:t>22</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18</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18</w:t>
                        </w:r>
                      </w:p>
                    </w:tc>
                    <w:tc>
                      <w:tcPr>
                        <w:tcW w:w="808" w:type="dxa"/>
                        <w:tcBorders>
                          <w:left w:val="single" w:sz="6" w:space="0" w:color="000000"/>
                          <w:bottom w:val="single" w:sz="6" w:space="0" w:color="000000"/>
                        </w:tcBorders>
                      </w:tcPr>
                      <w:p>
                        <w:pPr>
                          <w:pStyle w:val="TableParagraph"/>
                          <w:ind w:right="31"/>
                          <w:rPr>
                            <w:sz w:val="13"/>
                          </w:rPr>
                        </w:pPr>
                        <w:r>
                          <w:rPr>
                            <w:sz w:val="13"/>
                          </w:rPr>
                          <w:t>75</w:t>
                        </w:r>
                      </w:p>
                    </w:tc>
                    <w:tc>
                      <w:tcPr>
                        <w:tcW w:w="808" w:type="dxa"/>
                        <w:tcBorders>
                          <w:bottom w:val="single" w:sz="6" w:space="0" w:color="000000"/>
                          <w:right w:val="single" w:sz="6" w:space="0" w:color="000000"/>
                        </w:tcBorders>
                      </w:tcPr>
                      <w:p>
                        <w:pPr>
                          <w:pStyle w:val="TableParagraph"/>
                          <w:ind w:right="39"/>
                          <w:rPr>
                            <w:sz w:val="13"/>
                          </w:rPr>
                        </w:pPr>
                        <w:r>
                          <w:rPr>
                            <w:sz w:val="13"/>
                          </w:rPr>
                          <w:t>116</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100.4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435</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404.8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254.2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24</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7</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16</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10</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53</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202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345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334.0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1,519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1,370.4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201</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4,202</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369</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4,213</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998</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149</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1,095</w:t>
                        </w:r>
                      </w:p>
                    </w:tc>
                    <w:tc>
                      <w:tcPr>
                        <w:tcW w:w="532" w:type="dxa"/>
                        <w:tcBorders>
                          <w:left w:val="single" w:sz="6" w:space="0" w:color="000000"/>
                        </w:tcBorders>
                      </w:tcPr>
                      <w:p>
                        <w:pPr>
                          <w:pStyle w:val="TableParagraph"/>
                          <w:spacing w:line="130" w:lineRule="exact"/>
                          <w:ind w:right="34"/>
                          <w:rPr>
                            <w:sz w:val="13"/>
                          </w:rPr>
                        </w:pPr>
                        <w:r>
                          <w:rPr>
                            <w:sz w:val="13"/>
                          </w:rPr>
                          <w:t>1,799</w:t>
                        </w:r>
                      </w:p>
                    </w:tc>
                    <w:tc>
                      <w:tcPr>
                        <w:tcW w:w="808" w:type="dxa"/>
                      </w:tcPr>
                      <w:p>
                        <w:pPr>
                          <w:pStyle w:val="TableParagraph"/>
                          <w:spacing w:line="130" w:lineRule="exact"/>
                          <w:ind w:right="33"/>
                          <w:rPr>
                            <w:sz w:val="13"/>
                          </w:rPr>
                        </w:pPr>
                        <w:r>
                          <w:rPr>
                            <w:sz w:val="13"/>
                          </w:rPr>
                          <w:t>13,026</w:t>
                        </w:r>
                      </w:p>
                    </w:tc>
                    <w:tc>
                      <w:tcPr>
                        <w:tcW w:w="808" w:type="dxa"/>
                      </w:tcPr>
                      <w:p>
                        <w:pPr>
                          <w:pStyle w:val="TableParagraph"/>
                          <w:spacing w:line="130" w:lineRule="exact"/>
                          <w:ind w:right="32"/>
                          <w:rPr>
                            <w:sz w:val="13"/>
                          </w:rPr>
                        </w:pPr>
                        <w:r>
                          <w:rPr>
                            <w:sz w:val="13"/>
                          </w:rPr>
                          <w:t>14,021</w:t>
                        </w:r>
                      </w:p>
                    </w:tc>
                    <w:tc>
                      <w:tcPr>
                        <w:tcW w:w="808" w:type="dxa"/>
                      </w:tcPr>
                      <w:p>
                        <w:pPr>
                          <w:pStyle w:val="TableParagraph"/>
                          <w:spacing w:line="130" w:lineRule="exact"/>
                          <w:ind w:right="31"/>
                          <w:rPr>
                            <w:sz w:val="13"/>
                          </w:rPr>
                        </w:pPr>
                        <w:r>
                          <w:rPr>
                            <w:sz w:val="13"/>
                          </w:rPr>
                          <w:t>15,290</w:t>
                        </w:r>
                      </w:p>
                    </w:tc>
                    <w:tc>
                      <w:tcPr>
                        <w:tcW w:w="808" w:type="dxa"/>
                      </w:tcPr>
                      <w:p>
                        <w:pPr>
                          <w:pStyle w:val="TableParagraph"/>
                          <w:spacing w:line="130" w:lineRule="exact"/>
                          <w:ind w:right="30"/>
                          <w:rPr>
                            <w:sz w:val="13"/>
                          </w:rPr>
                        </w:pPr>
                        <w:r>
                          <w:rPr>
                            <w:sz w:val="13"/>
                          </w:rPr>
                          <w:t>55,062</w:t>
                        </w:r>
                      </w:p>
                    </w:tc>
                    <w:tc>
                      <w:tcPr>
                        <w:tcW w:w="808" w:type="dxa"/>
                      </w:tcPr>
                      <w:p>
                        <w:pPr>
                          <w:pStyle w:val="TableParagraph"/>
                          <w:spacing w:line="130" w:lineRule="exact"/>
                          <w:ind w:right="30"/>
                          <w:rPr>
                            <w:sz w:val="13"/>
                          </w:rPr>
                        </w:pPr>
                        <w:r>
                          <w:rPr>
                            <w:sz w:val="13"/>
                          </w:rPr>
                          <w:t>79,153</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585,350</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9"/>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7"/>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(02/03/2020).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10" w:h="16840" w:orient="landscape"/>
      <w:pgMar w:top="106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www.health.gov.au/flu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2021-09-08T03:06:44Z</dcterms:created>
  <dcterms:modified xsi:type="dcterms:W3CDTF">2021-09-08T03:06:44Z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2021-09-08T00:00:00Z</vt:filetime>
  </property>
</Properties>
</file>