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380" w:firstLine="2"/>
        <w:jc w:val="center"/>
        <w:rPr>
          <w:u w:val="none"/>
        </w:rPr>
      </w:pPr>
      <w:r>
        <w:rPr>
          <w:u w:val="single"/>
        </w:rPr>
        <w:t>National Communicable Diseases Surveillance Report</w:t>
      </w:r>
      <w:r>
        <w:rPr>
          <w:spacing w:val="1"/>
          <w:u w:val="none"/>
        </w:rPr>
        <w:t> </w:t>
      </w:r>
      <w:r>
        <w:rPr>
          <w:u w:val="single"/>
        </w:rPr>
        <w:t>Fortnight 08, 2021 Summary Notes for Selected Diseases</w:t>
      </w:r>
      <w:r>
        <w:rPr>
          <w:spacing w:val="-52"/>
          <w:u w:val="none"/>
        </w:rPr>
        <w:t> </w:t>
      </w:r>
      <w:bookmarkStart w:name="12 April to 25 April 2021" w:id="1"/>
      <w:bookmarkEnd w:id="1"/>
      <w:r>
        <w:rPr>
          <w:u w:val="single"/>
        </w:rPr>
        <w:t>12</w:t>
      </w:r>
      <w:r>
        <w:rPr>
          <w:u w:val="single"/>
        </w:rPr>
        <w:t> April</w:t>
      </w:r>
      <w:r>
        <w:rPr>
          <w:spacing w:val="-1"/>
          <w:u w:val="single"/>
        </w:rPr>
        <w:t> </w:t>
      </w:r>
      <w:r>
        <w:rPr>
          <w:u w:val="single"/>
        </w:rPr>
        <w:t>to</w:t>
      </w:r>
      <w:r>
        <w:rPr>
          <w:spacing w:val="-1"/>
          <w:u w:val="single"/>
        </w:rPr>
        <w:t> </w:t>
      </w:r>
      <w:r>
        <w:rPr>
          <w:u w:val="single"/>
        </w:rPr>
        <w:t>25</w:t>
      </w:r>
      <w:r>
        <w:rPr>
          <w:spacing w:val="-1"/>
          <w:u w:val="single"/>
        </w:rPr>
        <w:t> </w:t>
      </w:r>
      <w:r>
        <w:rPr>
          <w:u w:val="single"/>
        </w:rPr>
        <w:t>April</w:t>
      </w:r>
      <w:r>
        <w:rPr>
          <w:spacing w:val="-1"/>
          <w:u w:val="single"/>
        </w:rPr>
        <w:t> </w:t>
      </w:r>
      <w:r>
        <w:rPr>
          <w:u w:val="single"/>
        </w:rPr>
        <w:t>2021</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84"/>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w:t>
      </w:r>
      <w:r>
        <w:rPr>
          <w:spacing w:val="2"/>
        </w:rPr>
        <w:t> </w:t>
      </w:r>
      <w:r>
        <w:rPr/>
        <w:t>increases</w:t>
      </w:r>
      <w:r>
        <w:rPr>
          <w:spacing w:val="2"/>
        </w:rPr>
        <w:t> </w:t>
      </w:r>
      <w:r>
        <w:rPr/>
        <w:t>among</w:t>
      </w:r>
      <w:r>
        <w:rPr>
          <w:spacing w:val="1"/>
        </w:rPr>
        <w:t> </w:t>
      </w:r>
      <w:r>
        <w:rPr/>
        <w:t>men</w:t>
      </w:r>
      <w:r>
        <w:rPr>
          <w:spacing w:val="3"/>
        </w:rPr>
        <w:t> </w:t>
      </w:r>
      <w:r>
        <w:rPr/>
        <w:t>who have</w:t>
      </w:r>
      <w:r>
        <w:rPr>
          <w:spacing w:val="1"/>
        </w:rPr>
        <w:t> </w:t>
      </w:r>
      <w:r>
        <w:rPr/>
        <w:t>sex</w:t>
      </w:r>
      <w:r>
        <w:rPr>
          <w:spacing w:val="2"/>
        </w:rPr>
        <w:t> </w:t>
      </w:r>
      <w:r>
        <w:rPr/>
        <w:t>with</w:t>
      </w:r>
      <w:r>
        <w:rPr>
          <w:spacing w:val="3"/>
        </w:rPr>
        <w:t> </w:t>
      </w:r>
      <w:r>
        <w:rPr/>
        <w:t>men</w:t>
      </w:r>
      <w:r>
        <w:rPr>
          <w:spacing w:val="1"/>
        </w:rPr>
        <w:t> </w:t>
      </w:r>
      <w:r>
        <w:rPr/>
        <w:t>(MSM)</w:t>
      </w:r>
      <w:r>
        <w:rPr>
          <w:spacing w:val="1"/>
        </w:rPr>
        <w:t> </w:t>
      </w:r>
      <w:r>
        <w:rPr/>
        <w:t>in</w:t>
      </w:r>
      <w:r>
        <w:rPr>
          <w:spacing w:val="1"/>
        </w:rPr>
        <w:t> </w:t>
      </w:r>
      <w:r>
        <w:rPr/>
        <w:t>urban</w:t>
      </w:r>
      <w:r>
        <w:rPr>
          <w:spacing w:val="3"/>
        </w:rPr>
        <w:t> </w:t>
      </w:r>
      <w:r>
        <w:rPr/>
        <w:t>areas</w:t>
      </w:r>
      <w:r>
        <w:rPr>
          <w:spacing w:val="1"/>
        </w:rPr>
        <w:t> </w:t>
      </w:r>
      <w:r>
        <w:rPr/>
        <w:t>of</w:t>
      </w:r>
      <w:r>
        <w:rPr>
          <w:spacing w:val="1"/>
        </w:rPr>
        <w:t> </w:t>
      </w:r>
      <w:r>
        <w:rPr/>
        <w:t>Victoria</w:t>
      </w:r>
      <w:r>
        <w:rPr>
          <w:spacing w:val="2"/>
        </w:rPr>
        <w:t> </w:t>
      </w:r>
      <w:r>
        <w:rPr/>
        <w:t>(Vic)</w:t>
      </w:r>
      <w:r>
        <w:rPr>
          <w:spacing w:val="1"/>
        </w:rPr>
        <w:t> </w:t>
      </w:r>
      <w:r>
        <w:rPr/>
        <w:t>and New South Wales (NSW), and increases in women (Indigenous and non-Indigenous) residing in</w:t>
      </w:r>
      <w:r>
        <w:rPr>
          <w:spacing w:val="-52"/>
        </w:rPr>
        <w:t> </w:t>
      </w:r>
      <w:r>
        <w:rPr/>
        <w:t>urban</w:t>
      </w:r>
      <w:r>
        <w:rPr>
          <w:spacing w:val="1"/>
        </w:rPr>
        <w:t> </w:t>
      </w:r>
      <w:r>
        <w:rPr/>
        <w:t>areas of</w:t>
      </w:r>
      <w:r>
        <w:rPr>
          <w:spacing w:val="2"/>
        </w:rPr>
        <w:t> </w:t>
      </w:r>
      <w:r>
        <w:rPr/>
        <w:t>Vic,</w:t>
      </w:r>
      <w:r>
        <w:rPr>
          <w:spacing w:val="-3"/>
        </w:rPr>
        <w:t> </w:t>
      </w:r>
      <w:r>
        <w:rPr/>
        <w:t>NSW,</w:t>
      </w:r>
      <w:r>
        <w:rPr>
          <w:spacing w:val="-2"/>
        </w:rPr>
        <w:t> </w:t>
      </w:r>
      <w:r>
        <w:rPr/>
        <w:t>Queensland</w:t>
      </w:r>
      <w:r>
        <w:rPr>
          <w:spacing w:val="-1"/>
        </w:rPr>
        <w:t> </w:t>
      </w:r>
      <w:r>
        <w:rPr/>
        <w:t>(Qld)</w:t>
      </w:r>
      <w:r>
        <w:rPr>
          <w:spacing w:val="-1"/>
        </w:rPr>
        <w:t> </w:t>
      </w:r>
      <w:r>
        <w:rPr/>
        <w:t>and</w:t>
      </w:r>
      <w:r>
        <w:rPr>
          <w:spacing w:val="2"/>
        </w:rPr>
        <w:t> </w:t>
      </w:r>
      <w:r>
        <w:rPr/>
        <w:t>Western</w:t>
      </w:r>
      <w:r>
        <w:rPr>
          <w:spacing w:val="-1"/>
        </w:rPr>
        <w:t> </w:t>
      </w:r>
      <w:r>
        <w:rPr/>
        <w:t>Australia</w:t>
      </w:r>
      <w:r>
        <w:rPr>
          <w:spacing w:val="-2"/>
        </w:rPr>
        <w:t> </w:t>
      </w:r>
      <w:r>
        <w:rPr/>
        <w:t>(WA).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4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and related</w:t>
      </w:r>
      <w:r>
        <w:rPr>
          <w:spacing w:val="1"/>
        </w:rPr>
        <w:t> </w:t>
      </w:r>
      <w:r>
        <w:rPr/>
        <w:t>national activities,</w:t>
      </w:r>
      <w:r>
        <w:rPr>
          <w:spacing w:val="-2"/>
        </w:rPr>
        <w:t> </w:t>
      </w:r>
      <w:r>
        <w:rPr/>
        <w:t>refer</w:t>
      </w:r>
      <w:r>
        <w:rPr>
          <w:spacing w:val="-2"/>
        </w:rPr>
        <w:t> </w:t>
      </w:r>
      <w:r>
        <w:rPr/>
        <w:t>to</w:t>
      </w:r>
      <w:r>
        <w:rPr>
          <w:spacing w:val="1"/>
        </w:rPr>
        <w:t> </w:t>
      </w:r>
      <w:r>
        <w:rPr/>
        <w:t>the</w:t>
      </w:r>
      <w:r>
        <w:rPr>
          <w:spacing w:val="-1"/>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58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2"/>
        </w:rPr>
        <w:t> </w:t>
      </w:r>
      <w:r>
        <w:rPr/>
        <w:t>age,</w:t>
      </w:r>
      <w:r>
        <w:rPr>
          <w:spacing w:val="1"/>
        </w:rPr>
        <w:t> </w:t>
      </w:r>
      <w:r>
        <w:rPr/>
        <w:t>residing</w:t>
      </w:r>
      <w:r>
        <w:rPr>
          <w:spacing w:val="-1"/>
        </w:rPr>
        <w:t> </w:t>
      </w:r>
      <w:r>
        <w:rPr/>
        <w:t>in</w:t>
      </w:r>
      <w:r>
        <w:rPr>
          <w:spacing w:val="-2"/>
        </w:rPr>
        <w:t> </w:t>
      </w:r>
      <w:r>
        <w:rPr/>
        <w:t>urban</w:t>
      </w:r>
      <w:r>
        <w:rPr>
          <w:spacing w:val="1"/>
        </w:rPr>
        <w:t> </w:t>
      </w:r>
      <w:r>
        <w:rPr/>
        <w:t>areas of</w:t>
      </w:r>
      <w:r>
        <w:rPr>
          <w:spacing w:val="1"/>
        </w:rPr>
        <w:t> </w:t>
      </w:r>
      <w:r>
        <w:rPr/>
        <w:t>Vic</w:t>
      </w:r>
      <w:r>
        <w:rPr>
          <w:spacing w:val="-1"/>
        </w:rPr>
        <w:t> </w:t>
      </w:r>
      <w:r>
        <w:rPr/>
        <w:t>and</w:t>
      </w:r>
      <w:r>
        <w:rPr>
          <w:spacing w:val="-2"/>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3"/>
          <w:sz w:val="24"/>
        </w:rPr>
        <w:t> </w:t>
      </w:r>
      <w:r>
        <w:rPr>
          <w:i/>
          <w:sz w:val="24"/>
        </w:rPr>
        <w:t>among</w:t>
      </w:r>
      <w:r>
        <w:rPr>
          <w:i/>
          <w:spacing w:val="-4"/>
          <w:sz w:val="24"/>
        </w:rPr>
        <w:t> </w:t>
      </w:r>
      <w:r>
        <w:rPr>
          <w:i/>
          <w:sz w:val="24"/>
        </w:rPr>
        <w:t>women</w:t>
      </w:r>
      <w:r>
        <w:rPr>
          <w:i/>
          <w:spacing w:val="-1"/>
          <w:sz w:val="24"/>
        </w:rPr>
        <w:t> </w:t>
      </w:r>
      <w:r>
        <w:rPr>
          <w:i/>
          <w:sz w:val="24"/>
        </w:rPr>
        <w:t>(Indigenous</w:t>
      </w:r>
      <w:r>
        <w:rPr>
          <w:i/>
          <w:spacing w:val="-2"/>
          <w:sz w:val="24"/>
        </w:rPr>
        <w:t> </w:t>
      </w:r>
      <w:r>
        <w:rPr>
          <w:i/>
          <w:sz w:val="24"/>
        </w:rPr>
        <w:t>and</w:t>
      </w:r>
      <w:r>
        <w:rPr>
          <w:i/>
          <w:spacing w:val="-4"/>
          <w:sz w:val="24"/>
        </w:rPr>
        <w:t> </w:t>
      </w:r>
      <w:r>
        <w:rPr>
          <w:i/>
          <w:sz w:val="24"/>
        </w:rPr>
        <w:t>non-Indigenous)</w:t>
      </w:r>
    </w:p>
    <w:p>
      <w:pPr>
        <w:pStyle w:val="BodyText"/>
        <w:ind w:left="112" w:right="390"/>
      </w:pPr>
      <w:r>
        <w:rPr/>
        <w:t>Since 2016, increases in notifications of infectious syphilis have been reported in women</w:t>
      </w:r>
      <w:r>
        <w:rPr>
          <w:spacing w:val="1"/>
        </w:rPr>
        <w:t> </w:t>
      </w:r>
      <w:r>
        <w:rPr/>
        <w:t>(Indigenous and non-Indigenous) aged predominately 20-39 years of age residing in urban areas of</w:t>
      </w:r>
      <w:r>
        <w:rPr>
          <w:spacing w:val="-52"/>
        </w:rPr>
        <w:t> </w:t>
      </w:r>
      <w:r>
        <w:rPr/>
        <w:t>NSW, Vic, Qld and WA.</w:t>
      </w:r>
      <w:r>
        <w:rPr>
          <w:spacing w:val="1"/>
        </w:rPr>
        <w:t> </w:t>
      </w:r>
      <w:r>
        <w:rPr/>
        <w:t>As noted in the outbreak in remote Australia, increases in women of child-</w:t>
      </w:r>
      <w:r>
        <w:rPr>
          <w:spacing w:val="-52"/>
        </w:rPr>
        <w:t> </w:t>
      </w:r>
      <w:r>
        <w:rPr/>
        <w:t>bearing</w:t>
      </w:r>
      <w:r>
        <w:rPr>
          <w:spacing w:val="-4"/>
        </w:rPr>
        <w:t> </w:t>
      </w:r>
      <w:r>
        <w:rPr/>
        <w:t>age is</w:t>
      </w:r>
      <w:r>
        <w:rPr>
          <w:spacing w:val="-3"/>
        </w:rPr>
        <w:t> </w:t>
      </w:r>
      <w:r>
        <w:rPr/>
        <w:t>of</w:t>
      </w:r>
      <w:r>
        <w:rPr>
          <w:spacing w:val="-3"/>
        </w:rPr>
        <w:t> </w:t>
      </w:r>
      <w:r>
        <w:rPr/>
        <w:t>significant</w:t>
      </w:r>
      <w:r>
        <w:rPr>
          <w:spacing w:val="-2"/>
        </w:rPr>
        <w:t> </w:t>
      </w:r>
      <w:r>
        <w:rPr/>
        <w:t>public</w:t>
      </w:r>
      <w:r>
        <w:rPr>
          <w:spacing w:val="-1"/>
        </w:rPr>
        <w:t> </w:t>
      </w:r>
      <w:r>
        <w:rPr/>
        <w:t>health concern</w:t>
      </w:r>
      <w:r>
        <w:rPr>
          <w:spacing w:val="-2"/>
        </w:rPr>
        <w:t> </w:t>
      </w:r>
      <w:r>
        <w:rPr/>
        <w:t>given</w:t>
      </w:r>
      <w:r>
        <w:rPr>
          <w:spacing w:val="1"/>
        </w:rPr>
        <w:t> </w:t>
      </w:r>
      <w:r>
        <w:rPr/>
        <w:t>the</w:t>
      </w:r>
      <w:r>
        <w:rPr>
          <w:spacing w:val="-3"/>
        </w:rPr>
        <w:t> </w:t>
      </w:r>
      <w:r>
        <w:rPr/>
        <w:t>increased</w:t>
      </w:r>
      <w:r>
        <w:rPr>
          <w:spacing w:val="1"/>
        </w:rPr>
        <w:t> </w:t>
      </w:r>
      <w:r>
        <w:rPr/>
        <w:t>risk</w:t>
      </w:r>
      <w:r>
        <w:rPr>
          <w:spacing w:val="-4"/>
        </w:rPr>
        <w:t> </w:t>
      </w:r>
      <w:r>
        <w:rPr/>
        <w:t>of congenital syphilis.</w:t>
      </w:r>
    </w:p>
    <w:p>
      <w:pPr>
        <w:pStyle w:val="BodyText"/>
        <w:spacing w:before="2"/>
      </w:pPr>
    </w:p>
    <w:p>
      <w:pPr>
        <w:spacing w:before="0"/>
        <w:ind w:left="112" w:right="0" w:firstLine="0"/>
        <w:jc w:val="left"/>
        <w:rPr>
          <w:i/>
          <w:sz w:val="24"/>
        </w:rPr>
      </w:pPr>
      <w:r>
        <w:rPr>
          <w:i/>
          <w:sz w:val="24"/>
        </w:rPr>
        <w:t>Syphilis</w:t>
      </w:r>
      <w:r>
        <w:rPr>
          <w:i/>
          <w:spacing w:val="-3"/>
          <w:sz w:val="24"/>
        </w:rPr>
        <w:t> </w:t>
      </w:r>
      <w:r>
        <w:rPr>
          <w:i/>
          <w:sz w:val="24"/>
        </w:rPr>
        <w:t>response</w:t>
      </w:r>
    </w:p>
    <w:p>
      <w:pPr>
        <w:pStyle w:val="BodyText"/>
        <w:ind w:left="112" w:right="552"/>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w:t>
      </w:r>
      <w:r>
        <w:rPr>
          <w:spacing w:val="1"/>
        </w:rPr>
        <w:t> </w:t>
      </w:r>
      <w:r>
        <w:rPr/>
        <w:t>The Strategic Approach builds on and intersects with existing</w:t>
      </w:r>
      <w:r>
        <w:rPr>
          <w:spacing w:val="1"/>
        </w:rPr>
        <w:t> </w:t>
      </w:r>
      <w:r>
        <w:rPr/>
        <w:t>national activities related to syphilis and provides specific focus for efforts towards rising rates of</w:t>
      </w:r>
      <w:r>
        <w:rPr>
          <w:spacing w:val="-52"/>
        </w:rPr>
        <w:t> </w:t>
      </w:r>
      <w:r>
        <w:rPr/>
        <w:t>syphilis</w:t>
      </w:r>
      <w:r>
        <w:rPr>
          <w:spacing w:val="-1"/>
        </w:rPr>
        <w:t> </w:t>
      </w:r>
      <w:r>
        <w:rPr/>
        <w:t>and</w:t>
      </w:r>
      <w:r>
        <w:rPr>
          <w:spacing w:val="2"/>
        </w:rPr>
        <w:t> </w:t>
      </w:r>
      <w:r>
        <w:rPr/>
        <w:t>adverse</w:t>
      </w:r>
      <w:r>
        <w:rPr>
          <w:spacing w:val="-1"/>
        </w:rPr>
        <w:t> </w:t>
      </w:r>
      <w:r>
        <w:rPr/>
        <w:t>outcomes in</w:t>
      </w:r>
      <w:r>
        <w:rPr>
          <w:spacing w:val="-1"/>
        </w:rPr>
        <w:t> </w:t>
      </w:r>
      <w:r>
        <w:rPr/>
        <w:t>Australia.</w:t>
      </w:r>
    </w:p>
    <w:p>
      <w:pPr>
        <w:pStyle w:val="BodyText"/>
        <w:spacing w:before="10"/>
        <w:rPr>
          <w:sz w:val="23"/>
        </w:rPr>
      </w:pPr>
    </w:p>
    <w:p>
      <w:pPr>
        <w:pStyle w:val="BodyText"/>
        <w:spacing w:before="1"/>
        <w:ind w:left="112" w:right="488"/>
      </w:pPr>
      <w:r>
        <w:rPr/>
        <w:t>The CDNA and BBVSS are, in collaboration, developing priority public health actions, including</w:t>
      </w:r>
      <w:r>
        <w:rPr>
          <w:spacing w:val="1"/>
        </w:rPr>
        <w:t> </w:t>
      </w:r>
      <w:r>
        <w:rPr/>
        <w:t>those related to workforce and community engagement, to ensure progress is made towards</w:t>
      </w:r>
      <w:r>
        <w:rPr>
          <w:spacing w:val="1"/>
        </w:rPr>
        <w:t> </w:t>
      </w:r>
      <w:r>
        <w:rPr/>
        <w:t>reducing the incidence of syphilis and elimination of congenital syphilis in Australia. These actions</w:t>
      </w:r>
      <w:r>
        <w:rPr>
          <w:spacing w:val="-52"/>
        </w:rPr>
        <w:t> </w:t>
      </w:r>
      <w:r>
        <w:rPr/>
        <w:t>will</w:t>
      </w:r>
      <w:r>
        <w:rPr>
          <w:spacing w:val="-1"/>
        </w:rPr>
        <w:t> </w:t>
      </w:r>
      <w:r>
        <w:rPr/>
        <w:t>be</w:t>
      </w:r>
      <w:r>
        <w:rPr>
          <w:spacing w:val="-1"/>
        </w:rPr>
        <w:t> </w:t>
      </w:r>
      <w:r>
        <w:rPr/>
        <w:t>provided</w:t>
      </w:r>
      <w:r>
        <w:rPr>
          <w:spacing w:val="-1"/>
        </w:rPr>
        <w:t> </w:t>
      </w:r>
      <w:r>
        <w:rPr/>
        <w:t>to</w:t>
      </w:r>
      <w:r>
        <w:rPr>
          <w:spacing w:val="-1"/>
        </w:rPr>
        <w:t> </w:t>
      </w:r>
      <w:r>
        <w:rPr/>
        <w:t>AHPPC for</w:t>
      </w:r>
      <w:r>
        <w:rPr>
          <w:spacing w:val="-3"/>
        </w:rPr>
        <w:t> </w:t>
      </w:r>
      <w:r>
        <w:rPr/>
        <w:t>endorsement</w:t>
      </w:r>
      <w:r>
        <w:rPr>
          <w:spacing w:val="-1"/>
        </w:rPr>
        <w:t> </w:t>
      </w:r>
      <w:r>
        <w:rPr/>
        <w:t>in</w:t>
      </w:r>
      <w:r>
        <w:rPr>
          <w:spacing w:val="-1"/>
        </w:rPr>
        <w:t> </w:t>
      </w:r>
      <w:r>
        <w:rPr/>
        <w:t>the</w:t>
      </w:r>
      <w:r>
        <w:rPr>
          <w:spacing w:val="-1"/>
        </w:rPr>
        <w:t> </w:t>
      </w:r>
      <w:r>
        <w:rPr/>
        <w:t>coming months.</w:t>
      </w:r>
    </w:p>
    <w:p>
      <w:pPr>
        <w:pStyle w:val="BodyText"/>
        <w:spacing w:before="1"/>
      </w:pPr>
    </w:p>
    <w:p>
      <w:pPr>
        <w:pStyle w:val="BodyText"/>
        <w:ind w:left="112" w:right="1186"/>
      </w:pPr>
      <w:r>
        <w:rPr/>
        <w:t>For further information on national activities related to STIs, including syphilis, refer to the</w:t>
      </w:r>
      <w:r>
        <w:rPr>
          <w:spacing w:val="-52"/>
        </w:rPr>
        <w:t> </w:t>
      </w:r>
      <w:hyperlink r:id="rId6">
        <w:r>
          <w:rPr>
            <w:color w:val="0000FF"/>
            <w:u w:val="single" w:color="0000FF"/>
          </w:rPr>
          <w:t>Department’s</w:t>
        </w:r>
        <w:r>
          <w:rPr>
            <w:color w:val="0000FF"/>
            <w:spacing w:val="-2"/>
            <w:u w:val="single" w:color="0000FF"/>
          </w:rPr>
          <w:t> </w:t>
        </w:r>
        <w:r>
          <w:rPr>
            <w:color w:val="0000FF"/>
            <w:u w:val="single" w:color="0000FF"/>
          </w:rPr>
          <w:t>website</w:t>
        </w:r>
      </w:hyperlink>
      <w:r>
        <w:rPr/>
        <w:t>.</w:t>
      </w:r>
    </w:p>
    <w:p>
      <w:pPr>
        <w:spacing w:after="0"/>
        <w:sectPr>
          <w:type w:val="continuous"/>
          <w:pgSz w:w="11910" w:h="16840"/>
          <w:pgMar w:top="800" w:bottom="280" w:left="1020" w:right="760"/>
        </w:sectPr>
      </w:pPr>
    </w:p>
    <w:p>
      <w:pPr>
        <w:pStyle w:val="Heading1"/>
        <w:rPr>
          <w:u w:val="none"/>
        </w:rPr>
      </w:pPr>
      <w:r>
        <w:rPr>
          <w:u w:val="single"/>
        </w:rPr>
        <w:t>Legionellosis</w:t>
      </w:r>
    </w:p>
    <w:p>
      <w:pPr>
        <w:pStyle w:val="BodyText"/>
        <w:ind w:left="112" w:right="544"/>
      </w:pPr>
      <w:r>
        <w:rPr/>
        <w:t>In the past 12 months (26 April 2020 to 25 April 2021), there have been 544 cases of legionellosis</w:t>
      </w:r>
      <w:r>
        <w:rPr>
          <w:spacing w:val="-52"/>
        </w:rPr>
        <w:t> </w:t>
      </w:r>
      <w:r>
        <w:rPr/>
        <w:t>reported to the National Notifiable Diseases Surveillance System (NNDSS), comprising 53.5%</w:t>
      </w:r>
      <w:r>
        <w:rPr>
          <w:spacing w:val="1"/>
        </w:rPr>
        <w:t> </w:t>
      </w:r>
      <w:r>
        <w:rPr>
          <w:i/>
        </w:rPr>
        <w:t>Legionella longbeachae </w:t>
      </w:r>
      <w:r>
        <w:rPr/>
        <w:t>(291/544) and 42.1% </w:t>
      </w:r>
      <w:r>
        <w:rPr>
          <w:i/>
        </w:rPr>
        <w:t>Legionella pneumophila </w:t>
      </w:r>
      <w:r>
        <w:rPr/>
        <w:t>(229/544). This is 1.3 times</w:t>
      </w:r>
      <w:r>
        <w:rPr>
          <w:spacing w:val="-52"/>
        </w:rPr>
        <w:t> </w:t>
      </w:r>
      <w:r>
        <w:rPr/>
        <w:t>higher than the historical five-year mean (n=415.2), which comprised a greater proportion of </w:t>
      </w:r>
      <w:r>
        <w:rPr>
          <w:i/>
        </w:rPr>
        <w:t>L.</w:t>
      </w:r>
      <w:r>
        <w:rPr>
          <w:i/>
          <w:spacing w:val="1"/>
        </w:rPr>
        <w:t> </w:t>
      </w:r>
      <w:r>
        <w:rPr>
          <w:i/>
        </w:rPr>
        <w:t>pneumophila </w:t>
      </w:r>
      <w:r>
        <w:rPr/>
        <w:t>(56.4%) compared to </w:t>
      </w:r>
      <w:r>
        <w:rPr>
          <w:i/>
        </w:rPr>
        <w:t>L. longbeachae </w:t>
      </w:r>
      <w:r>
        <w:rPr/>
        <w:t>(40.7%) infections. Legionellosis notifications</w:t>
      </w:r>
      <w:r>
        <w:rPr>
          <w:spacing w:val="1"/>
        </w:rPr>
        <w:t> </w:t>
      </w:r>
      <w:r>
        <w:rPr/>
        <w:t>were reported in all jurisdictions of Australia in the past 12 months, although the distribution of</w:t>
      </w:r>
      <w:r>
        <w:rPr>
          <w:spacing w:val="1"/>
        </w:rPr>
        <w:t> </w:t>
      </w:r>
      <w:r>
        <w:rPr/>
        <w:t>species</w:t>
      </w:r>
      <w:r>
        <w:rPr>
          <w:spacing w:val="-1"/>
        </w:rPr>
        <w:t> </w:t>
      </w:r>
      <w:r>
        <w:rPr/>
        <w:t>varied</w:t>
      </w:r>
      <w:r>
        <w:rPr>
          <w:spacing w:val="-1"/>
        </w:rPr>
        <w:t> </w:t>
      </w:r>
      <w:r>
        <w:rPr/>
        <w:t>by jurisdiction</w:t>
      </w:r>
      <w:r>
        <w:rPr>
          <w:spacing w:val="-1"/>
        </w:rPr>
        <w:t> </w:t>
      </w:r>
      <w:r>
        <w:rPr/>
        <w:t>(Figure</w:t>
      </w:r>
      <w:r>
        <w:rPr>
          <w:spacing w:val="-1"/>
        </w:rPr>
        <w:t> </w:t>
      </w:r>
      <w:r>
        <w:rPr/>
        <w:t>1</w:t>
      </w:r>
      <w:r>
        <w:rPr>
          <w:spacing w:val="1"/>
        </w:rPr>
        <w:t> </w:t>
      </w:r>
      <w:r>
        <w:rPr/>
        <w:t>and</w:t>
      </w:r>
      <w:r>
        <w:rPr>
          <w:spacing w:val="-1"/>
        </w:rPr>
        <w:t> </w:t>
      </w:r>
      <w:r>
        <w:rPr/>
        <w:t>Figure</w:t>
      </w:r>
      <w:r>
        <w:rPr>
          <w:spacing w:val="-1"/>
        </w:rPr>
        <w:t> </w:t>
      </w:r>
      <w:r>
        <w:rPr/>
        <w:t>2).</w:t>
      </w:r>
    </w:p>
    <w:p>
      <w:pPr>
        <w:pStyle w:val="BodyText"/>
        <w:spacing w:before="10"/>
        <w:rPr>
          <w:sz w:val="23"/>
        </w:rPr>
      </w:pPr>
    </w:p>
    <w:p>
      <w:pPr>
        <w:pStyle w:val="BodyText"/>
        <w:ind w:left="112" w:right="510"/>
      </w:pPr>
      <w:r>
        <w:rPr/>
        <w:t>In the past fortnight (12 April 2021 to 25 April 2021), 20 cases of legionellosis were notified</w:t>
      </w:r>
      <w:r>
        <w:rPr>
          <w:spacing w:val="1"/>
        </w:rPr>
        <w:t> </w:t>
      </w:r>
      <w:r>
        <w:rPr/>
        <w:t>compared to 26 cases in the same reporting period in the previous year. Of the 20 cases reported</w:t>
      </w:r>
      <w:r>
        <w:rPr>
          <w:spacing w:val="-52"/>
        </w:rPr>
        <w:t> </w:t>
      </w:r>
      <w:r>
        <w:rPr/>
        <w:t>in the past fortnight, 16 cases had a species reported, with 10 cases identified as </w:t>
      </w:r>
      <w:r>
        <w:rPr>
          <w:i/>
        </w:rPr>
        <w:t>L. pneumophila</w:t>
      </w:r>
      <w:r>
        <w:rPr>
          <w:i/>
          <w:spacing w:val="1"/>
        </w:rPr>
        <w:t> </w:t>
      </w:r>
      <w:r>
        <w:rPr/>
        <w:t>(63%) and six cases identified as </w:t>
      </w:r>
      <w:r>
        <w:rPr>
          <w:i/>
        </w:rPr>
        <w:t>L. longbeachae </w:t>
      </w:r>
      <w:r>
        <w:rPr/>
        <w:t>(38%). It is difficult to determine the extent to</w:t>
      </w:r>
      <w:r>
        <w:rPr>
          <w:spacing w:val="1"/>
        </w:rPr>
        <w:t> </w:t>
      </w:r>
      <w:r>
        <w:rPr/>
        <w:t>which the increase in legionellosis notifications is associated with increased testing of individuals</w:t>
      </w:r>
      <w:r>
        <w:rPr>
          <w:spacing w:val="1"/>
        </w:rPr>
        <w:t> </w:t>
      </w:r>
      <w:r>
        <w:rPr/>
        <w:t>with influenza-like symptoms or pneumonia in response to the COVID-19 pandemic over the past</w:t>
      </w:r>
      <w:r>
        <w:rPr>
          <w:spacing w:val="-52"/>
        </w:rPr>
        <w:t> </w:t>
      </w:r>
      <w:r>
        <w:rPr/>
        <w:t>12 months,</w:t>
      </w:r>
      <w:r>
        <w:rPr>
          <w:spacing w:val="1"/>
        </w:rPr>
        <w:t> </w:t>
      </w:r>
      <w:r>
        <w:rPr/>
        <w:t>or</w:t>
      </w:r>
      <w:r>
        <w:rPr>
          <w:spacing w:val="1"/>
        </w:rPr>
        <w:t> </w:t>
      </w:r>
      <w:r>
        <w:rPr/>
        <w:t>other</w:t>
      </w:r>
      <w:r>
        <w:rPr>
          <w:spacing w:val="1"/>
        </w:rPr>
        <w:t> </w:t>
      </w:r>
      <w:r>
        <w:rPr/>
        <w:t>factors.</w:t>
      </w:r>
    </w:p>
    <w:p>
      <w:pPr>
        <w:pStyle w:val="BodyText"/>
        <w:spacing w:before="1"/>
      </w:pPr>
    </w:p>
    <w:p>
      <w:pPr>
        <w:spacing w:before="0"/>
        <w:ind w:left="112" w:right="562" w:firstLine="0"/>
        <w:jc w:val="left"/>
        <w:rPr>
          <w:b/>
          <w:sz w:val="22"/>
        </w:rPr>
      </w:pPr>
      <w:r>
        <w:rPr>
          <w:b/>
          <w:sz w:val="22"/>
        </w:rPr>
        <w:t>Figure 1. Notifications of </w:t>
      </w:r>
      <w:r>
        <w:rPr>
          <w:b/>
          <w:i/>
          <w:sz w:val="22"/>
        </w:rPr>
        <w:t>Legionella longbeachae</w:t>
      </w:r>
      <w:r>
        <w:rPr>
          <w:b/>
          <w:sz w:val="22"/>
        </w:rPr>
        <w:t>, Australia, 1 January 2016 to 25 April 2021, by state or</w:t>
      </w:r>
      <w:r>
        <w:rPr>
          <w:b/>
          <w:spacing w:val="-47"/>
          <w:sz w:val="22"/>
        </w:rPr>
        <w:t> </w:t>
      </w:r>
      <w:r>
        <w:rPr>
          <w:b/>
          <w:sz w:val="22"/>
        </w:rPr>
        <w:t>territory</w:t>
      </w:r>
      <w:r>
        <w:rPr>
          <w:b/>
          <w:spacing w:val="-2"/>
          <w:sz w:val="22"/>
        </w:rPr>
        <w:t> </w:t>
      </w:r>
      <w:r>
        <w:rPr>
          <w:b/>
          <w:sz w:val="22"/>
        </w:rPr>
        <w:t>and</w:t>
      </w:r>
      <w:r>
        <w:rPr>
          <w:b/>
          <w:spacing w:val="-1"/>
          <w:sz w:val="22"/>
        </w:rPr>
        <w:t> </w:t>
      </w:r>
      <w:r>
        <w:rPr>
          <w:b/>
          <w:sz w:val="22"/>
        </w:rPr>
        <w:t>month</w:t>
      </w:r>
      <w:r>
        <w:rPr>
          <w:b/>
          <w:spacing w:val="-1"/>
          <w:sz w:val="22"/>
        </w:rPr>
        <w:t> </w:t>
      </w:r>
      <w:r>
        <w:rPr>
          <w:b/>
          <w:sz w:val="22"/>
        </w:rPr>
        <w:t>and</w:t>
      </w:r>
      <w:r>
        <w:rPr>
          <w:b/>
          <w:spacing w:val="-1"/>
          <w:sz w:val="22"/>
        </w:rPr>
        <w:t> </w:t>
      </w:r>
      <w:r>
        <w:rPr>
          <w:b/>
          <w:sz w:val="22"/>
        </w:rPr>
        <w:t>year</w:t>
      </w:r>
      <w:r>
        <w:rPr>
          <w:b/>
          <w:spacing w:val="1"/>
          <w:sz w:val="22"/>
        </w:rPr>
        <w:t> </w:t>
      </w:r>
      <w:r>
        <w:rPr>
          <w:b/>
          <w:sz w:val="22"/>
        </w:rPr>
        <w:t>of notification</w:t>
      </w:r>
    </w:p>
    <w:p>
      <w:pPr>
        <w:pStyle w:val="BodyText"/>
        <w:ind w:left="114"/>
        <w:rPr>
          <w:sz w:val="20"/>
        </w:rPr>
      </w:pPr>
      <w:r>
        <w:rPr>
          <w:sz w:val="20"/>
        </w:rPr>
        <w:drawing>
          <wp:inline distT="0" distB="0" distL="0" distR="0">
            <wp:extent cx="6225562" cy="4058792"/>
            <wp:effectExtent l="0" t="0" r="0" b="0"/>
            <wp:docPr id="1" name="image1.png" descr="cid:image002.png@01D73B80.24C76920 "/>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225562" cy="4058792"/>
                    </a:xfrm>
                    <a:prstGeom prst="rect">
                      <a:avLst/>
                    </a:prstGeom>
                  </pic:spPr>
                </pic:pic>
              </a:graphicData>
            </a:graphic>
          </wp:inline>
        </w:drawing>
      </w:r>
      <w:r>
        <w:rPr>
          <w:sz w:val="20"/>
        </w:rPr>
      </w:r>
    </w:p>
    <w:p>
      <w:pPr>
        <w:spacing w:after="0"/>
        <w:rPr>
          <w:sz w:val="20"/>
        </w:rPr>
        <w:sectPr>
          <w:pgSz w:w="11910" w:h="16840"/>
          <w:pgMar w:top="800" w:bottom="280" w:left="1020" w:right="760"/>
        </w:sectPr>
      </w:pPr>
    </w:p>
    <w:p>
      <w:pPr>
        <w:spacing w:before="30" w:after="3"/>
        <w:ind w:left="112" w:right="529" w:firstLine="0"/>
        <w:jc w:val="left"/>
        <w:rPr>
          <w:b/>
          <w:sz w:val="22"/>
        </w:rPr>
      </w:pPr>
      <w:r>
        <w:rPr>
          <w:b/>
          <w:sz w:val="22"/>
        </w:rPr>
        <w:t>Figure 2. Notifications of </w:t>
      </w:r>
      <w:r>
        <w:rPr>
          <w:b/>
          <w:i/>
          <w:sz w:val="22"/>
        </w:rPr>
        <w:t>Legionella pneumophila</w:t>
      </w:r>
      <w:r>
        <w:rPr>
          <w:b/>
          <w:sz w:val="22"/>
        </w:rPr>
        <w:t>, Australia, 1 January 2016 to 25 April 2021, by state or</w:t>
      </w:r>
      <w:r>
        <w:rPr>
          <w:b/>
          <w:spacing w:val="-47"/>
          <w:sz w:val="22"/>
        </w:rPr>
        <w:t> </w:t>
      </w:r>
      <w:r>
        <w:rPr>
          <w:b/>
          <w:sz w:val="22"/>
        </w:rPr>
        <w:t>territory</w:t>
      </w:r>
      <w:r>
        <w:rPr>
          <w:b/>
          <w:spacing w:val="-2"/>
          <w:sz w:val="22"/>
        </w:rPr>
        <w:t> </w:t>
      </w:r>
      <w:r>
        <w:rPr>
          <w:b/>
          <w:sz w:val="22"/>
        </w:rPr>
        <w:t>and</w:t>
      </w:r>
      <w:r>
        <w:rPr>
          <w:b/>
          <w:spacing w:val="-1"/>
          <w:sz w:val="22"/>
        </w:rPr>
        <w:t> </w:t>
      </w:r>
      <w:r>
        <w:rPr>
          <w:b/>
          <w:sz w:val="22"/>
        </w:rPr>
        <w:t>month</w:t>
      </w:r>
      <w:r>
        <w:rPr>
          <w:b/>
          <w:spacing w:val="-1"/>
          <w:sz w:val="22"/>
        </w:rPr>
        <w:t> </w:t>
      </w:r>
      <w:r>
        <w:rPr>
          <w:b/>
          <w:sz w:val="22"/>
        </w:rPr>
        <w:t>and</w:t>
      </w:r>
      <w:r>
        <w:rPr>
          <w:b/>
          <w:spacing w:val="-1"/>
          <w:sz w:val="22"/>
        </w:rPr>
        <w:t> </w:t>
      </w:r>
      <w:r>
        <w:rPr>
          <w:b/>
          <w:sz w:val="22"/>
        </w:rPr>
        <w:t>year</w:t>
      </w:r>
      <w:r>
        <w:rPr>
          <w:b/>
          <w:spacing w:val="1"/>
          <w:sz w:val="22"/>
        </w:rPr>
        <w:t> </w:t>
      </w:r>
      <w:r>
        <w:rPr>
          <w:b/>
          <w:sz w:val="22"/>
        </w:rPr>
        <w:t>of notification</w:t>
      </w:r>
    </w:p>
    <w:p>
      <w:pPr>
        <w:pStyle w:val="BodyText"/>
        <w:ind w:left="114"/>
        <w:rPr>
          <w:sz w:val="20"/>
        </w:rPr>
      </w:pPr>
      <w:r>
        <w:rPr>
          <w:sz w:val="20"/>
        </w:rPr>
        <w:drawing>
          <wp:inline distT="0" distB="0" distL="0" distR="0">
            <wp:extent cx="6130551" cy="3998214"/>
            <wp:effectExtent l="0" t="0" r="0" b="0"/>
            <wp:docPr id="3" name="image2.png" descr="cid:image006.png@01D73B80.24C76920 "/>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130551" cy="3998214"/>
                    </a:xfrm>
                    <a:prstGeom prst="rect">
                      <a:avLst/>
                    </a:prstGeom>
                  </pic:spPr>
                </pic:pic>
              </a:graphicData>
            </a:graphic>
          </wp:inline>
        </w:drawing>
      </w:r>
      <w:r>
        <w:rPr>
          <w:sz w:val="20"/>
        </w:rPr>
      </w:r>
    </w:p>
    <w:p>
      <w:pPr>
        <w:pStyle w:val="BodyText"/>
        <w:spacing w:before="8"/>
        <w:rPr>
          <w:b/>
          <w:sz w:val="26"/>
        </w:rPr>
      </w:pPr>
    </w:p>
    <w:p>
      <w:pPr>
        <w:pStyle w:val="Heading1"/>
        <w:spacing w:before="0"/>
        <w:rPr>
          <w:u w:val="none"/>
        </w:rPr>
      </w:pPr>
      <w:r>
        <w:rPr>
          <w:u w:val="single"/>
        </w:rPr>
        <w:t>Leptospirosis</w:t>
      </w:r>
    </w:p>
    <w:p>
      <w:pPr>
        <w:pStyle w:val="BodyText"/>
        <w:ind w:left="112" w:right="396"/>
      </w:pPr>
      <w:r>
        <w:rPr/>
        <w:t>In the past 12 months (26 April 2020 to 25 April 2021), there have been 162 cases of leptospirosis</w:t>
      </w:r>
      <w:r>
        <w:rPr>
          <w:spacing w:val="1"/>
        </w:rPr>
        <w:t> </w:t>
      </w:r>
      <w:r>
        <w:rPr/>
        <w:t>reported to the National Notifiable Diseases Surveillance System (NNDSS). This is higher than the</w:t>
      </w:r>
      <w:r>
        <w:rPr>
          <w:spacing w:val="1"/>
        </w:rPr>
        <w:t> </w:t>
      </w:r>
      <w:r>
        <w:rPr/>
        <w:t>mean number of cases reported for the historical five-year mean (n=115.6). In the past fortnight</w:t>
      </w:r>
      <w:r>
        <w:rPr>
          <w:spacing w:val="1"/>
        </w:rPr>
        <w:t> </w:t>
      </w:r>
      <w:r>
        <w:rPr/>
        <w:t>(12 April 2021 to 25 April 2021), 17 cases of leptospirosis were notified compared to three cases in</w:t>
      </w:r>
      <w:r>
        <w:rPr>
          <w:spacing w:val="-52"/>
        </w:rPr>
        <w:t> </w:t>
      </w:r>
      <w:r>
        <w:rPr/>
        <w:t>the same reporting period in the previous year. In the past quarter (26 January 2021 to 25 April</w:t>
      </w:r>
      <w:r>
        <w:rPr>
          <w:spacing w:val="1"/>
        </w:rPr>
        <w:t> </w:t>
      </w:r>
      <w:r>
        <w:rPr/>
        <w:t>2021),</w:t>
      </w:r>
      <w:r>
        <w:rPr>
          <w:spacing w:val="-4"/>
        </w:rPr>
        <w:t> </w:t>
      </w:r>
      <w:r>
        <w:rPr/>
        <w:t>86 cases</w:t>
      </w:r>
      <w:r>
        <w:rPr>
          <w:spacing w:val="-3"/>
        </w:rPr>
        <w:t> </w:t>
      </w:r>
      <w:r>
        <w:rPr/>
        <w:t>of</w:t>
      </w:r>
      <w:r>
        <w:rPr>
          <w:spacing w:val="-2"/>
        </w:rPr>
        <w:t> </w:t>
      </w:r>
      <w:r>
        <w:rPr/>
        <w:t>leptospirosis</w:t>
      </w:r>
      <w:r>
        <w:rPr>
          <w:spacing w:val="-1"/>
        </w:rPr>
        <w:t> </w:t>
      </w:r>
      <w:r>
        <w:rPr/>
        <w:t>were</w:t>
      </w:r>
      <w:r>
        <w:rPr>
          <w:spacing w:val="-3"/>
        </w:rPr>
        <w:t> </w:t>
      </w:r>
      <w:r>
        <w:rPr/>
        <w:t>notified</w:t>
      </w:r>
      <w:r>
        <w:rPr>
          <w:spacing w:val="-2"/>
        </w:rPr>
        <w:t> </w:t>
      </w:r>
      <w:r>
        <w:rPr/>
        <w:t>compared</w:t>
      </w:r>
      <w:r>
        <w:rPr>
          <w:spacing w:val="-2"/>
        </w:rPr>
        <w:t> </w:t>
      </w:r>
      <w:r>
        <w:rPr/>
        <w:t>to</w:t>
      </w:r>
      <w:r>
        <w:rPr>
          <w:spacing w:val="-2"/>
        </w:rPr>
        <w:t> </w:t>
      </w:r>
      <w:r>
        <w:rPr/>
        <w:t>the</w:t>
      </w:r>
      <w:r>
        <w:rPr>
          <w:spacing w:val="-2"/>
        </w:rPr>
        <w:t> </w:t>
      </w:r>
      <w:r>
        <w:rPr/>
        <w:t>quarterly</w:t>
      </w:r>
      <w:r>
        <w:rPr>
          <w:spacing w:val="-5"/>
        </w:rPr>
        <w:t> </w:t>
      </w:r>
      <w:r>
        <w:rPr/>
        <w:t>rolling</w:t>
      </w:r>
      <w:r>
        <w:rPr>
          <w:spacing w:val="-3"/>
        </w:rPr>
        <w:t> </w:t>
      </w:r>
      <w:r>
        <w:rPr/>
        <w:t>five year mean of</w:t>
      </w:r>
    </w:p>
    <w:p>
      <w:pPr>
        <w:pStyle w:val="BodyText"/>
        <w:ind w:left="112" w:right="452"/>
      </w:pPr>
      <w:r>
        <w:rPr/>
        <w:t>38.4 notifications. Of the 86 cases notified in the past quarter, the highest number of notifications</w:t>
      </w:r>
      <w:r>
        <w:rPr>
          <w:spacing w:val="-52"/>
        </w:rPr>
        <w:t> </w:t>
      </w:r>
      <w:r>
        <w:rPr/>
        <w:t>occurred in Queensland (49/86, 57%), followed by New South Wales (22/86, 26%) and the</w:t>
      </w:r>
      <w:r>
        <w:rPr>
          <w:spacing w:val="1"/>
        </w:rPr>
        <w:t> </w:t>
      </w:r>
      <w:r>
        <w:rPr/>
        <w:t>Northern Territory (12/86, 14%). Increased mouse and rat populations following recent wet</w:t>
      </w:r>
      <w:r>
        <w:rPr>
          <w:spacing w:val="1"/>
        </w:rPr>
        <w:t> </w:t>
      </w:r>
      <w:r>
        <w:rPr/>
        <w:t>weather in eastern Australian may be a contributing factor leading to increased case notifications</w:t>
      </w:r>
      <w:r>
        <w:rPr>
          <w:spacing w:val="1"/>
        </w:rPr>
        <w:t> </w:t>
      </w:r>
      <w:r>
        <w:rPr/>
        <w:t>in</w:t>
      </w:r>
      <w:r>
        <w:rPr>
          <w:spacing w:val="1"/>
        </w:rPr>
        <w:t> </w:t>
      </w:r>
      <w:r>
        <w:rPr/>
        <w:t>some</w:t>
      </w:r>
      <w:r>
        <w:rPr>
          <w:spacing w:val="-1"/>
        </w:rPr>
        <w:t> </w:t>
      </w:r>
      <w:r>
        <w:rPr/>
        <w:t>areas.</w:t>
      </w:r>
    </w:p>
    <w:p>
      <w:pPr>
        <w:pStyle w:val="BodyText"/>
        <w:spacing w:before="11"/>
        <w:rPr>
          <w:sz w:val="23"/>
        </w:rPr>
      </w:pPr>
    </w:p>
    <w:p>
      <w:pPr>
        <w:spacing w:line="195" w:lineRule="exact" w:before="1"/>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552"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4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(26/01/2021</w:t>
      </w:r>
      <w:r>
        <w:rPr>
          <w:i/>
          <w:spacing w:val="-2"/>
          <w:sz w:val="16"/>
          <w:vertAlign w:val="baseline"/>
        </w:rPr>
        <w:t> </w:t>
      </w:r>
      <w:r>
        <w:rPr>
          <w:i/>
          <w:sz w:val="16"/>
          <w:vertAlign w:val="baseline"/>
        </w:rPr>
        <w:t>to</w:t>
      </w:r>
      <w:r>
        <w:rPr>
          <w:i/>
          <w:spacing w:val="-3"/>
          <w:sz w:val="16"/>
          <w:vertAlign w:val="baseline"/>
        </w:rPr>
        <w:t> </w:t>
      </w:r>
      <w:r>
        <w:rPr>
          <w:i/>
          <w:sz w:val="16"/>
          <w:vertAlign w:val="baseline"/>
        </w:rPr>
        <w:t>25/04/2021).</w:t>
      </w:r>
    </w:p>
    <w:p>
      <w:pPr>
        <w:spacing w:before="122"/>
        <w:ind w:left="112" w:right="426" w:firstLine="0"/>
        <w:jc w:val="left"/>
        <w:rPr>
          <w:i/>
          <w:sz w:val="16"/>
        </w:rPr>
      </w:pPr>
      <w:r>
        <w:rPr>
          <w:i/>
          <w:sz w:val="16"/>
          <w:vertAlign w:val="superscript"/>
        </w:rPr>
        <w:t>2</w:t>
      </w:r>
      <w:r>
        <w:rPr>
          <w:i/>
          <w:sz w:val="16"/>
          <w:vertAlign w:val="baseline"/>
        </w:rPr>
        <w:t>The quarterly (90 day) five year rolling mean is the average of 5 intervals of 90 days up to 25/04/2021.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18"/>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(26/04/2020</w:t>
      </w:r>
      <w:r>
        <w:rPr>
          <w:i/>
          <w:spacing w:val="-3"/>
          <w:sz w:val="16"/>
          <w:vertAlign w:val="baseline"/>
        </w:rPr>
        <w:t> </w:t>
      </w:r>
      <w:r>
        <w:rPr>
          <w:i/>
          <w:sz w:val="16"/>
          <w:vertAlign w:val="baseline"/>
        </w:rPr>
        <w:t>to</w:t>
      </w:r>
      <w:r>
        <w:rPr>
          <w:i/>
          <w:spacing w:val="-2"/>
          <w:sz w:val="16"/>
          <w:vertAlign w:val="baseline"/>
        </w:rPr>
        <w:t> </w:t>
      </w:r>
      <w:r>
        <w:rPr>
          <w:i/>
          <w:sz w:val="16"/>
          <w:vertAlign w:val="baseline"/>
        </w:rPr>
        <w:t>25/04/2021).</w:t>
      </w:r>
    </w:p>
    <w:p>
      <w:pPr>
        <w:spacing w:before="122"/>
        <w:ind w:left="112" w:right="670" w:firstLine="0"/>
        <w:jc w:val="left"/>
        <w:rPr>
          <w:i/>
          <w:sz w:val="16"/>
        </w:rPr>
      </w:pPr>
      <w:r>
        <w:rPr>
          <w:i/>
          <w:sz w:val="16"/>
          <w:vertAlign w:val="superscript"/>
        </w:rPr>
        <w:t>4</w:t>
      </w:r>
      <w:r>
        <w:rPr>
          <w:i/>
          <w:sz w:val="16"/>
          <w:vertAlign w:val="baseline"/>
        </w:rPr>
        <w:t>The yearly (365 day) five year rolling mean is the average of 5 intervals of 365 days up to 25/04/2021.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3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800" w:bottom="280" w:left="1020" w:right="760"/>
        </w:sectPr>
      </w:pPr>
    </w:p>
    <w:p>
      <w:pPr>
        <w:spacing w:before="54"/>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633274pt;width:933pt;height:702.1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FN08/2021</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12/04/2021</w:t>
                        </w:r>
                      </w:p>
                      <w:p>
                        <w:pPr>
                          <w:pStyle w:val="TableParagraph"/>
                          <w:spacing w:line="134" w:lineRule="exact" w:before="21"/>
                          <w:ind w:left="22" w:right="5"/>
                          <w:jc w:val="center"/>
                          <w:rPr>
                            <w:b/>
                            <w:sz w:val="13"/>
                          </w:rPr>
                        </w:pPr>
                        <w:r>
                          <w:rPr>
                            <w:b/>
                            <w:color w:val="FFFFFF"/>
                            <w:w w:val="105"/>
                            <w:sz w:val="13"/>
                          </w:rPr>
                          <w:t>25/04/2021</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29/03/2021</w:t>
                        </w:r>
                      </w:p>
                      <w:p>
                        <w:pPr>
                          <w:pStyle w:val="TableParagraph"/>
                          <w:spacing w:line="134" w:lineRule="exact" w:before="22"/>
                          <w:ind w:left="78" w:right="52"/>
                          <w:jc w:val="center"/>
                          <w:rPr>
                            <w:sz w:val="13"/>
                          </w:rPr>
                        </w:pPr>
                        <w:r>
                          <w:rPr>
                            <w:color w:val="FFFFFF"/>
                            <w:w w:val="105"/>
                            <w:sz w:val="13"/>
                          </w:rPr>
                          <w:t>11/04/2021</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12/04/2020</w:t>
                        </w:r>
                      </w:p>
                      <w:p>
                        <w:pPr>
                          <w:pStyle w:val="TableParagraph"/>
                          <w:spacing w:line="134" w:lineRule="exact" w:before="21"/>
                          <w:ind w:left="78" w:right="52"/>
                          <w:jc w:val="center"/>
                          <w:rPr>
                            <w:sz w:val="13"/>
                          </w:rPr>
                        </w:pPr>
                        <w:r>
                          <w:rPr>
                            <w:color w:val="FFFFFF"/>
                            <w:w w:val="105"/>
                            <w:sz w:val="13"/>
                          </w:rPr>
                          <w:t>25/04/2020</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01/01/2021</w:t>
                        </w:r>
                      </w:p>
                      <w:p>
                        <w:pPr>
                          <w:pStyle w:val="TableParagraph"/>
                          <w:spacing w:line="134" w:lineRule="exact" w:before="21"/>
                          <w:ind w:left="69" w:right="34"/>
                          <w:jc w:val="center"/>
                          <w:rPr>
                            <w:sz w:val="13"/>
                          </w:rPr>
                        </w:pPr>
                        <w:r>
                          <w:rPr>
                            <w:color w:val="FFFFFF"/>
                            <w:w w:val="105"/>
                            <w:sz w:val="13"/>
                          </w:rPr>
                          <w:t>25/04/2021</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26/01/2021</w:t>
                        </w:r>
                      </w:p>
                      <w:p>
                        <w:pPr>
                          <w:pStyle w:val="TableParagraph"/>
                          <w:spacing w:line="134" w:lineRule="exact" w:before="21"/>
                          <w:ind w:left="91"/>
                          <w:jc w:val="left"/>
                          <w:rPr>
                            <w:sz w:val="13"/>
                          </w:rPr>
                        </w:pPr>
                        <w:r>
                          <w:rPr>
                            <w:color w:val="FFFFFF"/>
                            <w:w w:val="105"/>
                            <w:sz w:val="13"/>
                          </w:rPr>
                          <w:t>25/04/2021</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26/04/2020</w:t>
                        </w:r>
                      </w:p>
                      <w:p>
                        <w:pPr>
                          <w:pStyle w:val="TableParagraph"/>
                          <w:spacing w:line="134" w:lineRule="exact" w:before="21"/>
                          <w:ind w:left="90"/>
                          <w:jc w:val="left"/>
                          <w:rPr>
                            <w:sz w:val="13"/>
                          </w:rPr>
                        </w:pPr>
                        <w:r>
                          <w:rPr>
                            <w:color w:val="FFFFFF"/>
                            <w:w w:val="105"/>
                            <w:sz w:val="13"/>
                          </w:rPr>
                          <w:t>25/04/2021</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26/04/2015</w:t>
                        </w:r>
                      </w:p>
                      <w:p>
                        <w:pPr>
                          <w:pStyle w:val="TableParagraph"/>
                          <w:spacing w:line="134" w:lineRule="exact" w:before="21"/>
                          <w:ind w:left="42"/>
                          <w:jc w:val="left"/>
                          <w:rPr>
                            <w:sz w:val="13"/>
                          </w:rPr>
                        </w:pPr>
                        <w:r>
                          <w:rPr>
                            <w:color w:val="FFFFFF"/>
                            <w:w w:val="105"/>
                            <w:sz w:val="13"/>
                          </w:rPr>
                          <w:t>25/04/2020</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26</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38.2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0.4</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107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152.6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1,465.2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4,847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5,923.4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714.6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290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216</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2,316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1,828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2,492.6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7,327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9,698.6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25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1.5</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80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66.6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1.2</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5.0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444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11,756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8,892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7,101.4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32,647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29,531.0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634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1,663.8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1,450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3,944.6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481.6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503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4,974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3,594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5,375.6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10,580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15,817.4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2,121.2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65.0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153.0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102</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52</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34</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13</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291</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532</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1,373</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996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1,377.0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23,022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1,379.2</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10"/>
                          <w:jc w:val="left"/>
                          <w:rPr>
                            <w:sz w:val="13"/>
                          </w:rPr>
                        </w:pPr>
                        <w:r>
                          <w:rPr>
                            <w:w w:val="105"/>
                            <w:sz w:val="13"/>
                          </w:rPr>
                          <w:t>16.7</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15,474.8</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60</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1,104</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875</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191</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31</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375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2,719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2,572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2,848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26,382</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20,455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26,394.2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85,235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99,983.6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396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205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894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951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8,451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6,504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7,581.6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26,982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28,224.8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46</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59</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192</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176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204</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1,614</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1,261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1,151.8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5,136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4,500.4</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513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2,185.8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shd w:val="clear" w:color="auto" w:fill="FFFF00"/>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shd w:val="clear" w:color="auto" w:fill="FFFF00"/>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FFFF00"/>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shd w:val="clear" w:color="auto" w:fill="FFFF00"/>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shd w:val="clear" w:color="auto" w:fill="FFFF00"/>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5</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1.0</w:t>
                        </w:r>
                      </w:p>
                    </w:tc>
                    <w:tc>
                      <w:tcPr>
                        <w:tcW w:w="72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90"/>
                          <w:jc w:val="left"/>
                          <w:rPr>
                            <w:sz w:val="13"/>
                          </w:rPr>
                        </w:pPr>
                        <w:r>
                          <w:rPr>
                            <w:w w:val="105"/>
                            <w:sz w:val="13"/>
                          </w:rPr>
                          <w:t>4.0</w:t>
                        </w:r>
                      </w:p>
                    </w:tc>
                    <w:tc>
                      <w:tcPr>
                        <w:tcW w:w="736"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1.6</w:t>
                        </w:r>
                      </w:p>
                    </w:tc>
                    <w:tc>
                      <w:tcPr>
                        <w:tcW w:w="846" w:type="dxa"/>
                        <w:tcBorders>
                          <w:top w:val="single" w:sz="6" w:space="0" w:color="000000"/>
                          <w:right w:val="single" w:sz="6" w:space="0" w:color="000000"/>
                        </w:tcBorders>
                        <w:shd w:val="clear" w:color="auto" w:fill="FFFF00"/>
                      </w:tcPr>
                      <w:p>
                        <w:pPr>
                          <w:pStyle w:val="TableParagraph"/>
                          <w:spacing w:line="134" w:lineRule="exact"/>
                          <w:ind w:right="45"/>
                          <w:rPr>
                            <w:sz w:val="13"/>
                          </w:rPr>
                        </w:pPr>
                        <w:r>
                          <w:rPr>
                            <w:w w:val="105"/>
                            <w:sz w:val="13"/>
                          </w:rPr>
                          <w:t>18</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7.0</w:t>
                        </w:r>
                      </w:p>
                    </w:tc>
                    <w:tc>
                      <w:tcPr>
                        <w:tcW w:w="71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80"/>
                          <w:jc w:val="left"/>
                          <w:rPr>
                            <w:sz w:val="13"/>
                          </w:rPr>
                        </w:pPr>
                        <w:r>
                          <w:rPr>
                            <w:w w:val="105"/>
                            <w:sz w:val="13"/>
                          </w:rPr>
                          <w:t>2.6</w:t>
                        </w:r>
                      </w:p>
                    </w:tc>
                    <w:tc>
                      <w:tcPr>
                        <w:tcW w:w="735"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6.8</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0.5</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253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14,564.4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166,058.2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622.2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3,075.2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1,060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15,509.6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1,072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4,732.2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478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720.8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3,612.0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254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2,612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2,946.4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12,434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11,130.4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3</w:t>
                        </w:r>
                      </w:p>
                    </w:tc>
                    <w:tc>
                      <w:tcPr>
                        <w:tcW w:w="667" w:type="dxa"/>
                        <w:tcBorders>
                          <w:top w:val="single" w:sz="6" w:space="0" w:color="000000"/>
                          <w:left w:val="single" w:sz="6" w:space="0" w:color="000000"/>
                          <w:right w:val="single" w:sz="6" w:space="0" w:color="000000"/>
                        </w:tcBorders>
                      </w:tcPr>
                      <w:p>
                        <w:pPr>
                          <w:pStyle w:val="TableParagraph"/>
                          <w:spacing w:line="134" w:lineRule="exact"/>
                          <w:ind w:left="71"/>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11</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343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61</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7</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74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520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483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592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5,406</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3,943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3,457.8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15,382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14,228.0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37</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151</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126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123.0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695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374.2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1.9</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155.0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1,378.8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888</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1,757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1,768.2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6,042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4,383.6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72"/>
                          <w:jc w:val="left"/>
                          <w:rPr>
                            <w:sz w:val="13"/>
                          </w:rPr>
                        </w:pPr>
                        <w:r>
                          <w:rPr>
                            <w:w w:val="105"/>
                            <w:sz w:val="13"/>
                          </w:rPr>
                          <w:t>‐</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2"/>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49"/>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4"/>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Brucellosis</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004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0.8</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19.2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tcBorders>
                          <w:top w:val="nil"/>
                        </w:tcBorders>
                        <w:shd w:val="clear" w:color="auto" w:fill="F1F1F1"/>
                      </w:tcPr>
                      <w:p>
                        <w:pPr>
                          <w:rPr>
                            <w:sz w:val="2"/>
                            <w:szCs w:val="2"/>
                          </w:rPr>
                        </w:pPr>
                      </w:p>
                    </w:tc>
                    <w:tc>
                      <w:tcPr>
                        <w:tcW w:w="2725" w:type="dxa"/>
                        <w:tcBorders>
                          <w:bottom w:val="single" w:sz="6" w:space="0" w:color="000000"/>
                          <w:right w:val="single" w:sz="6" w:space="0" w:color="000000"/>
                        </w:tcBorders>
                        <w:shd w:val="clear" w:color="auto" w:fill="FFFF00"/>
                      </w:tcPr>
                      <w:p>
                        <w:pPr>
                          <w:pStyle w:val="TableParagraph"/>
                          <w:spacing w:line="129" w:lineRule="exact"/>
                          <w:ind w:left="23"/>
                          <w:jc w:val="left"/>
                          <w:rPr>
                            <w:sz w:val="13"/>
                          </w:rPr>
                        </w:pPr>
                        <w:r>
                          <w:rPr>
                            <w:w w:val="105"/>
                            <w:sz w:val="13"/>
                          </w:rPr>
                          <w:t>Leptospirosis</w:t>
                        </w:r>
                      </w:p>
                    </w:tc>
                    <w:tc>
                      <w:tcPr>
                        <w:tcW w:w="416" w:type="dxa"/>
                        <w:tcBorders>
                          <w:left w:val="single" w:sz="6" w:space="0" w:color="000000"/>
                          <w:bottom w:val="single" w:sz="6" w:space="0" w:color="000000"/>
                        </w:tcBorders>
                        <w:shd w:val="clear" w:color="auto" w:fill="FFFF00"/>
                      </w:tcPr>
                      <w:p>
                        <w:pPr>
                          <w:pStyle w:val="TableParagraph"/>
                          <w:spacing w:line="129" w:lineRule="exact"/>
                          <w:ind w:left="91" w:right="50"/>
                          <w:jc w:val="center"/>
                          <w:rPr>
                            <w:sz w:val="13"/>
                          </w:rPr>
                        </w:pPr>
                        <w:r>
                          <w:rPr>
                            <w:w w:val="105"/>
                            <w:sz w:val="13"/>
                          </w:rPr>
                          <w:t>017</w:t>
                        </w:r>
                      </w:p>
                    </w:tc>
                    <w:tc>
                      <w:tcPr>
                        <w:tcW w:w="488" w:type="dxa"/>
                        <w:tcBorders>
                          <w:bottom w:val="single" w:sz="6" w:space="0" w:color="000000"/>
                          <w:right w:val="single" w:sz="6" w:space="0" w:color="000000"/>
                        </w:tcBorders>
                        <w:shd w:val="clear" w:color="auto" w:fill="FFFF00"/>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8</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9</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shd w:val="clear" w:color="auto" w:fill="FFFF00"/>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17</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10</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3</w:t>
                        </w:r>
                      </w:p>
                    </w:tc>
                    <w:tc>
                      <w:tcPr>
                        <w:tcW w:w="844"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99</w:t>
                        </w:r>
                      </w:p>
                    </w:tc>
                    <w:tc>
                      <w:tcPr>
                        <w:tcW w:w="846" w:type="dxa"/>
                        <w:tcBorders>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86</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38.4</w:t>
                        </w:r>
                      </w:p>
                    </w:tc>
                    <w:tc>
                      <w:tcPr>
                        <w:tcW w:w="72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90"/>
                          <w:jc w:val="left"/>
                          <w:rPr>
                            <w:sz w:val="13"/>
                          </w:rPr>
                        </w:pPr>
                        <w:r>
                          <w:rPr>
                            <w:w w:val="105"/>
                            <w:sz w:val="13"/>
                          </w:rPr>
                          <w:t>2.2</w:t>
                        </w:r>
                      </w:p>
                    </w:tc>
                    <w:tc>
                      <w:tcPr>
                        <w:tcW w:w="736"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24.6</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162</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115.6</w:t>
                        </w:r>
                      </w:p>
                    </w:tc>
                    <w:tc>
                      <w:tcPr>
                        <w:tcW w:w="71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80"/>
                          <w:jc w:val="left"/>
                          <w:rPr>
                            <w:sz w:val="13"/>
                          </w:rPr>
                        </w:pPr>
                        <w:r>
                          <w:rPr>
                            <w:w w:val="105"/>
                            <w:sz w:val="13"/>
                          </w:rPr>
                          <w:t>1.4</w:t>
                        </w:r>
                      </w:p>
                    </w:tc>
                    <w:tc>
                      <w:tcPr>
                        <w:tcW w:w="735" w:type="dxa"/>
                        <w:tcBorders>
                          <w:left w:val="single" w:sz="6" w:space="0" w:color="000000"/>
                          <w:bottom w:val="single" w:sz="6" w:space="0" w:color="000000"/>
                        </w:tcBorders>
                        <w:shd w:val="clear" w:color="auto" w:fill="FFFF00"/>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3.2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27.6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470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542.2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shd w:val="clear" w:color="auto" w:fill="FFFF00"/>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shd w:val="clear" w:color="auto" w:fill="FFFF00"/>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FFFF00"/>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7</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6</w:t>
                        </w:r>
                      </w:p>
                    </w:tc>
                    <w:tc>
                      <w:tcPr>
                        <w:tcW w:w="556"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20</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21</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26</w:t>
                        </w:r>
                      </w:p>
                    </w:tc>
                    <w:tc>
                      <w:tcPr>
                        <w:tcW w:w="844"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198</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165</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109.2</w:t>
                        </w:r>
                      </w:p>
                    </w:tc>
                    <w:tc>
                      <w:tcPr>
                        <w:tcW w:w="72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90"/>
                          <w:jc w:val="left"/>
                          <w:rPr>
                            <w:sz w:val="13"/>
                          </w:rPr>
                        </w:pPr>
                        <w:r>
                          <w:rPr>
                            <w:w w:val="105"/>
                            <w:sz w:val="13"/>
                          </w:rPr>
                          <w:t>1.5</w:t>
                        </w:r>
                      </w:p>
                    </w:tc>
                    <w:tc>
                      <w:tcPr>
                        <w:tcW w:w="736" w:type="dxa"/>
                        <w:tcBorders>
                          <w:left w:val="single" w:sz="6" w:space="0" w:color="000000"/>
                          <w:bottom w:val="single" w:sz="6" w:space="0" w:color="000000"/>
                        </w:tcBorders>
                        <w:shd w:val="clear" w:color="auto" w:fill="FFFF00"/>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544</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415.2</w:t>
                        </w:r>
                      </w:p>
                    </w:tc>
                    <w:tc>
                      <w:tcPr>
                        <w:tcW w:w="71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17.3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25</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9</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417</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313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341.4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0.9</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1,564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1,421.4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145</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2,541</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206</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2,423</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665</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165</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541</w:t>
                        </w:r>
                      </w:p>
                    </w:tc>
                    <w:tc>
                      <w:tcPr>
                        <w:tcW w:w="556" w:type="dxa"/>
                        <w:tcBorders>
                          <w:left w:val="single" w:sz="6" w:space="0" w:color="000000"/>
                        </w:tcBorders>
                      </w:tcPr>
                      <w:p>
                        <w:pPr>
                          <w:pStyle w:val="TableParagraph"/>
                          <w:spacing w:line="135" w:lineRule="exact"/>
                          <w:ind w:right="35"/>
                          <w:rPr>
                            <w:sz w:val="13"/>
                          </w:rPr>
                        </w:pPr>
                        <w:r>
                          <w:rPr>
                            <w:w w:val="105"/>
                            <w:sz w:val="13"/>
                          </w:rPr>
                          <w:t>969</w:t>
                        </w:r>
                      </w:p>
                    </w:tc>
                    <w:tc>
                      <w:tcPr>
                        <w:tcW w:w="846" w:type="dxa"/>
                      </w:tcPr>
                      <w:p>
                        <w:pPr>
                          <w:pStyle w:val="TableParagraph"/>
                          <w:spacing w:line="135" w:lineRule="exact"/>
                          <w:ind w:right="36"/>
                          <w:rPr>
                            <w:sz w:val="13"/>
                          </w:rPr>
                        </w:pPr>
                        <w:r>
                          <w:rPr>
                            <w:w w:val="105"/>
                            <w:sz w:val="13"/>
                          </w:rPr>
                          <w:t>7,656</w:t>
                        </w:r>
                      </w:p>
                    </w:tc>
                    <w:tc>
                      <w:tcPr>
                        <w:tcW w:w="845" w:type="dxa"/>
                      </w:tcPr>
                      <w:p>
                        <w:pPr>
                          <w:pStyle w:val="TableParagraph"/>
                          <w:spacing w:line="135" w:lineRule="exact"/>
                          <w:ind w:right="36"/>
                          <w:rPr>
                            <w:sz w:val="13"/>
                          </w:rPr>
                        </w:pPr>
                        <w:r>
                          <w:rPr>
                            <w:w w:val="105"/>
                            <w:sz w:val="13"/>
                          </w:rPr>
                          <w:t>7,059</w:t>
                        </w:r>
                      </w:p>
                    </w:tc>
                    <w:tc>
                      <w:tcPr>
                        <w:tcW w:w="845" w:type="dxa"/>
                      </w:tcPr>
                      <w:p>
                        <w:pPr>
                          <w:pStyle w:val="TableParagraph"/>
                          <w:spacing w:line="135" w:lineRule="exact"/>
                          <w:ind w:right="36"/>
                          <w:rPr>
                            <w:sz w:val="13"/>
                          </w:rPr>
                        </w:pPr>
                        <w:r>
                          <w:rPr>
                            <w:w w:val="105"/>
                            <w:sz w:val="13"/>
                          </w:rPr>
                          <w:t>8,810</w:t>
                        </w:r>
                      </w:p>
                    </w:tc>
                    <w:tc>
                      <w:tcPr>
                        <w:tcW w:w="844" w:type="dxa"/>
                      </w:tcPr>
                      <w:p>
                        <w:pPr>
                          <w:pStyle w:val="TableParagraph"/>
                          <w:spacing w:line="135" w:lineRule="exact"/>
                          <w:ind w:right="36"/>
                          <w:rPr>
                            <w:sz w:val="13"/>
                          </w:rPr>
                        </w:pPr>
                        <w:r>
                          <w:rPr>
                            <w:w w:val="105"/>
                            <w:sz w:val="13"/>
                          </w:rPr>
                          <w:t>72,615</w:t>
                        </w:r>
                      </w:p>
                    </w:tc>
                    <w:tc>
                      <w:tcPr>
                        <w:tcW w:w="846" w:type="dxa"/>
                      </w:tcPr>
                      <w:p>
                        <w:pPr>
                          <w:pStyle w:val="TableParagraph"/>
                          <w:spacing w:line="135" w:lineRule="exact"/>
                          <w:ind w:right="37"/>
                          <w:rPr>
                            <w:sz w:val="13"/>
                          </w:rPr>
                        </w:pPr>
                        <w:r>
                          <w:rPr>
                            <w:w w:val="105"/>
                            <w:sz w:val="13"/>
                          </w:rPr>
                          <w:t>55,526</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245,805</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8"/>
        <w:rPr>
          <w:b/>
          <w:sz w:val="13"/>
        </w:rPr>
      </w:pPr>
    </w:p>
    <w:p>
      <w:pPr>
        <w:spacing w:before="0"/>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7"/>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(27/04/2021).</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2021-09-06T22:49:47Z</dcterms:created>
  <dcterms:modified xsi:type="dcterms:W3CDTF">2021-09-06T22:49:47Z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Acrobat PDFMaker 21 for Word</vt:lpwstr>
  </property>
  <property fmtid="{D5CDD505-2E9C-101B-9397-08002B2CF9AE}" pid="4" name="LastSaved">
    <vt:filetime>2021-09-06T00:00:00Z</vt:filetime>
  </property>
</Properties>
</file>