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03E70" w14:textId="19897741" w:rsidR="00D94FC6" w:rsidRPr="000C1071" w:rsidRDefault="00D94FC6" w:rsidP="00511A41">
      <w:pPr>
        <w:pStyle w:val="Heading1"/>
        <w:spacing w:after="200" w:afterAutospacing="0"/>
      </w:pPr>
      <w:r w:rsidRPr="000C1071">
        <w:t>M</w:t>
      </w:r>
      <w:r w:rsidR="00AD1015" w:rsidRPr="000C1071">
        <w:t xml:space="preserve">edical </w:t>
      </w:r>
      <w:r w:rsidRPr="000C1071">
        <w:t>R</w:t>
      </w:r>
      <w:r w:rsidR="00AD1015" w:rsidRPr="000C1071">
        <w:t xml:space="preserve">esearch </w:t>
      </w:r>
      <w:r w:rsidRPr="000C1071">
        <w:t>F</w:t>
      </w:r>
      <w:r w:rsidR="00AD1015" w:rsidRPr="000C1071">
        <w:t xml:space="preserve">uture </w:t>
      </w:r>
      <w:r w:rsidRPr="000C1071">
        <w:t>F</w:t>
      </w:r>
      <w:r w:rsidR="00AD1015" w:rsidRPr="000C1071">
        <w:t>und</w:t>
      </w:r>
      <w:r w:rsidRPr="000C1071">
        <w:t xml:space="preserve"> </w:t>
      </w:r>
      <w:r w:rsidR="00BF2324" w:rsidRPr="000C1071">
        <w:t>– Outcomes of Performance Audit by the Australian National Audit Office (ANAO)</w:t>
      </w:r>
    </w:p>
    <w:p w14:paraId="66AAFA43" w14:textId="40BF9FF6" w:rsidR="00EB4004" w:rsidRPr="000C1071" w:rsidRDefault="00EB4004" w:rsidP="00670BF4">
      <w:pPr>
        <w:spacing w:after="120"/>
        <w:ind w:right="-164"/>
        <w:rPr>
          <w:rFonts w:ascii="Segoe UI" w:hAnsi="Segoe UI" w:cs="Segoe UI"/>
        </w:rPr>
      </w:pPr>
      <w:r w:rsidRPr="000C1071">
        <w:rPr>
          <w:rFonts w:ascii="Segoe UI" w:hAnsi="Segoe UI" w:cs="Segoe UI"/>
        </w:rPr>
        <w:t xml:space="preserve">On </w:t>
      </w:r>
      <w:r w:rsidR="00670D03" w:rsidRPr="000C1071">
        <w:rPr>
          <w:rFonts w:ascii="Segoe UI" w:hAnsi="Segoe UI" w:cs="Segoe UI"/>
        </w:rPr>
        <w:t>4 November 2020</w:t>
      </w:r>
      <w:r w:rsidRPr="000C1071">
        <w:rPr>
          <w:rFonts w:ascii="Segoe UI" w:hAnsi="Segoe UI" w:cs="Segoe UI"/>
        </w:rPr>
        <w:t xml:space="preserve">, the Australian National Audit Office (ANAO) </w:t>
      </w:r>
      <w:r w:rsidR="00670D03" w:rsidRPr="000C1071">
        <w:rPr>
          <w:rFonts w:ascii="Segoe UI" w:hAnsi="Segoe UI" w:cs="Segoe UI"/>
        </w:rPr>
        <w:t>confirmed its intention to perform an audit of the administration of the Medical Research Future Fund</w:t>
      </w:r>
      <w:r w:rsidR="00982A53" w:rsidRPr="000C1071">
        <w:rPr>
          <w:rFonts w:ascii="Segoe UI" w:hAnsi="Segoe UI" w:cs="Segoe UI"/>
        </w:rPr>
        <w:t xml:space="preserve"> (MRFF)</w:t>
      </w:r>
      <w:r w:rsidRPr="000C1071">
        <w:rPr>
          <w:rFonts w:ascii="Segoe UI" w:hAnsi="Segoe UI" w:cs="Segoe UI"/>
        </w:rPr>
        <w:t>.</w:t>
      </w:r>
    </w:p>
    <w:p w14:paraId="3DABDE54" w14:textId="77EF53AB" w:rsidR="00EB4004" w:rsidRPr="000C1071" w:rsidRDefault="00A413B2" w:rsidP="00670BF4">
      <w:pPr>
        <w:spacing w:after="120"/>
        <w:rPr>
          <w:rFonts w:ascii="Segoe UI" w:hAnsi="Segoe UI" w:cs="Segoe UI"/>
        </w:rPr>
      </w:pPr>
      <w:r w:rsidRPr="000C1071">
        <w:rPr>
          <w:rFonts w:ascii="Segoe UI" w:hAnsi="Segoe UI" w:cs="Segoe UI"/>
        </w:rPr>
        <w:t xml:space="preserve">The audit concluded in August 2021. </w:t>
      </w:r>
      <w:r w:rsidR="00EB4004" w:rsidRPr="000C1071">
        <w:rPr>
          <w:rFonts w:ascii="Segoe UI" w:hAnsi="Segoe UI" w:cs="Segoe UI"/>
        </w:rPr>
        <w:t>This document describes in detail the outcomes of the audit and the Department</w:t>
      </w:r>
      <w:r w:rsidR="006243D0" w:rsidRPr="00984591">
        <w:rPr>
          <w:rFonts w:ascii="Segoe UI" w:hAnsi="Segoe UI" w:cs="Segoe UI"/>
        </w:rPr>
        <w:t xml:space="preserve"> of Health</w:t>
      </w:r>
      <w:r w:rsidR="006243D0" w:rsidRPr="000C1071">
        <w:rPr>
          <w:rFonts w:ascii="Segoe UI" w:hAnsi="Segoe UI" w:cs="Segoe UI"/>
        </w:rPr>
        <w:t>’</w:t>
      </w:r>
      <w:r w:rsidR="00EB4004" w:rsidRPr="000C1071">
        <w:rPr>
          <w:rFonts w:ascii="Segoe UI" w:hAnsi="Segoe UI" w:cs="Segoe UI"/>
        </w:rPr>
        <w:t xml:space="preserve">s proposed actions in response to its </w:t>
      </w:r>
      <w:r w:rsidR="00670BF4" w:rsidRPr="000C1071">
        <w:rPr>
          <w:rFonts w:ascii="Segoe UI" w:hAnsi="Segoe UI" w:cs="Segoe UI"/>
        </w:rPr>
        <w:t>recommendations</w:t>
      </w:r>
      <w:r w:rsidR="00A24ACC">
        <w:rPr>
          <w:rFonts w:ascii="Segoe UI" w:hAnsi="Segoe UI" w:cs="Segoe UI"/>
        </w:rPr>
        <w:t xml:space="preserve"> and findings</w:t>
      </w:r>
      <w:r w:rsidR="00EB4004" w:rsidRPr="000C1071">
        <w:rPr>
          <w:rFonts w:ascii="Segoe UI" w:hAnsi="Segoe UI" w:cs="Segoe UI"/>
        </w:rPr>
        <w:t xml:space="preserve">. </w:t>
      </w:r>
    </w:p>
    <w:p w14:paraId="3746BDF7" w14:textId="68E3E141" w:rsidR="00EB4004" w:rsidRPr="000C1071" w:rsidRDefault="00EB4004" w:rsidP="00EB4004">
      <w:pPr>
        <w:rPr>
          <w:rFonts w:ascii="Segoe UI" w:eastAsia="Times New Roman" w:hAnsi="Segoe UI" w:cs="Segoe UI"/>
          <w:b/>
          <w:bCs/>
          <w:color w:val="313131"/>
          <w:sz w:val="36"/>
          <w:szCs w:val="36"/>
          <w:lang w:eastAsia="en-AU"/>
        </w:rPr>
      </w:pPr>
      <w:r w:rsidRPr="000C1071">
        <w:rPr>
          <w:rFonts w:ascii="Segoe UI" w:eastAsia="Times New Roman" w:hAnsi="Segoe UI" w:cs="Segoe UI"/>
          <w:b/>
          <w:bCs/>
          <w:color w:val="313131"/>
          <w:sz w:val="36"/>
          <w:szCs w:val="36"/>
          <w:lang w:eastAsia="en-AU"/>
        </w:rPr>
        <w:t>Why did the ANAO perform the audit?</w:t>
      </w:r>
    </w:p>
    <w:p w14:paraId="4B635DA8" w14:textId="4D54D156" w:rsidR="00B57C74" w:rsidRPr="000C1071" w:rsidRDefault="00AD49BA" w:rsidP="00670BF4">
      <w:pPr>
        <w:spacing w:after="120"/>
        <w:rPr>
          <w:rFonts w:ascii="Segoe UI" w:hAnsi="Segoe UI" w:cs="Segoe UI"/>
        </w:rPr>
      </w:pPr>
      <w:r w:rsidRPr="000C1071">
        <w:rPr>
          <w:rFonts w:ascii="Segoe UI" w:hAnsi="Segoe UI" w:cs="Segoe UI"/>
        </w:rPr>
        <w:t>The Australian Government has committed to spend $5.1 billion over 10 years on grants of financial assistance to support medical research and medical innovation through the MRFF.</w:t>
      </w:r>
    </w:p>
    <w:p w14:paraId="6E4AEB41" w14:textId="0FCBA423" w:rsidR="00096E88" w:rsidRPr="000C1071" w:rsidRDefault="00096E88" w:rsidP="00670BF4">
      <w:pPr>
        <w:spacing w:after="120"/>
        <w:rPr>
          <w:rFonts w:ascii="Segoe UI" w:hAnsi="Segoe UI" w:cs="Segoe UI"/>
        </w:rPr>
      </w:pPr>
      <w:r w:rsidRPr="000C1071">
        <w:rPr>
          <w:rFonts w:ascii="Segoe UI" w:hAnsi="Segoe UI" w:cs="Segoe UI"/>
        </w:rPr>
        <w:t xml:space="preserve">The audit </w:t>
      </w:r>
      <w:r w:rsidR="008F7EA8" w:rsidRPr="000C1071">
        <w:rPr>
          <w:rFonts w:ascii="Segoe UI" w:hAnsi="Segoe UI" w:cs="Segoe UI"/>
        </w:rPr>
        <w:t>aim</w:t>
      </w:r>
      <w:r w:rsidR="00511A41">
        <w:rPr>
          <w:rFonts w:ascii="Segoe UI" w:hAnsi="Segoe UI" w:cs="Segoe UI"/>
        </w:rPr>
        <w:t>s</w:t>
      </w:r>
      <w:r w:rsidR="008F7EA8" w:rsidRPr="000C1071">
        <w:rPr>
          <w:rFonts w:ascii="Segoe UI" w:hAnsi="Segoe UI" w:cs="Segoe UI"/>
        </w:rPr>
        <w:t xml:space="preserve"> to </w:t>
      </w:r>
      <w:r w:rsidRPr="000C1071">
        <w:rPr>
          <w:rFonts w:ascii="Segoe UI" w:hAnsi="Segoe UI" w:cs="Segoe UI"/>
        </w:rPr>
        <w:t>provide assurance to the Australian Parliament and public as to how MRFF legislation and governance has guided MRFF grants for medical research and medical innovation.</w:t>
      </w:r>
    </w:p>
    <w:p w14:paraId="6FDF950F" w14:textId="6814862E" w:rsidR="00901AAE" w:rsidRPr="000C1071" w:rsidRDefault="00901AAE" w:rsidP="00EB4004">
      <w:pPr>
        <w:rPr>
          <w:rFonts w:ascii="Segoe UI" w:eastAsia="Times New Roman" w:hAnsi="Segoe UI" w:cs="Segoe UI"/>
          <w:b/>
          <w:bCs/>
          <w:color w:val="313131"/>
          <w:sz w:val="36"/>
          <w:szCs w:val="36"/>
          <w:lang w:eastAsia="en-AU"/>
        </w:rPr>
      </w:pPr>
      <w:r w:rsidRPr="000C1071">
        <w:rPr>
          <w:rFonts w:ascii="Segoe UI" w:eastAsia="Times New Roman" w:hAnsi="Segoe UI" w:cs="Segoe UI"/>
          <w:b/>
          <w:bCs/>
          <w:color w:val="313131"/>
          <w:sz w:val="36"/>
          <w:szCs w:val="36"/>
          <w:lang w:eastAsia="en-AU"/>
        </w:rPr>
        <w:t xml:space="preserve">What was the </w:t>
      </w:r>
      <w:r w:rsidR="00A413B2" w:rsidRPr="000C1071">
        <w:rPr>
          <w:rFonts w:ascii="Segoe UI" w:eastAsia="Times New Roman" w:hAnsi="Segoe UI" w:cs="Segoe UI"/>
          <w:b/>
          <w:bCs/>
          <w:color w:val="313131"/>
          <w:sz w:val="36"/>
          <w:szCs w:val="36"/>
          <w:lang w:eastAsia="en-AU"/>
        </w:rPr>
        <w:t xml:space="preserve">objective </w:t>
      </w:r>
      <w:r w:rsidRPr="000C1071">
        <w:rPr>
          <w:rFonts w:ascii="Segoe UI" w:eastAsia="Times New Roman" w:hAnsi="Segoe UI" w:cs="Segoe UI"/>
          <w:b/>
          <w:bCs/>
          <w:color w:val="313131"/>
          <w:sz w:val="36"/>
          <w:szCs w:val="36"/>
          <w:lang w:eastAsia="en-AU"/>
        </w:rPr>
        <w:t>of the audit?</w:t>
      </w:r>
    </w:p>
    <w:p w14:paraId="3F01CED1" w14:textId="500FEE57" w:rsidR="00A413B2" w:rsidRPr="000C1071" w:rsidRDefault="00A413B2" w:rsidP="00A413B2">
      <w:pPr>
        <w:spacing w:after="120"/>
        <w:rPr>
          <w:rFonts w:ascii="Segoe UI" w:hAnsi="Segoe UI" w:cs="Segoe UI"/>
        </w:rPr>
      </w:pPr>
      <w:r w:rsidRPr="000C1071">
        <w:rPr>
          <w:rFonts w:ascii="Segoe UI" w:hAnsi="Segoe UI" w:cs="Segoe UI"/>
        </w:rPr>
        <w:t>The objective of the audit was to assess whether the Department of Health (the Department) is effectively managing the MRFF.</w:t>
      </w:r>
    </w:p>
    <w:p w14:paraId="4A67743A" w14:textId="066ABCB1" w:rsidR="00EB4004" w:rsidRPr="000C1071" w:rsidRDefault="00EB4004" w:rsidP="00670BF4">
      <w:pPr>
        <w:spacing w:after="0"/>
        <w:rPr>
          <w:rFonts w:ascii="Segoe UI" w:hAnsi="Segoe UI" w:cs="Segoe UI"/>
        </w:rPr>
      </w:pPr>
      <w:r w:rsidRPr="000C1071">
        <w:rPr>
          <w:rFonts w:ascii="Segoe UI" w:hAnsi="Segoe UI" w:cs="Segoe UI"/>
        </w:rPr>
        <w:t>To form a conclusion against the objective, the ANAO examined the following three criteria:</w:t>
      </w:r>
    </w:p>
    <w:p w14:paraId="7DE2B905" w14:textId="4BCAE83E" w:rsidR="00EB4004" w:rsidRPr="000C1071" w:rsidRDefault="00EB4004" w:rsidP="006243D0">
      <w:pPr>
        <w:pStyle w:val="ListParagraph"/>
        <w:numPr>
          <w:ilvl w:val="0"/>
          <w:numId w:val="17"/>
        </w:numPr>
        <w:spacing w:after="100" w:afterAutospacing="1"/>
        <w:ind w:left="425" w:hanging="357"/>
        <w:contextualSpacing w:val="0"/>
        <w:rPr>
          <w:rFonts w:ascii="Segoe UI" w:hAnsi="Segoe UI" w:cs="Segoe UI"/>
        </w:rPr>
      </w:pPr>
      <w:r w:rsidRPr="000C1071">
        <w:rPr>
          <w:rFonts w:ascii="Segoe UI" w:hAnsi="Segoe UI" w:cs="Segoe UI"/>
        </w:rPr>
        <w:t>Are the MRFF governance arrangements effective?</w:t>
      </w:r>
    </w:p>
    <w:p w14:paraId="7DE100DB" w14:textId="1973C0A0" w:rsidR="00EB4004" w:rsidRPr="000C1071" w:rsidRDefault="005C70D8" w:rsidP="006243D0">
      <w:pPr>
        <w:pStyle w:val="ListParagraph"/>
        <w:numPr>
          <w:ilvl w:val="0"/>
          <w:numId w:val="17"/>
        </w:numPr>
        <w:spacing w:after="100" w:afterAutospacing="1"/>
        <w:ind w:left="425" w:hanging="357"/>
        <w:contextualSpacing w:val="0"/>
        <w:rPr>
          <w:rFonts w:ascii="Segoe UI" w:hAnsi="Segoe UI" w:cs="Segoe UI"/>
        </w:rPr>
      </w:pPr>
      <w:r>
        <w:rPr>
          <w:rFonts w:ascii="Segoe UI" w:hAnsi="Segoe UI" w:cs="Segoe UI"/>
        </w:rPr>
        <w:t>Are</w:t>
      </w:r>
      <w:r w:rsidRPr="000C1071">
        <w:rPr>
          <w:rFonts w:ascii="Segoe UI" w:hAnsi="Segoe UI" w:cs="Segoe UI"/>
        </w:rPr>
        <w:t xml:space="preserve"> </w:t>
      </w:r>
      <w:r w:rsidR="00EB4004" w:rsidRPr="000C1071">
        <w:rPr>
          <w:rFonts w:ascii="Segoe UI" w:hAnsi="Segoe UI" w:cs="Segoe UI"/>
        </w:rPr>
        <w:t xml:space="preserve">MRFF </w:t>
      </w:r>
      <w:r>
        <w:rPr>
          <w:rFonts w:ascii="Segoe UI" w:hAnsi="Segoe UI" w:cs="Segoe UI"/>
        </w:rPr>
        <w:t xml:space="preserve">grants consistent with the requirements of relevant </w:t>
      </w:r>
      <w:r w:rsidR="00EB4004" w:rsidRPr="000C1071">
        <w:rPr>
          <w:rFonts w:ascii="Segoe UI" w:hAnsi="Segoe UI" w:cs="Segoe UI"/>
        </w:rPr>
        <w:t>legislation</w:t>
      </w:r>
      <w:r>
        <w:rPr>
          <w:rFonts w:ascii="Segoe UI" w:hAnsi="Segoe UI" w:cs="Segoe UI"/>
        </w:rPr>
        <w:t xml:space="preserve"> and policy, including the MRFF Act?</w:t>
      </w:r>
    </w:p>
    <w:p w14:paraId="0C5D0FE8" w14:textId="47751E3A" w:rsidR="00EB4004" w:rsidRPr="000C1071" w:rsidRDefault="005C70D8" w:rsidP="006243D0">
      <w:pPr>
        <w:pStyle w:val="ListParagraph"/>
        <w:numPr>
          <w:ilvl w:val="0"/>
          <w:numId w:val="17"/>
        </w:numPr>
        <w:spacing w:after="100" w:afterAutospacing="1"/>
        <w:ind w:left="425" w:hanging="357"/>
        <w:contextualSpacing w:val="0"/>
        <w:rPr>
          <w:rFonts w:ascii="Segoe UI" w:hAnsi="Segoe UI" w:cs="Segoe UI"/>
        </w:rPr>
      </w:pPr>
      <w:r>
        <w:rPr>
          <w:rFonts w:ascii="Segoe UI" w:hAnsi="Segoe UI" w:cs="Segoe UI"/>
        </w:rPr>
        <w:t>Has</w:t>
      </w:r>
      <w:r w:rsidRPr="000C1071">
        <w:rPr>
          <w:rFonts w:ascii="Segoe UI" w:hAnsi="Segoe UI" w:cs="Segoe UI"/>
        </w:rPr>
        <w:t xml:space="preserve"> </w:t>
      </w:r>
      <w:r w:rsidR="00EB4004" w:rsidRPr="000C1071">
        <w:rPr>
          <w:rFonts w:ascii="Segoe UI" w:hAnsi="Segoe UI" w:cs="Segoe UI"/>
        </w:rPr>
        <w:t xml:space="preserve">Health effectively </w:t>
      </w:r>
      <w:r>
        <w:rPr>
          <w:rFonts w:ascii="Segoe UI" w:hAnsi="Segoe UI" w:cs="Segoe UI"/>
        </w:rPr>
        <w:t xml:space="preserve">reported on the performance of the MRFF and </w:t>
      </w:r>
      <w:r w:rsidR="00EB4004" w:rsidRPr="000C1071">
        <w:rPr>
          <w:rFonts w:ascii="Segoe UI" w:hAnsi="Segoe UI" w:cs="Segoe UI"/>
        </w:rPr>
        <w:t>evaluate</w:t>
      </w:r>
      <w:r>
        <w:rPr>
          <w:rFonts w:ascii="Segoe UI" w:hAnsi="Segoe UI" w:cs="Segoe UI"/>
        </w:rPr>
        <w:t>d</w:t>
      </w:r>
      <w:r w:rsidR="00EB4004" w:rsidRPr="000C1071">
        <w:rPr>
          <w:rFonts w:ascii="Segoe UI" w:hAnsi="Segoe UI" w:cs="Segoe UI"/>
        </w:rPr>
        <w:t xml:space="preserve"> </w:t>
      </w:r>
      <w:r>
        <w:rPr>
          <w:rFonts w:ascii="Segoe UI" w:hAnsi="Segoe UI" w:cs="Segoe UI"/>
        </w:rPr>
        <w:t xml:space="preserve">the effectiveness of </w:t>
      </w:r>
      <w:r w:rsidR="00EB4004" w:rsidRPr="000C1071">
        <w:rPr>
          <w:rFonts w:ascii="Segoe UI" w:hAnsi="Segoe UI" w:cs="Segoe UI"/>
        </w:rPr>
        <w:t>MRFF</w:t>
      </w:r>
      <w:r>
        <w:rPr>
          <w:rFonts w:ascii="Segoe UI" w:hAnsi="Segoe UI" w:cs="Segoe UI"/>
        </w:rPr>
        <w:t xml:space="preserve"> financial assistance</w:t>
      </w:r>
      <w:r w:rsidR="00EB4004" w:rsidRPr="000C1071">
        <w:rPr>
          <w:rFonts w:ascii="Segoe UI" w:hAnsi="Segoe UI" w:cs="Segoe UI"/>
        </w:rPr>
        <w:t>?</w:t>
      </w:r>
    </w:p>
    <w:p w14:paraId="23BDB931" w14:textId="6A8F7228" w:rsidR="00B57C74" w:rsidRPr="000C1071" w:rsidRDefault="00B57C74" w:rsidP="00670BF4">
      <w:pPr>
        <w:spacing w:after="0"/>
        <w:rPr>
          <w:rFonts w:ascii="Segoe UI" w:hAnsi="Segoe UI" w:cs="Segoe UI"/>
        </w:rPr>
      </w:pPr>
      <w:r w:rsidRPr="000C1071">
        <w:rPr>
          <w:rFonts w:ascii="Segoe UI" w:hAnsi="Segoe UI" w:cs="Segoe UI"/>
        </w:rPr>
        <w:t>T</w:t>
      </w:r>
      <w:r w:rsidR="00AD49BA" w:rsidRPr="000C1071">
        <w:rPr>
          <w:rFonts w:ascii="Segoe UI" w:hAnsi="Segoe UI" w:cs="Segoe UI"/>
        </w:rPr>
        <w:t>o do this, t</w:t>
      </w:r>
      <w:r w:rsidRPr="000C1071">
        <w:rPr>
          <w:rFonts w:ascii="Segoe UI" w:hAnsi="Segoe UI" w:cs="Segoe UI"/>
        </w:rPr>
        <w:t>he ANAO</w:t>
      </w:r>
      <w:r w:rsidR="00AD49BA" w:rsidRPr="000C1071">
        <w:rPr>
          <w:rFonts w:ascii="Segoe UI" w:hAnsi="Segoe UI" w:cs="Segoe UI"/>
        </w:rPr>
        <w:t>:</w:t>
      </w:r>
    </w:p>
    <w:p w14:paraId="7B983489" w14:textId="7DF82726" w:rsidR="00AD49BA" w:rsidRPr="000C1071" w:rsidRDefault="00AD49BA" w:rsidP="00670BF4">
      <w:pPr>
        <w:pStyle w:val="ListParagraph"/>
        <w:numPr>
          <w:ilvl w:val="0"/>
          <w:numId w:val="17"/>
        </w:numPr>
        <w:spacing w:after="100" w:afterAutospacing="1"/>
        <w:ind w:left="425" w:hanging="357"/>
        <w:contextualSpacing w:val="0"/>
        <w:rPr>
          <w:rFonts w:ascii="Segoe UI" w:hAnsi="Segoe UI" w:cs="Segoe UI"/>
        </w:rPr>
      </w:pPr>
      <w:r w:rsidRPr="000C1071">
        <w:rPr>
          <w:rFonts w:ascii="Segoe UI" w:hAnsi="Segoe UI" w:cs="Segoe UI"/>
        </w:rPr>
        <w:t>examined the Department’s MRFF records</w:t>
      </w:r>
    </w:p>
    <w:p w14:paraId="6FDE88D9" w14:textId="4F63BC01" w:rsidR="00AD49BA" w:rsidRPr="000C1071" w:rsidRDefault="00AD49BA" w:rsidP="00670BF4">
      <w:pPr>
        <w:pStyle w:val="ListParagraph"/>
        <w:numPr>
          <w:ilvl w:val="0"/>
          <w:numId w:val="17"/>
        </w:numPr>
        <w:spacing w:after="100" w:afterAutospacing="1"/>
        <w:ind w:left="425" w:hanging="357"/>
        <w:contextualSpacing w:val="0"/>
        <w:rPr>
          <w:rFonts w:ascii="Segoe UI" w:hAnsi="Segoe UI" w:cs="Segoe UI"/>
        </w:rPr>
      </w:pPr>
      <w:r w:rsidRPr="000C1071">
        <w:rPr>
          <w:rFonts w:ascii="Segoe UI" w:hAnsi="Segoe UI" w:cs="Segoe UI"/>
        </w:rPr>
        <w:t>assessed compliance with MRFF legislation</w:t>
      </w:r>
    </w:p>
    <w:p w14:paraId="52261EA8" w14:textId="683595A4" w:rsidR="00AD49BA" w:rsidRPr="000C1071" w:rsidRDefault="00AD49BA" w:rsidP="00670BF4">
      <w:pPr>
        <w:pStyle w:val="ListParagraph"/>
        <w:numPr>
          <w:ilvl w:val="0"/>
          <w:numId w:val="17"/>
        </w:numPr>
        <w:spacing w:after="100" w:afterAutospacing="1"/>
        <w:ind w:left="425" w:hanging="357"/>
        <w:contextualSpacing w:val="0"/>
        <w:rPr>
          <w:rFonts w:ascii="Segoe UI" w:hAnsi="Segoe UI" w:cs="Segoe UI"/>
        </w:rPr>
      </w:pPr>
      <w:r w:rsidRPr="000C1071">
        <w:rPr>
          <w:rFonts w:ascii="Segoe UI" w:hAnsi="Segoe UI" w:cs="Segoe UI"/>
        </w:rPr>
        <w:t>mapped changes to the MRFF Priorities over time and their alignment with the MRFF</w:t>
      </w:r>
      <w:r w:rsidR="00E901FA" w:rsidRPr="000C1071">
        <w:rPr>
          <w:rFonts w:ascii="Segoe UI" w:hAnsi="Segoe UI" w:cs="Segoe UI"/>
        </w:rPr>
        <w:t xml:space="preserve"> </w:t>
      </w:r>
      <w:r w:rsidRPr="000C1071">
        <w:rPr>
          <w:rFonts w:ascii="Segoe UI" w:hAnsi="Segoe UI" w:cs="Segoe UI"/>
        </w:rPr>
        <w:t>Strategy and grant opportunities</w:t>
      </w:r>
    </w:p>
    <w:p w14:paraId="24ADC4E6" w14:textId="150738B4" w:rsidR="00AD49BA" w:rsidRPr="000C1071" w:rsidRDefault="00E901FA" w:rsidP="00670BF4">
      <w:pPr>
        <w:pStyle w:val="ListParagraph"/>
        <w:numPr>
          <w:ilvl w:val="0"/>
          <w:numId w:val="17"/>
        </w:numPr>
        <w:spacing w:after="100" w:afterAutospacing="1"/>
        <w:ind w:left="425" w:hanging="357"/>
        <w:contextualSpacing w:val="0"/>
        <w:rPr>
          <w:rFonts w:ascii="Segoe UI" w:hAnsi="Segoe UI" w:cs="Segoe UI"/>
        </w:rPr>
      </w:pPr>
      <w:r w:rsidRPr="000C1071">
        <w:rPr>
          <w:rFonts w:ascii="Segoe UI" w:hAnsi="Segoe UI" w:cs="Segoe UI"/>
        </w:rPr>
        <w:t>r</w:t>
      </w:r>
      <w:r w:rsidR="00AD49BA" w:rsidRPr="000C1071">
        <w:rPr>
          <w:rFonts w:ascii="Segoe UI" w:hAnsi="Segoe UI" w:cs="Segoe UI"/>
        </w:rPr>
        <w:t>eviewed a sample of MRFF grants</w:t>
      </w:r>
    </w:p>
    <w:p w14:paraId="50E302FA" w14:textId="6B077883" w:rsidR="00AD49BA" w:rsidRPr="000C1071" w:rsidRDefault="00E901FA" w:rsidP="00670BF4">
      <w:pPr>
        <w:pStyle w:val="ListParagraph"/>
        <w:numPr>
          <w:ilvl w:val="0"/>
          <w:numId w:val="17"/>
        </w:numPr>
        <w:spacing w:after="100" w:afterAutospacing="1"/>
        <w:ind w:left="425" w:hanging="357"/>
        <w:contextualSpacing w:val="0"/>
        <w:rPr>
          <w:rFonts w:ascii="Segoe UI" w:hAnsi="Segoe UI" w:cs="Segoe UI"/>
        </w:rPr>
      </w:pPr>
      <w:r w:rsidRPr="000C1071">
        <w:rPr>
          <w:rFonts w:ascii="Segoe UI" w:hAnsi="Segoe UI" w:cs="Segoe UI"/>
        </w:rPr>
        <w:t>c</w:t>
      </w:r>
      <w:r w:rsidR="00AD49BA" w:rsidRPr="000C1071">
        <w:rPr>
          <w:rFonts w:ascii="Segoe UI" w:hAnsi="Segoe UI" w:cs="Segoe UI"/>
        </w:rPr>
        <w:t>onsulted with MRFF partner entities (</w:t>
      </w:r>
      <w:r w:rsidRPr="000C1071">
        <w:rPr>
          <w:rFonts w:ascii="Segoe UI" w:hAnsi="Segoe UI" w:cs="Segoe UI"/>
        </w:rPr>
        <w:t xml:space="preserve">the Department of </w:t>
      </w:r>
      <w:r w:rsidR="00AD49BA" w:rsidRPr="000C1071">
        <w:rPr>
          <w:rFonts w:ascii="Segoe UI" w:hAnsi="Segoe UI" w:cs="Segoe UI"/>
        </w:rPr>
        <w:t xml:space="preserve">Industry, </w:t>
      </w:r>
      <w:r w:rsidRPr="000C1071">
        <w:rPr>
          <w:rFonts w:ascii="Segoe UI" w:hAnsi="Segoe UI" w:cs="Segoe UI"/>
        </w:rPr>
        <w:t>Science, Energy and Resources; the National Health and Medical Research Council</w:t>
      </w:r>
      <w:r w:rsidR="00C3005B" w:rsidRPr="000C1071">
        <w:rPr>
          <w:rFonts w:ascii="Segoe UI" w:hAnsi="Segoe UI" w:cs="Segoe UI"/>
        </w:rPr>
        <w:t xml:space="preserve"> (NHMRC)</w:t>
      </w:r>
      <w:r w:rsidRPr="000C1071">
        <w:rPr>
          <w:rFonts w:ascii="Segoe UI" w:hAnsi="Segoe UI" w:cs="Segoe UI"/>
        </w:rPr>
        <w:t xml:space="preserve">; </w:t>
      </w:r>
      <w:r w:rsidR="00AD49BA" w:rsidRPr="000C1071">
        <w:rPr>
          <w:rFonts w:ascii="Segoe UI" w:hAnsi="Segoe UI" w:cs="Segoe UI"/>
        </w:rPr>
        <w:t>Cancer Australia) and other stakeholders (</w:t>
      </w:r>
      <w:r w:rsidRPr="000C1071">
        <w:rPr>
          <w:rFonts w:ascii="Segoe UI" w:hAnsi="Segoe UI" w:cs="Segoe UI"/>
        </w:rPr>
        <w:t xml:space="preserve">the Department of </w:t>
      </w:r>
      <w:r w:rsidR="00AD49BA" w:rsidRPr="000C1071">
        <w:rPr>
          <w:rFonts w:ascii="Segoe UI" w:hAnsi="Segoe UI" w:cs="Segoe UI"/>
        </w:rPr>
        <w:t xml:space="preserve">Finance and </w:t>
      </w:r>
      <w:r w:rsidRPr="000C1071">
        <w:rPr>
          <w:rFonts w:ascii="Segoe UI" w:hAnsi="Segoe UI" w:cs="Segoe UI"/>
        </w:rPr>
        <w:t>Australian Medical Research Advisory Board (AMRAB)</w:t>
      </w:r>
      <w:r w:rsidR="00AD49BA" w:rsidRPr="000C1071">
        <w:rPr>
          <w:rFonts w:ascii="Segoe UI" w:hAnsi="Segoe UI" w:cs="Segoe UI"/>
        </w:rPr>
        <w:t xml:space="preserve"> members)</w:t>
      </w:r>
    </w:p>
    <w:p w14:paraId="2FF62137" w14:textId="376C2871" w:rsidR="00AD49BA" w:rsidRPr="000C1071" w:rsidRDefault="00AD49BA" w:rsidP="00670BF4">
      <w:pPr>
        <w:pStyle w:val="ListParagraph"/>
        <w:numPr>
          <w:ilvl w:val="0"/>
          <w:numId w:val="17"/>
        </w:numPr>
        <w:spacing w:after="100" w:afterAutospacing="1"/>
        <w:ind w:left="425" w:hanging="357"/>
        <w:contextualSpacing w:val="0"/>
        <w:rPr>
          <w:rFonts w:ascii="Segoe UI" w:hAnsi="Segoe UI" w:cs="Segoe UI"/>
        </w:rPr>
      </w:pPr>
      <w:r w:rsidRPr="000C1071">
        <w:rPr>
          <w:rFonts w:ascii="Segoe UI" w:hAnsi="Segoe UI" w:cs="Segoe UI"/>
        </w:rPr>
        <w:t xml:space="preserve">interviewed relevant </w:t>
      </w:r>
      <w:r w:rsidR="00E901FA" w:rsidRPr="000C1071">
        <w:rPr>
          <w:rFonts w:ascii="Segoe UI" w:hAnsi="Segoe UI" w:cs="Segoe UI"/>
        </w:rPr>
        <w:t xml:space="preserve">Department of </w:t>
      </w:r>
      <w:r w:rsidRPr="000C1071">
        <w:rPr>
          <w:rFonts w:ascii="Segoe UI" w:hAnsi="Segoe UI" w:cs="Segoe UI"/>
        </w:rPr>
        <w:t>Health staff</w:t>
      </w:r>
    </w:p>
    <w:p w14:paraId="6ABF3B9C" w14:textId="64FC38E5" w:rsidR="00AD49BA" w:rsidRPr="000C1071" w:rsidRDefault="00AD49BA" w:rsidP="00532339">
      <w:pPr>
        <w:pStyle w:val="ListParagraph"/>
        <w:numPr>
          <w:ilvl w:val="0"/>
          <w:numId w:val="17"/>
        </w:numPr>
        <w:spacing w:after="120"/>
        <w:ind w:left="425" w:hanging="357"/>
        <w:contextualSpacing w:val="0"/>
        <w:rPr>
          <w:rFonts w:ascii="Segoe UI" w:hAnsi="Segoe UI" w:cs="Segoe UI"/>
        </w:rPr>
      </w:pPr>
      <w:r w:rsidRPr="000C1071">
        <w:rPr>
          <w:rFonts w:ascii="Segoe UI" w:hAnsi="Segoe UI" w:cs="Segoe UI"/>
        </w:rPr>
        <w:lastRenderedPageBreak/>
        <w:t>considered submissions to the ANAO, including submissions from industry</w:t>
      </w:r>
      <w:r w:rsidR="00E901FA" w:rsidRPr="000C1071">
        <w:rPr>
          <w:rFonts w:ascii="Segoe UI" w:hAnsi="Segoe UI" w:cs="Segoe UI"/>
        </w:rPr>
        <w:t xml:space="preserve"> </w:t>
      </w:r>
      <w:r w:rsidRPr="000C1071">
        <w:rPr>
          <w:rFonts w:ascii="Segoe UI" w:hAnsi="Segoe UI" w:cs="Segoe UI"/>
        </w:rPr>
        <w:t>bodies, universities, research institutes, advocacy groups and individual researchers.</w:t>
      </w:r>
    </w:p>
    <w:p w14:paraId="1FAEF7BD" w14:textId="6C9A20F8" w:rsidR="00EB4004" w:rsidRPr="000C1071" w:rsidRDefault="00901AAE" w:rsidP="00532339">
      <w:pPr>
        <w:spacing w:after="120"/>
        <w:rPr>
          <w:rFonts w:ascii="Segoe UI" w:eastAsia="Times New Roman" w:hAnsi="Segoe UI" w:cs="Segoe UI"/>
          <w:b/>
          <w:bCs/>
          <w:color w:val="313131"/>
          <w:sz w:val="36"/>
          <w:szCs w:val="36"/>
          <w:lang w:eastAsia="en-AU"/>
        </w:rPr>
      </w:pPr>
      <w:r w:rsidRPr="000C1071">
        <w:rPr>
          <w:rFonts w:ascii="Segoe UI" w:eastAsia="Times New Roman" w:hAnsi="Segoe UI" w:cs="Segoe UI"/>
          <w:b/>
          <w:bCs/>
          <w:color w:val="313131"/>
          <w:sz w:val="36"/>
          <w:szCs w:val="36"/>
          <w:lang w:eastAsia="en-AU"/>
        </w:rPr>
        <w:t xml:space="preserve">What </w:t>
      </w:r>
      <w:r w:rsidR="00A413B2" w:rsidRPr="000C1071">
        <w:rPr>
          <w:rFonts w:ascii="Segoe UI" w:eastAsia="Times New Roman" w:hAnsi="Segoe UI" w:cs="Segoe UI"/>
          <w:b/>
          <w:bCs/>
          <w:color w:val="313131"/>
          <w:sz w:val="36"/>
          <w:szCs w:val="36"/>
          <w:lang w:eastAsia="en-AU"/>
        </w:rPr>
        <w:t>did the audit conclude</w:t>
      </w:r>
      <w:r w:rsidRPr="000C1071">
        <w:rPr>
          <w:rFonts w:ascii="Segoe UI" w:eastAsia="Times New Roman" w:hAnsi="Segoe UI" w:cs="Segoe UI"/>
          <w:b/>
          <w:bCs/>
          <w:color w:val="313131"/>
          <w:sz w:val="36"/>
          <w:szCs w:val="36"/>
          <w:lang w:eastAsia="en-AU"/>
        </w:rPr>
        <w:t>?</w:t>
      </w:r>
    </w:p>
    <w:p w14:paraId="2AD75C04" w14:textId="5D08592A" w:rsidR="00AF2B89" w:rsidRPr="000C1071" w:rsidRDefault="00096E88" w:rsidP="00670BF4">
      <w:pPr>
        <w:spacing w:after="0"/>
        <w:rPr>
          <w:rFonts w:ascii="Segoe UI" w:hAnsi="Segoe UI" w:cs="Segoe UI"/>
        </w:rPr>
      </w:pPr>
      <w:r w:rsidRPr="000C1071">
        <w:rPr>
          <w:rFonts w:ascii="Segoe UI" w:hAnsi="Segoe UI" w:cs="Segoe UI"/>
        </w:rPr>
        <w:t>The audit</w:t>
      </w:r>
      <w:r w:rsidR="00C95048">
        <w:rPr>
          <w:rFonts w:ascii="Segoe UI" w:hAnsi="Segoe UI" w:cs="Segoe UI"/>
        </w:rPr>
        <w:t>*</w:t>
      </w:r>
      <w:r w:rsidRPr="000C1071">
        <w:rPr>
          <w:rFonts w:ascii="Segoe UI" w:hAnsi="Segoe UI" w:cs="Segoe UI"/>
        </w:rPr>
        <w:t xml:space="preserve"> </w:t>
      </w:r>
      <w:r w:rsidR="00AF2B89" w:rsidRPr="000C1071">
        <w:rPr>
          <w:rFonts w:ascii="Segoe UI" w:hAnsi="Segoe UI" w:cs="Segoe UI"/>
        </w:rPr>
        <w:t>made the following conclusions:</w:t>
      </w:r>
    </w:p>
    <w:p w14:paraId="4CA04506" w14:textId="18A72DCE" w:rsidR="00AF2B89" w:rsidRPr="000C1071" w:rsidRDefault="00AF2B89" w:rsidP="006243D0">
      <w:pPr>
        <w:pStyle w:val="ListParagraph"/>
        <w:numPr>
          <w:ilvl w:val="0"/>
          <w:numId w:val="17"/>
        </w:numPr>
        <w:spacing w:after="80"/>
        <w:ind w:left="425" w:hanging="357"/>
        <w:contextualSpacing w:val="0"/>
        <w:rPr>
          <w:rFonts w:ascii="Segoe UI" w:hAnsi="Segoe UI" w:cs="Segoe UI"/>
        </w:rPr>
      </w:pPr>
      <w:r w:rsidRPr="000C1071">
        <w:rPr>
          <w:rFonts w:ascii="Segoe UI" w:hAnsi="Segoe UI" w:cs="Segoe UI"/>
        </w:rPr>
        <w:t>T</w:t>
      </w:r>
      <w:r w:rsidR="00096E88" w:rsidRPr="000C1071">
        <w:rPr>
          <w:rFonts w:ascii="Segoe UI" w:hAnsi="Segoe UI" w:cs="Segoe UI"/>
        </w:rPr>
        <w:t xml:space="preserve">he Department of Health’s management of </w:t>
      </w:r>
      <w:r w:rsidRPr="000C1071">
        <w:rPr>
          <w:rFonts w:ascii="Segoe UI" w:hAnsi="Segoe UI" w:cs="Segoe UI"/>
        </w:rPr>
        <w:t xml:space="preserve">financial assistance under </w:t>
      </w:r>
      <w:r w:rsidR="00096E88" w:rsidRPr="000C1071">
        <w:rPr>
          <w:rFonts w:ascii="Segoe UI" w:hAnsi="Segoe UI" w:cs="Segoe UI"/>
        </w:rPr>
        <w:t>the MRFF is largely effective.</w:t>
      </w:r>
    </w:p>
    <w:p w14:paraId="4C08D97D" w14:textId="23925951" w:rsidR="00AF2B89" w:rsidRPr="000C1071" w:rsidRDefault="00AF2B89" w:rsidP="006243D0">
      <w:pPr>
        <w:pStyle w:val="ListParagraph"/>
        <w:numPr>
          <w:ilvl w:val="0"/>
          <w:numId w:val="17"/>
        </w:numPr>
        <w:spacing w:after="80"/>
        <w:ind w:left="425" w:hanging="357"/>
        <w:contextualSpacing w:val="0"/>
        <w:rPr>
          <w:rFonts w:ascii="Segoe UI" w:hAnsi="Segoe UI" w:cs="Segoe UI"/>
        </w:rPr>
      </w:pPr>
      <w:r w:rsidRPr="000C1071">
        <w:rPr>
          <w:rFonts w:ascii="Segoe UI" w:hAnsi="Segoe UI" w:cs="Segoe UI"/>
        </w:rPr>
        <w:t>The Department of Health’s governance arrangements for the management of the MRFF are largely effective.</w:t>
      </w:r>
    </w:p>
    <w:p w14:paraId="42598725" w14:textId="77777777" w:rsidR="00AF2B89" w:rsidRPr="000C1071" w:rsidRDefault="00AF2B89" w:rsidP="000F26FC">
      <w:pPr>
        <w:pStyle w:val="ListParagraph"/>
        <w:numPr>
          <w:ilvl w:val="1"/>
          <w:numId w:val="21"/>
        </w:numPr>
        <w:spacing w:after="40"/>
        <w:ind w:left="709" w:hanging="284"/>
        <w:contextualSpacing w:val="0"/>
        <w:rPr>
          <w:rFonts w:ascii="Segoe UI" w:hAnsi="Segoe UI" w:cs="Segoe UI"/>
        </w:rPr>
      </w:pPr>
      <w:r w:rsidRPr="000C1071">
        <w:rPr>
          <w:rFonts w:ascii="Segoe UI" w:hAnsi="Segoe UI" w:cs="Segoe UI"/>
        </w:rPr>
        <w:t>Clear governance roles, responsibilities and coordinating structures have been established.</w:t>
      </w:r>
    </w:p>
    <w:p w14:paraId="25093A11" w14:textId="724FE77F" w:rsidR="00AF2B89" w:rsidRPr="000C1071" w:rsidRDefault="00AF2B89" w:rsidP="000F26FC">
      <w:pPr>
        <w:pStyle w:val="ListParagraph"/>
        <w:numPr>
          <w:ilvl w:val="1"/>
          <w:numId w:val="21"/>
        </w:numPr>
        <w:spacing w:after="40"/>
        <w:ind w:left="709" w:hanging="284"/>
        <w:contextualSpacing w:val="0"/>
        <w:rPr>
          <w:rFonts w:ascii="Segoe UI" w:hAnsi="Segoe UI" w:cs="Segoe UI"/>
        </w:rPr>
      </w:pPr>
      <w:r w:rsidRPr="000C1071">
        <w:rPr>
          <w:rFonts w:ascii="Segoe UI" w:hAnsi="Segoe UI" w:cs="Segoe UI"/>
        </w:rPr>
        <w:t>The Department of Health has implemented largely effective arrangements with its implementation partners to administer the MRFF.</w:t>
      </w:r>
    </w:p>
    <w:p w14:paraId="7995B17F" w14:textId="46BF3309" w:rsidR="00AF2B89" w:rsidRPr="000C1071" w:rsidRDefault="00AF2B89" w:rsidP="000F26FC">
      <w:pPr>
        <w:pStyle w:val="ListParagraph"/>
        <w:numPr>
          <w:ilvl w:val="1"/>
          <w:numId w:val="21"/>
        </w:numPr>
        <w:spacing w:after="40"/>
        <w:ind w:left="709" w:hanging="284"/>
        <w:contextualSpacing w:val="0"/>
        <w:rPr>
          <w:rFonts w:ascii="Segoe UI" w:hAnsi="Segoe UI" w:cs="Segoe UI"/>
        </w:rPr>
      </w:pPr>
      <w:r w:rsidRPr="000C1071">
        <w:rPr>
          <w:rFonts w:ascii="Segoe UI" w:hAnsi="Segoe UI" w:cs="Segoe UI"/>
        </w:rPr>
        <w:t xml:space="preserve">The Department of Health has effectively supported consultations by the Australian Medical Research Advisory Board (AMRAB) and expert advisory panels, </w:t>
      </w:r>
      <w:r w:rsidR="005C70D8">
        <w:rPr>
          <w:rFonts w:ascii="Segoe UI" w:hAnsi="Segoe UI" w:cs="Segoe UI"/>
        </w:rPr>
        <w:t>but it</w:t>
      </w:r>
      <w:r w:rsidR="005C70D8" w:rsidRPr="000C1071">
        <w:rPr>
          <w:rFonts w:ascii="Segoe UI" w:hAnsi="Segoe UI" w:cs="Segoe UI"/>
        </w:rPr>
        <w:t xml:space="preserve"> </w:t>
      </w:r>
      <w:r w:rsidRPr="000C1071">
        <w:rPr>
          <w:rFonts w:ascii="Segoe UI" w:hAnsi="Segoe UI" w:cs="Segoe UI"/>
        </w:rPr>
        <w:t xml:space="preserve">has not actively consulted with state and territory governments on the implementation of the </w:t>
      </w:r>
      <w:r w:rsidR="005C70D8">
        <w:rPr>
          <w:rFonts w:ascii="Segoe UI" w:hAnsi="Segoe UI" w:cs="Segoe UI"/>
        </w:rPr>
        <w:t>program</w:t>
      </w:r>
      <w:r w:rsidRPr="000C1071">
        <w:rPr>
          <w:rFonts w:ascii="Segoe UI" w:hAnsi="Segoe UI" w:cs="Segoe UI"/>
        </w:rPr>
        <w:t>.</w:t>
      </w:r>
    </w:p>
    <w:p w14:paraId="2FC1488E" w14:textId="490108CF" w:rsidR="00AF2B89" w:rsidRPr="000C1071" w:rsidRDefault="00AF2B89" w:rsidP="000F26FC">
      <w:pPr>
        <w:pStyle w:val="ListParagraph"/>
        <w:numPr>
          <w:ilvl w:val="1"/>
          <w:numId w:val="21"/>
        </w:numPr>
        <w:spacing w:after="40"/>
        <w:ind w:left="709" w:hanging="284"/>
        <w:contextualSpacing w:val="0"/>
        <w:rPr>
          <w:rFonts w:ascii="Segoe UI" w:hAnsi="Segoe UI" w:cs="Segoe UI"/>
        </w:rPr>
      </w:pPr>
      <w:r w:rsidRPr="000C1071">
        <w:rPr>
          <w:rFonts w:ascii="Segoe UI" w:hAnsi="Segoe UI" w:cs="Segoe UI"/>
        </w:rPr>
        <w:t xml:space="preserve">The identification and documentation of the management of issues and risks </w:t>
      </w:r>
      <w:r w:rsidR="0027356B" w:rsidRPr="000C1071">
        <w:rPr>
          <w:rFonts w:ascii="Segoe UI" w:hAnsi="Segoe UI" w:cs="Segoe UI"/>
        </w:rPr>
        <w:t>c</w:t>
      </w:r>
      <w:r w:rsidRPr="000C1071">
        <w:rPr>
          <w:rFonts w:ascii="Segoe UI" w:hAnsi="Segoe UI" w:cs="Segoe UI"/>
        </w:rPr>
        <w:t>ould be improved.</w:t>
      </w:r>
    </w:p>
    <w:p w14:paraId="0002F34D" w14:textId="3015C56D" w:rsidR="005C70D8" w:rsidRPr="005C70D8" w:rsidRDefault="00AF2B89" w:rsidP="005C70D8">
      <w:pPr>
        <w:pStyle w:val="ListParagraph"/>
        <w:numPr>
          <w:ilvl w:val="0"/>
          <w:numId w:val="17"/>
        </w:numPr>
        <w:spacing w:after="80"/>
        <w:ind w:left="425" w:hanging="357"/>
        <w:contextualSpacing w:val="0"/>
        <w:rPr>
          <w:rFonts w:ascii="Times New Roman" w:hAnsi="Times New Roman" w:cs="Times New Roman"/>
          <w:color w:val="000000"/>
          <w:sz w:val="24"/>
          <w:szCs w:val="24"/>
        </w:rPr>
      </w:pPr>
      <w:r w:rsidRPr="000C1071">
        <w:rPr>
          <w:rFonts w:ascii="Segoe UI" w:hAnsi="Segoe UI" w:cs="Segoe UI"/>
        </w:rPr>
        <w:t xml:space="preserve">The Department of Health’s management of grants of financial assistance to support medical research and medical innovation is largely consistent with the </w:t>
      </w:r>
      <w:r w:rsidRPr="000C1071">
        <w:rPr>
          <w:rFonts w:ascii="Segoe UI" w:hAnsi="Segoe UI" w:cs="Segoe UI"/>
          <w:i/>
          <w:iCs/>
        </w:rPr>
        <w:t>MRFF Act 2015</w:t>
      </w:r>
      <w:r w:rsidRPr="000C1071">
        <w:rPr>
          <w:rFonts w:ascii="Segoe UI" w:hAnsi="Segoe UI" w:cs="Segoe UI"/>
        </w:rPr>
        <w:t xml:space="preserve"> and the </w:t>
      </w:r>
      <w:r w:rsidRPr="000C1071">
        <w:rPr>
          <w:rFonts w:ascii="Segoe UI" w:hAnsi="Segoe UI" w:cs="Segoe UI"/>
          <w:i/>
          <w:iCs/>
        </w:rPr>
        <w:t>Commonwealth Grant Rules and Guidelines 2017</w:t>
      </w:r>
      <w:r w:rsidRPr="000C1071">
        <w:rPr>
          <w:rFonts w:ascii="Segoe UI" w:hAnsi="Segoe UI" w:cs="Segoe UI"/>
        </w:rPr>
        <w:t xml:space="preserve"> (CGRGs).</w:t>
      </w:r>
    </w:p>
    <w:p w14:paraId="0C3C8919" w14:textId="672C9B10" w:rsidR="005C70D8" w:rsidRPr="005C70D8" w:rsidRDefault="005C70D8" w:rsidP="005C70D8">
      <w:pPr>
        <w:pStyle w:val="ListParagraph"/>
        <w:numPr>
          <w:ilvl w:val="1"/>
          <w:numId w:val="21"/>
        </w:numPr>
        <w:spacing w:after="40"/>
        <w:ind w:left="709" w:hanging="284"/>
        <w:contextualSpacing w:val="0"/>
        <w:rPr>
          <w:rFonts w:ascii="Segoe UI" w:hAnsi="Segoe UI" w:cs="Segoe UI"/>
        </w:rPr>
      </w:pPr>
      <w:r w:rsidRPr="005C70D8">
        <w:rPr>
          <w:rFonts w:ascii="Segoe UI" w:hAnsi="Segoe UI" w:cs="Segoe UI"/>
        </w:rPr>
        <w:t>There is no evidence of how the design of the MRFF 10-</w:t>
      </w:r>
      <w:r>
        <w:rPr>
          <w:rFonts w:ascii="Segoe UI" w:hAnsi="Segoe UI" w:cs="Segoe UI"/>
        </w:rPr>
        <w:t>Y</w:t>
      </w:r>
      <w:r w:rsidRPr="005C70D8">
        <w:rPr>
          <w:rFonts w:ascii="Segoe UI" w:hAnsi="Segoe UI" w:cs="Segoe UI"/>
        </w:rPr>
        <w:t xml:space="preserve">ear Plan was influenced by the Australian Medical Research and Innovation Strategy (MRFF Strategy) and Australian Medical Research and Innovation Priorities (MRFF Priorities). </w:t>
      </w:r>
    </w:p>
    <w:p w14:paraId="3B5293D3" w14:textId="081F5A59" w:rsidR="0027356B" w:rsidRPr="000C1071" w:rsidRDefault="0027356B" w:rsidP="000F26FC">
      <w:pPr>
        <w:pStyle w:val="ListParagraph"/>
        <w:numPr>
          <w:ilvl w:val="1"/>
          <w:numId w:val="21"/>
        </w:numPr>
        <w:spacing w:after="40"/>
        <w:ind w:left="709" w:hanging="284"/>
        <w:contextualSpacing w:val="0"/>
        <w:rPr>
          <w:rFonts w:ascii="Segoe UI" w:hAnsi="Segoe UI" w:cs="Segoe UI"/>
        </w:rPr>
      </w:pPr>
      <w:r w:rsidRPr="000C1071">
        <w:rPr>
          <w:rFonts w:ascii="Segoe UI" w:hAnsi="Segoe UI" w:cs="Segoe UI"/>
        </w:rPr>
        <w:t>The Department of Health has suitable arrangements in place to provide assurance that grant applications are assessed on their merit and represent value for money.</w:t>
      </w:r>
    </w:p>
    <w:p w14:paraId="07EDDC19" w14:textId="74463C83" w:rsidR="00AF2B89" w:rsidRPr="000C1071" w:rsidRDefault="00AF2B89" w:rsidP="000F26FC">
      <w:pPr>
        <w:pStyle w:val="ListParagraph"/>
        <w:numPr>
          <w:ilvl w:val="0"/>
          <w:numId w:val="17"/>
        </w:numPr>
        <w:spacing w:after="80"/>
        <w:ind w:left="425" w:hanging="357"/>
        <w:contextualSpacing w:val="0"/>
        <w:rPr>
          <w:rFonts w:ascii="Segoe UI" w:hAnsi="Segoe UI" w:cs="Segoe UI"/>
        </w:rPr>
      </w:pPr>
      <w:r w:rsidRPr="000C1071">
        <w:rPr>
          <w:rFonts w:ascii="Segoe UI" w:hAnsi="Segoe UI" w:cs="Segoe UI"/>
        </w:rPr>
        <w:t>The Department of Health does not have adequate performance measures for the MRFF and has not effectively measured and reported on the performance of MRFF financial assistance in its annual performance statements.</w:t>
      </w:r>
    </w:p>
    <w:p w14:paraId="423E9A81" w14:textId="05853668" w:rsidR="00805E40" w:rsidRDefault="00805E40" w:rsidP="000F26FC">
      <w:pPr>
        <w:pStyle w:val="ListParagraph"/>
        <w:numPr>
          <w:ilvl w:val="1"/>
          <w:numId w:val="21"/>
        </w:numPr>
        <w:spacing w:after="40"/>
        <w:ind w:left="709" w:hanging="284"/>
        <w:contextualSpacing w:val="0"/>
        <w:rPr>
          <w:rFonts w:ascii="Segoe UI" w:hAnsi="Segoe UI" w:cs="Segoe UI"/>
        </w:rPr>
      </w:pPr>
      <w:r w:rsidRPr="000C1071">
        <w:rPr>
          <w:rFonts w:ascii="Segoe UI" w:hAnsi="Segoe UI" w:cs="Segoe UI"/>
        </w:rPr>
        <w:t xml:space="preserve">Health published a monitoring and evaluation strategy in November 2020, with most of the activities yet to occur. It has also made </w:t>
      </w:r>
      <w:proofErr w:type="gramStart"/>
      <w:r w:rsidRPr="000C1071">
        <w:rPr>
          <w:rFonts w:ascii="Segoe UI" w:hAnsi="Segoe UI" w:cs="Segoe UI"/>
        </w:rPr>
        <w:t>a number of</w:t>
      </w:r>
      <w:proofErr w:type="gramEnd"/>
      <w:r w:rsidRPr="000C1071">
        <w:rPr>
          <w:rFonts w:ascii="Segoe UI" w:hAnsi="Segoe UI" w:cs="Segoe UI"/>
        </w:rPr>
        <w:t xml:space="preserve"> improvements to the operation of the program.</w:t>
      </w:r>
    </w:p>
    <w:p w14:paraId="6284E349" w14:textId="64871962" w:rsidR="00532339" w:rsidRPr="00532339" w:rsidRDefault="00532339" w:rsidP="00532339">
      <w:pPr>
        <w:spacing w:before="120" w:after="40"/>
        <w:rPr>
          <w:rFonts w:ascii="Segoe UI" w:hAnsi="Segoe UI" w:cs="Segoe UI"/>
          <w:sz w:val="20"/>
          <w:szCs w:val="20"/>
        </w:rPr>
      </w:pPr>
      <w:r w:rsidRPr="00532339">
        <w:rPr>
          <w:rFonts w:ascii="Segoe UI" w:hAnsi="Segoe UI" w:cs="Segoe UI"/>
          <w:sz w:val="20"/>
          <w:szCs w:val="20"/>
        </w:rPr>
        <w:t>*</w:t>
      </w:r>
      <w:r>
        <w:rPr>
          <w:rFonts w:ascii="Segoe UI" w:hAnsi="Segoe UI" w:cs="Segoe UI"/>
          <w:sz w:val="20"/>
          <w:szCs w:val="20"/>
        </w:rPr>
        <w:t xml:space="preserve"> </w:t>
      </w:r>
      <w:r w:rsidR="0013343A">
        <w:rPr>
          <w:rFonts w:ascii="Segoe UI" w:hAnsi="Segoe UI" w:cs="Segoe UI"/>
          <w:sz w:val="20"/>
          <w:szCs w:val="20"/>
        </w:rPr>
        <w:t>the text in this section is an extract from t</w:t>
      </w:r>
      <w:r w:rsidRPr="00532339">
        <w:rPr>
          <w:rFonts w:ascii="Segoe UI" w:hAnsi="Segoe UI" w:cs="Segoe UI"/>
          <w:sz w:val="20"/>
          <w:szCs w:val="20"/>
        </w:rPr>
        <w:t>he ANAO report</w:t>
      </w:r>
      <w:r>
        <w:rPr>
          <w:rFonts w:ascii="Segoe UI" w:hAnsi="Segoe UI" w:cs="Segoe UI"/>
          <w:sz w:val="20"/>
          <w:szCs w:val="20"/>
        </w:rPr>
        <w:t>.</w:t>
      </w:r>
    </w:p>
    <w:p w14:paraId="65C1868E" w14:textId="2A8461CB" w:rsidR="00B57C74" w:rsidRPr="000C1071" w:rsidRDefault="00B57C74" w:rsidP="00532339">
      <w:pPr>
        <w:spacing w:before="160" w:after="120"/>
        <w:rPr>
          <w:rFonts w:ascii="Segoe UI" w:eastAsia="Times New Roman" w:hAnsi="Segoe UI" w:cs="Segoe UI"/>
          <w:b/>
          <w:bCs/>
          <w:color w:val="313131"/>
          <w:sz w:val="36"/>
          <w:szCs w:val="36"/>
          <w:lang w:eastAsia="en-AU"/>
        </w:rPr>
      </w:pPr>
      <w:r w:rsidRPr="000C1071">
        <w:rPr>
          <w:rFonts w:ascii="Segoe UI" w:eastAsia="Times New Roman" w:hAnsi="Segoe UI" w:cs="Segoe UI"/>
          <w:b/>
          <w:bCs/>
          <w:color w:val="313131"/>
          <w:sz w:val="36"/>
          <w:szCs w:val="36"/>
          <w:lang w:eastAsia="en-AU"/>
        </w:rPr>
        <w:t>What are the recommendations of the audit?</w:t>
      </w:r>
    </w:p>
    <w:p w14:paraId="5358B119" w14:textId="36B4DAC3" w:rsidR="00AD49BA" w:rsidRPr="000C1071" w:rsidRDefault="00AD49BA" w:rsidP="00AD49BA">
      <w:pPr>
        <w:rPr>
          <w:rFonts w:ascii="Segoe UI" w:hAnsi="Segoe UI" w:cs="Segoe UI"/>
        </w:rPr>
      </w:pPr>
      <w:r w:rsidRPr="000C1071">
        <w:rPr>
          <w:rFonts w:ascii="Segoe UI" w:hAnsi="Segoe UI" w:cs="Segoe UI"/>
        </w:rPr>
        <w:t>The Auditor-General made three recommendations to the Department. They are:</w:t>
      </w:r>
    </w:p>
    <w:p w14:paraId="0C8F0133" w14:textId="41D34770" w:rsidR="00AD49BA" w:rsidRPr="000C1071" w:rsidRDefault="005C70D8" w:rsidP="007E17E6">
      <w:pPr>
        <w:pStyle w:val="ListParagraph"/>
        <w:numPr>
          <w:ilvl w:val="0"/>
          <w:numId w:val="16"/>
        </w:numPr>
        <w:ind w:left="426" w:right="-164"/>
        <w:rPr>
          <w:rFonts w:ascii="Segoe UI" w:hAnsi="Segoe UI" w:cs="Segoe UI"/>
        </w:rPr>
      </w:pPr>
      <w:r>
        <w:rPr>
          <w:rFonts w:ascii="Segoe UI" w:hAnsi="Segoe UI" w:cs="Segoe UI"/>
        </w:rPr>
        <w:t xml:space="preserve">Department of </w:t>
      </w:r>
      <w:r w:rsidR="00AD49BA" w:rsidRPr="000C1071">
        <w:rPr>
          <w:rFonts w:ascii="Segoe UI" w:hAnsi="Segoe UI" w:cs="Segoe UI"/>
        </w:rPr>
        <w:t xml:space="preserve">Health </w:t>
      </w:r>
      <w:r w:rsidR="008F7EA8" w:rsidRPr="000C1071">
        <w:rPr>
          <w:rFonts w:ascii="Segoe UI" w:hAnsi="Segoe UI" w:cs="Segoe UI"/>
        </w:rPr>
        <w:t xml:space="preserve">to </w:t>
      </w:r>
      <w:r w:rsidR="00AD49BA" w:rsidRPr="000C1071">
        <w:rPr>
          <w:rFonts w:ascii="Segoe UI" w:hAnsi="Segoe UI" w:cs="Segoe UI"/>
        </w:rPr>
        <w:t>identify, assess and manage risks at the theme or initiative level of the 10-Year Plan.</w:t>
      </w:r>
    </w:p>
    <w:p w14:paraId="652DB154" w14:textId="47DB4CB6" w:rsidR="00AD49BA" w:rsidRPr="000C1071" w:rsidRDefault="005C70D8" w:rsidP="00AD49BA">
      <w:pPr>
        <w:pStyle w:val="ListParagraph"/>
        <w:numPr>
          <w:ilvl w:val="0"/>
          <w:numId w:val="16"/>
        </w:numPr>
        <w:ind w:left="426"/>
        <w:rPr>
          <w:rFonts w:ascii="Segoe UI" w:hAnsi="Segoe UI" w:cs="Segoe UI"/>
        </w:rPr>
      </w:pPr>
      <w:r>
        <w:rPr>
          <w:rFonts w:ascii="Segoe UI" w:hAnsi="Segoe UI" w:cs="Segoe UI"/>
        </w:rPr>
        <w:t xml:space="preserve">Department of </w:t>
      </w:r>
      <w:r w:rsidR="00AD49BA" w:rsidRPr="000C1071">
        <w:rPr>
          <w:rFonts w:ascii="Segoe UI" w:hAnsi="Segoe UI" w:cs="Segoe UI"/>
        </w:rPr>
        <w:t>Health report grants in the same way that grant opportunities are classified in the grant opportunity guidelines and reported on GrantConnect.</w:t>
      </w:r>
    </w:p>
    <w:p w14:paraId="24F8DF60" w14:textId="7624BB17" w:rsidR="00AD49BA" w:rsidRPr="000C1071" w:rsidRDefault="005C70D8" w:rsidP="00AD49BA">
      <w:pPr>
        <w:pStyle w:val="ListParagraph"/>
        <w:numPr>
          <w:ilvl w:val="0"/>
          <w:numId w:val="16"/>
        </w:numPr>
        <w:ind w:left="426"/>
        <w:rPr>
          <w:rFonts w:ascii="Segoe UI" w:hAnsi="Segoe UI" w:cs="Segoe UI"/>
        </w:rPr>
      </w:pPr>
      <w:r>
        <w:rPr>
          <w:rFonts w:ascii="Segoe UI" w:hAnsi="Segoe UI" w:cs="Segoe UI"/>
        </w:rPr>
        <w:t xml:space="preserve">Department of </w:t>
      </w:r>
      <w:r w:rsidR="00AD49BA" w:rsidRPr="000C1071">
        <w:rPr>
          <w:rFonts w:ascii="Segoe UI" w:hAnsi="Segoe UI" w:cs="Segoe UI"/>
        </w:rPr>
        <w:t>Health develop adequate performance measures for the MRFF for inclusion in its portfolio budget statements and annual performance statements.</w:t>
      </w:r>
    </w:p>
    <w:p w14:paraId="069C6E08" w14:textId="1E980864" w:rsidR="00B57C74" w:rsidRPr="000C1071" w:rsidDel="00810D4B" w:rsidRDefault="00AD49BA" w:rsidP="00AF2B89">
      <w:pPr>
        <w:rPr>
          <w:rFonts w:ascii="Segoe UI" w:hAnsi="Segoe UI" w:cs="Segoe UI"/>
        </w:rPr>
      </w:pPr>
      <w:r w:rsidRPr="000C1071" w:rsidDel="00810D4B">
        <w:rPr>
          <w:rFonts w:ascii="Segoe UI" w:hAnsi="Segoe UI" w:cs="Segoe UI"/>
        </w:rPr>
        <w:t>The Department of Health accepted all three recommendations.</w:t>
      </w:r>
    </w:p>
    <w:p w14:paraId="4BAB3ED0" w14:textId="0E97B2D6" w:rsidR="007E17E6" w:rsidRPr="000C1071" w:rsidRDefault="007E17E6" w:rsidP="00D94FC6">
      <w:pPr>
        <w:rPr>
          <w:rFonts w:ascii="Segoe UI" w:eastAsia="Times New Roman" w:hAnsi="Segoe UI" w:cs="Segoe UI"/>
          <w:b/>
          <w:bCs/>
          <w:color w:val="313131"/>
          <w:sz w:val="36"/>
          <w:szCs w:val="36"/>
          <w:lang w:eastAsia="en-AU"/>
        </w:rPr>
      </w:pPr>
      <w:r w:rsidRPr="000C1071">
        <w:rPr>
          <w:rFonts w:ascii="Segoe UI" w:eastAsia="Times New Roman" w:hAnsi="Segoe UI" w:cs="Segoe UI"/>
          <w:b/>
          <w:bCs/>
          <w:color w:val="313131"/>
          <w:sz w:val="36"/>
          <w:szCs w:val="36"/>
          <w:lang w:eastAsia="en-AU"/>
        </w:rPr>
        <w:lastRenderedPageBreak/>
        <w:t>What is the Department doing in response to the recommendations?</w:t>
      </w:r>
    </w:p>
    <w:p w14:paraId="4A0965F1" w14:textId="3448AE46" w:rsidR="007E17E6" w:rsidRPr="000C1071" w:rsidRDefault="007E17E6" w:rsidP="007E17E6">
      <w:pPr>
        <w:rPr>
          <w:rFonts w:ascii="Segoe UI" w:hAnsi="Segoe UI" w:cs="Segoe UI"/>
        </w:rPr>
      </w:pPr>
      <w:r w:rsidRPr="000C1071">
        <w:rPr>
          <w:rFonts w:ascii="Segoe UI" w:hAnsi="Segoe UI" w:cs="Segoe UI"/>
        </w:rPr>
        <w:t>In response to the first recommendation, the Department is updating its risk management processes to ensure appropriate identification, assessment and management of risks at the sub‑program level. This will complement current processes already in place to monitor risks at the program level.</w:t>
      </w:r>
    </w:p>
    <w:p w14:paraId="6598AED5" w14:textId="25F721EF" w:rsidR="007E17E6" w:rsidRPr="000C1071" w:rsidRDefault="007E17E6" w:rsidP="007E17E6">
      <w:pPr>
        <w:rPr>
          <w:rFonts w:ascii="Segoe UI" w:hAnsi="Segoe UI" w:cs="Segoe UI"/>
        </w:rPr>
      </w:pPr>
      <w:r w:rsidRPr="000C1071">
        <w:rPr>
          <w:rFonts w:ascii="Segoe UI" w:hAnsi="Segoe UI" w:cs="Segoe UI"/>
        </w:rPr>
        <w:t>In response to the second recommendation, the Department is reviewing public reporting of MRFF grants to align with how grant opportunities are classified in the grant opportunity guidelines and reported on GrantConnect.</w:t>
      </w:r>
    </w:p>
    <w:p w14:paraId="338415FC" w14:textId="11994E6E" w:rsidR="00CF7A6A" w:rsidRPr="000C1071" w:rsidRDefault="007E17E6" w:rsidP="007E17E6">
      <w:pPr>
        <w:rPr>
          <w:rFonts w:ascii="Segoe UI" w:hAnsi="Segoe UI" w:cs="Segoe UI"/>
        </w:rPr>
      </w:pPr>
      <w:r w:rsidRPr="000C1071">
        <w:rPr>
          <w:rFonts w:ascii="Segoe UI" w:hAnsi="Segoe UI" w:cs="Segoe UI"/>
        </w:rPr>
        <w:t xml:space="preserve">In response to the third recommendation, the Department is developing a methodology to enable more effective MRFF reporting to Parliament in the portfolio budget statements and annual performance statements on the performance of MRFF financial assistance, with the intent to enable an assessment of the program’s performance for each financial year and </w:t>
      </w:r>
      <w:r w:rsidRPr="00984591">
        <w:rPr>
          <w:rFonts w:ascii="Segoe UI" w:hAnsi="Segoe UI" w:cs="Segoe UI"/>
        </w:rPr>
        <w:t xml:space="preserve">consideration of </w:t>
      </w:r>
      <w:r w:rsidRPr="000C1071">
        <w:rPr>
          <w:rFonts w:ascii="Segoe UI" w:hAnsi="Segoe UI" w:cs="Segoe UI"/>
        </w:rPr>
        <w:t>outcomes and impact achieved.</w:t>
      </w:r>
    </w:p>
    <w:p w14:paraId="3029092D" w14:textId="7517F7A3" w:rsidR="007E17E6" w:rsidRPr="000C1071" w:rsidRDefault="007E17E6" w:rsidP="007E17E6">
      <w:pPr>
        <w:rPr>
          <w:rFonts w:ascii="Segoe UI" w:eastAsia="Times New Roman" w:hAnsi="Segoe UI" w:cs="Segoe UI"/>
          <w:b/>
          <w:bCs/>
          <w:color w:val="313131"/>
          <w:sz w:val="36"/>
          <w:szCs w:val="36"/>
          <w:lang w:eastAsia="en-AU"/>
        </w:rPr>
      </w:pPr>
      <w:r w:rsidRPr="000C1071">
        <w:rPr>
          <w:rFonts w:ascii="Segoe UI" w:eastAsia="Times New Roman" w:hAnsi="Segoe UI" w:cs="Segoe UI"/>
          <w:b/>
          <w:bCs/>
          <w:color w:val="313131"/>
          <w:sz w:val="36"/>
          <w:szCs w:val="36"/>
          <w:lang w:eastAsia="en-AU"/>
        </w:rPr>
        <w:t>What else did the audit find?</w:t>
      </w:r>
    </w:p>
    <w:p w14:paraId="3151CCDB" w14:textId="5BF34FB6" w:rsidR="007E17E6" w:rsidRPr="000C1071" w:rsidRDefault="007E17E6" w:rsidP="007E17E6">
      <w:pPr>
        <w:rPr>
          <w:rFonts w:ascii="Segoe UI" w:hAnsi="Segoe UI" w:cs="Segoe UI"/>
        </w:rPr>
      </w:pPr>
      <w:r w:rsidRPr="000C1071">
        <w:rPr>
          <w:rFonts w:ascii="Segoe UI" w:hAnsi="Segoe UI" w:cs="Segoe UI"/>
        </w:rPr>
        <w:t xml:space="preserve">In addition to the three recommendations, the audit made a number of other findings. These are </w:t>
      </w:r>
      <w:r w:rsidR="00805E40" w:rsidRPr="000C1071">
        <w:rPr>
          <w:rFonts w:ascii="Segoe UI" w:hAnsi="Segoe UI" w:cs="Segoe UI"/>
        </w:rPr>
        <w:t xml:space="preserve">summarised </w:t>
      </w:r>
      <w:r w:rsidRPr="000C1071">
        <w:rPr>
          <w:rFonts w:ascii="Segoe UI" w:hAnsi="Segoe UI" w:cs="Segoe UI"/>
        </w:rPr>
        <w:t>below, along with a description of how the Department is addressing each finding.</w:t>
      </w:r>
    </w:p>
    <w:p w14:paraId="1E797E28" w14:textId="320CF12B" w:rsidR="009321E5" w:rsidRPr="000C1071" w:rsidRDefault="0027356B" w:rsidP="00796118">
      <w:pPr>
        <w:spacing w:after="80"/>
        <w:rPr>
          <w:rFonts w:ascii="Segoe UI" w:hAnsi="Segoe UI" w:cs="Segoe UI"/>
          <w:b/>
          <w:bCs/>
          <w:i/>
          <w:iCs/>
          <w:color w:val="313131"/>
        </w:rPr>
      </w:pPr>
      <w:r w:rsidRPr="000C1071">
        <w:rPr>
          <w:rFonts w:ascii="Segoe UI" w:hAnsi="Segoe UI" w:cs="Segoe UI"/>
          <w:b/>
          <w:bCs/>
          <w:i/>
          <w:iCs/>
          <w:color w:val="313131"/>
        </w:rPr>
        <w:t>Coordination with the National Health and Medical Research Council</w:t>
      </w:r>
    </w:p>
    <w:p w14:paraId="25D523B9" w14:textId="6CE5BC6D" w:rsidR="00805E40" w:rsidRPr="000C1071" w:rsidRDefault="00C3005B" w:rsidP="0090541B">
      <w:pPr>
        <w:rPr>
          <w:rFonts w:ascii="Segoe UI" w:hAnsi="Segoe UI" w:cs="Segoe UI"/>
        </w:rPr>
      </w:pPr>
      <w:r w:rsidRPr="000C1071">
        <w:rPr>
          <w:rFonts w:ascii="Segoe UI" w:hAnsi="Segoe UI" w:cs="Segoe UI"/>
        </w:rPr>
        <w:t>The audit found that</w:t>
      </w:r>
      <w:r w:rsidR="0090541B" w:rsidRPr="000C1071">
        <w:rPr>
          <w:rFonts w:ascii="Segoe UI" w:hAnsi="Segoe UI" w:cs="Segoe UI"/>
        </w:rPr>
        <w:t xml:space="preserve"> Health has not formalised arrangements with NHMRC for coherent and consistent coordination of MRFF funding and NHMRC programs</w:t>
      </w:r>
      <w:r w:rsidRPr="000C1071">
        <w:rPr>
          <w:rFonts w:ascii="Segoe UI" w:hAnsi="Segoe UI" w:cs="Segoe UI"/>
        </w:rPr>
        <w:t>.</w:t>
      </w:r>
    </w:p>
    <w:p w14:paraId="619A1D26" w14:textId="295FD3D0" w:rsidR="009321E5" w:rsidRPr="000C1071" w:rsidRDefault="00C3005B" w:rsidP="0090541B">
      <w:pPr>
        <w:rPr>
          <w:rFonts w:ascii="Segoe UI" w:hAnsi="Segoe UI" w:cs="Segoe UI"/>
        </w:rPr>
      </w:pPr>
      <w:r w:rsidRPr="000C1071">
        <w:rPr>
          <w:rFonts w:ascii="Segoe UI" w:hAnsi="Segoe UI" w:cs="Segoe UI"/>
        </w:rPr>
        <w:t>In response, t</w:t>
      </w:r>
      <w:r w:rsidR="009321E5" w:rsidRPr="000C1071">
        <w:rPr>
          <w:rFonts w:ascii="Segoe UI" w:hAnsi="Segoe UI" w:cs="Segoe UI"/>
        </w:rPr>
        <w:t>he Department will</w:t>
      </w:r>
      <w:r w:rsidR="0090541B" w:rsidRPr="000C1071">
        <w:rPr>
          <w:rFonts w:ascii="Segoe UI" w:hAnsi="Segoe UI" w:cs="Segoe UI"/>
        </w:rPr>
        <w:t xml:space="preserve"> </w:t>
      </w:r>
      <w:r w:rsidR="009321E5" w:rsidRPr="000C1071">
        <w:rPr>
          <w:rFonts w:ascii="Segoe UI" w:hAnsi="Segoe UI" w:cs="Segoe UI"/>
        </w:rPr>
        <w:t>consult with NHMRC and consider updating its</w:t>
      </w:r>
      <w:r w:rsidRPr="000C1071">
        <w:rPr>
          <w:rFonts w:ascii="Segoe UI" w:hAnsi="Segoe UI" w:cs="Segoe UI"/>
        </w:rPr>
        <w:t xml:space="preserve"> memorandum of understanding</w:t>
      </w:r>
      <w:r w:rsidR="009321E5" w:rsidRPr="000C1071">
        <w:rPr>
          <w:rFonts w:ascii="Segoe UI" w:hAnsi="Segoe UI" w:cs="Segoe UI"/>
        </w:rPr>
        <w:t xml:space="preserve"> </w:t>
      </w:r>
      <w:r w:rsidR="00796118">
        <w:rPr>
          <w:rFonts w:ascii="Segoe UI" w:hAnsi="Segoe UI" w:cs="Segoe UI"/>
        </w:rPr>
        <w:t xml:space="preserve">with NHMRC </w:t>
      </w:r>
      <w:r w:rsidR="009321E5" w:rsidRPr="000C1071">
        <w:rPr>
          <w:rFonts w:ascii="Segoe UI" w:hAnsi="Segoe UI" w:cs="Segoe UI"/>
        </w:rPr>
        <w:t>to reflect new mechanisms to coordinate research funding activities, including shared understanding of future research priorities.</w:t>
      </w:r>
    </w:p>
    <w:p w14:paraId="187DA1EE" w14:textId="6E342AF2" w:rsidR="009321E5" w:rsidRPr="000C1071" w:rsidRDefault="009321E5" w:rsidP="00796118">
      <w:pPr>
        <w:spacing w:after="80"/>
        <w:rPr>
          <w:rFonts w:ascii="Segoe UI" w:hAnsi="Segoe UI" w:cs="Segoe UI"/>
          <w:b/>
          <w:bCs/>
          <w:i/>
          <w:iCs/>
          <w:color w:val="313131"/>
        </w:rPr>
      </w:pPr>
      <w:r w:rsidRPr="000C1071">
        <w:rPr>
          <w:rFonts w:ascii="Segoe UI" w:hAnsi="Segoe UI" w:cs="Segoe UI"/>
          <w:b/>
          <w:bCs/>
          <w:i/>
          <w:iCs/>
          <w:color w:val="313131"/>
        </w:rPr>
        <w:t xml:space="preserve">Identification, </w:t>
      </w:r>
      <w:r w:rsidR="005A35F7" w:rsidRPr="000C1071">
        <w:rPr>
          <w:rFonts w:ascii="Segoe UI" w:hAnsi="Segoe UI" w:cs="Segoe UI"/>
          <w:b/>
          <w:bCs/>
          <w:i/>
          <w:iCs/>
          <w:color w:val="313131"/>
        </w:rPr>
        <w:t>A</w:t>
      </w:r>
      <w:r w:rsidRPr="000C1071">
        <w:rPr>
          <w:rFonts w:ascii="Segoe UI" w:hAnsi="Segoe UI" w:cs="Segoe UI"/>
          <w:b/>
          <w:bCs/>
          <w:i/>
          <w:iCs/>
          <w:color w:val="313131"/>
        </w:rPr>
        <w:t xml:space="preserve">ssessment and </w:t>
      </w:r>
      <w:r w:rsidR="005A35F7" w:rsidRPr="000C1071">
        <w:rPr>
          <w:rFonts w:ascii="Segoe UI" w:hAnsi="Segoe UI" w:cs="Segoe UI"/>
          <w:b/>
          <w:bCs/>
          <w:i/>
          <w:iCs/>
          <w:color w:val="313131"/>
        </w:rPr>
        <w:t>M</w:t>
      </w:r>
      <w:r w:rsidRPr="000C1071">
        <w:rPr>
          <w:rFonts w:ascii="Segoe UI" w:hAnsi="Segoe UI" w:cs="Segoe UI"/>
          <w:b/>
          <w:bCs/>
          <w:i/>
          <w:iCs/>
          <w:color w:val="313131"/>
        </w:rPr>
        <w:t xml:space="preserve">anagement of </w:t>
      </w:r>
      <w:r w:rsidR="005A35F7" w:rsidRPr="000C1071">
        <w:rPr>
          <w:rFonts w:ascii="Segoe UI" w:hAnsi="Segoe UI" w:cs="Segoe UI"/>
          <w:b/>
          <w:bCs/>
          <w:i/>
          <w:iCs/>
          <w:color w:val="313131"/>
        </w:rPr>
        <w:t>R</w:t>
      </w:r>
      <w:r w:rsidRPr="000C1071">
        <w:rPr>
          <w:rFonts w:ascii="Segoe UI" w:hAnsi="Segoe UI" w:cs="Segoe UI"/>
          <w:b/>
          <w:bCs/>
          <w:i/>
          <w:iCs/>
          <w:color w:val="313131"/>
        </w:rPr>
        <w:t>isk</w:t>
      </w:r>
    </w:p>
    <w:p w14:paraId="5A63AB55" w14:textId="2E30F792" w:rsidR="000E6976" w:rsidRPr="000C1071" w:rsidRDefault="000E6976" w:rsidP="00200AFB">
      <w:pPr>
        <w:rPr>
          <w:rFonts w:ascii="Segoe UI" w:hAnsi="Segoe UI" w:cs="Segoe UI"/>
        </w:rPr>
      </w:pPr>
      <w:r w:rsidRPr="000C1071">
        <w:rPr>
          <w:rFonts w:ascii="Segoe UI" w:hAnsi="Segoe UI" w:cs="Segoe UI"/>
        </w:rPr>
        <w:t>The audit found that it is not always clear that issues and identified risks are being effectively managed</w:t>
      </w:r>
      <w:r w:rsidR="0027356B" w:rsidRPr="000C1071">
        <w:rPr>
          <w:rFonts w:ascii="Segoe UI" w:hAnsi="Segoe UI" w:cs="Segoe UI"/>
        </w:rPr>
        <w:t>. In addition, it found t</w:t>
      </w:r>
      <w:r w:rsidR="0090541B" w:rsidRPr="000C1071">
        <w:rPr>
          <w:rFonts w:ascii="Segoe UI" w:hAnsi="Segoe UI" w:cs="Segoe UI"/>
        </w:rPr>
        <w:t xml:space="preserve">hat Health has not consistently updated the registers of AMRAB and expert advisory panel members’ </w:t>
      </w:r>
      <w:r w:rsidR="0027356B" w:rsidRPr="000C1071">
        <w:rPr>
          <w:rFonts w:ascii="Segoe UI" w:hAnsi="Segoe UI" w:cs="Segoe UI"/>
        </w:rPr>
        <w:t xml:space="preserve">declarations </w:t>
      </w:r>
      <w:r w:rsidR="0090541B" w:rsidRPr="000C1071">
        <w:rPr>
          <w:rFonts w:ascii="Segoe UI" w:hAnsi="Segoe UI" w:cs="Segoe UI"/>
        </w:rPr>
        <w:t xml:space="preserve">of interest and has not made </w:t>
      </w:r>
      <w:r w:rsidR="0027356B" w:rsidRPr="000C1071">
        <w:rPr>
          <w:rFonts w:ascii="Segoe UI" w:hAnsi="Segoe UI" w:cs="Segoe UI"/>
        </w:rPr>
        <w:t xml:space="preserve">information on conflicts </w:t>
      </w:r>
      <w:r w:rsidR="0090541B" w:rsidRPr="000C1071">
        <w:rPr>
          <w:rFonts w:ascii="Segoe UI" w:hAnsi="Segoe UI" w:cs="Segoe UI"/>
        </w:rPr>
        <w:t>available to the public for transparency</w:t>
      </w:r>
      <w:r w:rsidRPr="000C1071">
        <w:rPr>
          <w:rFonts w:ascii="Segoe UI" w:hAnsi="Segoe UI" w:cs="Segoe UI"/>
        </w:rPr>
        <w:t>.</w:t>
      </w:r>
    </w:p>
    <w:p w14:paraId="28AB5624" w14:textId="77777777" w:rsidR="000E6976" w:rsidRPr="000C1071" w:rsidRDefault="000E6976" w:rsidP="00796118">
      <w:pPr>
        <w:spacing w:after="80"/>
        <w:rPr>
          <w:rFonts w:ascii="Segoe UI" w:hAnsi="Segoe UI" w:cs="Segoe UI"/>
        </w:rPr>
      </w:pPr>
      <w:r w:rsidRPr="000C1071">
        <w:rPr>
          <w:rFonts w:ascii="Segoe UI" w:hAnsi="Segoe UI" w:cs="Segoe UI"/>
        </w:rPr>
        <w:t>In response, the Department will:</w:t>
      </w:r>
    </w:p>
    <w:p w14:paraId="64F54855" w14:textId="279667B8" w:rsidR="000E6976" w:rsidRPr="000C1071" w:rsidRDefault="000E6976" w:rsidP="00B7693A">
      <w:pPr>
        <w:pStyle w:val="ListParagraph"/>
        <w:numPr>
          <w:ilvl w:val="0"/>
          <w:numId w:val="17"/>
        </w:numPr>
        <w:spacing w:after="80"/>
        <w:ind w:left="425" w:hanging="357"/>
        <w:contextualSpacing w:val="0"/>
        <w:rPr>
          <w:rFonts w:ascii="Segoe UI" w:hAnsi="Segoe UI" w:cs="Segoe UI"/>
        </w:rPr>
      </w:pPr>
      <w:r w:rsidRPr="000C1071">
        <w:rPr>
          <w:rFonts w:ascii="Segoe UI" w:hAnsi="Segoe UI" w:cs="Segoe UI"/>
        </w:rPr>
        <w:t>update its risk monitoring processes to include mechanisms to track and control updates to the MRFF risk register, document responsibility for the register and document when it was endorsed by relevant governance bodies</w:t>
      </w:r>
    </w:p>
    <w:p w14:paraId="2E66B188" w14:textId="2047330C" w:rsidR="000E6976" w:rsidRPr="000C1071" w:rsidRDefault="000E6976" w:rsidP="00B7693A">
      <w:pPr>
        <w:pStyle w:val="ListParagraph"/>
        <w:numPr>
          <w:ilvl w:val="0"/>
          <w:numId w:val="17"/>
        </w:numPr>
        <w:spacing w:after="80"/>
        <w:ind w:left="425" w:hanging="357"/>
        <w:contextualSpacing w:val="0"/>
        <w:rPr>
          <w:rFonts w:ascii="Segoe UI" w:hAnsi="Segoe UI" w:cs="Segoe UI"/>
        </w:rPr>
      </w:pPr>
      <w:r w:rsidRPr="000C1071">
        <w:rPr>
          <w:rFonts w:ascii="Segoe UI" w:hAnsi="Segoe UI" w:cs="Segoe UI"/>
        </w:rPr>
        <w:t>update the risk register with an explanation of considerations given to classifying risk</w:t>
      </w:r>
    </w:p>
    <w:p w14:paraId="30E4DBA4" w14:textId="3CCCB7C2" w:rsidR="000E6976" w:rsidRPr="000C1071" w:rsidRDefault="000E6976" w:rsidP="00B7693A">
      <w:pPr>
        <w:pStyle w:val="ListParagraph"/>
        <w:numPr>
          <w:ilvl w:val="0"/>
          <w:numId w:val="17"/>
        </w:numPr>
        <w:spacing w:after="80"/>
        <w:ind w:left="425" w:hanging="357"/>
        <w:contextualSpacing w:val="0"/>
        <w:rPr>
          <w:rFonts w:ascii="Segoe UI" w:hAnsi="Segoe UI" w:cs="Segoe UI"/>
        </w:rPr>
      </w:pPr>
      <w:r w:rsidRPr="000C1071">
        <w:rPr>
          <w:rFonts w:ascii="Segoe UI" w:hAnsi="Segoe UI" w:cs="Segoe UI"/>
        </w:rPr>
        <w:t>develop and implement an issues register for the MRFF</w:t>
      </w:r>
    </w:p>
    <w:p w14:paraId="0A0C2574" w14:textId="4C8C6232" w:rsidR="000E6976" w:rsidRPr="000C1071" w:rsidRDefault="000E6976" w:rsidP="00B7693A">
      <w:pPr>
        <w:pStyle w:val="ListParagraph"/>
        <w:numPr>
          <w:ilvl w:val="0"/>
          <w:numId w:val="17"/>
        </w:numPr>
        <w:spacing w:after="80"/>
        <w:ind w:left="425" w:hanging="357"/>
        <w:contextualSpacing w:val="0"/>
        <w:rPr>
          <w:rFonts w:ascii="Segoe UI" w:hAnsi="Segoe UI" w:cs="Segoe UI"/>
        </w:rPr>
      </w:pPr>
      <w:r w:rsidRPr="000C1071">
        <w:rPr>
          <w:rFonts w:ascii="Segoe UI" w:hAnsi="Segoe UI" w:cs="Segoe UI"/>
        </w:rPr>
        <w:t xml:space="preserve">review the </w:t>
      </w:r>
      <w:r w:rsidRPr="000C1071">
        <w:rPr>
          <w:rFonts w:ascii="Segoe UI" w:hAnsi="Segoe UI" w:cs="Segoe UI"/>
          <w:i/>
          <w:iCs/>
        </w:rPr>
        <w:t>MRFF Declaration of Interest Policy Statement and Guidelines</w:t>
      </w:r>
      <w:r w:rsidRPr="000C1071">
        <w:rPr>
          <w:rFonts w:ascii="Segoe UI" w:hAnsi="Segoe UI" w:cs="Segoe UI"/>
        </w:rPr>
        <w:t xml:space="preserve"> for members of AMRAB and expert advisory panels to include reference to the </w:t>
      </w:r>
      <w:r w:rsidRPr="000C1071">
        <w:rPr>
          <w:rFonts w:ascii="Segoe UI" w:hAnsi="Segoe UI" w:cs="Segoe UI"/>
          <w:i/>
          <w:iCs/>
        </w:rPr>
        <w:t>MRFF Act</w:t>
      </w:r>
    </w:p>
    <w:p w14:paraId="7024EA49" w14:textId="623DEABE" w:rsidR="00324B33" w:rsidRPr="000C1071" w:rsidRDefault="000E6976" w:rsidP="00B7693A">
      <w:pPr>
        <w:pStyle w:val="ListParagraph"/>
        <w:numPr>
          <w:ilvl w:val="0"/>
          <w:numId w:val="17"/>
        </w:numPr>
        <w:spacing w:after="240"/>
        <w:ind w:left="425" w:hanging="357"/>
        <w:contextualSpacing w:val="0"/>
        <w:rPr>
          <w:rFonts w:ascii="Segoe UI" w:hAnsi="Segoe UI" w:cs="Segoe UI"/>
        </w:rPr>
      </w:pPr>
      <w:r w:rsidRPr="000C1071">
        <w:rPr>
          <w:rFonts w:ascii="Segoe UI" w:hAnsi="Segoe UI" w:cs="Segoe UI"/>
        </w:rPr>
        <w:t>publish information on the conflicts that have been declared by AMRAB and EAP members and how they have been handled.</w:t>
      </w:r>
    </w:p>
    <w:p w14:paraId="17E4D7B9" w14:textId="2797A51A" w:rsidR="00316915" w:rsidRPr="000C1071" w:rsidRDefault="00316915" w:rsidP="00316915">
      <w:pPr>
        <w:rPr>
          <w:rFonts w:ascii="Segoe UI" w:eastAsia="Times New Roman" w:hAnsi="Segoe UI" w:cs="Segoe UI"/>
          <w:b/>
          <w:bCs/>
          <w:color w:val="313131"/>
          <w:sz w:val="36"/>
          <w:szCs w:val="36"/>
          <w:lang w:eastAsia="en-AU"/>
        </w:rPr>
      </w:pPr>
      <w:r w:rsidRPr="000C1071">
        <w:rPr>
          <w:rFonts w:ascii="Segoe UI" w:eastAsia="Times New Roman" w:hAnsi="Segoe UI" w:cs="Segoe UI"/>
          <w:b/>
          <w:bCs/>
          <w:color w:val="313131"/>
          <w:sz w:val="36"/>
          <w:szCs w:val="36"/>
          <w:lang w:eastAsia="en-AU"/>
        </w:rPr>
        <w:lastRenderedPageBreak/>
        <w:t>What else does the report say?</w:t>
      </w:r>
    </w:p>
    <w:p w14:paraId="00BE019C" w14:textId="2AD892DC" w:rsidR="00316915" w:rsidRPr="000C1071" w:rsidRDefault="00B7693A" w:rsidP="00316915">
      <w:pPr>
        <w:rPr>
          <w:rFonts w:ascii="Segoe UI" w:hAnsi="Segoe UI" w:cs="Segoe UI"/>
        </w:rPr>
      </w:pPr>
      <w:r w:rsidRPr="000C1071">
        <w:rPr>
          <w:rFonts w:ascii="Segoe UI" w:hAnsi="Segoe UI" w:cs="Segoe UI"/>
        </w:rPr>
        <w:t xml:space="preserve">The </w:t>
      </w:r>
      <w:r w:rsidR="00140212" w:rsidRPr="000C1071">
        <w:rPr>
          <w:rFonts w:ascii="Segoe UI" w:hAnsi="Segoe UI" w:cs="Segoe UI"/>
        </w:rPr>
        <w:t>report acknowledge</w:t>
      </w:r>
      <w:r w:rsidR="00D17661">
        <w:rPr>
          <w:rFonts w:ascii="Segoe UI" w:hAnsi="Segoe UI" w:cs="Segoe UI"/>
        </w:rPr>
        <w:t>s</w:t>
      </w:r>
      <w:r w:rsidR="00140212" w:rsidRPr="000C1071">
        <w:rPr>
          <w:rFonts w:ascii="Segoe UI" w:hAnsi="Segoe UI" w:cs="Segoe UI"/>
        </w:rPr>
        <w:t xml:space="preserve"> that </w:t>
      </w:r>
      <w:r w:rsidR="00D17661">
        <w:rPr>
          <w:rFonts w:ascii="Segoe UI" w:hAnsi="Segoe UI" w:cs="Segoe UI"/>
        </w:rPr>
        <w:t>Health</w:t>
      </w:r>
      <w:r w:rsidRPr="000C1071">
        <w:rPr>
          <w:rFonts w:ascii="Segoe UI" w:hAnsi="Segoe UI" w:cs="Segoe UI"/>
        </w:rPr>
        <w:t xml:space="preserve"> </w:t>
      </w:r>
      <w:r w:rsidR="00316915" w:rsidRPr="000C1071">
        <w:rPr>
          <w:rFonts w:ascii="Segoe UI" w:hAnsi="Segoe UI" w:cs="Segoe UI"/>
        </w:rPr>
        <w:t xml:space="preserve">focuses on gaps in existing investments, research gaps, </w:t>
      </w:r>
      <w:r w:rsidR="004B301E" w:rsidRPr="000C1071">
        <w:rPr>
          <w:rFonts w:ascii="Segoe UI" w:hAnsi="Segoe UI" w:cs="Segoe UI"/>
        </w:rPr>
        <w:t xml:space="preserve">and </w:t>
      </w:r>
      <w:r w:rsidR="00316915" w:rsidRPr="000C1071">
        <w:rPr>
          <w:rFonts w:ascii="Segoe UI" w:hAnsi="Segoe UI" w:cs="Segoe UI"/>
        </w:rPr>
        <w:t>areas of unmet need</w:t>
      </w:r>
      <w:r w:rsidR="004B301E" w:rsidRPr="000C1071">
        <w:rPr>
          <w:rFonts w:ascii="Segoe UI" w:hAnsi="Segoe UI" w:cs="Segoe UI"/>
        </w:rPr>
        <w:t>,</w:t>
      </w:r>
      <w:r w:rsidR="00316915" w:rsidRPr="000C1071">
        <w:rPr>
          <w:rFonts w:ascii="Segoe UI" w:hAnsi="Segoe UI" w:cs="Segoe UI"/>
        </w:rPr>
        <w:t xml:space="preserve"> and consider</w:t>
      </w:r>
      <w:r w:rsidR="004B301E" w:rsidRPr="000C1071">
        <w:rPr>
          <w:rFonts w:ascii="Segoe UI" w:hAnsi="Segoe UI" w:cs="Segoe UI"/>
        </w:rPr>
        <w:t>s</w:t>
      </w:r>
      <w:r w:rsidR="00316915" w:rsidRPr="000C1071">
        <w:rPr>
          <w:rFonts w:ascii="Segoe UI" w:hAnsi="Segoe UI" w:cs="Segoe UI"/>
        </w:rPr>
        <w:t xml:space="preserve"> potential capacity within the sector when establishing the objectives and scope of </w:t>
      </w:r>
      <w:r w:rsidR="00D17661">
        <w:rPr>
          <w:rFonts w:ascii="Segoe UI" w:hAnsi="Segoe UI" w:cs="Segoe UI"/>
        </w:rPr>
        <w:t xml:space="preserve">MRFF </w:t>
      </w:r>
      <w:r w:rsidR="00316915" w:rsidRPr="000C1071">
        <w:rPr>
          <w:rFonts w:ascii="Segoe UI" w:hAnsi="Segoe UI" w:cs="Segoe UI"/>
        </w:rPr>
        <w:t>grant opportunities.</w:t>
      </w:r>
    </w:p>
    <w:p w14:paraId="28347E5F" w14:textId="2370AEF9" w:rsidR="00EF4D7D" w:rsidRPr="000C1071" w:rsidRDefault="00316915" w:rsidP="00AF2B89">
      <w:pPr>
        <w:rPr>
          <w:rFonts w:ascii="Segoe UI" w:hAnsi="Segoe UI" w:cs="Segoe UI"/>
        </w:rPr>
      </w:pPr>
      <w:r w:rsidRPr="000C1071">
        <w:rPr>
          <w:rFonts w:ascii="Segoe UI" w:hAnsi="Segoe UI" w:cs="Segoe UI"/>
        </w:rPr>
        <w:t>The Department acknowledges concerns from the sector</w:t>
      </w:r>
      <w:r w:rsidR="007324F1" w:rsidRPr="000C1071">
        <w:rPr>
          <w:rFonts w:ascii="Segoe UI" w:hAnsi="Segoe UI" w:cs="Segoe UI"/>
        </w:rPr>
        <w:t xml:space="preserve"> outlined in the report</w:t>
      </w:r>
      <w:r w:rsidRPr="000C1071">
        <w:rPr>
          <w:rFonts w:ascii="Segoe UI" w:hAnsi="Segoe UI" w:cs="Segoe UI"/>
        </w:rPr>
        <w:t xml:space="preserve"> regarding MRFF grant opportunities and is actively considering strategies to communicate prospective MRFF funding priorities</w:t>
      </w:r>
      <w:r w:rsidR="00A413B2" w:rsidRPr="000C1071">
        <w:rPr>
          <w:rFonts w:ascii="Segoe UI" w:hAnsi="Segoe UI" w:cs="Segoe UI"/>
        </w:rPr>
        <w:t xml:space="preserve"> regularly and broadly</w:t>
      </w:r>
      <w:r w:rsidR="00796118">
        <w:rPr>
          <w:rFonts w:ascii="Segoe UI" w:hAnsi="Segoe UI" w:cs="Segoe UI"/>
        </w:rPr>
        <w:t>.</w:t>
      </w:r>
    </w:p>
    <w:p w14:paraId="49E27E0E" w14:textId="725160B2" w:rsidR="00EF4D7D" w:rsidRPr="000C1071" w:rsidRDefault="00316915" w:rsidP="00AF2B89">
      <w:pPr>
        <w:rPr>
          <w:rFonts w:ascii="Segoe UI" w:hAnsi="Segoe UI" w:cs="Segoe UI"/>
        </w:rPr>
      </w:pPr>
      <w:r w:rsidRPr="000C1071">
        <w:rPr>
          <w:rFonts w:ascii="Segoe UI" w:hAnsi="Segoe UI" w:cs="Segoe UI"/>
        </w:rPr>
        <w:t>The Department also acknowledges the sector</w:t>
      </w:r>
      <w:r w:rsidR="007324F1" w:rsidRPr="000C1071">
        <w:rPr>
          <w:rFonts w:ascii="Segoe UI" w:hAnsi="Segoe UI" w:cs="Segoe UI"/>
        </w:rPr>
        <w:t>’s preference, as</w:t>
      </w:r>
      <w:r w:rsidRPr="000C1071">
        <w:rPr>
          <w:rFonts w:ascii="Segoe UI" w:hAnsi="Segoe UI" w:cs="Segoe UI"/>
        </w:rPr>
        <w:t xml:space="preserve"> </w:t>
      </w:r>
      <w:r w:rsidR="007324F1" w:rsidRPr="000C1071">
        <w:rPr>
          <w:rFonts w:ascii="Segoe UI" w:hAnsi="Segoe UI" w:cs="Segoe UI"/>
        </w:rPr>
        <w:t>outlined in the report,</w:t>
      </w:r>
      <w:r w:rsidRPr="000C1071">
        <w:rPr>
          <w:rFonts w:ascii="Segoe UI" w:hAnsi="Segoe UI" w:cs="Segoe UI"/>
        </w:rPr>
        <w:t xml:space="preserve"> for grants to be spread more evenly throughout the year and for longer </w:t>
      </w:r>
      <w:r w:rsidR="00140212" w:rsidRPr="000C1071">
        <w:rPr>
          <w:rFonts w:ascii="Segoe UI" w:hAnsi="Segoe UI" w:cs="Segoe UI"/>
        </w:rPr>
        <w:t>periods</w:t>
      </w:r>
      <w:r w:rsidRPr="000C1071">
        <w:rPr>
          <w:rFonts w:ascii="Segoe UI" w:hAnsi="Segoe UI" w:cs="Segoe UI"/>
        </w:rPr>
        <w:t xml:space="preserve"> to </w:t>
      </w:r>
      <w:r w:rsidR="00D07E21" w:rsidRPr="000C1071">
        <w:rPr>
          <w:rFonts w:ascii="Segoe UI" w:hAnsi="Segoe UI" w:cs="Segoe UI"/>
        </w:rPr>
        <w:t xml:space="preserve">prepare </w:t>
      </w:r>
      <w:r w:rsidRPr="000C1071">
        <w:rPr>
          <w:rFonts w:ascii="Segoe UI" w:hAnsi="Segoe UI" w:cs="Segoe UI"/>
        </w:rPr>
        <w:t xml:space="preserve">applications. The </w:t>
      </w:r>
      <w:r w:rsidR="00EF4D7D" w:rsidRPr="000C1071">
        <w:rPr>
          <w:rFonts w:ascii="Segoe UI" w:hAnsi="Segoe UI" w:cs="Segoe UI"/>
        </w:rPr>
        <w:t xml:space="preserve">Department </w:t>
      </w:r>
      <w:r w:rsidRPr="000C1071">
        <w:rPr>
          <w:rFonts w:ascii="Segoe UI" w:hAnsi="Segoe UI" w:cs="Segoe UI"/>
        </w:rPr>
        <w:t>continually reviews and takes into account a range of considerations impacting the sector when scheduling grant opportunities, including limiting overlap with traditional conference periods, school holidays, Christmas/New Year break and key funding periods of counterpart agencies (ARC and NHMRC).</w:t>
      </w:r>
    </w:p>
    <w:p w14:paraId="73A07542" w14:textId="26250528" w:rsidR="00316915" w:rsidRPr="000C1071" w:rsidRDefault="00316915" w:rsidP="00AF2B89">
      <w:pPr>
        <w:rPr>
          <w:rFonts w:ascii="Segoe UI" w:hAnsi="Segoe UI" w:cs="Segoe UI"/>
        </w:rPr>
      </w:pPr>
      <w:r w:rsidRPr="000C1071">
        <w:rPr>
          <w:rFonts w:ascii="Segoe UI" w:hAnsi="Segoe UI" w:cs="Segoe UI"/>
        </w:rPr>
        <w:t xml:space="preserve">The </w:t>
      </w:r>
      <w:r w:rsidR="00EF4D7D" w:rsidRPr="000C1071">
        <w:rPr>
          <w:rFonts w:ascii="Segoe UI" w:hAnsi="Segoe UI" w:cs="Segoe UI"/>
        </w:rPr>
        <w:t xml:space="preserve">Department </w:t>
      </w:r>
      <w:r w:rsidRPr="000C1071">
        <w:rPr>
          <w:rFonts w:ascii="Segoe UI" w:hAnsi="Segoe UI" w:cs="Segoe UI"/>
        </w:rPr>
        <w:t>endeavours to provide applicants with as much time as possible to plan and prepare applications, while balancing the sector's desire for expedient funding processes and financial year timeframes</w:t>
      </w:r>
      <w:r w:rsidR="00140212" w:rsidRPr="000C1071">
        <w:rPr>
          <w:rFonts w:ascii="Segoe UI" w:hAnsi="Segoe UI" w:cs="Segoe UI"/>
        </w:rPr>
        <w:t>. The Department</w:t>
      </w:r>
      <w:r w:rsidRPr="000C1071">
        <w:rPr>
          <w:rFonts w:ascii="Segoe UI" w:hAnsi="Segoe UI" w:cs="Segoe UI"/>
        </w:rPr>
        <w:t xml:space="preserve"> will </w:t>
      </w:r>
      <w:r w:rsidR="004B301E" w:rsidRPr="000C1071">
        <w:rPr>
          <w:rFonts w:ascii="Segoe UI" w:hAnsi="Segoe UI" w:cs="Segoe UI"/>
        </w:rPr>
        <w:t xml:space="preserve">continue </w:t>
      </w:r>
      <w:r w:rsidRPr="000C1071">
        <w:rPr>
          <w:rFonts w:ascii="Segoe UI" w:hAnsi="Segoe UI" w:cs="Segoe UI"/>
        </w:rPr>
        <w:t>work</w:t>
      </w:r>
      <w:r w:rsidR="004B301E" w:rsidRPr="000C1071">
        <w:rPr>
          <w:rFonts w:ascii="Segoe UI" w:hAnsi="Segoe UI" w:cs="Segoe UI"/>
        </w:rPr>
        <w:t>ing</w:t>
      </w:r>
      <w:r w:rsidRPr="000C1071">
        <w:rPr>
          <w:rFonts w:ascii="Segoe UI" w:hAnsi="Segoe UI" w:cs="Segoe UI"/>
        </w:rPr>
        <w:t xml:space="preserve"> with stakeholders to optimise the timing of its funding rounds</w:t>
      </w:r>
      <w:r w:rsidR="00D17661">
        <w:rPr>
          <w:rFonts w:ascii="Segoe UI" w:hAnsi="Segoe UI" w:cs="Segoe UI"/>
        </w:rPr>
        <w:t>,</w:t>
      </w:r>
      <w:r w:rsidR="00D17661" w:rsidRPr="00D17661">
        <w:rPr>
          <w:rFonts w:ascii="Segoe UI" w:hAnsi="Segoe UI" w:cs="Segoe UI"/>
        </w:rPr>
        <w:t xml:space="preserve"> </w:t>
      </w:r>
      <w:r w:rsidR="00D17661">
        <w:rPr>
          <w:rFonts w:ascii="Segoe UI" w:hAnsi="Segoe UI" w:cs="Segoe UI"/>
        </w:rPr>
        <w:t>noting</w:t>
      </w:r>
      <w:r w:rsidR="00D17661" w:rsidRPr="000C1071">
        <w:rPr>
          <w:rFonts w:ascii="Segoe UI" w:hAnsi="Segoe UI" w:cs="Segoe UI"/>
        </w:rPr>
        <w:t xml:space="preserve"> that responses to emerging health issues may necessitate short</w:t>
      </w:r>
      <w:r w:rsidR="00D17661">
        <w:rPr>
          <w:rFonts w:ascii="Segoe UI" w:hAnsi="Segoe UI" w:cs="Segoe UI"/>
        </w:rPr>
        <w:t>er</w:t>
      </w:r>
      <w:r w:rsidR="00D17661" w:rsidRPr="000C1071">
        <w:rPr>
          <w:rFonts w:ascii="Segoe UI" w:hAnsi="Segoe UI" w:cs="Segoe UI"/>
        </w:rPr>
        <w:t xml:space="preserve"> timeframes</w:t>
      </w:r>
      <w:r w:rsidRPr="000C1071">
        <w:rPr>
          <w:rFonts w:ascii="Segoe UI" w:hAnsi="Segoe UI" w:cs="Segoe UI"/>
        </w:rPr>
        <w:t>.</w:t>
      </w:r>
    </w:p>
    <w:p w14:paraId="4A39A43D" w14:textId="23C2353D" w:rsidR="00650453" w:rsidRPr="000C1071" w:rsidRDefault="007324F1" w:rsidP="00AF2B89">
      <w:pPr>
        <w:rPr>
          <w:rFonts w:ascii="Segoe UI" w:hAnsi="Segoe UI" w:cs="Segoe UI"/>
        </w:rPr>
      </w:pPr>
      <w:r w:rsidRPr="000C1071">
        <w:rPr>
          <w:rFonts w:ascii="Segoe UI" w:hAnsi="Segoe UI" w:cs="Segoe UI"/>
        </w:rPr>
        <w:t>S</w:t>
      </w:r>
      <w:r w:rsidR="00650453" w:rsidRPr="000C1071">
        <w:rPr>
          <w:rFonts w:ascii="Segoe UI" w:hAnsi="Segoe UI" w:cs="Segoe UI"/>
        </w:rPr>
        <w:t>ome submissions received by the ANAO expressed dissatisfaction with the level of feedback provided to unsuccessful applicants and a desire for constructive feedback that would assist with future grant applications</w:t>
      </w:r>
      <w:r w:rsidRPr="000C1071">
        <w:rPr>
          <w:rFonts w:ascii="Segoe UI" w:hAnsi="Segoe UI" w:cs="Segoe UI"/>
        </w:rPr>
        <w:t>. The Department</w:t>
      </w:r>
      <w:r w:rsidR="00650453" w:rsidRPr="000C1071">
        <w:rPr>
          <w:rFonts w:ascii="Segoe UI" w:hAnsi="Segoe UI" w:cs="Segoe UI"/>
        </w:rPr>
        <w:t xml:space="preserve"> will work with NHMRC and BGH </w:t>
      </w:r>
      <w:r w:rsidR="004B301E" w:rsidRPr="000C1071">
        <w:rPr>
          <w:rFonts w:ascii="Segoe UI" w:hAnsi="Segoe UI" w:cs="Segoe UI"/>
        </w:rPr>
        <w:t xml:space="preserve">on options for </w:t>
      </w:r>
      <w:r w:rsidR="00650453" w:rsidRPr="000C1071">
        <w:rPr>
          <w:rFonts w:ascii="Segoe UI" w:hAnsi="Segoe UI" w:cs="Segoe UI"/>
        </w:rPr>
        <w:t>standardise</w:t>
      </w:r>
      <w:r w:rsidR="004B301E" w:rsidRPr="000C1071">
        <w:rPr>
          <w:rFonts w:ascii="Segoe UI" w:hAnsi="Segoe UI" w:cs="Segoe UI"/>
        </w:rPr>
        <w:t>d</w:t>
      </w:r>
      <w:r w:rsidR="00650453" w:rsidRPr="000C1071">
        <w:rPr>
          <w:rFonts w:ascii="Segoe UI" w:hAnsi="Segoe UI" w:cs="Segoe UI"/>
        </w:rPr>
        <w:t xml:space="preserve"> feedback that </w:t>
      </w:r>
      <w:r w:rsidR="004B301E" w:rsidRPr="000C1071">
        <w:rPr>
          <w:rFonts w:ascii="Segoe UI" w:hAnsi="Segoe UI" w:cs="Segoe UI"/>
        </w:rPr>
        <w:t>could be</w:t>
      </w:r>
      <w:r w:rsidR="00650453" w:rsidRPr="000C1071">
        <w:rPr>
          <w:rFonts w:ascii="Segoe UI" w:hAnsi="Segoe UI" w:cs="Segoe UI"/>
        </w:rPr>
        <w:t xml:space="preserve"> provided to successful and </w:t>
      </w:r>
      <w:r w:rsidR="004B301E" w:rsidRPr="000C1071">
        <w:rPr>
          <w:rFonts w:ascii="Segoe UI" w:hAnsi="Segoe UI" w:cs="Segoe UI"/>
        </w:rPr>
        <w:t>un</w:t>
      </w:r>
      <w:r w:rsidR="00650453" w:rsidRPr="000C1071">
        <w:rPr>
          <w:rFonts w:ascii="Segoe UI" w:hAnsi="Segoe UI" w:cs="Segoe UI"/>
        </w:rPr>
        <w:t>successful applicants.</w:t>
      </w:r>
    </w:p>
    <w:p w14:paraId="047F89FF" w14:textId="670F06C6" w:rsidR="00316915" w:rsidRPr="000C1071" w:rsidRDefault="00316915" w:rsidP="00C55E3C">
      <w:pPr>
        <w:rPr>
          <w:rFonts w:ascii="Segoe UI" w:hAnsi="Segoe UI" w:cs="Segoe UI"/>
        </w:rPr>
      </w:pPr>
      <w:r w:rsidRPr="000C1071">
        <w:rPr>
          <w:rFonts w:ascii="Segoe UI" w:hAnsi="Segoe UI" w:cs="Segoe UI"/>
        </w:rPr>
        <w:t xml:space="preserve">The </w:t>
      </w:r>
      <w:r w:rsidR="00EF4D7D" w:rsidRPr="000C1071">
        <w:rPr>
          <w:rFonts w:ascii="Segoe UI" w:hAnsi="Segoe UI" w:cs="Segoe UI"/>
        </w:rPr>
        <w:t xml:space="preserve">Department </w:t>
      </w:r>
      <w:r w:rsidRPr="000C1071">
        <w:rPr>
          <w:rFonts w:ascii="Segoe UI" w:hAnsi="Segoe UI" w:cs="Segoe UI"/>
        </w:rPr>
        <w:t xml:space="preserve">is grateful for ANAO's acknowledgement of </w:t>
      </w:r>
      <w:r w:rsidR="0073667E">
        <w:rPr>
          <w:rFonts w:ascii="Segoe UI" w:hAnsi="Segoe UI" w:cs="Segoe UI"/>
        </w:rPr>
        <w:t>its</w:t>
      </w:r>
      <w:r w:rsidRPr="000C1071">
        <w:rPr>
          <w:rFonts w:ascii="Segoe UI" w:hAnsi="Segoe UI" w:cs="Segoe UI"/>
        </w:rPr>
        <w:t xml:space="preserve"> efforts to continually improve operation of the program, and engage and consult with the sector to foster greater coordination across government, increased transparency of funding decisions, and increased efficiency of grant design and delivery strategies.</w:t>
      </w:r>
    </w:p>
    <w:p w14:paraId="103BF736" w14:textId="67879DEB" w:rsidR="00650453" w:rsidRPr="000C1071" w:rsidRDefault="00650453" w:rsidP="00C55E3C">
      <w:pPr>
        <w:rPr>
          <w:rFonts w:ascii="Segoe UI" w:hAnsi="Segoe UI" w:cs="Segoe UI"/>
        </w:rPr>
      </w:pPr>
    </w:p>
    <w:p w14:paraId="58C22F44" w14:textId="77777777" w:rsidR="00650453" w:rsidRPr="000C1071" w:rsidRDefault="00650453" w:rsidP="00C55E3C">
      <w:pPr>
        <w:rPr>
          <w:rFonts w:ascii="Segoe UI" w:hAnsi="Segoe UI" w:cs="Segoe UI"/>
        </w:rPr>
      </w:pPr>
    </w:p>
    <w:sectPr w:rsidR="00650453" w:rsidRPr="000C1071" w:rsidSect="001E0001">
      <w:footerReference w:type="default" r:id="rId11"/>
      <w:headerReference w:type="first" r:id="rId12"/>
      <w:footerReference w:type="first" r:id="rId13"/>
      <w:pgSz w:w="11906" w:h="16838"/>
      <w:pgMar w:top="1276" w:right="991" w:bottom="993" w:left="1134" w:header="284" w:footer="290" w:gutter="0"/>
      <w:pgBorders w:offsetFrom="page">
        <w:top w:val="single" w:sz="12" w:space="20" w:color="767171" w:themeColor="background2" w:themeShade="80"/>
        <w:left w:val="single" w:sz="12" w:space="20" w:color="767171" w:themeColor="background2" w:themeShade="80"/>
        <w:bottom w:val="single" w:sz="12" w:space="20" w:color="767171" w:themeColor="background2" w:themeShade="80"/>
        <w:right w:val="single" w:sz="12" w:space="20" w:color="767171" w:themeColor="background2"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9A58D" w14:textId="77777777" w:rsidR="00FB02A8" w:rsidRDefault="00FB02A8" w:rsidP="001A2B1F">
      <w:pPr>
        <w:spacing w:after="0" w:line="240" w:lineRule="auto"/>
      </w:pPr>
      <w:r>
        <w:separator/>
      </w:r>
    </w:p>
  </w:endnote>
  <w:endnote w:type="continuationSeparator" w:id="0">
    <w:p w14:paraId="4AF4C419" w14:textId="77777777" w:rsidR="00FB02A8" w:rsidRDefault="00FB02A8" w:rsidP="001A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GothicURWBo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091672"/>
      <w:docPartObj>
        <w:docPartGallery w:val="Page Numbers (Bottom of Page)"/>
        <w:docPartUnique/>
      </w:docPartObj>
    </w:sdtPr>
    <w:sdtEndPr>
      <w:rPr>
        <w:noProof/>
      </w:rPr>
    </w:sdtEndPr>
    <w:sdtContent>
      <w:p w14:paraId="361A7BB7" w14:textId="21625645" w:rsidR="001E0001" w:rsidRDefault="001E0001">
        <w:pPr>
          <w:pStyle w:val="Footer"/>
          <w:jc w:val="right"/>
        </w:pPr>
        <w:r>
          <w:fldChar w:fldCharType="begin"/>
        </w:r>
        <w:r>
          <w:instrText xml:space="preserve"> PAGE   \* MERGEFORMAT </w:instrText>
        </w:r>
        <w:r>
          <w:fldChar w:fldCharType="separate"/>
        </w:r>
        <w:r w:rsidR="00D53A2B">
          <w:rPr>
            <w:noProof/>
          </w:rPr>
          <w:t>3</w:t>
        </w:r>
        <w:r>
          <w:rPr>
            <w:noProof/>
          </w:rPr>
          <w:fldChar w:fldCharType="end"/>
        </w:r>
      </w:p>
    </w:sdtContent>
  </w:sdt>
  <w:p w14:paraId="17D3B7A5" w14:textId="77777777" w:rsidR="001E0001" w:rsidRDefault="001E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672523"/>
      <w:docPartObj>
        <w:docPartGallery w:val="Page Numbers (Bottom of Page)"/>
        <w:docPartUnique/>
      </w:docPartObj>
    </w:sdtPr>
    <w:sdtEndPr>
      <w:rPr>
        <w:rFonts w:ascii="Segoe UI" w:hAnsi="Segoe UI" w:cs="Segoe UI"/>
        <w:noProof/>
      </w:rPr>
    </w:sdtEndPr>
    <w:sdtContent>
      <w:p w14:paraId="4845CC76" w14:textId="771D04C7" w:rsidR="001E0001" w:rsidRDefault="001E0001">
        <w:pPr>
          <w:pStyle w:val="Footer"/>
          <w:jc w:val="right"/>
        </w:pPr>
        <w:r>
          <w:fldChar w:fldCharType="begin"/>
        </w:r>
        <w:r>
          <w:instrText xml:space="preserve"> PAGE   \* MERGEFORMAT </w:instrText>
        </w:r>
        <w:r>
          <w:fldChar w:fldCharType="separate"/>
        </w:r>
        <w:r w:rsidR="00D53A2B">
          <w:rPr>
            <w:noProof/>
          </w:rPr>
          <w:t>1</w:t>
        </w:r>
        <w:r>
          <w:rPr>
            <w:noProof/>
          </w:rPr>
          <w:fldChar w:fldCharType="end"/>
        </w:r>
      </w:p>
    </w:sdtContent>
  </w:sdt>
  <w:p w14:paraId="2CBED56F" w14:textId="77777777" w:rsidR="001E0001" w:rsidRDefault="001E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7DA01" w14:textId="77777777" w:rsidR="00FB02A8" w:rsidRDefault="00FB02A8" w:rsidP="001A2B1F">
      <w:pPr>
        <w:spacing w:after="0" w:line="240" w:lineRule="auto"/>
      </w:pPr>
      <w:r>
        <w:separator/>
      </w:r>
    </w:p>
  </w:footnote>
  <w:footnote w:type="continuationSeparator" w:id="0">
    <w:p w14:paraId="6ED9A366" w14:textId="77777777" w:rsidR="00FB02A8" w:rsidRDefault="00FB02A8" w:rsidP="001A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BF319" w14:textId="4B7DDEC8" w:rsidR="0015134B" w:rsidRDefault="002F1AD8">
    <w:pPr>
      <w:pStyle w:val="Header"/>
    </w:pPr>
    <w:r w:rsidRPr="00311318">
      <w:rPr>
        <w:noProof/>
        <w:lang w:eastAsia="en-AU"/>
      </w:rPr>
      <w:drawing>
        <wp:inline distT="0" distB="0" distL="0" distR="0" wp14:anchorId="36D86F0E" wp14:editId="73BFC6E3">
          <wp:extent cx="5731510" cy="1497330"/>
          <wp:effectExtent l="0" t="0" r="2540" b="7620"/>
          <wp:docPr id="43" name="Picture 43" descr="MRFF logo" title="MRF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97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37C"/>
    <w:multiLevelType w:val="hybridMultilevel"/>
    <w:tmpl w:val="04C07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86C15"/>
    <w:multiLevelType w:val="hybridMultilevel"/>
    <w:tmpl w:val="5A48E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B47B85"/>
    <w:multiLevelType w:val="hybridMultilevel"/>
    <w:tmpl w:val="C4360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4AEE"/>
    <w:multiLevelType w:val="hybridMultilevel"/>
    <w:tmpl w:val="B6B4BB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F87DE2"/>
    <w:multiLevelType w:val="hybridMultilevel"/>
    <w:tmpl w:val="2CDC62F4"/>
    <w:lvl w:ilvl="0" w:tplc="1AFCBF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82C4C"/>
    <w:multiLevelType w:val="hybridMultilevel"/>
    <w:tmpl w:val="30D0E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07A592"/>
    <w:multiLevelType w:val="hybridMultilevel"/>
    <w:tmpl w:val="3071F6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723552"/>
    <w:multiLevelType w:val="hybridMultilevel"/>
    <w:tmpl w:val="A868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2421C8"/>
    <w:multiLevelType w:val="hybridMultilevel"/>
    <w:tmpl w:val="411EAA4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CB2B82"/>
    <w:multiLevelType w:val="hybridMultilevel"/>
    <w:tmpl w:val="A8D6B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F12F35"/>
    <w:multiLevelType w:val="hybridMultilevel"/>
    <w:tmpl w:val="AEAA2600"/>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775CAD"/>
    <w:multiLevelType w:val="hybridMultilevel"/>
    <w:tmpl w:val="5E0C6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511CAF"/>
    <w:multiLevelType w:val="hybridMultilevel"/>
    <w:tmpl w:val="C5B8D3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857972"/>
    <w:multiLevelType w:val="hybridMultilevel"/>
    <w:tmpl w:val="501E15BA"/>
    <w:lvl w:ilvl="0" w:tplc="0C09000F">
      <w:start w:val="1"/>
      <w:numFmt w:val="decimal"/>
      <w:lvlText w:val="%1."/>
      <w:lvlJc w:val="left"/>
      <w:pPr>
        <w:ind w:left="720" w:hanging="360"/>
      </w:pPr>
      <w:rPr>
        <w:rFont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83022F"/>
    <w:multiLevelType w:val="hybridMultilevel"/>
    <w:tmpl w:val="DBCEF01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DE780E"/>
    <w:multiLevelType w:val="hybridMultilevel"/>
    <w:tmpl w:val="16528C62"/>
    <w:lvl w:ilvl="0" w:tplc="EE048FC6">
      <w:numFmt w:val="bullet"/>
      <w:lvlText w:val="-"/>
      <w:lvlJc w:val="left"/>
      <w:pPr>
        <w:ind w:left="1080" w:hanging="72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5D2365"/>
    <w:multiLevelType w:val="hybridMultilevel"/>
    <w:tmpl w:val="263C3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027A2C"/>
    <w:multiLevelType w:val="hybridMultilevel"/>
    <w:tmpl w:val="C658AEC6"/>
    <w:lvl w:ilvl="0" w:tplc="4D367812">
      <w:start w:val="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426E55"/>
    <w:multiLevelType w:val="hybridMultilevel"/>
    <w:tmpl w:val="013EF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1D5E69"/>
    <w:multiLevelType w:val="hybridMultilevel"/>
    <w:tmpl w:val="36B87764"/>
    <w:lvl w:ilvl="0" w:tplc="FB42A33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9F70273"/>
    <w:multiLevelType w:val="hybridMultilevel"/>
    <w:tmpl w:val="5D0E5BFC"/>
    <w:lvl w:ilvl="0" w:tplc="0C09000F">
      <w:start w:val="1"/>
      <w:numFmt w:val="decimal"/>
      <w:lvlText w:val="%1."/>
      <w:lvlJc w:val="left"/>
      <w:pPr>
        <w:ind w:left="720" w:hanging="360"/>
      </w:pPr>
      <w:rPr>
        <w:rFont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2C2649"/>
    <w:multiLevelType w:val="hybridMultilevel"/>
    <w:tmpl w:val="064E29D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E563B8"/>
    <w:multiLevelType w:val="hybridMultilevel"/>
    <w:tmpl w:val="9FE6C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7"/>
  </w:num>
  <w:num w:numId="6">
    <w:abstractNumId w:val="19"/>
  </w:num>
  <w:num w:numId="7">
    <w:abstractNumId w:val="22"/>
  </w:num>
  <w:num w:numId="8">
    <w:abstractNumId w:val="11"/>
  </w:num>
  <w:num w:numId="9">
    <w:abstractNumId w:val="15"/>
  </w:num>
  <w:num w:numId="10">
    <w:abstractNumId w:val="16"/>
  </w:num>
  <w:num w:numId="11">
    <w:abstractNumId w:val="17"/>
  </w:num>
  <w:num w:numId="12">
    <w:abstractNumId w:val="21"/>
  </w:num>
  <w:num w:numId="13">
    <w:abstractNumId w:val="6"/>
  </w:num>
  <w:num w:numId="14">
    <w:abstractNumId w:val="18"/>
  </w:num>
  <w:num w:numId="15">
    <w:abstractNumId w:val="0"/>
  </w:num>
  <w:num w:numId="16">
    <w:abstractNumId w:val="3"/>
  </w:num>
  <w:num w:numId="17">
    <w:abstractNumId w:val="10"/>
  </w:num>
  <w:num w:numId="18">
    <w:abstractNumId w:val="12"/>
  </w:num>
  <w:num w:numId="19">
    <w:abstractNumId w:val="8"/>
  </w:num>
  <w:num w:numId="20">
    <w:abstractNumId w:val="9"/>
  </w:num>
  <w:num w:numId="21">
    <w:abstractNumId w:val="14"/>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1F"/>
    <w:rsid w:val="00003B4C"/>
    <w:rsid w:val="00024A25"/>
    <w:rsid w:val="000711CB"/>
    <w:rsid w:val="0008474F"/>
    <w:rsid w:val="00095ABF"/>
    <w:rsid w:val="00096E88"/>
    <w:rsid w:val="000B0ED0"/>
    <w:rsid w:val="000B1396"/>
    <w:rsid w:val="000C1071"/>
    <w:rsid w:val="000C38C6"/>
    <w:rsid w:val="000D5DED"/>
    <w:rsid w:val="000D710E"/>
    <w:rsid w:val="000E6976"/>
    <w:rsid w:val="000E7929"/>
    <w:rsid w:val="000F26FC"/>
    <w:rsid w:val="00132135"/>
    <w:rsid w:val="0013343A"/>
    <w:rsid w:val="00140212"/>
    <w:rsid w:val="001479D6"/>
    <w:rsid w:val="00150577"/>
    <w:rsid w:val="0015134B"/>
    <w:rsid w:val="00161018"/>
    <w:rsid w:val="00167ADB"/>
    <w:rsid w:val="00174655"/>
    <w:rsid w:val="0018146E"/>
    <w:rsid w:val="00184352"/>
    <w:rsid w:val="001A17ED"/>
    <w:rsid w:val="001A2B1F"/>
    <w:rsid w:val="001B347E"/>
    <w:rsid w:val="001C5CD9"/>
    <w:rsid w:val="001E0001"/>
    <w:rsid w:val="00200AFB"/>
    <w:rsid w:val="00206964"/>
    <w:rsid w:val="002108C5"/>
    <w:rsid w:val="00212B35"/>
    <w:rsid w:val="00213810"/>
    <w:rsid w:val="00245079"/>
    <w:rsid w:val="00255C98"/>
    <w:rsid w:val="0027356B"/>
    <w:rsid w:val="00280050"/>
    <w:rsid w:val="002801BA"/>
    <w:rsid w:val="00281C95"/>
    <w:rsid w:val="00282E70"/>
    <w:rsid w:val="002A5293"/>
    <w:rsid w:val="002A796D"/>
    <w:rsid w:val="002B27A8"/>
    <w:rsid w:val="002B303F"/>
    <w:rsid w:val="002C0B7B"/>
    <w:rsid w:val="002C3014"/>
    <w:rsid w:val="002C4439"/>
    <w:rsid w:val="002D42DF"/>
    <w:rsid w:val="002F1AD8"/>
    <w:rsid w:val="002F29CE"/>
    <w:rsid w:val="00304033"/>
    <w:rsid w:val="00316915"/>
    <w:rsid w:val="003238FC"/>
    <w:rsid w:val="00324B33"/>
    <w:rsid w:val="00325060"/>
    <w:rsid w:val="003404BC"/>
    <w:rsid w:val="00364FCC"/>
    <w:rsid w:val="003651A1"/>
    <w:rsid w:val="00387E0A"/>
    <w:rsid w:val="003C55FB"/>
    <w:rsid w:val="003D1157"/>
    <w:rsid w:val="0043251E"/>
    <w:rsid w:val="004510F5"/>
    <w:rsid w:val="0045648E"/>
    <w:rsid w:val="00456B0C"/>
    <w:rsid w:val="00486228"/>
    <w:rsid w:val="00492EA0"/>
    <w:rsid w:val="00495A3B"/>
    <w:rsid w:val="004B301E"/>
    <w:rsid w:val="004C15DD"/>
    <w:rsid w:val="004D658B"/>
    <w:rsid w:val="004E5269"/>
    <w:rsid w:val="004F40D4"/>
    <w:rsid w:val="00511A41"/>
    <w:rsid w:val="00522D43"/>
    <w:rsid w:val="00532339"/>
    <w:rsid w:val="00561348"/>
    <w:rsid w:val="0056607F"/>
    <w:rsid w:val="0058304E"/>
    <w:rsid w:val="005A35F7"/>
    <w:rsid w:val="005B1675"/>
    <w:rsid w:val="005C70D8"/>
    <w:rsid w:val="005E160E"/>
    <w:rsid w:val="005E7B1B"/>
    <w:rsid w:val="006116AE"/>
    <w:rsid w:val="006243D0"/>
    <w:rsid w:val="00626B1A"/>
    <w:rsid w:val="00650453"/>
    <w:rsid w:val="00670BF4"/>
    <w:rsid w:val="00670D03"/>
    <w:rsid w:val="006A167E"/>
    <w:rsid w:val="006E0809"/>
    <w:rsid w:val="007002C4"/>
    <w:rsid w:val="00712E97"/>
    <w:rsid w:val="00725DDF"/>
    <w:rsid w:val="00731125"/>
    <w:rsid w:val="007324F1"/>
    <w:rsid w:val="00734F42"/>
    <w:rsid w:val="007358F1"/>
    <w:rsid w:val="0073667E"/>
    <w:rsid w:val="00743D14"/>
    <w:rsid w:val="007724B6"/>
    <w:rsid w:val="00772DD1"/>
    <w:rsid w:val="00796118"/>
    <w:rsid w:val="007B5BE6"/>
    <w:rsid w:val="007D1259"/>
    <w:rsid w:val="007E04A0"/>
    <w:rsid w:val="007E17E6"/>
    <w:rsid w:val="007E2B43"/>
    <w:rsid w:val="007E373F"/>
    <w:rsid w:val="007F240B"/>
    <w:rsid w:val="007F2917"/>
    <w:rsid w:val="007F354D"/>
    <w:rsid w:val="00805E40"/>
    <w:rsid w:val="0080781C"/>
    <w:rsid w:val="00810D4B"/>
    <w:rsid w:val="008242EF"/>
    <w:rsid w:val="00824DFD"/>
    <w:rsid w:val="00833D6F"/>
    <w:rsid w:val="00844A15"/>
    <w:rsid w:val="008573B5"/>
    <w:rsid w:val="00882548"/>
    <w:rsid w:val="0089133B"/>
    <w:rsid w:val="008E676B"/>
    <w:rsid w:val="008F7B8A"/>
    <w:rsid w:val="008F7EA8"/>
    <w:rsid w:val="00901AAE"/>
    <w:rsid w:val="0090541B"/>
    <w:rsid w:val="00905B02"/>
    <w:rsid w:val="00914285"/>
    <w:rsid w:val="009165CE"/>
    <w:rsid w:val="0092099C"/>
    <w:rsid w:val="00930008"/>
    <w:rsid w:val="009321E5"/>
    <w:rsid w:val="0095440D"/>
    <w:rsid w:val="00975395"/>
    <w:rsid w:val="00980178"/>
    <w:rsid w:val="00981B52"/>
    <w:rsid w:val="00982A53"/>
    <w:rsid w:val="009963A2"/>
    <w:rsid w:val="00997F26"/>
    <w:rsid w:val="009A25D2"/>
    <w:rsid w:val="009B5451"/>
    <w:rsid w:val="009D1B09"/>
    <w:rsid w:val="009D6775"/>
    <w:rsid w:val="00A24ACC"/>
    <w:rsid w:val="00A250F2"/>
    <w:rsid w:val="00A413B2"/>
    <w:rsid w:val="00A7428B"/>
    <w:rsid w:val="00A854C3"/>
    <w:rsid w:val="00AA024E"/>
    <w:rsid w:val="00AD1015"/>
    <w:rsid w:val="00AD195C"/>
    <w:rsid w:val="00AD49BA"/>
    <w:rsid w:val="00AF2B89"/>
    <w:rsid w:val="00B562C7"/>
    <w:rsid w:val="00B57C74"/>
    <w:rsid w:val="00B7693A"/>
    <w:rsid w:val="00B85416"/>
    <w:rsid w:val="00BA1942"/>
    <w:rsid w:val="00BC171E"/>
    <w:rsid w:val="00BD2E8A"/>
    <w:rsid w:val="00BD449C"/>
    <w:rsid w:val="00BE3068"/>
    <w:rsid w:val="00BE4E12"/>
    <w:rsid w:val="00BE52E3"/>
    <w:rsid w:val="00BF2324"/>
    <w:rsid w:val="00BF374C"/>
    <w:rsid w:val="00BF400F"/>
    <w:rsid w:val="00BF7202"/>
    <w:rsid w:val="00C027B4"/>
    <w:rsid w:val="00C069F6"/>
    <w:rsid w:val="00C12529"/>
    <w:rsid w:val="00C22D14"/>
    <w:rsid w:val="00C3005B"/>
    <w:rsid w:val="00C33D27"/>
    <w:rsid w:val="00C44804"/>
    <w:rsid w:val="00C50087"/>
    <w:rsid w:val="00C55E3C"/>
    <w:rsid w:val="00C609CF"/>
    <w:rsid w:val="00C646B7"/>
    <w:rsid w:val="00C95048"/>
    <w:rsid w:val="00CB7131"/>
    <w:rsid w:val="00CD37D7"/>
    <w:rsid w:val="00CE6F1B"/>
    <w:rsid w:val="00CF134D"/>
    <w:rsid w:val="00CF7A6A"/>
    <w:rsid w:val="00CF7CA7"/>
    <w:rsid w:val="00D07E21"/>
    <w:rsid w:val="00D17661"/>
    <w:rsid w:val="00D24AE0"/>
    <w:rsid w:val="00D2695C"/>
    <w:rsid w:val="00D40822"/>
    <w:rsid w:val="00D535BC"/>
    <w:rsid w:val="00D53A2B"/>
    <w:rsid w:val="00D5678C"/>
    <w:rsid w:val="00D84F8A"/>
    <w:rsid w:val="00D85146"/>
    <w:rsid w:val="00D94FC6"/>
    <w:rsid w:val="00DB2A2C"/>
    <w:rsid w:val="00DD2639"/>
    <w:rsid w:val="00DD4231"/>
    <w:rsid w:val="00DD66E2"/>
    <w:rsid w:val="00E30B90"/>
    <w:rsid w:val="00E3642A"/>
    <w:rsid w:val="00E51596"/>
    <w:rsid w:val="00E81346"/>
    <w:rsid w:val="00E82220"/>
    <w:rsid w:val="00E86BF3"/>
    <w:rsid w:val="00E901FA"/>
    <w:rsid w:val="00E94826"/>
    <w:rsid w:val="00E94CC1"/>
    <w:rsid w:val="00E95FCF"/>
    <w:rsid w:val="00EB4004"/>
    <w:rsid w:val="00EB4C1B"/>
    <w:rsid w:val="00ED36BA"/>
    <w:rsid w:val="00EF4D7D"/>
    <w:rsid w:val="00F14D6C"/>
    <w:rsid w:val="00F170EE"/>
    <w:rsid w:val="00F325E3"/>
    <w:rsid w:val="00F37B68"/>
    <w:rsid w:val="00F6136D"/>
    <w:rsid w:val="00F642B8"/>
    <w:rsid w:val="00F7295A"/>
    <w:rsid w:val="00F9203A"/>
    <w:rsid w:val="00FA2FB0"/>
    <w:rsid w:val="00FA7571"/>
    <w:rsid w:val="00FB02A8"/>
    <w:rsid w:val="00FB1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4367A"/>
  <w15:chartTrackingRefBased/>
  <w15:docId w15:val="{AB521B2C-3877-43D0-B2E0-F706A4D6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B1F"/>
    <w:rPr>
      <w:rFonts w:asciiTheme="minorHAnsi" w:hAnsiTheme="minorHAnsi" w:cstheme="minorBidi"/>
      <w:sz w:val="22"/>
      <w:szCs w:val="22"/>
    </w:rPr>
  </w:style>
  <w:style w:type="paragraph" w:styleId="Heading1">
    <w:name w:val="heading 1"/>
    <w:basedOn w:val="Normal"/>
    <w:next w:val="Normal"/>
    <w:link w:val="Heading1Char"/>
    <w:uiPriority w:val="9"/>
    <w:qFormat/>
    <w:rsid w:val="001A2B1F"/>
    <w:pPr>
      <w:spacing w:before="100" w:beforeAutospacing="1" w:after="100" w:afterAutospacing="1" w:line="240" w:lineRule="auto"/>
      <w:outlineLvl w:val="0"/>
    </w:pPr>
    <w:rPr>
      <w:rFonts w:ascii="Segoe UI" w:eastAsia="Times New Roman" w:hAnsi="Segoe UI" w:cs="Segoe UI"/>
      <w:b/>
      <w:bCs/>
      <w:color w:val="313131"/>
      <w:kern w:val="36"/>
      <w:sz w:val="48"/>
      <w:szCs w:val="48"/>
      <w:lang w:eastAsia="en-AU"/>
    </w:rPr>
  </w:style>
  <w:style w:type="paragraph" w:styleId="Heading2">
    <w:name w:val="heading 2"/>
    <w:basedOn w:val="Normal"/>
    <w:next w:val="Normal"/>
    <w:link w:val="Heading2Char"/>
    <w:uiPriority w:val="9"/>
    <w:qFormat/>
    <w:rsid w:val="001A2B1F"/>
    <w:pPr>
      <w:shd w:val="clear" w:color="auto" w:fill="FFFFFF"/>
      <w:spacing w:before="100" w:beforeAutospacing="1" w:after="100" w:afterAutospacing="1" w:line="240" w:lineRule="auto"/>
      <w:outlineLvl w:val="1"/>
    </w:pPr>
    <w:rPr>
      <w:rFonts w:ascii="Segoe UI" w:eastAsia="Times New Roman" w:hAnsi="Segoe UI" w:cs="Segoe UI"/>
      <w:b/>
      <w:bCs/>
      <w:color w:val="313131"/>
      <w:sz w:val="36"/>
      <w:szCs w:val="36"/>
      <w:lang w:eastAsia="en-AU"/>
    </w:rPr>
  </w:style>
  <w:style w:type="paragraph" w:styleId="Heading3">
    <w:name w:val="heading 3"/>
    <w:basedOn w:val="Normal"/>
    <w:next w:val="Normal"/>
    <w:link w:val="Heading3Char"/>
    <w:uiPriority w:val="9"/>
    <w:qFormat/>
    <w:rsid w:val="001A2B1F"/>
    <w:pPr>
      <w:shd w:val="clear" w:color="auto" w:fill="FFFFFF"/>
      <w:spacing w:before="100" w:beforeAutospacing="1" w:after="100" w:afterAutospacing="1" w:line="240" w:lineRule="auto"/>
      <w:outlineLvl w:val="2"/>
    </w:pPr>
    <w:rPr>
      <w:rFonts w:ascii="Segoe UI" w:eastAsia="Times New Roman" w:hAnsi="Segoe UI" w:cs="Segoe UI"/>
      <w:b/>
      <w:bCs/>
      <w:color w:val="313131"/>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B1F"/>
    <w:rPr>
      <w:rFonts w:ascii="Segoe UI" w:eastAsia="Times New Roman" w:hAnsi="Segoe UI" w:cs="Segoe UI"/>
      <w:b/>
      <w:bCs/>
      <w:color w:val="313131"/>
      <w:kern w:val="36"/>
      <w:sz w:val="48"/>
      <w:szCs w:val="48"/>
      <w:lang w:eastAsia="en-AU"/>
    </w:rPr>
  </w:style>
  <w:style w:type="character" w:customStyle="1" w:styleId="Heading2Char">
    <w:name w:val="Heading 2 Char"/>
    <w:basedOn w:val="DefaultParagraphFont"/>
    <w:link w:val="Heading2"/>
    <w:uiPriority w:val="9"/>
    <w:rsid w:val="001A2B1F"/>
    <w:rPr>
      <w:rFonts w:ascii="Segoe UI" w:eastAsia="Times New Roman" w:hAnsi="Segoe UI" w:cs="Segoe UI"/>
      <w:b/>
      <w:bCs/>
      <w:color w:val="313131"/>
      <w:sz w:val="36"/>
      <w:szCs w:val="36"/>
      <w:shd w:val="clear" w:color="auto" w:fill="FFFFFF"/>
      <w:lang w:eastAsia="en-AU"/>
    </w:rPr>
  </w:style>
  <w:style w:type="character" w:customStyle="1" w:styleId="Heading3Char">
    <w:name w:val="Heading 3 Char"/>
    <w:basedOn w:val="DefaultParagraphFont"/>
    <w:link w:val="Heading3"/>
    <w:uiPriority w:val="9"/>
    <w:rsid w:val="001A2B1F"/>
    <w:rPr>
      <w:rFonts w:ascii="Segoe UI" w:eastAsia="Times New Roman" w:hAnsi="Segoe UI" w:cs="Segoe UI"/>
      <w:b/>
      <w:bCs/>
      <w:color w:val="313131"/>
      <w:sz w:val="27"/>
      <w:szCs w:val="27"/>
      <w:shd w:val="clear" w:color="auto" w:fill="FFFFFF"/>
      <w:lang w:eastAsia="en-AU"/>
    </w:rPr>
  </w:style>
  <w:style w:type="paragraph" w:styleId="ListParagraph">
    <w:name w:val="List Paragraph"/>
    <w:basedOn w:val="Normal"/>
    <w:uiPriority w:val="34"/>
    <w:qFormat/>
    <w:rsid w:val="001A2B1F"/>
    <w:pPr>
      <w:ind w:left="720"/>
      <w:contextualSpacing/>
    </w:pPr>
  </w:style>
  <w:style w:type="character" w:styleId="Hyperlink">
    <w:name w:val="Hyperlink"/>
    <w:basedOn w:val="DefaultParagraphFont"/>
    <w:uiPriority w:val="99"/>
    <w:unhideWhenUsed/>
    <w:rsid w:val="001A2B1F"/>
    <w:rPr>
      <w:color w:val="0563C1" w:themeColor="hyperlink"/>
      <w:u w:val="single"/>
    </w:rPr>
  </w:style>
  <w:style w:type="paragraph" w:styleId="Header">
    <w:name w:val="header"/>
    <w:basedOn w:val="Normal"/>
    <w:link w:val="HeaderChar"/>
    <w:uiPriority w:val="99"/>
    <w:unhideWhenUsed/>
    <w:rsid w:val="001A2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B1F"/>
    <w:rPr>
      <w:rFonts w:asciiTheme="minorHAnsi" w:hAnsiTheme="minorHAnsi" w:cstheme="minorBidi"/>
      <w:sz w:val="22"/>
      <w:szCs w:val="22"/>
    </w:rPr>
  </w:style>
  <w:style w:type="paragraph" w:styleId="Footer">
    <w:name w:val="footer"/>
    <w:basedOn w:val="Normal"/>
    <w:link w:val="FooterChar"/>
    <w:uiPriority w:val="99"/>
    <w:unhideWhenUsed/>
    <w:rsid w:val="001A2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B1F"/>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304033"/>
    <w:rPr>
      <w:color w:val="954F72" w:themeColor="followedHyperlink"/>
      <w:u w:val="single"/>
    </w:rPr>
  </w:style>
  <w:style w:type="paragraph" w:styleId="BalloonText">
    <w:name w:val="Balloon Text"/>
    <w:basedOn w:val="Normal"/>
    <w:link w:val="BalloonTextChar"/>
    <w:uiPriority w:val="99"/>
    <w:semiHidden/>
    <w:unhideWhenUsed/>
    <w:rsid w:val="00DD6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6E2"/>
    <w:rPr>
      <w:rFonts w:ascii="Segoe UI" w:hAnsi="Segoe UI" w:cs="Segoe UI"/>
      <w:sz w:val="18"/>
      <w:szCs w:val="18"/>
    </w:rPr>
  </w:style>
  <w:style w:type="paragraph" w:styleId="FootnoteText">
    <w:name w:val="footnote text"/>
    <w:basedOn w:val="Normal"/>
    <w:link w:val="FootnoteTextChar"/>
    <w:uiPriority w:val="99"/>
    <w:semiHidden/>
    <w:unhideWhenUsed/>
    <w:rsid w:val="005660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607F"/>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56607F"/>
    <w:rPr>
      <w:vertAlign w:val="superscript"/>
    </w:rPr>
  </w:style>
  <w:style w:type="character" w:styleId="CommentReference">
    <w:name w:val="annotation reference"/>
    <w:basedOn w:val="DefaultParagraphFont"/>
    <w:uiPriority w:val="99"/>
    <w:semiHidden/>
    <w:unhideWhenUsed/>
    <w:rsid w:val="00905B02"/>
    <w:rPr>
      <w:sz w:val="16"/>
      <w:szCs w:val="16"/>
    </w:rPr>
  </w:style>
  <w:style w:type="paragraph" w:styleId="CommentText">
    <w:name w:val="annotation text"/>
    <w:basedOn w:val="Normal"/>
    <w:link w:val="CommentTextChar"/>
    <w:uiPriority w:val="99"/>
    <w:semiHidden/>
    <w:unhideWhenUsed/>
    <w:rsid w:val="00905B02"/>
    <w:pPr>
      <w:spacing w:line="240" w:lineRule="auto"/>
    </w:pPr>
    <w:rPr>
      <w:sz w:val="20"/>
      <w:szCs w:val="20"/>
    </w:rPr>
  </w:style>
  <w:style w:type="character" w:customStyle="1" w:styleId="CommentTextChar">
    <w:name w:val="Comment Text Char"/>
    <w:basedOn w:val="DefaultParagraphFont"/>
    <w:link w:val="CommentText"/>
    <w:uiPriority w:val="99"/>
    <w:semiHidden/>
    <w:rsid w:val="00905B02"/>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05B02"/>
    <w:rPr>
      <w:b/>
      <w:bCs/>
    </w:rPr>
  </w:style>
  <w:style w:type="character" w:customStyle="1" w:styleId="CommentSubjectChar">
    <w:name w:val="Comment Subject Char"/>
    <w:basedOn w:val="CommentTextChar"/>
    <w:link w:val="CommentSubject"/>
    <w:uiPriority w:val="99"/>
    <w:semiHidden/>
    <w:rsid w:val="00905B02"/>
    <w:rPr>
      <w:rFonts w:asciiTheme="minorHAnsi" w:hAnsiTheme="minorHAnsi" w:cstheme="minorBidi"/>
      <w:b/>
      <w:bCs/>
      <w:sz w:val="20"/>
      <w:szCs w:val="20"/>
    </w:rPr>
  </w:style>
  <w:style w:type="paragraph" w:styleId="Revision">
    <w:name w:val="Revision"/>
    <w:hidden/>
    <w:uiPriority w:val="99"/>
    <w:semiHidden/>
    <w:rsid w:val="00212B35"/>
    <w:pPr>
      <w:spacing w:after="0" w:line="240" w:lineRule="auto"/>
    </w:pPr>
    <w:rPr>
      <w:rFonts w:asciiTheme="minorHAnsi" w:hAnsiTheme="minorHAnsi" w:cstheme="minorBidi"/>
      <w:sz w:val="22"/>
      <w:szCs w:val="22"/>
    </w:rPr>
  </w:style>
  <w:style w:type="character" w:customStyle="1" w:styleId="UnresolvedMention1">
    <w:name w:val="Unresolved Mention1"/>
    <w:basedOn w:val="DefaultParagraphFont"/>
    <w:uiPriority w:val="99"/>
    <w:semiHidden/>
    <w:unhideWhenUsed/>
    <w:rsid w:val="000711CB"/>
    <w:rPr>
      <w:color w:val="605E5C"/>
      <w:shd w:val="clear" w:color="auto" w:fill="E1DFDD"/>
    </w:rPr>
  </w:style>
  <w:style w:type="paragraph" w:customStyle="1" w:styleId="Default">
    <w:name w:val="Default"/>
    <w:rsid w:val="00FB1D94"/>
    <w:pPr>
      <w:autoSpaceDE w:val="0"/>
      <w:autoSpaceDN w:val="0"/>
      <w:adjustRightInd w:val="0"/>
      <w:spacing w:after="0" w:line="240" w:lineRule="auto"/>
    </w:pPr>
    <w:rPr>
      <w:rFonts w:ascii="FranklinGothicURWBoo" w:hAnsi="FranklinGothicURWBoo" w:cs="FranklinGothicURWBoo"/>
      <w:color w:val="000000"/>
    </w:rPr>
  </w:style>
  <w:style w:type="paragraph" w:customStyle="1" w:styleId="Pa24">
    <w:name w:val="Pa24"/>
    <w:basedOn w:val="Default"/>
    <w:next w:val="Default"/>
    <w:uiPriority w:val="99"/>
    <w:rsid w:val="00FB1D94"/>
    <w:pPr>
      <w:spacing w:line="17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392025">
      <w:bodyDiv w:val="1"/>
      <w:marLeft w:val="0"/>
      <w:marRight w:val="0"/>
      <w:marTop w:val="0"/>
      <w:marBottom w:val="0"/>
      <w:divBdr>
        <w:top w:val="none" w:sz="0" w:space="0" w:color="auto"/>
        <w:left w:val="none" w:sz="0" w:space="0" w:color="auto"/>
        <w:bottom w:val="none" w:sz="0" w:space="0" w:color="auto"/>
        <w:right w:val="none" w:sz="0" w:space="0" w:color="auto"/>
      </w:divBdr>
    </w:div>
    <w:div w:id="1219122566">
      <w:bodyDiv w:val="1"/>
      <w:marLeft w:val="0"/>
      <w:marRight w:val="0"/>
      <w:marTop w:val="0"/>
      <w:marBottom w:val="0"/>
      <w:divBdr>
        <w:top w:val="none" w:sz="0" w:space="0" w:color="auto"/>
        <w:left w:val="none" w:sz="0" w:space="0" w:color="auto"/>
        <w:bottom w:val="none" w:sz="0" w:space="0" w:color="auto"/>
        <w:right w:val="none" w:sz="0" w:space="0" w:color="auto"/>
      </w:divBdr>
    </w:div>
    <w:div w:id="1448086917">
      <w:bodyDiv w:val="1"/>
      <w:marLeft w:val="0"/>
      <w:marRight w:val="0"/>
      <w:marTop w:val="0"/>
      <w:marBottom w:val="0"/>
      <w:divBdr>
        <w:top w:val="none" w:sz="0" w:space="0" w:color="auto"/>
        <w:left w:val="none" w:sz="0" w:space="0" w:color="auto"/>
        <w:bottom w:val="none" w:sz="0" w:space="0" w:color="auto"/>
        <w:right w:val="none" w:sz="0" w:space="0" w:color="auto"/>
      </w:divBdr>
    </w:div>
    <w:div w:id="17434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3F7C16F5DECA48AA4D17345BDAA903" ma:contentTypeVersion="2" ma:contentTypeDescription="Create a new document." ma:contentTypeScope="" ma:versionID="8c62873f2d0f806320c30245407be4ed">
  <xsd:schema xmlns:xsd="http://www.w3.org/2001/XMLSchema" xmlns:xs="http://www.w3.org/2001/XMLSchema" xmlns:p="http://schemas.microsoft.com/office/2006/metadata/properties" xmlns:ns3="545bdd70-663b-49c0-9aba-ae6fdffa0a3c" targetNamespace="http://schemas.microsoft.com/office/2006/metadata/properties" ma:root="true" ma:fieldsID="a9961e38927590e2097a3b6ae1b05395" ns3:_="">
    <xsd:import namespace="545bdd70-663b-49c0-9aba-ae6fdffa0a3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bdd70-663b-49c0-9aba-ae6fdffa0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16EFB-05CE-47C0-9F3D-CC5B8FBD1E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2E6029-AEBB-4320-B980-EDDE7350D303}">
  <ds:schemaRefs>
    <ds:schemaRef ds:uri="http://schemas.microsoft.com/sharepoint/v3/contenttype/forms"/>
  </ds:schemaRefs>
</ds:datastoreItem>
</file>

<file path=customXml/itemProps3.xml><?xml version="1.0" encoding="utf-8"?>
<ds:datastoreItem xmlns:ds="http://schemas.openxmlformats.org/officeDocument/2006/customXml" ds:itemID="{FF1C2054-CDE1-4563-ADA3-162C2B8C2BD6}">
  <ds:schemaRefs>
    <ds:schemaRef ds:uri="http://schemas.openxmlformats.org/officeDocument/2006/bibliography"/>
  </ds:schemaRefs>
</ds:datastoreItem>
</file>

<file path=customXml/itemProps4.xml><?xml version="1.0" encoding="utf-8"?>
<ds:datastoreItem xmlns:ds="http://schemas.openxmlformats.org/officeDocument/2006/customXml" ds:itemID="{CD76CFD8-453B-45C2-97DB-5AE3FB10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bdd70-663b-49c0-9aba-ae6fdffa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MRFF accelerator grants</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accelerator grants</dc:title>
  <dc:subject>Medical research</dc:subject>
  <dc:creator>Australian Government Department of Health</dc:creator>
  <cp:keywords>MRFF accelerator grants ; Medical research</cp:keywords>
  <dc:description/>
  <cp:lastModifiedBy>RAIMONDO, Anne</cp:lastModifiedBy>
  <cp:revision>30</cp:revision>
  <dcterms:created xsi:type="dcterms:W3CDTF">2021-08-31T01:01:00Z</dcterms:created>
  <dcterms:modified xsi:type="dcterms:W3CDTF">2021-09-08T07:43:00Z</dcterms:modified>
</cp:coreProperties>
</file>