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E40A" w14:textId="46095E07" w:rsidR="00E421D6" w:rsidRPr="00064933" w:rsidRDefault="003F6CDF" w:rsidP="00064933">
      <w:pPr>
        <w:pStyle w:val="Title"/>
      </w:pPr>
      <w:r w:rsidRPr="00064933">
        <w:t xml:space="preserve">Q&amp;As for </w:t>
      </w:r>
      <w:r w:rsidR="00DB4EFA" w:rsidRPr="00064933">
        <w:t xml:space="preserve">Home Care Packages (HCP) </w:t>
      </w:r>
      <w:r w:rsidRPr="00064933">
        <w:t>Program Assurance Reviews – Webinar session 25 August 2021</w:t>
      </w:r>
    </w:p>
    <w:p w14:paraId="13C75F0F" w14:textId="55897C1A" w:rsidR="003F6CDF" w:rsidRPr="00E33741" w:rsidRDefault="003F6CDF" w:rsidP="00064933">
      <w:pPr>
        <w:pStyle w:val="Heading2"/>
      </w:pPr>
      <w:r w:rsidRPr="00E33741">
        <w:t xml:space="preserve">Q: Legislation has not yet changed? If </w:t>
      </w:r>
      <w:r w:rsidR="0012468C" w:rsidRPr="00E33741">
        <w:t>it has</w:t>
      </w:r>
      <w:r w:rsidR="00D65090" w:rsidRPr="00E33741">
        <w:t>,</w:t>
      </w:r>
      <w:r w:rsidR="0012468C" w:rsidRPr="00E33741">
        <w:t xml:space="preserve"> no one has notified us.</w:t>
      </w:r>
    </w:p>
    <w:p w14:paraId="45A3ECC0" w14:textId="14EE8F3A" w:rsidR="003762AC" w:rsidRDefault="00E01A18" w:rsidP="00064933">
      <w:pPr>
        <w:rPr>
          <w:b/>
          <w:bCs/>
        </w:rPr>
      </w:pPr>
      <w:r w:rsidRPr="00E33741">
        <w:t>A: The Aged Care and Other Legislation Amendment (Royal Commission Respon</w:t>
      </w:r>
      <w:r w:rsidR="0039171B" w:rsidRPr="00E33741">
        <w:t>s</w:t>
      </w:r>
      <w:r w:rsidRPr="00E33741">
        <w:t>e No. 1) Act 2021 came into effect on 1 July 2021. See Part 6.8 of the Aged Care Act 1997.</w:t>
      </w:r>
    </w:p>
    <w:p w14:paraId="07211044" w14:textId="776193C5" w:rsidR="00E16110" w:rsidRPr="00A92A65" w:rsidRDefault="00E16110" w:rsidP="00064933">
      <w:pPr>
        <w:rPr>
          <w:b/>
          <w:bCs/>
        </w:rPr>
      </w:pPr>
      <w:r>
        <w:t xml:space="preserve">This was publicly presented and scrutinised through the Parliamentary and Senate Committee processes – for further details please go to: </w:t>
      </w:r>
      <w:hyperlink r:id="rId6" w:history="1">
        <w:r w:rsidRPr="000678FA">
          <w:rPr>
            <w:rStyle w:val="Hyperlink"/>
            <w:rFonts w:cstheme="minorHAnsi"/>
            <w:sz w:val="24"/>
            <w:szCs w:val="24"/>
          </w:rPr>
          <w:t>Aged Care and Other Legislation Amendment (Royal Commission Response No. 1) Bill 2021 – Parliament of Australia (aph.gov.au)</w:t>
        </w:r>
      </w:hyperlink>
      <w:r w:rsidRPr="00A92A65">
        <w:t xml:space="preserve">. </w:t>
      </w:r>
    </w:p>
    <w:p w14:paraId="7D8A7F3C" w14:textId="660F7F5A" w:rsidR="003762AC" w:rsidRPr="00E33741" w:rsidRDefault="006F19CA" w:rsidP="00064933">
      <w:pPr>
        <w:rPr>
          <w:rFonts w:cstheme="minorHAnsi"/>
          <w:b/>
          <w:bCs/>
          <w:sz w:val="24"/>
          <w:szCs w:val="24"/>
        </w:rPr>
      </w:pPr>
      <w:r w:rsidRPr="00E33741">
        <w:rPr>
          <w:rFonts w:cstheme="minorHAnsi"/>
          <w:sz w:val="24"/>
          <w:szCs w:val="24"/>
        </w:rPr>
        <w:t>For further information see:</w:t>
      </w:r>
      <w:r w:rsidRPr="00E33741">
        <w:rPr>
          <w:sz w:val="24"/>
          <w:szCs w:val="24"/>
        </w:rPr>
        <w:t xml:space="preserve"> </w:t>
      </w:r>
      <w:hyperlink r:id="rId7" w:anchor="key-legislation" w:history="1">
        <w:r w:rsidR="003762AC" w:rsidRPr="00175AE2">
          <w:rPr>
            <w:rStyle w:val="Hyperlink"/>
            <w:rFonts w:cstheme="minorHAnsi"/>
            <w:sz w:val="24"/>
            <w:szCs w:val="24"/>
          </w:rPr>
          <w:t>Program assurance of the Home Care Packages Program | Australian Government Department of Health</w:t>
        </w:r>
      </w:hyperlink>
    </w:p>
    <w:p w14:paraId="44F8E28C" w14:textId="458795CC" w:rsidR="0012468C" w:rsidRPr="00E33741" w:rsidRDefault="0012468C" w:rsidP="00064933">
      <w:pPr>
        <w:pStyle w:val="Heading2"/>
      </w:pPr>
      <w:r w:rsidRPr="00E33741">
        <w:t xml:space="preserve">Q: How much notice will a provider receive when they are selected for a review? Will providers be able to negotiate times </w:t>
      </w:r>
      <w:r w:rsidR="00E01A18" w:rsidRPr="00E33741">
        <w:t xml:space="preserve">due </w:t>
      </w:r>
      <w:r w:rsidRPr="00E33741">
        <w:t>to accommodating leave of key personnel?</w:t>
      </w:r>
    </w:p>
    <w:p w14:paraId="3B03052F" w14:textId="735E9C22" w:rsidR="007530FF" w:rsidRPr="00E33741" w:rsidRDefault="0012468C" w:rsidP="00064933">
      <w:r w:rsidRPr="00E33741">
        <w:t>A:</w:t>
      </w:r>
      <w:r w:rsidR="008C4609" w:rsidRPr="00E33741">
        <w:rPr>
          <w:rFonts w:cstheme="minorHAnsi"/>
        </w:rPr>
        <w:t xml:space="preserve"> </w:t>
      </w:r>
      <w:r w:rsidR="008C4609" w:rsidRPr="00E33741">
        <w:t>Providers will be notified</w:t>
      </w:r>
      <w:r w:rsidR="00DB4EFA" w:rsidRPr="00E33741">
        <w:t xml:space="preserve"> in writing</w:t>
      </w:r>
      <w:r w:rsidR="008C4609" w:rsidRPr="00E33741">
        <w:t xml:space="preserve"> that they have been selected for an assurance review,</w:t>
      </w:r>
      <w:r w:rsidR="006F19CA" w:rsidRPr="00E33741">
        <w:t xml:space="preserve"> including</w:t>
      </w:r>
      <w:r w:rsidR="008C4609" w:rsidRPr="00E33741">
        <w:t xml:space="preserve"> the scope of the review and what information needs to be provided to the review team. </w:t>
      </w:r>
      <w:r w:rsidR="007530FF" w:rsidRPr="00E33741">
        <w:t>Providers will be requested to provide their documentation within 14 days</w:t>
      </w:r>
      <w:r w:rsidR="006F19CA" w:rsidRPr="00E33741">
        <w:t xml:space="preserve"> of notice</w:t>
      </w:r>
      <w:r w:rsidR="007530FF" w:rsidRPr="00E33741">
        <w:t>, and Assurance Officers will work with providers to negotiate additional timeframes</w:t>
      </w:r>
      <w:r w:rsidR="006F19CA" w:rsidRPr="00E33741">
        <w:t xml:space="preserve"> </w:t>
      </w:r>
      <w:r w:rsidR="00386397">
        <w:t>where justified</w:t>
      </w:r>
      <w:r w:rsidR="007530FF" w:rsidRPr="00E33741">
        <w:t xml:space="preserve">. </w:t>
      </w:r>
    </w:p>
    <w:p w14:paraId="7295EF17" w14:textId="38C0C041" w:rsidR="0012468C" w:rsidRPr="00E33741" w:rsidRDefault="0012468C" w:rsidP="00064933">
      <w:pPr>
        <w:pStyle w:val="Heading2"/>
      </w:pPr>
      <w:r w:rsidRPr="00E33741">
        <w:t xml:space="preserve">Q: Just wanted to confirm the last comment </w:t>
      </w:r>
      <w:r w:rsidRPr="00E33741">
        <w:rPr>
          <w:i/>
          <w:iCs/>
        </w:rPr>
        <w:t>“it will take 3 months to do”</w:t>
      </w:r>
      <w:r w:rsidRPr="00E33741">
        <w:t>?</w:t>
      </w:r>
    </w:p>
    <w:p w14:paraId="317B177E" w14:textId="049B8317" w:rsidR="00F65D7E" w:rsidRPr="00F0243F" w:rsidRDefault="0012468C" w:rsidP="00064933">
      <w:r w:rsidRPr="00E33741">
        <w:t>A:</w:t>
      </w:r>
      <w:r w:rsidR="00F12707" w:rsidRPr="00E33741">
        <w:t xml:space="preserve"> </w:t>
      </w:r>
      <w:r w:rsidR="007530FF" w:rsidRPr="00E33741">
        <w:t xml:space="preserve">We expect that each review will take around </w:t>
      </w:r>
      <w:r w:rsidR="00386397">
        <w:t>three</w:t>
      </w:r>
      <w:r w:rsidR="00386397" w:rsidRPr="00E33741">
        <w:t xml:space="preserve"> </w:t>
      </w:r>
      <w:r w:rsidR="007530FF" w:rsidRPr="00E33741">
        <w:t>months to complete</w:t>
      </w:r>
      <w:r w:rsidR="006F19CA" w:rsidRPr="00E33741">
        <w:t>.</w:t>
      </w:r>
      <w:r w:rsidR="007530FF" w:rsidRPr="00E33741">
        <w:t xml:space="preserve"> </w:t>
      </w:r>
      <w:r w:rsidR="006F19CA" w:rsidRPr="00E33741">
        <w:t>T</w:t>
      </w:r>
      <w:r w:rsidR="007530FF" w:rsidRPr="00E33741">
        <w:t>his includes the scoping of the review, request for documentation, analysis of information</w:t>
      </w:r>
      <w:r w:rsidR="006F19CA" w:rsidRPr="00E33741">
        <w:t>,</w:t>
      </w:r>
      <w:r w:rsidR="007530FF" w:rsidRPr="00E33741">
        <w:t xml:space="preserve"> and preparing </w:t>
      </w:r>
      <w:r w:rsidR="006F19CA" w:rsidRPr="00E33741">
        <w:t xml:space="preserve">the </w:t>
      </w:r>
      <w:r w:rsidR="007530FF" w:rsidRPr="00E33741">
        <w:t xml:space="preserve">review report. </w:t>
      </w:r>
      <w:r w:rsidR="00386397">
        <w:t>For providers</w:t>
      </w:r>
      <w:r w:rsidR="00287439">
        <w:t>,</w:t>
      </w:r>
      <w:r w:rsidR="00386397">
        <w:t xml:space="preserve"> the impact is likely to be initially in providing the information requested by the Department, and then in relation to any follow up inquiries. As such, the </w:t>
      </w:r>
      <w:r w:rsidR="00F0243F">
        <w:t>three-month</w:t>
      </w:r>
      <w:r w:rsidR="00386397">
        <w:t xml:space="preserve"> impact will not be on providers</w:t>
      </w:r>
      <w:r w:rsidR="00287439">
        <w:t>,</w:t>
      </w:r>
      <w:r w:rsidR="00386397">
        <w:t xml:space="preserve"> but is rather </w:t>
      </w:r>
      <w:r w:rsidR="00BF4DA7">
        <w:t xml:space="preserve">the </w:t>
      </w:r>
      <w:r w:rsidR="00386397">
        <w:t>timeframe required for the Department to conclude each review</w:t>
      </w:r>
      <w:r w:rsidR="00386397" w:rsidRPr="00F0243F">
        <w:t xml:space="preserve">. </w:t>
      </w:r>
    </w:p>
    <w:p w14:paraId="22BFAB8B" w14:textId="40CE118F" w:rsidR="0012468C" w:rsidRPr="00E33741" w:rsidRDefault="0012468C" w:rsidP="00064933">
      <w:pPr>
        <w:pStyle w:val="Heading2"/>
      </w:pPr>
      <w:r w:rsidRPr="00E33741">
        <w:t>Q: What mechanisms are being considered for dispute resolution? This has sometimes been an issue for AQSC quality reviews.</w:t>
      </w:r>
      <w:r w:rsidR="00E32E9E" w:rsidRPr="00E33741">
        <w:t xml:space="preserve"> </w:t>
      </w:r>
    </w:p>
    <w:p w14:paraId="118F556B" w14:textId="77777777" w:rsidR="00EF0682" w:rsidRPr="00E33741" w:rsidRDefault="0012468C" w:rsidP="00064933">
      <w:r w:rsidRPr="00E33741">
        <w:t>A:</w:t>
      </w:r>
      <w:r w:rsidR="003762AC" w:rsidRPr="00E33741">
        <w:t xml:space="preserve"> </w:t>
      </w:r>
      <w:r w:rsidR="00EF0682">
        <w:t>As</w:t>
      </w:r>
      <w:r w:rsidR="00EF0682" w:rsidRPr="00E33741">
        <w:t xml:space="preserve"> the HCP assurance reviews are not a reviewable decision under the </w:t>
      </w:r>
      <w:r w:rsidR="00EF0682" w:rsidRPr="00E33741">
        <w:rPr>
          <w:i/>
          <w:iCs/>
        </w:rPr>
        <w:t>Aged Care Act 1997</w:t>
      </w:r>
      <w:r w:rsidR="00EF0682" w:rsidRPr="00E33741">
        <w:t xml:space="preserve">, there is no mechanism to apply to the Administrative Appeals Tribunal (AAT). </w:t>
      </w:r>
    </w:p>
    <w:p w14:paraId="71D2EF59" w14:textId="3BE25F86" w:rsidR="00386397" w:rsidRDefault="00EF0682" w:rsidP="00064933">
      <w:r>
        <w:t xml:space="preserve">However, the Department is keen to establish </w:t>
      </w:r>
      <w:r w:rsidR="000E6A63">
        <w:t>a</w:t>
      </w:r>
      <w:r>
        <w:t xml:space="preserve"> fair dispute resolution process where providers </w:t>
      </w:r>
      <w:r w:rsidR="006D3B99">
        <w:t>that wish to</w:t>
      </w:r>
      <w:r>
        <w:t xml:space="preserve"> contest any relevant aspects of the process/findings</w:t>
      </w:r>
      <w:r w:rsidR="006D3B99">
        <w:t xml:space="preserve"> can.</w:t>
      </w:r>
      <w:r>
        <w:t xml:space="preserve"> </w:t>
      </w:r>
      <w:r w:rsidR="007530FF" w:rsidRPr="00E33741">
        <w:t>Providers participating in a</w:t>
      </w:r>
      <w:r w:rsidR="006F19CA" w:rsidRPr="00E33741">
        <w:t>n assurance</w:t>
      </w:r>
      <w:r w:rsidR="007530FF" w:rsidRPr="00E33741">
        <w:t xml:space="preserve"> review</w:t>
      </w:r>
      <w:r w:rsidR="003762AC" w:rsidRPr="00E33741">
        <w:t xml:space="preserve"> will have a ‘r</w:t>
      </w:r>
      <w:r w:rsidR="0010262B" w:rsidRPr="00E33741">
        <w:t>ight of reply</w:t>
      </w:r>
      <w:r w:rsidR="003762AC" w:rsidRPr="00E33741">
        <w:t>’</w:t>
      </w:r>
      <w:r>
        <w:t xml:space="preserve"> prior to reports being published/finalised. In addition, a</w:t>
      </w:r>
      <w:r w:rsidR="00386397">
        <w:t xml:space="preserve"> dispute resolution process that is independent of the review team will be articulated in the publicly released Framework document. </w:t>
      </w:r>
    </w:p>
    <w:p w14:paraId="6A433840" w14:textId="7160A3C0" w:rsidR="0012468C" w:rsidRPr="00E33741" w:rsidRDefault="00277533" w:rsidP="00064933">
      <w:pPr>
        <w:pStyle w:val="Heading2"/>
      </w:pPr>
      <w:r w:rsidRPr="00E33741">
        <w:t>Q: What are some examples of such evidence needed?</w:t>
      </w:r>
    </w:p>
    <w:p w14:paraId="2A36F60C" w14:textId="68FE602B" w:rsidR="008C4609" w:rsidRPr="00064933" w:rsidRDefault="00277533" w:rsidP="00064933">
      <w:r w:rsidRPr="00E33741">
        <w:t>A:</w:t>
      </w:r>
      <w:r w:rsidR="008C4609" w:rsidRPr="00E33741">
        <w:rPr>
          <w:rFonts w:cstheme="minorHAnsi"/>
        </w:rPr>
        <w:t xml:space="preserve"> </w:t>
      </w:r>
      <w:r w:rsidR="008C4609" w:rsidRPr="00E33741">
        <w:t xml:space="preserve">The Department will collect information relating to the delivery and administration of home care; in particular, to assure approved providers are providing value for money against Government </w:t>
      </w:r>
      <w:r w:rsidR="008C4609" w:rsidRPr="00E33741">
        <w:lastRenderedPageBreak/>
        <w:t>funding and not misusing funds</w:t>
      </w:r>
      <w:r w:rsidR="005B4470" w:rsidRPr="00E33741">
        <w:t xml:space="preserve"> and/or</w:t>
      </w:r>
      <w:r w:rsidR="008C4609" w:rsidRPr="00E33741">
        <w:t xml:space="preserve"> deliberately defrauding the Commonwealth.</w:t>
      </w:r>
      <w:r w:rsidR="00A926E1">
        <w:t xml:space="preserve"> As such, the onus will be on providers to provide evidence of what they are charging and why.</w:t>
      </w:r>
      <w:r w:rsidR="00A92A65">
        <w:t xml:space="preserve"> The Department will most likely also seek some standard responses from all </w:t>
      </w:r>
      <w:r w:rsidR="00A92A65" w:rsidRPr="00064933">
        <w:t>providers.</w:t>
      </w:r>
    </w:p>
    <w:p w14:paraId="5670CF6B" w14:textId="428D047F" w:rsidR="008C4609" w:rsidRPr="00E33741" w:rsidRDefault="008C4609" w:rsidP="00064933">
      <w:r w:rsidRPr="00064933">
        <w:t>A sam</w:t>
      </w:r>
      <w:r w:rsidRPr="00E33741">
        <w:t>ple of documentation</w:t>
      </w:r>
      <w:r w:rsidR="00A926E1">
        <w:t xml:space="preserve"> </w:t>
      </w:r>
      <w:r w:rsidR="00287439">
        <w:t>that may be requested by the Department as part of an assurance review</w:t>
      </w:r>
      <w:r w:rsidRPr="00E33741">
        <w:t xml:space="preserve"> </w:t>
      </w:r>
      <w:r w:rsidR="004B7431" w:rsidRPr="00E33741">
        <w:t>may include, but is not limited to</w:t>
      </w:r>
      <w:r w:rsidR="007530FF" w:rsidRPr="00E33741">
        <w:t>,</w:t>
      </w:r>
      <w:r w:rsidR="004B7431" w:rsidRPr="00E33741">
        <w:t xml:space="preserve"> </w:t>
      </w:r>
      <w:r w:rsidR="007530FF" w:rsidRPr="00E33741">
        <w:t xml:space="preserve">monthly client </w:t>
      </w:r>
      <w:r w:rsidRPr="00E33741">
        <w:t>invoices, financial reports, care agreements</w:t>
      </w:r>
      <w:r w:rsidR="007530FF" w:rsidRPr="00E33741">
        <w:t xml:space="preserve"> and business process documents</w:t>
      </w:r>
      <w:r w:rsidRPr="00E33741">
        <w:t>.</w:t>
      </w:r>
    </w:p>
    <w:p w14:paraId="783DDF9D" w14:textId="5521970D" w:rsidR="00D65090" w:rsidRPr="002B60B0" w:rsidRDefault="00277533" w:rsidP="00064933">
      <w:pPr>
        <w:pStyle w:val="Heading2"/>
      </w:pPr>
      <w:r w:rsidRPr="002B60B0">
        <w:t xml:space="preserve">Q: </w:t>
      </w:r>
      <w:r w:rsidR="00271A37">
        <w:t>I</w:t>
      </w:r>
      <w:r w:rsidRPr="002B60B0">
        <w:t xml:space="preserve">s there a </w:t>
      </w:r>
      <w:r w:rsidR="00594987">
        <w:t xml:space="preserve">provider </w:t>
      </w:r>
      <w:r w:rsidRPr="002B60B0">
        <w:t xml:space="preserve">checklist </w:t>
      </w:r>
      <w:r w:rsidR="00594987">
        <w:t>available in regards to the types of documents that may be requested</w:t>
      </w:r>
      <w:r w:rsidR="00F82CA4">
        <w:t>,</w:t>
      </w:r>
      <w:r w:rsidR="00594987">
        <w:t xml:space="preserve"> and </w:t>
      </w:r>
      <w:r w:rsidR="00D61F88">
        <w:t xml:space="preserve">is there </w:t>
      </w:r>
      <w:r w:rsidR="00271A37">
        <w:t>additional information to help us prepare for the Reviews commencing in October?</w:t>
      </w:r>
    </w:p>
    <w:p w14:paraId="53E6DEB3" w14:textId="77777777" w:rsidR="00A92A65" w:rsidRDefault="00A92A65">
      <w:pPr>
        <w:rPr>
          <w:sz w:val="24"/>
          <w:szCs w:val="24"/>
        </w:rPr>
      </w:pPr>
      <w:r w:rsidRPr="002B60B0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>Department</w:t>
      </w:r>
      <w:r w:rsidRPr="002B60B0">
        <w:rPr>
          <w:color w:val="000000" w:themeColor="text1"/>
          <w:sz w:val="24"/>
          <w:szCs w:val="24"/>
        </w:rPr>
        <w:t xml:space="preserve"> is cognisant to avoid overburdening providers.</w:t>
      </w:r>
      <w:r w:rsidRPr="002B60B0">
        <w:rPr>
          <w:sz w:val="24"/>
          <w:szCs w:val="24"/>
        </w:rPr>
        <w:t xml:space="preserve"> </w:t>
      </w:r>
    </w:p>
    <w:p w14:paraId="6F234DDF" w14:textId="2A78CDA8" w:rsidR="00A92A65" w:rsidRPr="00064933" w:rsidRDefault="00D65090" w:rsidP="00064933">
      <w:r w:rsidRPr="002B60B0">
        <w:t>The Home Care Packages (HCP) Program Assurance Reviews framework is currently being developed</w:t>
      </w:r>
      <w:r w:rsidR="00A92A65">
        <w:t xml:space="preserve">. </w:t>
      </w:r>
      <w:r w:rsidR="009D5F01" w:rsidRPr="002B60B0">
        <w:t xml:space="preserve">The framework will </w:t>
      </w:r>
      <w:r w:rsidR="00A92A65">
        <w:t>articulate</w:t>
      </w:r>
      <w:r w:rsidR="00A92A65" w:rsidRPr="002B60B0">
        <w:t xml:space="preserve"> </w:t>
      </w:r>
      <w:r w:rsidR="009D5F01" w:rsidRPr="002B60B0">
        <w:t xml:space="preserve">key risks, </w:t>
      </w:r>
      <w:r w:rsidR="005B4470" w:rsidRPr="002B60B0">
        <w:t xml:space="preserve">as well as the </w:t>
      </w:r>
      <w:r w:rsidR="009D5F01" w:rsidRPr="002B60B0">
        <w:t xml:space="preserve">purpose </w:t>
      </w:r>
      <w:r w:rsidR="00A92A65">
        <w:t>and methodology for</w:t>
      </w:r>
      <w:r w:rsidR="009D5F01" w:rsidRPr="002B60B0">
        <w:t xml:space="preserve"> </w:t>
      </w:r>
      <w:r w:rsidR="00B53EC5" w:rsidRPr="00064933">
        <w:t>reviews</w:t>
      </w:r>
      <w:r w:rsidR="009D5F01" w:rsidRPr="00064933">
        <w:t xml:space="preserve">. </w:t>
      </w:r>
    </w:p>
    <w:p w14:paraId="0D4666B8" w14:textId="53695AA3" w:rsidR="00BD655D" w:rsidRPr="002B60B0" w:rsidRDefault="00B53EC5" w:rsidP="00064933">
      <w:r w:rsidRPr="00064933">
        <w:t xml:space="preserve">As </w:t>
      </w:r>
      <w:r w:rsidR="000B0893" w:rsidRPr="00064933">
        <w:t xml:space="preserve">the scope of a </w:t>
      </w:r>
      <w:r w:rsidRPr="00064933">
        <w:t>review can change from review to review, based on risks, pr</w:t>
      </w:r>
      <w:r w:rsidR="00BD655D" w:rsidRPr="00064933">
        <w:t xml:space="preserve">oviders </w:t>
      </w:r>
      <w:r w:rsidR="000B0893" w:rsidRPr="00064933">
        <w:t xml:space="preserve">therefore </w:t>
      </w:r>
      <w:r w:rsidR="00BD655D" w:rsidRPr="00064933">
        <w:t xml:space="preserve">will be notified in writing that they have been selected for an assurance review, </w:t>
      </w:r>
      <w:r w:rsidR="005B4470" w:rsidRPr="00064933">
        <w:t xml:space="preserve">including </w:t>
      </w:r>
      <w:r w:rsidR="00BD655D" w:rsidRPr="00064933">
        <w:t>the scope of the review</w:t>
      </w:r>
      <w:r w:rsidR="00434328" w:rsidRPr="00064933">
        <w:t>,</w:t>
      </w:r>
      <w:r w:rsidR="00BD655D" w:rsidRPr="00064933">
        <w:t xml:space="preserve"> and what information needs to be provided to the review team. </w:t>
      </w:r>
      <w:r w:rsidR="00A92A65" w:rsidRPr="00064933">
        <w:t xml:space="preserve">This information would include </w:t>
      </w:r>
      <w:r w:rsidRPr="00064933">
        <w:t xml:space="preserve">information </w:t>
      </w:r>
      <w:r w:rsidR="00A92A65" w:rsidRPr="00064933">
        <w:t>required by the Department (eg a table/template</w:t>
      </w:r>
      <w:r w:rsidR="00A92A65">
        <w:t xml:space="preserve"> response to be completed</w:t>
      </w:r>
      <w:r>
        <w:t xml:space="preserve"> and any other documentation relevant to all providers included in a particular review</w:t>
      </w:r>
      <w:r w:rsidR="00A92A65">
        <w:t>) and any evidence/documentation the providers wish to provide to support the Department to assure officers that the charges are justified.</w:t>
      </w:r>
    </w:p>
    <w:p w14:paraId="23683A4F" w14:textId="051E3B45" w:rsidR="00277533" w:rsidRPr="002B60B0" w:rsidRDefault="00277533" w:rsidP="00064933">
      <w:pPr>
        <w:pStyle w:val="Heading2"/>
      </w:pPr>
      <w:r w:rsidRPr="002B60B0">
        <w:t>Q: How often will each provider be reviewed?</w:t>
      </w:r>
    </w:p>
    <w:p w14:paraId="01379BD1" w14:textId="77777777" w:rsidR="00B53EC5" w:rsidRPr="00064933" w:rsidRDefault="00277533" w:rsidP="00064933">
      <w:r w:rsidRPr="002B60B0">
        <w:t>A:</w:t>
      </w:r>
      <w:r w:rsidR="008026AE" w:rsidRPr="002B60B0">
        <w:t xml:space="preserve"> </w:t>
      </w:r>
      <w:r w:rsidR="00A24CB0" w:rsidRPr="002B60B0">
        <w:t xml:space="preserve">The Department aims to complete up to 500 assurance reviews </w:t>
      </w:r>
      <w:r w:rsidR="00745B05" w:rsidRPr="002B60B0">
        <w:t xml:space="preserve">every 12 months. </w:t>
      </w:r>
      <w:r w:rsidR="00B53EC5">
        <w:t xml:space="preserve">While the aim is to not review a provider more than once in a 12 month period, where review </w:t>
      </w:r>
      <w:r w:rsidR="00B53EC5" w:rsidRPr="00064933">
        <w:t>findings or risks before the Department require a provider to be picked up again within a 12 month period, then this may occur.</w:t>
      </w:r>
    </w:p>
    <w:p w14:paraId="0EAA6F24" w14:textId="704B47CF" w:rsidR="00B53EC5" w:rsidRDefault="00B53EC5" w:rsidP="00064933">
      <w:r w:rsidRPr="00064933">
        <w:t>An</w:t>
      </w:r>
      <w:r w:rsidR="008026AE" w:rsidRPr="002B60B0">
        <w:t xml:space="preserve"> annual risk-based review plan</w:t>
      </w:r>
      <w:r>
        <w:t xml:space="preserve"> will underpin </w:t>
      </w:r>
      <w:r w:rsidR="00064933">
        <w:t>12-month</w:t>
      </w:r>
      <w:r>
        <w:t xml:space="preserve"> review activity, although review priorities will also be informed as needed by any emerging risks during that </w:t>
      </w:r>
      <w:r w:rsidR="000678FA">
        <w:t>12</w:t>
      </w:r>
      <w:r w:rsidR="006D3B99">
        <w:t xml:space="preserve"> </w:t>
      </w:r>
      <w:r w:rsidR="000678FA">
        <w:t>month</w:t>
      </w:r>
      <w:r>
        <w:t xml:space="preserve"> period</w:t>
      </w:r>
      <w:r w:rsidR="008026AE" w:rsidRPr="002B60B0">
        <w:t xml:space="preserve">. </w:t>
      </w:r>
    </w:p>
    <w:p w14:paraId="1D5D994E" w14:textId="3784D3BC" w:rsidR="00277533" w:rsidRPr="002B60B0" w:rsidRDefault="00B53EC5" w:rsidP="00064933">
      <w:r w:rsidRPr="00064933">
        <w:t>Providers</w:t>
      </w:r>
      <w:r>
        <w:t xml:space="preserve"> can be confident that the Department will run reviews in a naturally just manner. </w:t>
      </w:r>
      <w:r w:rsidR="008026AE" w:rsidRPr="002B60B0">
        <w:t>The Department aims to run reviews that are transparent, with clear scope and methodology</w:t>
      </w:r>
      <w:r>
        <w:t xml:space="preserve"> up front</w:t>
      </w:r>
      <w:r w:rsidR="006D3909" w:rsidRPr="002B60B0">
        <w:t xml:space="preserve">, </w:t>
      </w:r>
      <w:r>
        <w:t>and findings will be evidence-based and allow providers a right of response before being published (where responses are provided within required timeframes)</w:t>
      </w:r>
      <w:r w:rsidR="006D3909" w:rsidRPr="002B60B0">
        <w:t>.</w:t>
      </w:r>
    </w:p>
    <w:p w14:paraId="5AE3682A" w14:textId="77777777" w:rsidR="00277533" w:rsidRPr="002B60B0" w:rsidRDefault="00277533" w:rsidP="00064933">
      <w:pPr>
        <w:pStyle w:val="Heading2"/>
      </w:pPr>
      <w:r w:rsidRPr="002B60B0">
        <w:t xml:space="preserve">Q: Do you have a definition of </w:t>
      </w:r>
      <w:r w:rsidRPr="002B60B0">
        <w:rPr>
          <w:i/>
          <w:iCs/>
        </w:rPr>
        <w:t>“Value for money”</w:t>
      </w:r>
      <w:r w:rsidRPr="002B60B0">
        <w:t>?</w:t>
      </w:r>
    </w:p>
    <w:p w14:paraId="342BFB67" w14:textId="23A32CC0" w:rsidR="00D61F88" w:rsidRPr="00271A37" w:rsidRDefault="00D61F88" w:rsidP="00064933">
      <w:r>
        <w:t xml:space="preserve">A: </w:t>
      </w:r>
      <w:r w:rsidR="00B53EC5">
        <w:t xml:space="preserve">As evident from the </w:t>
      </w:r>
      <w:r w:rsidR="00B53EC5" w:rsidRPr="00E33741">
        <w:rPr>
          <w:rFonts w:cstheme="minorHAnsi"/>
          <w:i/>
          <w:iCs/>
        </w:rPr>
        <w:t xml:space="preserve">Part 6.8 of the </w:t>
      </w:r>
      <w:r w:rsidR="00B53EC5">
        <w:rPr>
          <w:rFonts w:cstheme="minorHAnsi"/>
          <w:i/>
          <w:iCs/>
        </w:rPr>
        <w:t xml:space="preserve">amended </w:t>
      </w:r>
      <w:r w:rsidR="00B53EC5" w:rsidRPr="00E33741">
        <w:rPr>
          <w:rFonts w:cstheme="minorHAnsi"/>
          <w:i/>
          <w:iCs/>
        </w:rPr>
        <w:t>Aged Care Act 1997</w:t>
      </w:r>
      <w:r w:rsidR="00B53EC5">
        <w:rPr>
          <w:rFonts w:cstheme="minorHAnsi"/>
          <w:i/>
          <w:iCs/>
        </w:rPr>
        <w:t xml:space="preserve">, </w:t>
      </w:r>
      <w:r w:rsidR="00B53EC5">
        <w:rPr>
          <w:rFonts w:cstheme="minorHAnsi"/>
        </w:rPr>
        <w:t>f</w:t>
      </w:r>
      <w:r>
        <w:t xml:space="preserve">or the purposes of an assurance review, value for money is defined as measuring justified costs, efficiency, and </w:t>
      </w:r>
      <w:r w:rsidRPr="00064933">
        <w:t>effectiveness</w:t>
      </w:r>
      <w:r>
        <w:t xml:space="preserve"> </w:t>
      </w:r>
      <w:r w:rsidR="00594987">
        <w:t xml:space="preserve">in accordance with the recipients’ </w:t>
      </w:r>
      <w:r>
        <w:t>Home Care Agreement</w:t>
      </w:r>
      <w:r w:rsidR="00594987">
        <w:t>.</w:t>
      </w:r>
      <w:r>
        <w:t xml:space="preserve"> </w:t>
      </w:r>
    </w:p>
    <w:p w14:paraId="73D85E92" w14:textId="40603051" w:rsidR="00277533" w:rsidRPr="00271A37" w:rsidRDefault="00277533" w:rsidP="00064933">
      <w:pPr>
        <w:pStyle w:val="Heading2"/>
      </w:pPr>
      <w:r w:rsidRPr="00271A37">
        <w:lastRenderedPageBreak/>
        <w:t>Q: When will reviews be starting? Q: When can we expect the assurance reviews to commence?</w:t>
      </w:r>
    </w:p>
    <w:p w14:paraId="6BEF70E3" w14:textId="77777777" w:rsidR="00277533" w:rsidRPr="00271A37" w:rsidRDefault="00277533" w:rsidP="00064933">
      <w:r w:rsidRPr="00271A37">
        <w:t xml:space="preserve">A: </w:t>
      </w:r>
      <w:r w:rsidRPr="00064933">
        <w:t>Assurance</w:t>
      </w:r>
      <w:r w:rsidRPr="00271A37">
        <w:t xml:space="preserve"> reviews will commence in October 2021.</w:t>
      </w:r>
    </w:p>
    <w:sectPr w:rsidR="00277533" w:rsidRPr="0027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84992"/>
    <w:multiLevelType w:val="multilevel"/>
    <w:tmpl w:val="72E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F6A29"/>
    <w:multiLevelType w:val="hybridMultilevel"/>
    <w:tmpl w:val="EA6CE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5BF1"/>
    <w:multiLevelType w:val="hybridMultilevel"/>
    <w:tmpl w:val="8FC03662"/>
    <w:lvl w:ilvl="0" w:tplc="518CD42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7A8A"/>
    <w:multiLevelType w:val="hybridMultilevel"/>
    <w:tmpl w:val="DB1EB0F2"/>
    <w:lvl w:ilvl="0" w:tplc="E16C6D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DF"/>
    <w:rsid w:val="0000448E"/>
    <w:rsid w:val="00021959"/>
    <w:rsid w:val="00027BC8"/>
    <w:rsid w:val="00064933"/>
    <w:rsid w:val="000678FA"/>
    <w:rsid w:val="000838C6"/>
    <w:rsid w:val="000864FB"/>
    <w:rsid w:val="000A0AD3"/>
    <w:rsid w:val="000B0893"/>
    <w:rsid w:val="000B61FE"/>
    <w:rsid w:val="000E6A63"/>
    <w:rsid w:val="0010262B"/>
    <w:rsid w:val="00103B26"/>
    <w:rsid w:val="0011341C"/>
    <w:rsid w:val="0012468C"/>
    <w:rsid w:val="00175AE2"/>
    <w:rsid w:val="001A5275"/>
    <w:rsid w:val="001A74B4"/>
    <w:rsid w:val="00271A37"/>
    <w:rsid w:val="00277533"/>
    <w:rsid w:val="00287439"/>
    <w:rsid w:val="002B0109"/>
    <w:rsid w:val="002B60B0"/>
    <w:rsid w:val="003762AC"/>
    <w:rsid w:val="00386397"/>
    <w:rsid w:val="0039171B"/>
    <w:rsid w:val="003F6CDF"/>
    <w:rsid w:val="00434328"/>
    <w:rsid w:val="004B7431"/>
    <w:rsid w:val="004E37E4"/>
    <w:rsid w:val="00594987"/>
    <w:rsid w:val="005B4470"/>
    <w:rsid w:val="00663AD0"/>
    <w:rsid w:val="006D3909"/>
    <w:rsid w:val="006D3B99"/>
    <w:rsid w:val="006F19CA"/>
    <w:rsid w:val="00745B05"/>
    <w:rsid w:val="007530FF"/>
    <w:rsid w:val="00781996"/>
    <w:rsid w:val="0079256F"/>
    <w:rsid w:val="008026AE"/>
    <w:rsid w:val="0083144D"/>
    <w:rsid w:val="008432AF"/>
    <w:rsid w:val="00885813"/>
    <w:rsid w:val="008C4609"/>
    <w:rsid w:val="00931540"/>
    <w:rsid w:val="00963E90"/>
    <w:rsid w:val="009D5F01"/>
    <w:rsid w:val="009E16F7"/>
    <w:rsid w:val="00A05164"/>
    <w:rsid w:val="00A24CB0"/>
    <w:rsid w:val="00A34F21"/>
    <w:rsid w:val="00A91711"/>
    <w:rsid w:val="00A926E1"/>
    <w:rsid w:val="00A92A65"/>
    <w:rsid w:val="00B04946"/>
    <w:rsid w:val="00B26A95"/>
    <w:rsid w:val="00B53EC5"/>
    <w:rsid w:val="00BA01D8"/>
    <w:rsid w:val="00BD655D"/>
    <w:rsid w:val="00BF4DA7"/>
    <w:rsid w:val="00C5037C"/>
    <w:rsid w:val="00D61F88"/>
    <w:rsid w:val="00D65090"/>
    <w:rsid w:val="00D76966"/>
    <w:rsid w:val="00DB4EFA"/>
    <w:rsid w:val="00E01A18"/>
    <w:rsid w:val="00E03131"/>
    <w:rsid w:val="00E16110"/>
    <w:rsid w:val="00E32E9E"/>
    <w:rsid w:val="00E33741"/>
    <w:rsid w:val="00E421D6"/>
    <w:rsid w:val="00E963AE"/>
    <w:rsid w:val="00EB3859"/>
    <w:rsid w:val="00EF0682"/>
    <w:rsid w:val="00F02432"/>
    <w:rsid w:val="00F0243F"/>
    <w:rsid w:val="00F12707"/>
    <w:rsid w:val="00F65D7E"/>
    <w:rsid w:val="00F82CA4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A8C4"/>
  <w15:chartTrackingRefBased/>
  <w15:docId w15:val="{CBC04BD3-1694-4811-B1D0-948EA78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link w:val="Heading2Char"/>
    <w:uiPriority w:val="9"/>
    <w:qFormat/>
    <w:rsid w:val="00F0243F"/>
    <w:pPr>
      <w:spacing w:before="120" w:after="120" w:line="240" w:lineRule="auto"/>
      <w:outlineLvl w:val="1"/>
    </w:pPr>
    <w:rPr>
      <w:rFonts w:ascii="Arial" w:eastAsia="Times New Roman" w:hAnsi="Arial" w:cs="Times New Roman"/>
      <w:bCs/>
      <w:sz w:val="24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243F"/>
    <w:rPr>
      <w:rFonts w:ascii="Arial" w:eastAsia="Times New Roman" w:hAnsi="Arial" w:cs="Times New Roman"/>
      <w:bCs/>
      <w:color w:val="365F91" w:themeColor="accent1" w:themeShade="BF"/>
      <w:sz w:val="24"/>
      <w:szCs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6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2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3AD0"/>
    <w:pPr>
      <w:ind w:left="720"/>
      <w:contextualSpacing/>
    </w:pPr>
  </w:style>
  <w:style w:type="paragraph" w:customStyle="1" w:styleId="shortt">
    <w:name w:val="shortt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no">
    <w:name w:val="actno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ortfolio">
    <w:name w:val="portfolio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ongt">
    <w:name w:val="longt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0AD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0A0AD3"/>
  </w:style>
  <w:style w:type="character" w:customStyle="1" w:styleId="charamschtext">
    <w:name w:val="charamschtext"/>
    <w:basedOn w:val="DefaultParagraphFont"/>
    <w:rsid w:val="000A0AD3"/>
  </w:style>
  <w:style w:type="character" w:customStyle="1" w:styleId="charampartno">
    <w:name w:val="charampartno"/>
    <w:basedOn w:val="DefaultParagraphFont"/>
    <w:rsid w:val="000A0AD3"/>
  </w:style>
  <w:style w:type="character" w:customStyle="1" w:styleId="charamparttext">
    <w:name w:val="charamparttext"/>
    <w:basedOn w:val="DefaultParagraphFont"/>
    <w:rsid w:val="000A0AD3"/>
  </w:style>
  <w:style w:type="paragraph" w:styleId="TOC5">
    <w:name w:val="toc 5"/>
    <w:basedOn w:val="Normal"/>
    <w:autoRedefine/>
    <w:uiPriority w:val="39"/>
    <w:semiHidden/>
    <w:unhideWhenUsed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6">
    <w:name w:val="toc 6"/>
    <w:basedOn w:val="Normal"/>
    <w:autoRedefine/>
    <w:uiPriority w:val="39"/>
    <w:semiHidden/>
    <w:unhideWhenUsed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9">
    <w:name w:val="toc 9"/>
    <w:basedOn w:val="Normal"/>
    <w:autoRedefine/>
    <w:uiPriority w:val="39"/>
    <w:semiHidden/>
    <w:unhideWhenUsed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e1">
    <w:name w:val="page1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0A0AD3"/>
  </w:style>
  <w:style w:type="paragraph" w:customStyle="1" w:styleId="subsection">
    <w:name w:val="subsection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6">
    <w:name w:val="acthead6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9">
    <w:name w:val="acthead9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head">
    <w:name w:val="itemhead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">
    <w:name w:val="item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head">
    <w:name w:val="subsectionhead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para">
    <w:name w:val="sopara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partno">
    <w:name w:val="charpartno"/>
    <w:basedOn w:val="DefaultParagraphFont"/>
    <w:rsid w:val="000A0AD3"/>
  </w:style>
  <w:style w:type="character" w:customStyle="1" w:styleId="charparttext">
    <w:name w:val="charparttext"/>
    <w:basedOn w:val="DefaultParagraphFont"/>
    <w:rsid w:val="000A0AD3"/>
  </w:style>
  <w:style w:type="paragraph" w:customStyle="1" w:styleId="acthead3">
    <w:name w:val="acthead3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divno">
    <w:name w:val="chardivno"/>
    <w:basedOn w:val="DefaultParagraphFont"/>
    <w:rsid w:val="000A0AD3"/>
  </w:style>
  <w:style w:type="character" w:customStyle="1" w:styleId="chardivtext">
    <w:name w:val="chardivtext"/>
    <w:basedOn w:val="DefaultParagraphFont"/>
    <w:rsid w:val="000A0AD3"/>
  </w:style>
  <w:style w:type="paragraph" w:customStyle="1" w:styleId="penalty">
    <w:name w:val="penalty"/>
    <w:basedOn w:val="Normal"/>
    <w:rsid w:val="000A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F19C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2A6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64933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4933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649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299">
          <w:marLeft w:val="1134"/>
          <w:marRight w:val="0"/>
          <w:marTop w:val="0"/>
          <w:marBottom w:val="0"/>
          <w:divBdr>
            <w:top w:val="single" w:sz="8" w:space="5" w:color="auto"/>
            <w:left w:val="single" w:sz="8" w:space="5" w:color="auto"/>
            <w:bottom w:val="single" w:sz="8" w:space="5" w:color="auto"/>
            <w:right w:val="single" w:sz="8" w:space="5" w:color="auto"/>
          </w:divBdr>
        </w:div>
      </w:divsChild>
    </w:div>
    <w:div w:id="1881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40917">
          <w:marLeft w:val="1134"/>
          <w:marRight w:val="0"/>
          <w:marTop w:val="0"/>
          <w:marBottom w:val="0"/>
          <w:divBdr>
            <w:top w:val="single" w:sz="8" w:space="5" w:color="auto"/>
            <w:left w:val="single" w:sz="8" w:space="5" w:color="auto"/>
            <w:bottom w:val="single" w:sz="8" w:space="5" w:color="auto"/>
            <w:right w:val="single" w:sz="8" w:space="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ealth.gov.au/initiatives-and-programs/home-care-packages-program/about-the-home-care-packages-program/program-assurance-of-the-home-care-packages-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h.gov.au/Parliamentary_Business/Bills_LEGislation/Bills_Search_Results/Result?bId=r6723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3CA6-F891-4A6A-974C-7FDFF46B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5156</Characters>
  <Application>Microsoft Office Word</Application>
  <DocSecurity>0</DocSecurity>
  <Lines>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Q&amp;As for Home Care Packages (HCP) Program Assurance Reviews – Webinar session 25 August 2021</dc:title>
  <dc:subject>Aged care</dc:subject>
  <dc:creator>Australian Government Department of Health</dc:creator>
  <cp:keywords/>
  <dc:description/>
  <cp:lastModifiedBy>MASCHKE, Elvia</cp:lastModifiedBy>
  <cp:revision>3</cp:revision>
  <dcterms:created xsi:type="dcterms:W3CDTF">2021-09-13T06:59:00Z</dcterms:created>
  <dcterms:modified xsi:type="dcterms:W3CDTF">2021-09-13T06:59:00Z</dcterms:modified>
</cp:coreProperties>
</file>