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9B119" w14:textId="77777777" w:rsidR="00350157" w:rsidRPr="006D7CAA" w:rsidRDefault="00350157" w:rsidP="00350157">
      <w:pPr>
        <w:spacing w:before="120" w:after="120" w:line="240" w:lineRule="auto"/>
        <w:jc w:val="center"/>
        <w:rPr>
          <w:rFonts w:ascii="Arial" w:eastAsia="Times New Roman" w:hAnsi="Arial" w:cs="Arial"/>
        </w:rPr>
      </w:pPr>
      <w:r w:rsidRPr="006D7CAA">
        <w:rPr>
          <w:rFonts w:ascii="Arial" w:eastAsia="Times New Roman" w:hAnsi="Arial" w:cs="Arial"/>
          <w:noProof/>
          <w:lang w:eastAsia="en-AU"/>
        </w:rPr>
        <w:drawing>
          <wp:inline distT="0" distB="0" distL="0" distR="0" wp14:anchorId="0BDA8A43" wp14:editId="7D3F5423">
            <wp:extent cx="2468880" cy="1371600"/>
            <wp:effectExtent l="0" t="0" r="7620" b="0"/>
            <wp:docPr id="2"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8880" cy="1371600"/>
                    </a:xfrm>
                    <a:prstGeom prst="rect">
                      <a:avLst/>
                    </a:prstGeom>
                    <a:noFill/>
                  </pic:spPr>
                </pic:pic>
              </a:graphicData>
            </a:graphic>
          </wp:inline>
        </w:drawing>
      </w:r>
    </w:p>
    <w:p w14:paraId="557BD92F" w14:textId="77777777" w:rsidR="00350157" w:rsidRPr="006D7CAA" w:rsidRDefault="00350157" w:rsidP="00350157">
      <w:pPr>
        <w:spacing w:before="2000" w:after="120" w:line="240" w:lineRule="auto"/>
        <w:jc w:val="center"/>
        <w:rPr>
          <w:rFonts w:ascii="Arial" w:eastAsia="Times New Roman" w:hAnsi="Arial" w:cs="Arial"/>
          <w:kern w:val="28"/>
          <w:sz w:val="40"/>
          <w:szCs w:val="52"/>
        </w:rPr>
      </w:pPr>
      <w:r w:rsidRPr="006D7CAA">
        <w:rPr>
          <w:rFonts w:ascii="Arial" w:eastAsia="Times New Roman" w:hAnsi="Arial" w:cs="Arial"/>
          <w:kern w:val="28"/>
          <w:sz w:val="40"/>
          <w:szCs w:val="52"/>
        </w:rPr>
        <w:t>Australian Government response to the independent review of nursing education</w:t>
      </w:r>
    </w:p>
    <w:p w14:paraId="0B47B665" w14:textId="77777777" w:rsidR="00350157" w:rsidRPr="006D7CAA" w:rsidRDefault="00350157" w:rsidP="00350157">
      <w:pPr>
        <w:spacing w:before="2000" w:after="120" w:line="240" w:lineRule="auto"/>
        <w:jc w:val="center"/>
        <w:rPr>
          <w:rFonts w:ascii="Arial" w:eastAsia="Times New Roman" w:hAnsi="Arial" w:cs="Arial"/>
          <w:i/>
          <w:kern w:val="28"/>
          <w:sz w:val="40"/>
          <w:szCs w:val="52"/>
        </w:rPr>
      </w:pPr>
      <w:r w:rsidRPr="006D7CAA">
        <w:rPr>
          <w:rFonts w:ascii="Arial" w:eastAsia="Times New Roman" w:hAnsi="Arial" w:cs="Arial"/>
          <w:i/>
          <w:kern w:val="28"/>
          <w:sz w:val="40"/>
          <w:szCs w:val="52"/>
        </w:rPr>
        <w:t>Educating the Nurse of the Future</w:t>
      </w:r>
    </w:p>
    <w:p w14:paraId="592CFDC2" w14:textId="12CF89F9" w:rsidR="00350157" w:rsidRPr="006D7CAA" w:rsidRDefault="00350157" w:rsidP="00350157">
      <w:pPr>
        <w:spacing w:before="6000" w:after="120" w:line="240" w:lineRule="auto"/>
        <w:jc w:val="right"/>
        <w:rPr>
          <w:rFonts w:ascii="Arial" w:eastAsia="Times New Roman" w:hAnsi="Arial" w:cs="Arial"/>
          <w:sz w:val="28"/>
          <w:szCs w:val="28"/>
          <w:highlight w:val="yellow"/>
        </w:rPr>
      </w:pPr>
      <w:r w:rsidRPr="006D7CAA">
        <w:rPr>
          <w:rFonts w:ascii="Arial" w:eastAsia="Times New Roman" w:hAnsi="Arial" w:cs="Arial"/>
        </w:rPr>
        <w:t>202</w:t>
      </w:r>
      <w:r w:rsidR="00DE159B">
        <w:rPr>
          <w:rFonts w:ascii="Arial" w:eastAsia="Times New Roman" w:hAnsi="Arial" w:cs="Arial"/>
        </w:rPr>
        <w:t>1</w:t>
      </w:r>
    </w:p>
    <w:sdt>
      <w:sdtPr>
        <w:rPr>
          <w:rFonts w:ascii="Arial" w:eastAsiaTheme="minorHAnsi" w:hAnsi="Arial" w:cs="Arial"/>
          <w:color w:val="auto"/>
          <w:sz w:val="24"/>
          <w:szCs w:val="24"/>
          <w:lang w:val="en-AU"/>
        </w:rPr>
        <w:id w:val="985358817"/>
        <w:docPartObj>
          <w:docPartGallery w:val="Table of Contents"/>
          <w:docPartUnique/>
        </w:docPartObj>
      </w:sdtPr>
      <w:sdtEndPr>
        <w:rPr>
          <w:b/>
          <w:bCs/>
          <w:noProof/>
        </w:rPr>
      </w:sdtEndPr>
      <w:sdtContent>
        <w:p w14:paraId="2E0FD6BE" w14:textId="77777777" w:rsidR="00350157" w:rsidRPr="006D7CAA" w:rsidRDefault="00350157" w:rsidP="00350157">
          <w:pPr>
            <w:pStyle w:val="TOCHeading"/>
            <w:rPr>
              <w:rFonts w:ascii="Arial" w:hAnsi="Arial" w:cs="Arial"/>
            </w:rPr>
          </w:pPr>
          <w:r w:rsidRPr="006D7CAA">
            <w:rPr>
              <w:rFonts w:ascii="Arial" w:hAnsi="Arial" w:cs="Arial"/>
            </w:rPr>
            <w:t>Contents</w:t>
          </w:r>
        </w:p>
        <w:p w14:paraId="30ADF3A4" w14:textId="77777777" w:rsidR="006A07B1" w:rsidRDefault="00350157">
          <w:pPr>
            <w:pStyle w:val="TOC1"/>
            <w:tabs>
              <w:tab w:val="right" w:leader="dot" w:pos="9182"/>
            </w:tabs>
            <w:rPr>
              <w:rFonts w:asciiTheme="minorHAnsi" w:eastAsiaTheme="minorEastAsia" w:hAnsiTheme="minorHAnsi" w:cstheme="minorBidi"/>
              <w:noProof/>
              <w:sz w:val="22"/>
              <w:szCs w:val="22"/>
              <w:lang w:eastAsia="en-AU"/>
            </w:rPr>
          </w:pPr>
          <w:r w:rsidRPr="006D7CAA">
            <w:rPr>
              <w:rFonts w:ascii="Arial" w:hAnsi="Arial" w:cs="Arial"/>
            </w:rPr>
            <w:fldChar w:fldCharType="begin"/>
          </w:r>
          <w:r w:rsidRPr="006D7CAA">
            <w:rPr>
              <w:rFonts w:ascii="Arial" w:hAnsi="Arial" w:cs="Arial"/>
            </w:rPr>
            <w:instrText xml:space="preserve"> TOC \o "1-3" \h \z \u </w:instrText>
          </w:r>
          <w:r w:rsidRPr="006D7CAA">
            <w:rPr>
              <w:rFonts w:ascii="Arial" w:hAnsi="Arial" w:cs="Arial"/>
            </w:rPr>
            <w:fldChar w:fldCharType="separate"/>
          </w:r>
          <w:hyperlink w:anchor="_Toc57387157" w:history="1">
            <w:r w:rsidR="006A07B1" w:rsidRPr="008060AA">
              <w:rPr>
                <w:rStyle w:val="Hyperlink"/>
                <w:rFonts w:ascii="Arial" w:hAnsi="Arial" w:cs="Arial"/>
                <w:noProof/>
              </w:rPr>
              <w:t>Acronyms</w:t>
            </w:r>
            <w:r w:rsidR="006A07B1">
              <w:rPr>
                <w:noProof/>
                <w:webHidden/>
              </w:rPr>
              <w:tab/>
            </w:r>
            <w:r w:rsidR="006A07B1">
              <w:rPr>
                <w:noProof/>
                <w:webHidden/>
              </w:rPr>
              <w:fldChar w:fldCharType="begin"/>
            </w:r>
            <w:r w:rsidR="006A07B1">
              <w:rPr>
                <w:noProof/>
                <w:webHidden/>
              </w:rPr>
              <w:instrText xml:space="preserve"> PAGEREF _Toc57387157 \h </w:instrText>
            </w:r>
            <w:r w:rsidR="006A07B1">
              <w:rPr>
                <w:noProof/>
                <w:webHidden/>
              </w:rPr>
            </w:r>
            <w:r w:rsidR="006A07B1">
              <w:rPr>
                <w:noProof/>
                <w:webHidden/>
              </w:rPr>
              <w:fldChar w:fldCharType="separate"/>
            </w:r>
            <w:r w:rsidR="001E6FEC">
              <w:rPr>
                <w:noProof/>
                <w:webHidden/>
              </w:rPr>
              <w:t>4</w:t>
            </w:r>
            <w:r w:rsidR="006A07B1">
              <w:rPr>
                <w:noProof/>
                <w:webHidden/>
              </w:rPr>
              <w:fldChar w:fldCharType="end"/>
            </w:r>
          </w:hyperlink>
        </w:p>
        <w:p w14:paraId="1C68B266" w14:textId="77777777" w:rsidR="006A07B1" w:rsidRDefault="00AC1563">
          <w:pPr>
            <w:pStyle w:val="TOC1"/>
            <w:tabs>
              <w:tab w:val="right" w:leader="dot" w:pos="9182"/>
            </w:tabs>
            <w:rPr>
              <w:rFonts w:asciiTheme="minorHAnsi" w:eastAsiaTheme="minorEastAsia" w:hAnsiTheme="minorHAnsi" w:cstheme="minorBidi"/>
              <w:noProof/>
              <w:sz w:val="22"/>
              <w:szCs w:val="22"/>
              <w:lang w:eastAsia="en-AU"/>
            </w:rPr>
          </w:pPr>
          <w:hyperlink w:anchor="_Toc57387158" w:history="1">
            <w:r w:rsidR="006A07B1" w:rsidRPr="008060AA">
              <w:rPr>
                <w:rStyle w:val="Hyperlink"/>
                <w:rFonts w:ascii="Arial" w:eastAsia="Times New Roman" w:hAnsi="Arial" w:cs="Arial"/>
                <w:noProof/>
              </w:rPr>
              <w:t>Message</w:t>
            </w:r>
            <w:r w:rsidR="006A07B1">
              <w:rPr>
                <w:noProof/>
                <w:webHidden/>
              </w:rPr>
              <w:tab/>
            </w:r>
            <w:r w:rsidR="006A07B1">
              <w:rPr>
                <w:noProof/>
                <w:webHidden/>
              </w:rPr>
              <w:fldChar w:fldCharType="begin"/>
            </w:r>
            <w:r w:rsidR="006A07B1">
              <w:rPr>
                <w:noProof/>
                <w:webHidden/>
              </w:rPr>
              <w:instrText xml:space="preserve"> PAGEREF _Toc57387158 \h </w:instrText>
            </w:r>
            <w:r w:rsidR="006A07B1">
              <w:rPr>
                <w:noProof/>
                <w:webHidden/>
              </w:rPr>
            </w:r>
            <w:r w:rsidR="006A07B1">
              <w:rPr>
                <w:noProof/>
                <w:webHidden/>
              </w:rPr>
              <w:fldChar w:fldCharType="separate"/>
            </w:r>
            <w:r w:rsidR="001E6FEC">
              <w:rPr>
                <w:noProof/>
                <w:webHidden/>
              </w:rPr>
              <w:t>5</w:t>
            </w:r>
            <w:r w:rsidR="006A07B1">
              <w:rPr>
                <w:noProof/>
                <w:webHidden/>
              </w:rPr>
              <w:fldChar w:fldCharType="end"/>
            </w:r>
          </w:hyperlink>
        </w:p>
        <w:p w14:paraId="7790A208" w14:textId="77777777" w:rsidR="006A07B1" w:rsidRDefault="00AC1563">
          <w:pPr>
            <w:pStyle w:val="TOC1"/>
            <w:tabs>
              <w:tab w:val="right" w:leader="dot" w:pos="9182"/>
            </w:tabs>
            <w:rPr>
              <w:rFonts w:asciiTheme="minorHAnsi" w:eastAsiaTheme="minorEastAsia" w:hAnsiTheme="minorHAnsi" w:cstheme="minorBidi"/>
              <w:noProof/>
              <w:sz w:val="22"/>
              <w:szCs w:val="22"/>
              <w:lang w:eastAsia="en-AU"/>
            </w:rPr>
          </w:pPr>
          <w:hyperlink w:anchor="_Toc57387159" w:history="1">
            <w:r w:rsidR="006A07B1" w:rsidRPr="008060AA">
              <w:rPr>
                <w:rStyle w:val="Hyperlink"/>
                <w:rFonts w:ascii="Arial" w:eastAsia="Times New Roman" w:hAnsi="Arial" w:cs="Arial"/>
                <w:noProof/>
                <w:shd w:val="clear" w:color="auto" w:fill="FFFFFF"/>
              </w:rPr>
              <w:t>Background</w:t>
            </w:r>
            <w:r w:rsidR="006A07B1">
              <w:rPr>
                <w:noProof/>
                <w:webHidden/>
              </w:rPr>
              <w:tab/>
            </w:r>
            <w:r w:rsidR="006A07B1">
              <w:rPr>
                <w:noProof/>
                <w:webHidden/>
              </w:rPr>
              <w:fldChar w:fldCharType="begin"/>
            </w:r>
            <w:r w:rsidR="006A07B1">
              <w:rPr>
                <w:noProof/>
                <w:webHidden/>
              </w:rPr>
              <w:instrText xml:space="preserve"> PAGEREF _Toc57387159 \h </w:instrText>
            </w:r>
            <w:r w:rsidR="006A07B1">
              <w:rPr>
                <w:noProof/>
                <w:webHidden/>
              </w:rPr>
            </w:r>
            <w:r w:rsidR="006A07B1">
              <w:rPr>
                <w:noProof/>
                <w:webHidden/>
              </w:rPr>
              <w:fldChar w:fldCharType="separate"/>
            </w:r>
            <w:r w:rsidR="001E6FEC">
              <w:rPr>
                <w:noProof/>
                <w:webHidden/>
              </w:rPr>
              <w:t>6</w:t>
            </w:r>
            <w:r w:rsidR="006A07B1">
              <w:rPr>
                <w:noProof/>
                <w:webHidden/>
              </w:rPr>
              <w:fldChar w:fldCharType="end"/>
            </w:r>
          </w:hyperlink>
        </w:p>
        <w:p w14:paraId="02A508D7" w14:textId="77777777" w:rsidR="006A07B1" w:rsidRDefault="00AC1563">
          <w:pPr>
            <w:pStyle w:val="TOC1"/>
            <w:tabs>
              <w:tab w:val="right" w:leader="dot" w:pos="9182"/>
            </w:tabs>
            <w:rPr>
              <w:rFonts w:asciiTheme="minorHAnsi" w:eastAsiaTheme="minorEastAsia" w:hAnsiTheme="minorHAnsi" w:cstheme="minorBidi"/>
              <w:noProof/>
              <w:sz w:val="22"/>
              <w:szCs w:val="22"/>
              <w:lang w:eastAsia="en-AU"/>
            </w:rPr>
          </w:pPr>
          <w:hyperlink w:anchor="_Toc57387160" w:history="1">
            <w:r w:rsidR="006A07B1" w:rsidRPr="008060AA">
              <w:rPr>
                <w:rStyle w:val="Hyperlink"/>
                <w:rFonts w:ascii="Arial" w:eastAsia="Times New Roman" w:hAnsi="Arial" w:cs="Arial"/>
                <w:noProof/>
              </w:rPr>
              <w:t>PROTECTING THE PUBLIC</w:t>
            </w:r>
            <w:r w:rsidR="006A07B1">
              <w:rPr>
                <w:noProof/>
                <w:webHidden/>
              </w:rPr>
              <w:tab/>
            </w:r>
            <w:r w:rsidR="006A07B1">
              <w:rPr>
                <w:noProof/>
                <w:webHidden/>
              </w:rPr>
              <w:fldChar w:fldCharType="begin"/>
            </w:r>
            <w:r w:rsidR="006A07B1">
              <w:rPr>
                <w:noProof/>
                <w:webHidden/>
              </w:rPr>
              <w:instrText xml:space="preserve"> PAGEREF _Toc57387160 \h </w:instrText>
            </w:r>
            <w:r w:rsidR="006A07B1">
              <w:rPr>
                <w:noProof/>
                <w:webHidden/>
              </w:rPr>
            </w:r>
            <w:r w:rsidR="006A07B1">
              <w:rPr>
                <w:noProof/>
                <w:webHidden/>
              </w:rPr>
              <w:fldChar w:fldCharType="separate"/>
            </w:r>
            <w:r w:rsidR="001E6FEC">
              <w:rPr>
                <w:noProof/>
                <w:webHidden/>
              </w:rPr>
              <w:t>7</w:t>
            </w:r>
            <w:r w:rsidR="006A07B1">
              <w:rPr>
                <w:noProof/>
                <w:webHidden/>
              </w:rPr>
              <w:fldChar w:fldCharType="end"/>
            </w:r>
          </w:hyperlink>
        </w:p>
        <w:p w14:paraId="1050E45E"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61" w:history="1">
            <w:r w:rsidR="006A07B1" w:rsidRPr="008060AA">
              <w:rPr>
                <w:rStyle w:val="Hyperlink"/>
                <w:rFonts w:ascii="Arial" w:eastAsia="Times New Roman" w:hAnsi="Arial" w:cs="Arial"/>
                <w:noProof/>
              </w:rPr>
              <w:t>Unregulated health workers</w:t>
            </w:r>
            <w:r w:rsidR="006A07B1">
              <w:rPr>
                <w:noProof/>
                <w:webHidden/>
              </w:rPr>
              <w:tab/>
            </w:r>
            <w:r w:rsidR="006A07B1">
              <w:rPr>
                <w:noProof/>
                <w:webHidden/>
              </w:rPr>
              <w:fldChar w:fldCharType="begin"/>
            </w:r>
            <w:r w:rsidR="006A07B1">
              <w:rPr>
                <w:noProof/>
                <w:webHidden/>
              </w:rPr>
              <w:instrText xml:space="preserve"> PAGEREF _Toc57387161 \h </w:instrText>
            </w:r>
            <w:r w:rsidR="006A07B1">
              <w:rPr>
                <w:noProof/>
                <w:webHidden/>
              </w:rPr>
            </w:r>
            <w:r w:rsidR="006A07B1">
              <w:rPr>
                <w:noProof/>
                <w:webHidden/>
              </w:rPr>
              <w:fldChar w:fldCharType="separate"/>
            </w:r>
            <w:r w:rsidR="001E6FEC">
              <w:rPr>
                <w:noProof/>
                <w:webHidden/>
              </w:rPr>
              <w:t>7</w:t>
            </w:r>
            <w:r w:rsidR="006A07B1">
              <w:rPr>
                <w:noProof/>
                <w:webHidden/>
              </w:rPr>
              <w:fldChar w:fldCharType="end"/>
            </w:r>
          </w:hyperlink>
        </w:p>
        <w:p w14:paraId="0A55AFD6"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62" w:history="1">
            <w:r w:rsidR="006A07B1" w:rsidRPr="008060AA">
              <w:rPr>
                <w:rStyle w:val="Hyperlink"/>
                <w:rFonts w:ascii="Arial" w:eastAsia="Times New Roman" w:hAnsi="Arial" w:cs="Arial"/>
                <w:noProof/>
              </w:rPr>
              <w:t>Recommendation 1</w:t>
            </w:r>
            <w:r w:rsidR="006A07B1">
              <w:rPr>
                <w:noProof/>
                <w:webHidden/>
              </w:rPr>
              <w:tab/>
            </w:r>
            <w:r w:rsidR="006A07B1">
              <w:rPr>
                <w:noProof/>
                <w:webHidden/>
              </w:rPr>
              <w:fldChar w:fldCharType="begin"/>
            </w:r>
            <w:r w:rsidR="006A07B1">
              <w:rPr>
                <w:noProof/>
                <w:webHidden/>
              </w:rPr>
              <w:instrText xml:space="preserve"> PAGEREF _Toc57387162 \h </w:instrText>
            </w:r>
            <w:r w:rsidR="006A07B1">
              <w:rPr>
                <w:noProof/>
                <w:webHidden/>
              </w:rPr>
            </w:r>
            <w:r w:rsidR="006A07B1">
              <w:rPr>
                <w:noProof/>
                <w:webHidden/>
              </w:rPr>
              <w:fldChar w:fldCharType="separate"/>
            </w:r>
            <w:r w:rsidR="001E6FEC">
              <w:rPr>
                <w:noProof/>
                <w:webHidden/>
              </w:rPr>
              <w:t>7</w:t>
            </w:r>
            <w:r w:rsidR="006A07B1">
              <w:rPr>
                <w:noProof/>
                <w:webHidden/>
              </w:rPr>
              <w:fldChar w:fldCharType="end"/>
            </w:r>
          </w:hyperlink>
        </w:p>
        <w:p w14:paraId="14476C60"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63" w:history="1">
            <w:r w:rsidR="006A07B1" w:rsidRPr="008060AA">
              <w:rPr>
                <w:rStyle w:val="Hyperlink"/>
                <w:rFonts w:ascii="Arial" w:eastAsia="Times New Roman" w:hAnsi="Arial" w:cs="Arial"/>
                <w:noProof/>
              </w:rPr>
              <w:t>Language, literacy and numeracy</w:t>
            </w:r>
            <w:r w:rsidR="006A07B1">
              <w:rPr>
                <w:noProof/>
                <w:webHidden/>
              </w:rPr>
              <w:tab/>
            </w:r>
            <w:r w:rsidR="006A07B1">
              <w:rPr>
                <w:noProof/>
                <w:webHidden/>
              </w:rPr>
              <w:fldChar w:fldCharType="begin"/>
            </w:r>
            <w:r w:rsidR="006A07B1">
              <w:rPr>
                <w:noProof/>
                <w:webHidden/>
              </w:rPr>
              <w:instrText xml:space="preserve"> PAGEREF _Toc57387163 \h </w:instrText>
            </w:r>
            <w:r w:rsidR="006A07B1">
              <w:rPr>
                <w:noProof/>
                <w:webHidden/>
              </w:rPr>
            </w:r>
            <w:r w:rsidR="006A07B1">
              <w:rPr>
                <w:noProof/>
                <w:webHidden/>
              </w:rPr>
              <w:fldChar w:fldCharType="separate"/>
            </w:r>
            <w:r w:rsidR="001E6FEC">
              <w:rPr>
                <w:noProof/>
                <w:webHidden/>
              </w:rPr>
              <w:t>8</w:t>
            </w:r>
            <w:r w:rsidR="006A07B1">
              <w:rPr>
                <w:noProof/>
                <w:webHidden/>
              </w:rPr>
              <w:fldChar w:fldCharType="end"/>
            </w:r>
          </w:hyperlink>
        </w:p>
        <w:p w14:paraId="13156B3B"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64" w:history="1">
            <w:r w:rsidR="006A07B1" w:rsidRPr="008060AA">
              <w:rPr>
                <w:rStyle w:val="Hyperlink"/>
                <w:rFonts w:ascii="Arial" w:eastAsia="Times New Roman" w:hAnsi="Arial" w:cs="Arial"/>
                <w:noProof/>
              </w:rPr>
              <w:t>Recommendation 2</w:t>
            </w:r>
            <w:r w:rsidR="006A07B1">
              <w:rPr>
                <w:noProof/>
                <w:webHidden/>
              </w:rPr>
              <w:tab/>
            </w:r>
            <w:r w:rsidR="006A07B1">
              <w:rPr>
                <w:noProof/>
                <w:webHidden/>
              </w:rPr>
              <w:fldChar w:fldCharType="begin"/>
            </w:r>
            <w:r w:rsidR="006A07B1">
              <w:rPr>
                <w:noProof/>
                <w:webHidden/>
              </w:rPr>
              <w:instrText xml:space="preserve"> PAGEREF _Toc57387164 \h </w:instrText>
            </w:r>
            <w:r w:rsidR="006A07B1">
              <w:rPr>
                <w:noProof/>
                <w:webHidden/>
              </w:rPr>
            </w:r>
            <w:r w:rsidR="006A07B1">
              <w:rPr>
                <w:noProof/>
                <w:webHidden/>
              </w:rPr>
              <w:fldChar w:fldCharType="separate"/>
            </w:r>
            <w:r w:rsidR="001E6FEC">
              <w:rPr>
                <w:noProof/>
                <w:webHidden/>
              </w:rPr>
              <w:t>8</w:t>
            </w:r>
            <w:r w:rsidR="006A07B1">
              <w:rPr>
                <w:noProof/>
                <w:webHidden/>
              </w:rPr>
              <w:fldChar w:fldCharType="end"/>
            </w:r>
          </w:hyperlink>
        </w:p>
        <w:p w14:paraId="37BF6D6F"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65" w:history="1">
            <w:r w:rsidR="006A07B1" w:rsidRPr="008060AA">
              <w:rPr>
                <w:rStyle w:val="Hyperlink"/>
                <w:rFonts w:ascii="Arial" w:eastAsia="Times New Roman" w:hAnsi="Arial" w:cs="Arial"/>
                <w:noProof/>
              </w:rPr>
              <w:t>Recommendation 3</w:t>
            </w:r>
            <w:r w:rsidR="006A07B1">
              <w:rPr>
                <w:noProof/>
                <w:webHidden/>
              </w:rPr>
              <w:tab/>
            </w:r>
            <w:r w:rsidR="006A07B1">
              <w:rPr>
                <w:noProof/>
                <w:webHidden/>
              </w:rPr>
              <w:fldChar w:fldCharType="begin"/>
            </w:r>
            <w:r w:rsidR="006A07B1">
              <w:rPr>
                <w:noProof/>
                <w:webHidden/>
              </w:rPr>
              <w:instrText xml:space="preserve"> PAGEREF _Toc57387165 \h </w:instrText>
            </w:r>
            <w:r w:rsidR="006A07B1">
              <w:rPr>
                <w:noProof/>
                <w:webHidden/>
              </w:rPr>
            </w:r>
            <w:r w:rsidR="006A07B1">
              <w:rPr>
                <w:noProof/>
                <w:webHidden/>
              </w:rPr>
              <w:fldChar w:fldCharType="separate"/>
            </w:r>
            <w:r w:rsidR="001E6FEC">
              <w:rPr>
                <w:noProof/>
                <w:webHidden/>
              </w:rPr>
              <w:t>8</w:t>
            </w:r>
            <w:r w:rsidR="006A07B1">
              <w:rPr>
                <w:noProof/>
                <w:webHidden/>
              </w:rPr>
              <w:fldChar w:fldCharType="end"/>
            </w:r>
          </w:hyperlink>
        </w:p>
        <w:p w14:paraId="45D5FB3D"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66" w:history="1">
            <w:r w:rsidR="006A07B1" w:rsidRPr="008060AA">
              <w:rPr>
                <w:rStyle w:val="Hyperlink"/>
                <w:rFonts w:ascii="Arial" w:eastAsia="Times New Roman" w:hAnsi="Arial" w:cs="Arial"/>
                <w:noProof/>
              </w:rPr>
              <w:t>Recommendation 4</w:t>
            </w:r>
            <w:r w:rsidR="006A07B1">
              <w:rPr>
                <w:noProof/>
                <w:webHidden/>
              </w:rPr>
              <w:tab/>
            </w:r>
            <w:r w:rsidR="006A07B1">
              <w:rPr>
                <w:noProof/>
                <w:webHidden/>
              </w:rPr>
              <w:fldChar w:fldCharType="begin"/>
            </w:r>
            <w:r w:rsidR="006A07B1">
              <w:rPr>
                <w:noProof/>
                <w:webHidden/>
              </w:rPr>
              <w:instrText xml:space="preserve"> PAGEREF _Toc57387166 \h </w:instrText>
            </w:r>
            <w:r w:rsidR="006A07B1">
              <w:rPr>
                <w:noProof/>
                <w:webHidden/>
              </w:rPr>
            </w:r>
            <w:r w:rsidR="006A07B1">
              <w:rPr>
                <w:noProof/>
                <w:webHidden/>
              </w:rPr>
              <w:fldChar w:fldCharType="separate"/>
            </w:r>
            <w:r w:rsidR="001E6FEC">
              <w:rPr>
                <w:noProof/>
                <w:webHidden/>
              </w:rPr>
              <w:t>8</w:t>
            </w:r>
            <w:r w:rsidR="006A07B1">
              <w:rPr>
                <w:noProof/>
                <w:webHidden/>
              </w:rPr>
              <w:fldChar w:fldCharType="end"/>
            </w:r>
          </w:hyperlink>
        </w:p>
        <w:p w14:paraId="3D142AAD" w14:textId="77777777" w:rsidR="006A07B1" w:rsidRDefault="00AC1563">
          <w:pPr>
            <w:pStyle w:val="TOC1"/>
            <w:tabs>
              <w:tab w:val="right" w:leader="dot" w:pos="9182"/>
            </w:tabs>
            <w:rPr>
              <w:rFonts w:asciiTheme="minorHAnsi" w:eastAsiaTheme="minorEastAsia" w:hAnsiTheme="minorHAnsi" w:cstheme="minorBidi"/>
              <w:noProof/>
              <w:sz w:val="22"/>
              <w:szCs w:val="22"/>
              <w:lang w:eastAsia="en-AU"/>
            </w:rPr>
          </w:pPr>
          <w:hyperlink w:anchor="_Toc57387167" w:history="1">
            <w:r w:rsidR="006A07B1" w:rsidRPr="008060AA">
              <w:rPr>
                <w:rStyle w:val="Hyperlink"/>
                <w:rFonts w:ascii="Arial" w:eastAsia="Times New Roman" w:hAnsi="Arial" w:cs="Arial"/>
                <w:noProof/>
              </w:rPr>
              <w:t>TRANSPARENCY</w:t>
            </w:r>
            <w:r w:rsidR="006A07B1">
              <w:rPr>
                <w:noProof/>
                <w:webHidden/>
              </w:rPr>
              <w:tab/>
            </w:r>
            <w:r w:rsidR="006A07B1">
              <w:rPr>
                <w:noProof/>
                <w:webHidden/>
              </w:rPr>
              <w:fldChar w:fldCharType="begin"/>
            </w:r>
            <w:r w:rsidR="006A07B1">
              <w:rPr>
                <w:noProof/>
                <w:webHidden/>
              </w:rPr>
              <w:instrText xml:space="preserve"> PAGEREF _Toc57387167 \h </w:instrText>
            </w:r>
            <w:r w:rsidR="006A07B1">
              <w:rPr>
                <w:noProof/>
                <w:webHidden/>
              </w:rPr>
            </w:r>
            <w:r w:rsidR="006A07B1">
              <w:rPr>
                <w:noProof/>
                <w:webHidden/>
              </w:rPr>
              <w:fldChar w:fldCharType="separate"/>
            </w:r>
            <w:r w:rsidR="001E6FEC">
              <w:rPr>
                <w:noProof/>
                <w:webHidden/>
              </w:rPr>
              <w:t>9</w:t>
            </w:r>
            <w:r w:rsidR="006A07B1">
              <w:rPr>
                <w:noProof/>
                <w:webHidden/>
              </w:rPr>
              <w:fldChar w:fldCharType="end"/>
            </w:r>
          </w:hyperlink>
        </w:p>
        <w:p w14:paraId="49B60EAE"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68" w:history="1">
            <w:r w:rsidR="006A07B1" w:rsidRPr="008060AA">
              <w:rPr>
                <w:rStyle w:val="Hyperlink"/>
                <w:rFonts w:ascii="Arial" w:eastAsia="Times New Roman" w:hAnsi="Arial" w:cs="Arial"/>
                <w:noProof/>
              </w:rPr>
              <w:t>Recommendation 5</w:t>
            </w:r>
            <w:r w:rsidR="006A07B1">
              <w:rPr>
                <w:noProof/>
                <w:webHidden/>
              </w:rPr>
              <w:tab/>
            </w:r>
            <w:r w:rsidR="006A07B1">
              <w:rPr>
                <w:noProof/>
                <w:webHidden/>
              </w:rPr>
              <w:fldChar w:fldCharType="begin"/>
            </w:r>
            <w:r w:rsidR="006A07B1">
              <w:rPr>
                <w:noProof/>
                <w:webHidden/>
              </w:rPr>
              <w:instrText xml:space="preserve"> PAGEREF _Toc57387168 \h </w:instrText>
            </w:r>
            <w:r w:rsidR="006A07B1">
              <w:rPr>
                <w:noProof/>
                <w:webHidden/>
              </w:rPr>
            </w:r>
            <w:r w:rsidR="006A07B1">
              <w:rPr>
                <w:noProof/>
                <w:webHidden/>
              </w:rPr>
              <w:fldChar w:fldCharType="separate"/>
            </w:r>
            <w:r w:rsidR="001E6FEC">
              <w:rPr>
                <w:noProof/>
                <w:webHidden/>
              </w:rPr>
              <w:t>9</w:t>
            </w:r>
            <w:r w:rsidR="006A07B1">
              <w:rPr>
                <w:noProof/>
                <w:webHidden/>
              </w:rPr>
              <w:fldChar w:fldCharType="end"/>
            </w:r>
          </w:hyperlink>
        </w:p>
        <w:p w14:paraId="685E0F43" w14:textId="77777777" w:rsidR="006A07B1" w:rsidRDefault="00AC1563">
          <w:pPr>
            <w:pStyle w:val="TOC1"/>
            <w:tabs>
              <w:tab w:val="right" w:leader="dot" w:pos="9182"/>
            </w:tabs>
            <w:rPr>
              <w:rFonts w:asciiTheme="minorHAnsi" w:eastAsiaTheme="minorEastAsia" w:hAnsiTheme="minorHAnsi" w:cstheme="minorBidi"/>
              <w:noProof/>
              <w:sz w:val="22"/>
              <w:szCs w:val="22"/>
              <w:lang w:eastAsia="en-AU"/>
            </w:rPr>
          </w:pPr>
          <w:hyperlink w:anchor="_Toc57387169" w:history="1">
            <w:r w:rsidR="006A07B1" w:rsidRPr="008060AA">
              <w:rPr>
                <w:rStyle w:val="Hyperlink"/>
                <w:rFonts w:ascii="Arial" w:eastAsia="Times New Roman" w:hAnsi="Arial" w:cs="Arial"/>
                <w:noProof/>
              </w:rPr>
              <w:t>REALITY SHOCK: ARE GRADUATE NURSES READY FOR WORK?</w:t>
            </w:r>
            <w:r w:rsidR="006A07B1">
              <w:rPr>
                <w:noProof/>
                <w:webHidden/>
              </w:rPr>
              <w:tab/>
            </w:r>
            <w:r w:rsidR="006A07B1">
              <w:rPr>
                <w:noProof/>
                <w:webHidden/>
              </w:rPr>
              <w:fldChar w:fldCharType="begin"/>
            </w:r>
            <w:r w:rsidR="006A07B1">
              <w:rPr>
                <w:noProof/>
                <w:webHidden/>
              </w:rPr>
              <w:instrText xml:space="preserve"> PAGEREF _Toc57387169 \h </w:instrText>
            </w:r>
            <w:r w:rsidR="006A07B1">
              <w:rPr>
                <w:noProof/>
                <w:webHidden/>
              </w:rPr>
            </w:r>
            <w:r w:rsidR="006A07B1">
              <w:rPr>
                <w:noProof/>
                <w:webHidden/>
              </w:rPr>
              <w:fldChar w:fldCharType="separate"/>
            </w:r>
            <w:r w:rsidR="001E6FEC">
              <w:rPr>
                <w:noProof/>
                <w:webHidden/>
              </w:rPr>
              <w:t>9</w:t>
            </w:r>
            <w:r w:rsidR="006A07B1">
              <w:rPr>
                <w:noProof/>
                <w:webHidden/>
              </w:rPr>
              <w:fldChar w:fldCharType="end"/>
            </w:r>
          </w:hyperlink>
        </w:p>
        <w:p w14:paraId="7B7C6650"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70" w:history="1">
            <w:r w:rsidR="006A07B1" w:rsidRPr="008060AA">
              <w:rPr>
                <w:rStyle w:val="Hyperlink"/>
                <w:rFonts w:ascii="Arial" w:eastAsia="Times New Roman" w:hAnsi="Arial" w:cs="Arial"/>
                <w:noProof/>
              </w:rPr>
              <w:t>What can we expect from a graduate nurse</w:t>
            </w:r>
            <w:r w:rsidR="006A07B1">
              <w:rPr>
                <w:noProof/>
                <w:webHidden/>
              </w:rPr>
              <w:tab/>
            </w:r>
            <w:r w:rsidR="006A07B1">
              <w:rPr>
                <w:noProof/>
                <w:webHidden/>
              </w:rPr>
              <w:fldChar w:fldCharType="begin"/>
            </w:r>
            <w:r w:rsidR="006A07B1">
              <w:rPr>
                <w:noProof/>
                <w:webHidden/>
              </w:rPr>
              <w:instrText xml:space="preserve"> PAGEREF _Toc57387170 \h </w:instrText>
            </w:r>
            <w:r w:rsidR="006A07B1">
              <w:rPr>
                <w:noProof/>
                <w:webHidden/>
              </w:rPr>
            </w:r>
            <w:r w:rsidR="006A07B1">
              <w:rPr>
                <w:noProof/>
                <w:webHidden/>
              </w:rPr>
              <w:fldChar w:fldCharType="separate"/>
            </w:r>
            <w:r w:rsidR="001E6FEC">
              <w:rPr>
                <w:noProof/>
                <w:webHidden/>
              </w:rPr>
              <w:t>9</w:t>
            </w:r>
            <w:r w:rsidR="006A07B1">
              <w:rPr>
                <w:noProof/>
                <w:webHidden/>
              </w:rPr>
              <w:fldChar w:fldCharType="end"/>
            </w:r>
          </w:hyperlink>
        </w:p>
        <w:p w14:paraId="6E6DF742"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71" w:history="1">
            <w:r w:rsidR="006A07B1" w:rsidRPr="008060AA">
              <w:rPr>
                <w:rStyle w:val="Hyperlink"/>
                <w:rFonts w:ascii="Arial" w:eastAsia="Times New Roman" w:hAnsi="Arial" w:cs="Arial"/>
                <w:noProof/>
              </w:rPr>
              <w:t>Recommendation 6</w:t>
            </w:r>
            <w:r w:rsidR="006A07B1">
              <w:rPr>
                <w:noProof/>
                <w:webHidden/>
              </w:rPr>
              <w:tab/>
            </w:r>
            <w:r w:rsidR="006A07B1">
              <w:rPr>
                <w:noProof/>
                <w:webHidden/>
              </w:rPr>
              <w:fldChar w:fldCharType="begin"/>
            </w:r>
            <w:r w:rsidR="006A07B1">
              <w:rPr>
                <w:noProof/>
                <w:webHidden/>
              </w:rPr>
              <w:instrText xml:space="preserve"> PAGEREF _Toc57387171 \h </w:instrText>
            </w:r>
            <w:r w:rsidR="006A07B1">
              <w:rPr>
                <w:noProof/>
                <w:webHidden/>
              </w:rPr>
            </w:r>
            <w:r w:rsidR="006A07B1">
              <w:rPr>
                <w:noProof/>
                <w:webHidden/>
              </w:rPr>
              <w:fldChar w:fldCharType="separate"/>
            </w:r>
            <w:r w:rsidR="001E6FEC">
              <w:rPr>
                <w:noProof/>
                <w:webHidden/>
              </w:rPr>
              <w:t>9</w:t>
            </w:r>
            <w:r w:rsidR="006A07B1">
              <w:rPr>
                <w:noProof/>
                <w:webHidden/>
              </w:rPr>
              <w:fldChar w:fldCharType="end"/>
            </w:r>
          </w:hyperlink>
        </w:p>
        <w:p w14:paraId="0BB383E9" w14:textId="77777777" w:rsidR="006A07B1" w:rsidRDefault="00AC1563">
          <w:pPr>
            <w:pStyle w:val="TOC1"/>
            <w:tabs>
              <w:tab w:val="right" w:leader="dot" w:pos="9182"/>
            </w:tabs>
            <w:rPr>
              <w:rFonts w:asciiTheme="minorHAnsi" w:eastAsiaTheme="minorEastAsia" w:hAnsiTheme="minorHAnsi" w:cstheme="minorBidi"/>
              <w:noProof/>
              <w:sz w:val="22"/>
              <w:szCs w:val="22"/>
              <w:lang w:eastAsia="en-AU"/>
            </w:rPr>
          </w:pPr>
          <w:hyperlink w:anchor="_Toc57387172" w:history="1">
            <w:r w:rsidR="006A07B1" w:rsidRPr="008060AA">
              <w:rPr>
                <w:rStyle w:val="Hyperlink"/>
                <w:rFonts w:ascii="Arial" w:eastAsia="Times New Roman" w:hAnsi="Arial" w:cs="Arial"/>
                <w:noProof/>
              </w:rPr>
              <w:t>REDUCING REALITY SHOCK</w:t>
            </w:r>
            <w:r w:rsidR="006A07B1">
              <w:rPr>
                <w:noProof/>
                <w:webHidden/>
              </w:rPr>
              <w:tab/>
            </w:r>
            <w:r w:rsidR="006A07B1">
              <w:rPr>
                <w:noProof/>
                <w:webHidden/>
              </w:rPr>
              <w:fldChar w:fldCharType="begin"/>
            </w:r>
            <w:r w:rsidR="006A07B1">
              <w:rPr>
                <w:noProof/>
                <w:webHidden/>
              </w:rPr>
              <w:instrText xml:space="preserve"> PAGEREF _Toc57387172 \h </w:instrText>
            </w:r>
            <w:r w:rsidR="006A07B1">
              <w:rPr>
                <w:noProof/>
                <w:webHidden/>
              </w:rPr>
            </w:r>
            <w:r w:rsidR="006A07B1">
              <w:rPr>
                <w:noProof/>
                <w:webHidden/>
              </w:rPr>
              <w:fldChar w:fldCharType="separate"/>
            </w:r>
            <w:r w:rsidR="001E6FEC">
              <w:rPr>
                <w:noProof/>
                <w:webHidden/>
              </w:rPr>
              <w:t>10</w:t>
            </w:r>
            <w:r w:rsidR="006A07B1">
              <w:rPr>
                <w:noProof/>
                <w:webHidden/>
              </w:rPr>
              <w:fldChar w:fldCharType="end"/>
            </w:r>
          </w:hyperlink>
        </w:p>
        <w:p w14:paraId="00D82889"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73" w:history="1">
            <w:r w:rsidR="006A07B1" w:rsidRPr="008060AA">
              <w:rPr>
                <w:rStyle w:val="Hyperlink"/>
                <w:rFonts w:ascii="Arial" w:eastAsia="Times New Roman" w:hAnsi="Arial" w:cs="Arial"/>
                <w:noProof/>
              </w:rPr>
              <w:t>Assuring the quality of professional experience placements</w:t>
            </w:r>
            <w:r w:rsidR="006A07B1">
              <w:rPr>
                <w:noProof/>
                <w:webHidden/>
              </w:rPr>
              <w:tab/>
            </w:r>
            <w:r w:rsidR="006A07B1">
              <w:rPr>
                <w:noProof/>
                <w:webHidden/>
              </w:rPr>
              <w:fldChar w:fldCharType="begin"/>
            </w:r>
            <w:r w:rsidR="006A07B1">
              <w:rPr>
                <w:noProof/>
                <w:webHidden/>
              </w:rPr>
              <w:instrText xml:space="preserve"> PAGEREF _Toc57387173 \h </w:instrText>
            </w:r>
            <w:r w:rsidR="006A07B1">
              <w:rPr>
                <w:noProof/>
                <w:webHidden/>
              </w:rPr>
            </w:r>
            <w:r w:rsidR="006A07B1">
              <w:rPr>
                <w:noProof/>
                <w:webHidden/>
              </w:rPr>
              <w:fldChar w:fldCharType="separate"/>
            </w:r>
            <w:r w:rsidR="001E6FEC">
              <w:rPr>
                <w:noProof/>
                <w:webHidden/>
              </w:rPr>
              <w:t>10</w:t>
            </w:r>
            <w:r w:rsidR="006A07B1">
              <w:rPr>
                <w:noProof/>
                <w:webHidden/>
              </w:rPr>
              <w:fldChar w:fldCharType="end"/>
            </w:r>
          </w:hyperlink>
        </w:p>
        <w:p w14:paraId="7F97CDA8"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74" w:history="1">
            <w:r w:rsidR="006A07B1" w:rsidRPr="008060AA">
              <w:rPr>
                <w:rStyle w:val="Hyperlink"/>
                <w:rFonts w:ascii="Arial" w:eastAsia="Times New Roman" w:hAnsi="Arial" w:cs="Arial"/>
                <w:noProof/>
              </w:rPr>
              <w:t>Recommendation 7</w:t>
            </w:r>
            <w:r w:rsidR="006A07B1">
              <w:rPr>
                <w:noProof/>
                <w:webHidden/>
              </w:rPr>
              <w:tab/>
            </w:r>
            <w:r w:rsidR="006A07B1">
              <w:rPr>
                <w:noProof/>
                <w:webHidden/>
              </w:rPr>
              <w:fldChar w:fldCharType="begin"/>
            </w:r>
            <w:r w:rsidR="006A07B1">
              <w:rPr>
                <w:noProof/>
                <w:webHidden/>
              </w:rPr>
              <w:instrText xml:space="preserve"> PAGEREF _Toc57387174 \h </w:instrText>
            </w:r>
            <w:r w:rsidR="006A07B1">
              <w:rPr>
                <w:noProof/>
                <w:webHidden/>
              </w:rPr>
            </w:r>
            <w:r w:rsidR="006A07B1">
              <w:rPr>
                <w:noProof/>
                <w:webHidden/>
              </w:rPr>
              <w:fldChar w:fldCharType="separate"/>
            </w:r>
            <w:r w:rsidR="001E6FEC">
              <w:rPr>
                <w:noProof/>
                <w:webHidden/>
              </w:rPr>
              <w:t>10</w:t>
            </w:r>
            <w:r w:rsidR="006A07B1">
              <w:rPr>
                <w:noProof/>
                <w:webHidden/>
              </w:rPr>
              <w:fldChar w:fldCharType="end"/>
            </w:r>
          </w:hyperlink>
        </w:p>
        <w:p w14:paraId="7DB9A794"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75" w:history="1">
            <w:r w:rsidR="006A07B1" w:rsidRPr="008060AA">
              <w:rPr>
                <w:rStyle w:val="Hyperlink"/>
                <w:rFonts w:ascii="Arial" w:eastAsia="Times New Roman" w:hAnsi="Arial" w:cs="Arial"/>
                <w:noProof/>
              </w:rPr>
              <w:t>Recommendation 8</w:t>
            </w:r>
            <w:r w:rsidR="006A07B1">
              <w:rPr>
                <w:noProof/>
                <w:webHidden/>
              </w:rPr>
              <w:tab/>
            </w:r>
            <w:r w:rsidR="006A07B1">
              <w:rPr>
                <w:noProof/>
                <w:webHidden/>
              </w:rPr>
              <w:fldChar w:fldCharType="begin"/>
            </w:r>
            <w:r w:rsidR="006A07B1">
              <w:rPr>
                <w:noProof/>
                <w:webHidden/>
              </w:rPr>
              <w:instrText xml:space="preserve"> PAGEREF _Toc57387175 \h </w:instrText>
            </w:r>
            <w:r w:rsidR="006A07B1">
              <w:rPr>
                <w:noProof/>
                <w:webHidden/>
              </w:rPr>
            </w:r>
            <w:r w:rsidR="006A07B1">
              <w:rPr>
                <w:noProof/>
                <w:webHidden/>
              </w:rPr>
              <w:fldChar w:fldCharType="separate"/>
            </w:r>
            <w:r w:rsidR="001E6FEC">
              <w:rPr>
                <w:noProof/>
                <w:webHidden/>
              </w:rPr>
              <w:t>10</w:t>
            </w:r>
            <w:r w:rsidR="006A07B1">
              <w:rPr>
                <w:noProof/>
                <w:webHidden/>
              </w:rPr>
              <w:fldChar w:fldCharType="end"/>
            </w:r>
          </w:hyperlink>
        </w:p>
        <w:p w14:paraId="565EE6C1"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76" w:history="1">
            <w:r w:rsidR="006A07B1" w:rsidRPr="008060AA">
              <w:rPr>
                <w:rStyle w:val="Hyperlink"/>
                <w:rFonts w:ascii="Arial" w:eastAsia="Times New Roman" w:hAnsi="Arial" w:cs="Arial"/>
                <w:noProof/>
              </w:rPr>
              <w:t>Recommendation 9</w:t>
            </w:r>
            <w:r w:rsidR="006A07B1">
              <w:rPr>
                <w:noProof/>
                <w:webHidden/>
              </w:rPr>
              <w:tab/>
            </w:r>
            <w:r w:rsidR="006A07B1">
              <w:rPr>
                <w:noProof/>
                <w:webHidden/>
              </w:rPr>
              <w:fldChar w:fldCharType="begin"/>
            </w:r>
            <w:r w:rsidR="006A07B1">
              <w:rPr>
                <w:noProof/>
                <w:webHidden/>
              </w:rPr>
              <w:instrText xml:space="preserve"> PAGEREF _Toc57387176 \h </w:instrText>
            </w:r>
            <w:r w:rsidR="006A07B1">
              <w:rPr>
                <w:noProof/>
                <w:webHidden/>
              </w:rPr>
            </w:r>
            <w:r w:rsidR="006A07B1">
              <w:rPr>
                <w:noProof/>
                <w:webHidden/>
              </w:rPr>
              <w:fldChar w:fldCharType="separate"/>
            </w:r>
            <w:r w:rsidR="001E6FEC">
              <w:rPr>
                <w:noProof/>
                <w:webHidden/>
              </w:rPr>
              <w:t>10</w:t>
            </w:r>
            <w:r w:rsidR="006A07B1">
              <w:rPr>
                <w:noProof/>
                <w:webHidden/>
              </w:rPr>
              <w:fldChar w:fldCharType="end"/>
            </w:r>
          </w:hyperlink>
        </w:p>
        <w:p w14:paraId="11C75C0C"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77" w:history="1">
            <w:r w:rsidR="006A07B1" w:rsidRPr="008060AA">
              <w:rPr>
                <w:rStyle w:val="Hyperlink"/>
                <w:rFonts w:ascii="Arial" w:hAnsi="Arial" w:cs="Arial"/>
                <w:noProof/>
              </w:rPr>
              <w:t>How many placement hours are sufficient</w:t>
            </w:r>
            <w:r w:rsidR="006A07B1">
              <w:rPr>
                <w:noProof/>
                <w:webHidden/>
              </w:rPr>
              <w:tab/>
            </w:r>
            <w:r w:rsidR="006A07B1">
              <w:rPr>
                <w:noProof/>
                <w:webHidden/>
              </w:rPr>
              <w:fldChar w:fldCharType="begin"/>
            </w:r>
            <w:r w:rsidR="006A07B1">
              <w:rPr>
                <w:noProof/>
                <w:webHidden/>
              </w:rPr>
              <w:instrText xml:space="preserve"> PAGEREF _Toc57387177 \h </w:instrText>
            </w:r>
            <w:r w:rsidR="006A07B1">
              <w:rPr>
                <w:noProof/>
                <w:webHidden/>
              </w:rPr>
            </w:r>
            <w:r w:rsidR="006A07B1">
              <w:rPr>
                <w:noProof/>
                <w:webHidden/>
              </w:rPr>
              <w:fldChar w:fldCharType="separate"/>
            </w:r>
            <w:r w:rsidR="001E6FEC">
              <w:rPr>
                <w:noProof/>
                <w:webHidden/>
              </w:rPr>
              <w:t>11</w:t>
            </w:r>
            <w:r w:rsidR="006A07B1">
              <w:rPr>
                <w:noProof/>
                <w:webHidden/>
              </w:rPr>
              <w:fldChar w:fldCharType="end"/>
            </w:r>
          </w:hyperlink>
        </w:p>
        <w:p w14:paraId="2822FB59"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78" w:history="1">
            <w:r w:rsidR="006A07B1" w:rsidRPr="008060AA">
              <w:rPr>
                <w:rStyle w:val="Hyperlink"/>
                <w:rFonts w:ascii="Arial" w:eastAsia="Times New Roman" w:hAnsi="Arial" w:cs="Arial"/>
                <w:noProof/>
              </w:rPr>
              <w:t>Recommendation 10</w:t>
            </w:r>
            <w:r w:rsidR="006A07B1">
              <w:rPr>
                <w:noProof/>
                <w:webHidden/>
              </w:rPr>
              <w:tab/>
            </w:r>
            <w:r w:rsidR="006A07B1">
              <w:rPr>
                <w:noProof/>
                <w:webHidden/>
              </w:rPr>
              <w:fldChar w:fldCharType="begin"/>
            </w:r>
            <w:r w:rsidR="006A07B1">
              <w:rPr>
                <w:noProof/>
                <w:webHidden/>
              </w:rPr>
              <w:instrText xml:space="preserve"> PAGEREF _Toc57387178 \h </w:instrText>
            </w:r>
            <w:r w:rsidR="006A07B1">
              <w:rPr>
                <w:noProof/>
                <w:webHidden/>
              </w:rPr>
            </w:r>
            <w:r w:rsidR="006A07B1">
              <w:rPr>
                <w:noProof/>
                <w:webHidden/>
              </w:rPr>
              <w:fldChar w:fldCharType="separate"/>
            </w:r>
            <w:r w:rsidR="001E6FEC">
              <w:rPr>
                <w:noProof/>
                <w:webHidden/>
              </w:rPr>
              <w:t>11</w:t>
            </w:r>
            <w:r w:rsidR="006A07B1">
              <w:rPr>
                <w:noProof/>
                <w:webHidden/>
              </w:rPr>
              <w:fldChar w:fldCharType="end"/>
            </w:r>
          </w:hyperlink>
        </w:p>
        <w:p w14:paraId="611147A4"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79" w:history="1">
            <w:r w:rsidR="006A07B1" w:rsidRPr="008060AA">
              <w:rPr>
                <w:rStyle w:val="Hyperlink"/>
                <w:rFonts w:ascii="Arial" w:eastAsia="Times New Roman" w:hAnsi="Arial" w:cs="Arial"/>
                <w:noProof/>
              </w:rPr>
              <w:t>Independent pre-registration examinations</w:t>
            </w:r>
            <w:r w:rsidR="006A07B1">
              <w:rPr>
                <w:noProof/>
                <w:webHidden/>
              </w:rPr>
              <w:tab/>
            </w:r>
            <w:r w:rsidR="006A07B1">
              <w:rPr>
                <w:noProof/>
                <w:webHidden/>
              </w:rPr>
              <w:fldChar w:fldCharType="begin"/>
            </w:r>
            <w:r w:rsidR="006A07B1">
              <w:rPr>
                <w:noProof/>
                <w:webHidden/>
              </w:rPr>
              <w:instrText xml:space="preserve"> PAGEREF _Toc57387179 \h </w:instrText>
            </w:r>
            <w:r w:rsidR="006A07B1">
              <w:rPr>
                <w:noProof/>
                <w:webHidden/>
              </w:rPr>
            </w:r>
            <w:r w:rsidR="006A07B1">
              <w:rPr>
                <w:noProof/>
                <w:webHidden/>
              </w:rPr>
              <w:fldChar w:fldCharType="separate"/>
            </w:r>
            <w:r w:rsidR="001E6FEC">
              <w:rPr>
                <w:noProof/>
                <w:webHidden/>
              </w:rPr>
              <w:t>11</w:t>
            </w:r>
            <w:r w:rsidR="006A07B1">
              <w:rPr>
                <w:noProof/>
                <w:webHidden/>
              </w:rPr>
              <w:fldChar w:fldCharType="end"/>
            </w:r>
          </w:hyperlink>
        </w:p>
        <w:p w14:paraId="6EF65543"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80" w:history="1">
            <w:r w:rsidR="006A07B1" w:rsidRPr="008060AA">
              <w:rPr>
                <w:rStyle w:val="Hyperlink"/>
                <w:rFonts w:ascii="Arial" w:eastAsia="Times New Roman" w:hAnsi="Arial" w:cs="Arial"/>
                <w:noProof/>
              </w:rPr>
              <w:t>Recommendation 11</w:t>
            </w:r>
            <w:r w:rsidR="006A07B1">
              <w:rPr>
                <w:noProof/>
                <w:webHidden/>
              </w:rPr>
              <w:tab/>
            </w:r>
            <w:r w:rsidR="006A07B1">
              <w:rPr>
                <w:noProof/>
                <w:webHidden/>
              </w:rPr>
              <w:fldChar w:fldCharType="begin"/>
            </w:r>
            <w:r w:rsidR="006A07B1">
              <w:rPr>
                <w:noProof/>
                <w:webHidden/>
              </w:rPr>
              <w:instrText xml:space="preserve"> PAGEREF _Toc57387180 \h </w:instrText>
            </w:r>
            <w:r w:rsidR="006A07B1">
              <w:rPr>
                <w:noProof/>
                <w:webHidden/>
              </w:rPr>
            </w:r>
            <w:r w:rsidR="006A07B1">
              <w:rPr>
                <w:noProof/>
                <w:webHidden/>
              </w:rPr>
              <w:fldChar w:fldCharType="separate"/>
            </w:r>
            <w:r w:rsidR="001E6FEC">
              <w:rPr>
                <w:noProof/>
                <w:webHidden/>
              </w:rPr>
              <w:t>11</w:t>
            </w:r>
            <w:r w:rsidR="006A07B1">
              <w:rPr>
                <w:noProof/>
                <w:webHidden/>
              </w:rPr>
              <w:fldChar w:fldCharType="end"/>
            </w:r>
          </w:hyperlink>
        </w:p>
        <w:p w14:paraId="7B31E0C0"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81" w:history="1">
            <w:r w:rsidR="006A07B1" w:rsidRPr="008060AA">
              <w:rPr>
                <w:rStyle w:val="Hyperlink"/>
                <w:rFonts w:ascii="Arial" w:eastAsia="Times New Roman" w:hAnsi="Arial" w:cs="Arial"/>
                <w:noProof/>
              </w:rPr>
              <w:t>Extending the bachelor of nursing degree: adding years vs articulation</w:t>
            </w:r>
            <w:r w:rsidR="006A07B1">
              <w:rPr>
                <w:noProof/>
                <w:webHidden/>
              </w:rPr>
              <w:tab/>
            </w:r>
            <w:r w:rsidR="006A07B1">
              <w:rPr>
                <w:noProof/>
                <w:webHidden/>
              </w:rPr>
              <w:fldChar w:fldCharType="begin"/>
            </w:r>
            <w:r w:rsidR="006A07B1">
              <w:rPr>
                <w:noProof/>
                <w:webHidden/>
              </w:rPr>
              <w:instrText xml:space="preserve"> PAGEREF _Toc57387181 \h </w:instrText>
            </w:r>
            <w:r w:rsidR="006A07B1">
              <w:rPr>
                <w:noProof/>
                <w:webHidden/>
              </w:rPr>
            </w:r>
            <w:r w:rsidR="006A07B1">
              <w:rPr>
                <w:noProof/>
                <w:webHidden/>
              </w:rPr>
              <w:fldChar w:fldCharType="separate"/>
            </w:r>
            <w:r w:rsidR="001E6FEC">
              <w:rPr>
                <w:noProof/>
                <w:webHidden/>
              </w:rPr>
              <w:t>11</w:t>
            </w:r>
            <w:r w:rsidR="006A07B1">
              <w:rPr>
                <w:noProof/>
                <w:webHidden/>
              </w:rPr>
              <w:fldChar w:fldCharType="end"/>
            </w:r>
          </w:hyperlink>
        </w:p>
        <w:p w14:paraId="438817DE"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82" w:history="1">
            <w:r w:rsidR="006A07B1" w:rsidRPr="008060AA">
              <w:rPr>
                <w:rStyle w:val="Hyperlink"/>
                <w:rFonts w:ascii="Arial" w:eastAsia="Times New Roman" w:hAnsi="Arial" w:cs="Arial"/>
                <w:noProof/>
              </w:rPr>
              <w:t>Recommendation 12</w:t>
            </w:r>
            <w:r w:rsidR="006A07B1">
              <w:rPr>
                <w:noProof/>
                <w:webHidden/>
              </w:rPr>
              <w:tab/>
            </w:r>
            <w:r w:rsidR="006A07B1">
              <w:rPr>
                <w:noProof/>
                <w:webHidden/>
              </w:rPr>
              <w:fldChar w:fldCharType="begin"/>
            </w:r>
            <w:r w:rsidR="006A07B1">
              <w:rPr>
                <w:noProof/>
                <w:webHidden/>
              </w:rPr>
              <w:instrText xml:space="preserve"> PAGEREF _Toc57387182 \h </w:instrText>
            </w:r>
            <w:r w:rsidR="006A07B1">
              <w:rPr>
                <w:noProof/>
                <w:webHidden/>
              </w:rPr>
            </w:r>
            <w:r w:rsidR="006A07B1">
              <w:rPr>
                <w:noProof/>
                <w:webHidden/>
              </w:rPr>
              <w:fldChar w:fldCharType="separate"/>
            </w:r>
            <w:r w:rsidR="001E6FEC">
              <w:rPr>
                <w:noProof/>
                <w:webHidden/>
              </w:rPr>
              <w:t>11</w:t>
            </w:r>
            <w:r w:rsidR="006A07B1">
              <w:rPr>
                <w:noProof/>
                <w:webHidden/>
              </w:rPr>
              <w:fldChar w:fldCharType="end"/>
            </w:r>
          </w:hyperlink>
        </w:p>
        <w:p w14:paraId="57086BB3"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83" w:history="1">
            <w:r w:rsidR="006A07B1" w:rsidRPr="008060AA">
              <w:rPr>
                <w:rStyle w:val="Hyperlink"/>
                <w:rFonts w:ascii="Arial" w:eastAsia="Times New Roman" w:hAnsi="Arial" w:cs="Arial"/>
                <w:noProof/>
              </w:rPr>
              <w:t>Standards for transition to practice programs</w:t>
            </w:r>
            <w:r w:rsidR="006A07B1">
              <w:rPr>
                <w:noProof/>
                <w:webHidden/>
              </w:rPr>
              <w:tab/>
            </w:r>
            <w:r w:rsidR="006A07B1">
              <w:rPr>
                <w:noProof/>
                <w:webHidden/>
              </w:rPr>
              <w:fldChar w:fldCharType="begin"/>
            </w:r>
            <w:r w:rsidR="006A07B1">
              <w:rPr>
                <w:noProof/>
                <w:webHidden/>
              </w:rPr>
              <w:instrText xml:space="preserve"> PAGEREF _Toc57387183 \h </w:instrText>
            </w:r>
            <w:r w:rsidR="006A07B1">
              <w:rPr>
                <w:noProof/>
                <w:webHidden/>
              </w:rPr>
            </w:r>
            <w:r w:rsidR="006A07B1">
              <w:rPr>
                <w:noProof/>
                <w:webHidden/>
              </w:rPr>
              <w:fldChar w:fldCharType="separate"/>
            </w:r>
            <w:r w:rsidR="001E6FEC">
              <w:rPr>
                <w:noProof/>
                <w:webHidden/>
              </w:rPr>
              <w:t>12</w:t>
            </w:r>
            <w:r w:rsidR="006A07B1">
              <w:rPr>
                <w:noProof/>
                <w:webHidden/>
              </w:rPr>
              <w:fldChar w:fldCharType="end"/>
            </w:r>
          </w:hyperlink>
        </w:p>
        <w:p w14:paraId="791899E0"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84" w:history="1">
            <w:r w:rsidR="006A07B1" w:rsidRPr="008060AA">
              <w:rPr>
                <w:rStyle w:val="Hyperlink"/>
                <w:rFonts w:ascii="Arial" w:eastAsia="Times New Roman" w:hAnsi="Arial" w:cs="Arial"/>
                <w:noProof/>
              </w:rPr>
              <w:t>Recommendation 13</w:t>
            </w:r>
            <w:r w:rsidR="006A07B1">
              <w:rPr>
                <w:noProof/>
                <w:webHidden/>
              </w:rPr>
              <w:tab/>
            </w:r>
            <w:r w:rsidR="006A07B1">
              <w:rPr>
                <w:noProof/>
                <w:webHidden/>
              </w:rPr>
              <w:fldChar w:fldCharType="begin"/>
            </w:r>
            <w:r w:rsidR="006A07B1">
              <w:rPr>
                <w:noProof/>
                <w:webHidden/>
              </w:rPr>
              <w:instrText xml:space="preserve"> PAGEREF _Toc57387184 \h </w:instrText>
            </w:r>
            <w:r w:rsidR="006A07B1">
              <w:rPr>
                <w:noProof/>
                <w:webHidden/>
              </w:rPr>
            </w:r>
            <w:r w:rsidR="006A07B1">
              <w:rPr>
                <w:noProof/>
                <w:webHidden/>
              </w:rPr>
              <w:fldChar w:fldCharType="separate"/>
            </w:r>
            <w:r w:rsidR="001E6FEC">
              <w:rPr>
                <w:noProof/>
                <w:webHidden/>
              </w:rPr>
              <w:t>12</w:t>
            </w:r>
            <w:r w:rsidR="006A07B1">
              <w:rPr>
                <w:noProof/>
                <w:webHidden/>
              </w:rPr>
              <w:fldChar w:fldCharType="end"/>
            </w:r>
          </w:hyperlink>
        </w:p>
        <w:p w14:paraId="3FD41D23" w14:textId="77777777" w:rsidR="006A07B1" w:rsidRDefault="00AC1563">
          <w:pPr>
            <w:pStyle w:val="TOC1"/>
            <w:tabs>
              <w:tab w:val="right" w:leader="dot" w:pos="9182"/>
            </w:tabs>
            <w:rPr>
              <w:rFonts w:asciiTheme="minorHAnsi" w:eastAsiaTheme="minorEastAsia" w:hAnsiTheme="minorHAnsi" w:cstheme="minorBidi"/>
              <w:noProof/>
              <w:sz w:val="22"/>
              <w:szCs w:val="22"/>
              <w:lang w:eastAsia="en-AU"/>
            </w:rPr>
          </w:pPr>
          <w:hyperlink w:anchor="_Toc57387185" w:history="1">
            <w:r w:rsidR="006A07B1" w:rsidRPr="008060AA">
              <w:rPr>
                <w:rStyle w:val="Hyperlink"/>
                <w:rFonts w:ascii="Arial" w:eastAsia="Times New Roman" w:hAnsi="Arial" w:cs="Arial"/>
                <w:noProof/>
              </w:rPr>
              <w:t>BREAKING DOWN THE BARRIERS</w:t>
            </w:r>
            <w:r w:rsidR="006A07B1">
              <w:rPr>
                <w:noProof/>
                <w:webHidden/>
              </w:rPr>
              <w:tab/>
            </w:r>
            <w:r w:rsidR="006A07B1">
              <w:rPr>
                <w:noProof/>
                <w:webHidden/>
              </w:rPr>
              <w:fldChar w:fldCharType="begin"/>
            </w:r>
            <w:r w:rsidR="006A07B1">
              <w:rPr>
                <w:noProof/>
                <w:webHidden/>
              </w:rPr>
              <w:instrText xml:space="preserve"> PAGEREF _Toc57387185 \h </w:instrText>
            </w:r>
            <w:r w:rsidR="006A07B1">
              <w:rPr>
                <w:noProof/>
                <w:webHidden/>
              </w:rPr>
            </w:r>
            <w:r w:rsidR="006A07B1">
              <w:rPr>
                <w:noProof/>
                <w:webHidden/>
              </w:rPr>
              <w:fldChar w:fldCharType="separate"/>
            </w:r>
            <w:r w:rsidR="001E6FEC">
              <w:rPr>
                <w:noProof/>
                <w:webHidden/>
              </w:rPr>
              <w:t>12</w:t>
            </w:r>
            <w:r w:rsidR="006A07B1">
              <w:rPr>
                <w:noProof/>
                <w:webHidden/>
              </w:rPr>
              <w:fldChar w:fldCharType="end"/>
            </w:r>
          </w:hyperlink>
        </w:p>
        <w:p w14:paraId="476E9DCF"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86" w:history="1">
            <w:r w:rsidR="006A07B1" w:rsidRPr="008060AA">
              <w:rPr>
                <w:rStyle w:val="Hyperlink"/>
                <w:rFonts w:ascii="Arial" w:eastAsia="Times New Roman" w:hAnsi="Arial" w:cs="Arial"/>
                <w:noProof/>
              </w:rPr>
              <w:t>Raising the esteem of nursing</w:t>
            </w:r>
            <w:r w:rsidR="006A07B1">
              <w:rPr>
                <w:noProof/>
                <w:webHidden/>
              </w:rPr>
              <w:tab/>
            </w:r>
            <w:r w:rsidR="006A07B1">
              <w:rPr>
                <w:noProof/>
                <w:webHidden/>
              </w:rPr>
              <w:fldChar w:fldCharType="begin"/>
            </w:r>
            <w:r w:rsidR="006A07B1">
              <w:rPr>
                <w:noProof/>
                <w:webHidden/>
              </w:rPr>
              <w:instrText xml:space="preserve"> PAGEREF _Toc57387186 \h </w:instrText>
            </w:r>
            <w:r w:rsidR="006A07B1">
              <w:rPr>
                <w:noProof/>
                <w:webHidden/>
              </w:rPr>
            </w:r>
            <w:r w:rsidR="006A07B1">
              <w:rPr>
                <w:noProof/>
                <w:webHidden/>
              </w:rPr>
              <w:fldChar w:fldCharType="separate"/>
            </w:r>
            <w:r w:rsidR="001E6FEC">
              <w:rPr>
                <w:noProof/>
                <w:webHidden/>
              </w:rPr>
              <w:t>12</w:t>
            </w:r>
            <w:r w:rsidR="006A07B1">
              <w:rPr>
                <w:noProof/>
                <w:webHidden/>
              </w:rPr>
              <w:fldChar w:fldCharType="end"/>
            </w:r>
          </w:hyperlink>
        </w:p>
        <w:p w14:paraId="79A8DCB9"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87" w:history="1">
            <w:r w:rsidR="006A07B1" w:rsidRPr="008060AA">
              <w:rPr>
                <w:rStyle w:val="Hyperlink"/>
                <w:rFonts w:ascii="Arial" w:eastAsia="Times New Roman" w:hAnsi="Arial" w:cs="Arial"/>
                <w:noProof/>
              </w:rPr>
              <w:t>Recommendation 14</w:t>
            </w:r>
            <w:r w:rsidR="006A07B1">
              <w:rPr>
                <w:noProof/>
                <w:webHidden/>
              </w:rPr>
              <w:tab/>
            </w:r>
            <w:r w:rsidR="006A07B1">
              <w:rPr>
                <w:noProof/>
                <w:webHidden/>
              </w:rPr>
              <w:fldChar w:fldCharType="begin"/>
            </w:r>
            <w:r w:rsidR="006A07B1">
              <w:rPr>
                <w:noProof/>
                <w:webHidden/>
              </w:rPr>
              <w:instrText xml:space="preserve"> PAGEREF _Toc57387187 \h </w:instrText>
            </w:r>
            <w:r w:rsidR="006A07B1">
              <w:rPr>
                <w:noProof/>
                <w:webHidden/>
              </w:rPr>
            </w:r>
            <w:r w:rsidR="006A07B1">
              <w:rPr>
                <w:noProof/>
                <w:webHidden/>
              </w:rPr>
              <w:fldChar w:fldCharType="separate"/>
            </w:r>
            <w:r w:rsidR="001E6FEC">
              <w:rPr>
                <w:noProof/>
                <w:webHidden/>
              </w:rPr>
              <w:t>12</w:t>
            </w:r>
            <w:r w:rsidR="006A07B1">
              <w:rPr>
                <w:noProof/>
                <w:webHidden/>
              </w:rPr>
              <w:fldChar w:fldCharType="end"/>
            </w:r>
          </w:hyperlink>
        </w:p>
        <w:p w14:paraId="5E288CD5"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88" w:history="1">
            <w:r w:rsidR="006A07B1" w:rsidRPr="008060AA">
              <w:rPr>
                <w:rStyle w:val="Hyperlink"/>
                <w:rFonts w:ascii="Arial" w:eastAsia="Times New Roman" w:hAnsi="Arial" w:cs="Arial"/>
                <w:noProof/>
              </w:rPr>
              <w:t>Using articulation to widen participation</w:t>
            </w:r>
            <w:r w:rsidR="006A07B1">
              <w:rPr>
                <w:noProof/>
                <w:webHidden/>
              </w:rPr>
              <w:tab/>
            </w:r>
            <w:r w:rsidR="006A07B1">
              <w:rPr>
                <w:noProof/>
                <w:webHidden/>
              </w:rPr>
              <w:fldChar w:fldCharType="begin"/>
            </w:r>
            <w:r w:rsidR="006A07B1">
              <w:rPr>
                <w:noProof/>
                <w:webHidden/>
              </w:rPr>
              <w:instrText xml:space="preserve"> PAGEREF _Toc57387188 \h </w:instrText>
            </w:r>
            <w:r w:rsidR="006A07B1">
              <w:rPr>
                <w:noProof/>
                <w:webHidden/>
              </w:rPr>
            </w:r>
            <w:r w:rsidR="006A07B1">
              <w:rPr>
                <w:noProof/>
                <w:webHidden/>
              </w:rPr>
              <w:fldChar w:fldCharType="separate"/>
            </w:r>
            <w:r w:rsidR="001E6FEC">
              <w:rPr>
                <w:noProof/>
                <w:webHidden/>
              </w:rPr>
              <w:t>13</w:t>
            </w:r>
            <w:r w:rsidR="006A07B1">
              <w:rPr>
                <w:noProof/>
                <w:webHidden/>
              </w:rPr>
              <w:fldChar w:fldCharType="end"/>
            </w:r>
          </w:hyperlink>
        </w:p>
        <w:p w14:paraId="54AFA94F"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89" w:history="1">
            <w:r w:rsidR="006A07B1" w:rsidRPr="008060AA">
              <w:rPr>
                <w:rStyle w:val="Hyperlink"/>
                <w:rFonts w:ascii="Arial" w:eastAsia="Times New Roman" w:hAnsi="Arial" w:cs="Arial"/>
                <w:noProof/>
              </w:rPr>
              <w:t>Recommendation 15</w:t>
            </w:r>
            <w:r w:rsidR="006A07B1">
              <w:rPr>
                <w:noProof/>
                <w:webHidden/>
              </w:rPr>
              <w:tab/>
            </w:r>
            <w:r w:rsidR="006A07B1">
              <w:rPr>
                <w:noProof/>
                <w:webHidden/>
              </w:rPr>
              <w:fldChar w:fldCharType="begin"/>
            </w:r>
            <w:r w:rsidR="006A07B1">
              <w:rPr>
                <w:noProof/>
                <w:webHidden/>
              </w:rPr>
              <w:instrText xml:space="preserve"> PAGEREF _Toc57387189 \h </w:instrText>
            </w:r>
            <w:r w:rsidR="006A07B1">
              <w:rPr>
                <w:noProof/>
                <w:webHidden/>
              </w:rPr>
            </w:r>
            <w:r w:rsidR="006A07B1">
              <w:rPr>
                <w:noProof/>
                <w:webHidden/>
              </w:rPr>
              <w:fldChar w:fldCharType="separate"/>
            </w:r>
            <w:r w:rsidR="001E6FEC">
              <w:rPr>
                <w:noProof/>
                <w:webHidden/>
              </w:rPr>
              <w:t>13</w:t>
            </w:r>
            <w:r w:rsidR="006A07B1">
              <w:rPr>
                <w:noProof/>
                <w:webHidden/>
              </w:rPr>
              <w:fldChar w:fldCharType="end"/>
            </w:r>
          </w:hyperlink>
        </w:p>
        <w:p w14:paraId="71FF250C"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90" w:history="1">
            <w:r w:rsidR="006A07B1" w:rsidRPr="008060AA">
              <w:rPr>
                <w:rStyle w:val="Hyperlink"/>
                <w:rFonts w:ascii="Arial" w:eastAsia="Times New Roman" w:hAnsi="Arial" w:cs="Arial"/>
                <w:noProof/>
              </w:rPr>
              <w:t>Widening Indigenous participation</w:t>
            </w:r>
            <w:r w:rsidR="006A07B1">
              <w:rPr>
                <w:noProof/>
                <w:webHidden/>
              </w:rPr>
              <w:tab/>
            </w:r>
            <w:r w:rsidR="006A07B1">
              <w:rPr>
                <w:noProof/>
                <w:webHidden/>
              </w:rPr>
              <w:fldChar w:fldCharType="begin"/>
            </w:r>
            <w:r w:rsidR="006A07B1">
              <w:rPr>
                <w:noProof/>
                <w:webHidden/>
              </w:rPr>
              <w:instrText xml:space="preserve"> PAGEREF _Toc57387190 \h </w:instrText>
            </w:r>
            <w:r w:rsidR="006A07B1">
              <w:rPr>
                <w:noProof/>
                <w:webHidden/>
              </w:rPr>
            </w:r>
            <w:r w:rsidR="006A07B1">
              <w:rPr>
                <w:noProof/>
                <w:webHidden/>
              </w:rPr>
              <w:fldChar w:fldCharType="separate"/>
            </w:r>
            <w:r w:rsidR="001E6FEC">
              <w:rPr>
                <w:noProof/>
                <w:webHidden/>
              </w:rPr>
              <w:t>13</w:t>
            </w:r>
            <w:r w:rsidR="006A07B1">
              <w:rPr>
                <w:noProof/>
                <w:webHidden/>
              </w:rPr>
              <w:fldChar w:fldCharType="end"/>
            </w:r>
          </w:hyperlink>
        </w:p>
        <w:p w14:paraId="643D2608"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91" w:history="1">
            <w:r w:rsidR="006A07B1" w:rsidRPr="008060AA">
              <w:rPr>
                <w:rStyle w:val="Hyperlink"/>
                <w:rFonts w:ascii="Arial" w:eastAsia="Times New Roman" w:hAnsi="Arial" w:cs="Arial"/>
                <w:noProof/>
              </w:rPr>
              <w:t>Recommendation 16</w:t>
            </w:r>
            <w:r w:rsidR="006A07B1">
              <w:rPr>
                <w:noProof/>
                <w:webHidden/>
              </w:rPr>
              <w:tab/>
            </w:r>
            <w:r w:rsidR="006A07B1">
              <w:rPr>
                <w:noProof/>
                <w:webHidden/>
              </w:rPr>
              <w:fldChar w:fldCharType="begin"/>
            </w:r>
            <w:r w:rsidR="006A07B1">
              <w:rPr>
                <w:noProof/>
                <w:webHidden/>
              </w:rPr>
              <w:instrText xml:space="preserve"> PAGEREF _Toc57387191 \h </w:instrText>
            </w:r>
            <w:r w:rsidR="006A07B1">
              <w:rPr>
                <w:noProof/>
                <w:webHidden/>
              </w:rPr>
            </w:r>
            <w:r w:rsidR="006A07B1">
              <w:rPr>
                <w:noProof/>
                <w:webHidden/>
              </w:rPr>
              <w:fldChar w:fldCharType="separate"/>
            </w:r>
            <w:r w:rsidR="001E6FEC">
              <w:rPr>
                <w:noProof/>
                <w:webHidden/>
              </w:rPr>
              <w:t>13</w:t>
            </w:r>
            <w:r w:rsidR="006A07B1">
              <w:rPr>
                <w:noProof/>
                <w:webHidden/>
              </w:rPr>
              <w:fldChar w:fldCharType="end"/>
            </w:r>
          </w:hyperlink>
        </w:p>
        <w:p w14:paraId="18E8F7AC" w14:textId="77777777" w:rsidR="006A07B1" w:rsidRDefault="00AC1563">
          <w:pPr>
            <w:pStyle w:val="TOC1"/>
            <w:tabs>
              <w:tab w:val="right" w:leader="dot" w:pos="9182"/>
            </w:tabs>
            <w:rPr>
              <w:rFonts w:asciiTheme="minorHAnsi" w:eastAsiaTheme="minorEastAsia" w:hAnsiTheme="minorHAnsi" w:cstheme="minorBidi"/>
              <w:noProof/>
              <w:sz w:val="22"/>
              <w:szCs w:val="22"/>
              <w:lang w:eastAsia="en-AU"/>
            </w:rPr>
          </w:pPr>
          <w:hyperlink w:anchor="_Toc57387192" w:history="1">
            <w:r w:rsidR="006A07B1" w:rsidRPr="008060AA">
              <w:rPr>
                <w:rStyle w:val="Hyperlink"/>
                <w:rFonts w:ascii="Arial" w:eastAsia="Times New Roman" w:hAnsi="Arial" w:cs="Arial"/>
                <w:noProof/>
              </w:rPr>
              <w:t>TRENDS AFFECTING NURSING EDUCATION</w:t>
            </w:r>
            <w:r w:rsidR="006A07B1">
              <w:rPr>
                <w:noProof/>
                <w:webHidden/>
              </w:rPr>
              <w:tab/>
            </w:r>
            <w:r w:rsidR="006A07B1">
              <w:rPr>
                <w:noProof/>
                <w:webHidden/>
              </w:rPr>
              <w:fldChar w:fldCharType="begin"/>
            </w:r>
            <w:r w:rsidR="006A07B1">
              <w:rPr>
                <w:noProof/>
                <w:webHidden/>
              </w:rPr>
              <w:instrText xml:space="preserve"> PAGEREF _Toc57387192 \h </w:instrText>
            </w:r>
            <w:r w:rsidR="006A07B1">
              <w:rPr>
                <w:noProof/>
                <w:webHidden/>
              </w:rPr>
            </w:r>
            <w:r w:rsidR="006A07B1">
              <w:rPr>
                <w:noProof/>
                <w:webHidden/>
              </w:rPr>
              <w:fldChar w:fldCharType="separate"/>
            </w:r>
            <w:r w:rsidR="001E6FEC">
              <w:rPr>
                <w:noProof/>
                <w:webHidden/>
              </w:rPr>
              <w:t>14</w:t>
            </w:r>
            <w:r w:rsidR="006A07B1">
              <w:rPr>
                <w:noProof/>
                <w:webHidden/>
              </w:rPr>
              <w:fldChar w:fldCharType="end"/>
            </w:r>
          </w:hyperlink>
        </w:p>
        <w:p w14:paraId="3C723124"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93" w:history="1">
            <w:r w:rsidR="006A07B1" w:rsidRPr="008060AA">
              <w:rPr>
                <w:rStyle w:val="Hyperlink"/>
                <w:rFonts w:ascii="Arial" w:eastAsia="Times New Roman" w:hAnsi="Arial" w:cs="Arial"/>
                <w:noProof/>
              </w:rPr>
              <w:t>The aging population and the burden of disease</w:t>
            </w:r>
            <w:r w:rsidR="006A07B1">
              <w:rPr>
                <w:noProof/>
                <w:webHidden/>
              </w:rPr>
              <w:tab/>
            </w:r>
            <w:r w:rsidR="006A07B1">
              <w:rPr>
                <w:noProof/>
                <w:webHidden/>
              </w:rPr>
              <w:fldChar w:fldCharType="begin"/>
            </w:r>
            <w:r w:rsidR="006A07B1">
              <w:rPr>
                <w:noProof/>
                <w:webHidden/>
              </w:rPr>
              <w:instrText xml:space="preserve"> PAGEREF _Toc57387193 \h </w:instrText>
            </w:r>
            <w:r w:rsidR="006A07B1">
              <w:rPr>
                <w:noProof/>
                <w:webHidden/>
              </w:rPr>
            </w:r>
            <w:r w:rsidR="006A07B1">
              <w:rPr>
                <w:noProof/>
                <w:webHidden/>
              </w:rPr>
              <w:fldChar w:fldCharType="separate"/>
            </w:r>
            <w:r w:rsidR="001E6FEC">
              <w:rPr>
                <w:noProof/>
                <w:webHidden/>
              </w:rPr>
              <w:t>14</w:t>
            </w:r>
            <w:r w:rsidR="006A07B1">
              <w:rPr>
                <w:noProof/>
                <w:webHidden/>
              </w:rPr>
              <w:fldChar w:fldCharType="end"/>
            </w:r>
          </w:hyperlink>
        </w:p>
        <w:p w14:paraId="03D3F9A3"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94" w:history="1">
            <w:r w:rsidR="006A07B1" w:rsidRPr="008060AA">
              <w:rPr>
                <w:rStyle w:val="Hyperlink"/>
                <w:rFonts w:ascii="Arial" w:eastAsia="Times New Roman" w:hAnsi="Arial" w:cs="Arial"/>
                <w:noProof/>
              </w:rPr>
              <w:t>Recommendation 17</w:t>
            </w:r>
            <w:r w:rsidR="006A07B1">
              <w:rPr>
                <w:noProof/>
                <w:webHidden/>
              </w:rPr>
              <w:tab/>
            </w:r>
            <w:r w:rsidR="006A07B1">
              <w:rPr>
                <w:noProof/>
                <w:webHidden/>
              </w:rPr>
              <w:fldChar w:fldCharType="begin"/>
            </w:r>
            <w:r w:rsidR="006A07B1">
              <w:rPr>
                <w:noProof/>
                <w:webHidden/>
              </w:rPr>
              <w:instrText xml:space="preserve"> PAGEREF _Toc57387194 \h </w:instrText>
            </w:r>
            <w:r w:rsidR="006A07B1">
              <w:rPr>
                <w:noProof/>
                <w:webHidden/>
              </w:rPr>
            </w:r>
            <w:r w:rsidR="006A07B1">
              <w:rPr>
                <w:noProof/>
                <w:webHidden/>
              </w:rPr>
              <w:fldChar w:fldCharType="separate"/>
            </w:r>
            <w:r w:rsidR="001E6FEC">
              <w:rPr>
                <w:noProof/>
                <w:webHidden/>
              </w:rPr>
              <w:t>14</w:t>
            </w:r>
            <w:r w:rsidR="006A07B1">
              <w:rPr>
                <w:noProof/>
                <w:webHidden/>
              </w:rPr>
              <w:fldChar w:fldCharType="end"/>
            </w:r>
          </w:hyperlink>
        </w:p>
        <w:p w14:paraId="761CA798"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95" w:history="1">
            <w:r w:rsidR="006A07B1" w:rsidRPr="008060AA">
              <w:rPr>
                <w:rStyle w:val="Hyperlink"/>
                <w:rFonts w:ascii="Arial" w:eastAsia="Times New Roman" w:hAnsi="Arial" w:cs="Arial"/>
                <w:noProof/>
              </w:rPr>
              <w:t>Increasing incidence and prevalence of mental health problems</w:t>
            </w:r>
            <w:r w:rsidR="006A07B1">
              <w:rPr>
                <w:noProof/>
                <w:webHidden/>
              </w:rPr>
              <w:tab/>
            </w:r>
            <w:r w:rsidR="006A07B1">
              <w:rPr>
                <w:noProof/>
                <w:webHidden/>
              </w:rPr>
              <w:fldChar w:fldCharType="begin"/>
            </w:r>
            <w:r w:rsidR="006A07B1">
              <w:rPr>
                <w:noProof/>
                <w:webHidden/>
              </w:rPr>
              <w:instrText xml:space="preserve"> PAGEREF _Toc57387195 \h </w:instrText>
            </w:r>
            <w:r w:rsidR="006A07B1">
              <w:rPr>
                <w:noProof/>
                <w:webHidden/>
              </w:rPr>
            </w:r>
            <w:r w:rsidR="006A07B1">
              <w:rPr>
                <w:noProof/>
                <w:webHidden/>
              </w:rPr>
              <w:fldChar w:fldCharType="separate"/>
            </w:r>
            <w:r w:rsidR="001E6FEC">
              <w:rPr>
                <w:noProof/>
                <w:webHidden/>
              </w:rPr>
              <w:t>14</w:t>
            </w:r>
            <w:r w:rsidR="006A07B1">
              <w:rPr>
                <w:noProof/>
                <w:webHidden/>
              </w:rPr>
              <w:fldChar w:fldCharType="end"/>
            </w:r>
          </w:hyperlink>
        </w:p>
        <w:p w14:paraId="44567A10"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96" w:history="1">
            <w:r w:rsidR="006A07B1" w:rsidRPr="008060AA">
              <w:rPr>
                <w:rStyle w:val="Hyperlink"/>
                <w:rFonts w:ascii="Arial" w:eastAsia="Times New Roman" w:hAnsi="Arial" w:cs="Arial"/>
                <w:noProof/>
              </w:rPr>
              <w:t>Recommendation 18</w:t>
            </w:r>
            <w:r w:rsidR="006A07B1">
              <w:rPr>
                <w:noProof/>
                <w:webHidden/>
              </w:rPr>
              <w:tab/>
            </w:r>
            <w:r w:rsidR="006A07B1">
              <w:rPr>
                <w:noProof/>
                <w:webHidden/>
              </w:rPr>
              <w:fldChar w:fldCharType="begin"/>
            </w:r>
            <w:r w:rsidR="006A07B1">
              <w:rPr>
                <w:noProof/>
                <w:webHidden/>
              </w:rPr>
              <w:instrText xml:space="preserve"> PAGEREF _Toc57387196 \h </w:instrText>
            </w:r>
            <w:r w:rsidR="006A07B1">
              <w:rPr>
                <w:noProof/>
                <w:webHidden/>
              </w:rPr>
            </w:r>
            <w:r w:rsidR="006A07B1">
              <w:rPr>
                <w:noProof/>
                <w:webHidden/>
              </w:rPr>
              <w:fldChar w:fldCharType="separate"/>
            </w:r>
            <w:r w:rsidR="001E6FEC">
              <w:rPr>
                <w:noProof/>
                <w:webHidden/>
              </w:rPr>
              <w:t>14</w:t>
            </w:r>
            <w:r w:rsidR="006A07B1">
              <w:rPr>
                <w:noProof/>
                <w:webHidden/>
              </w:rPr>
              <w:fldChar w:fldCharType="end"/>
            </w:r>
          </w:hyperlink>
        </w:p>
        <w:p w14:paraId="44959DCA"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97" w:history="1">
            <w:r w:rsidR="006A07B1" w:rsidRPr="008060AA">
              <w:rPr>
                <w:rStyle w:val="Hyperlink"/>
                <w:rFonts w:ascii="Arial" w:eastAsia="Times New Roman" w:hAnsi="Arial" w:cs="Arial"/>
                <w:noProof/>
              </w:rPr>
              <w:t>The complexity of patient care and the need for inter-disciplinary teams</w:t>
            </w:r>
            <w:r w:rsidR="006A07B1">
              <w:rPr>
                <w:noProof/>
                <w:webHidden/>
              </w:rPr>
              <w:tab/>
            </w:r>
            <w:r w:rsidR="006A07B1">
              <w:rPr>
                <w:noProof/>
                <w:webHidden/>
              </w:rPr>
              <w:fldChar w:fldCharType="begin"/>
            </w:r>
            <w:r w:rsidR="006A07B1">
              <w:rPr>
                <w:noProof/>
                <w:webHidden/>
              </w:rPr>
              <w:instrText xml:space="preserve"> PAGEREF _Toc57387197 \h </w:instrText>
            </w:r>
            <w:r w:rsidR="006A07B1">
              <w:rPr>
                <w:noProof/>
                <w:webHidden/>
              </w:rPr>
            </w:r>
            <w:r w:rsidR="006A07B1">
              <w:rPr>
                <w:noProof/>
                <w:webHidden/>
              </w:rPr>
              <w:fldChar w:fldCharType="separate"/>
            </w:r>
            <w:r w:rsidR="001E6FEC">
              <w:rPr>
                <w:noProof/>
                <w:webHidden/>
              </w:rPr>
              <w:t>15</w:t>
            </w:r>
            <w:r w:rsidR="006A07B1">
              <w:rPr>
                <w:noProof/>
                <w:webHidden/>
              </w:rPr>
              <w:fldChar w:fldCharType="end"/>
            </w:r>
          </w:hyperlink>
        </w:p>
        <w:p w14:paraId="3AD33064"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198" w:history="1">
            <w:r w:rsidR="006A07B1" w:rsidRPr="008060AA">
              <w:rPr>
                <w:rStyle w:val="Hyperlink"/>
                <w:rFonts w:ascii="Arial" w:eastAsia="Times New Roman" w:hAnsi="Arial" w:cs="Arial"/>
                <w:noProof/>
              </w:rPr>
              <w:t>Recommendation 19</w:t>
            </w:r>
            <w:r w:rsidR="006A07B1">
              <w:rPr>
                <w:noProof/>
                <w:webHidden/>
              </w:rPr>
              <w:tab/>
            </w:r>
            <w:r w:rsidR="006A07B1">
              <w:rPr>
                <w:noProof/>
                <w:webHidden/>
              </w:rPr>
              <w:fldChar w:fldCharType="begin"/>
            </w:r>
            <w:r w:rsidR="006A07B1">
              <w:rPr>
                <w:noProof/>
                <w:webHidden/>
              </w:rPr>
              <w:instrText xml:space="preserve"> PAGEREF _Toc57387198 \h </w:instrText>
            </w:r>
            <w:r w:rsidR="006A07B1">
              <w:rPr>
                <w:noProof/>
                <w:webHidden/>
              </w:rPr>
            </w:r>
            <w:r w:rsidR="006A07B1">
              <w:rPr>
                <w:noProof/>
                <w:webHidden/>
              </w:rPr>
              <w:fldChar w:fldCharType="separate"/>
            </w:r>
            <w:r w:rsidR="001E6FEC">
              <w:rPr>
                <w:noProof/>
                <w:webHidden/>
              </w:rPr>
              <w:t>15</w:t>
            </w:r>
            <w:r w:rsidR="006A07B1">
              <w:rPr>
                <w:noProof/>
                <w:webHidden/>
              </w:rPr>
              <w:fldChar w:fldCharType="end"/>
            </w:r>
          </w:hyperlink>
        </w:p>
        <w:p w14:paraId="52F43648"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199" w:history="1">
            <w:r w:rsidR="006A07B1" w:rsidRPr="008060AA">
              <w:rPr>
                <w:rStyle w:val="Hyperlink"/>
                <w:rFonts w:ascii="Arial" w:eastAsia="Times New Roman" w:hAnsi="Arial" w:cs="Arial"/>
                <w:noProof/>
              </w:rPr>
              <w:t>Explosive growth in technology</w:t>
            </w:r>
            <w:r w:rsidR="006A07B1">
              <w:rPr>
                <w:noProof/>
                <w:webHidden/>
              </w:rPr>
              <w:tab/>
            </w:r>
            <w:r w:rsidR="006A07B1">
              <w:rPr>
                <w:noProof/>
                <w:webHidden/>
              </w:rPr>
              <w:fldChar w:fldCharType="begin"/>
            </w:r>
            <w:r w:rsidR="006A07B1">
              <w:rPr>
                <w:noProof/>
                <w:webHidden/>
              </w:rPr>
              <w:instrText xml:space="preserve"> PAGEREF _Toc57387199 \h </w:instrText>
            </w:r>
            <w:r w:rsidR="006A07B1">
              <w:rPr>
                <w:noProof/>
                <w:webHidden/>
              </w:rPr>
            </w:r>
            <w:r w:rsidR="006A07B1">
              <w:rPr>
                <w:noProof/>
                <w:webHidden/>
              </w:rPr>
              <w:fldChar w:fldCharType="separate"/>
            </w:r>
            <w:r w:rsidR="001E6FEC">
              <w:rPr>
                <w:noProof/>
                <w:webHidden/>
              </w:rPr>
              <w:t>15</w:t>
            </w:r>
            <w:r w:rsidR="006A07B1">
              <w:rPr>
                <w:noProof/>
                <w:webHidden/>
              </w:rPr>
              <w:fldChar w:fldCharType="end"/>
            </w:r>
          </w:hyperlink>
        </w:p>
        <w:p w14:paraId="7DD34CB5"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200" w:history="1">
            <w:r w:rsidR="006A07B1" w:rsidRPr="008060AA">
              <w:rPr>
                <w:rStyle w:val="Hyperlink"/>
                <w:rFonts w:ascii="Arial" w:eastAsia="Times New Roman" w:hAnsi="Arial" w:cs="Arial"/>
                <w:noProof/>
              </w:rPr>
              <w:t>Recommendation 20</w:t>
            </w:r>
            <w:r w:rsidR="006A07B1">
              <w:rPr>
                <w:noProof/>
                <w:webHidden/>
              </w:rPr>
              <w:tab/>
            </w:r>
            <w:r w:rsidR="006A07B1">
              <w:rPr>
                <w:noProof/>
                <w:webHidden/>
              </w:rPr>
              <w:fldChar w:fldCharType="begin"/>
            </w:r>
            <w:r w:rsidR="006A07B1">
              <w:rPr>
                <w:noProof/>
                <w:webHidden/>
              </w:rPr>
              <w:instrText xml:space="preserve"> PAGEREF _Toc57387200 \h </w:instrText>
            </w:r>
            <w:r w:rsidR="006A07B1">
              <w:rPr>
                <w:noProof/>
                <w:webHidden/>
              </w:rPr>
            </w:r>
            <w:r w:rsidR="006A07B1">
              <w:rPr>
                <w:noProof/>
                <w:webHidden/>
              </w:rPr>
              <w:fldChar w:fldCharType="separate"/>
            </w:r>
            <w:r w:rsidR="001E6FEC">
              <w:rPr>
                <w:noProof/>
                <w:webHidden/>
              </w:rPr>
              <w:t>15</w:t>
            </w:r>
            <w:r w:rsidR="006A07B1">
              <w:rPr>
                <w:noProof/>
                <w:webHidden/>
              </w:rPr>
              <w:fldChar w:fldCharType="end"/>
            </w:r>
          </w:hyperlink>
        </w:p>
        <w:p w14:paraId="2E32B2D1" w14:textId="77777777" w:rsidR="006A07B1" w:rsidRDefault="00AC1563">
          <w:pPr>
            <w:pStyle w:val="TOC1"/>
            <w:tabs>
              <w:tab w:val="right" w:leader="dot" w:pos="9182"/>
            </w:tabs>
            <w:rPr>
              <w:rFonts w:asciiTheme="minorHAnsi" w:eastAsiaTheme="minorEastAsia" w:hAnsiTheme="minorHAnsi" w:cstheme="minorBidi"/>
              <w:noProof/>
              <w:sz w:val="22"/>
              <w:szCs w:val="22"/>
              <w:lang w:eastAsia="en-AU"/>
            </w:rPr>
          </w:pPr>
          <w:hyperlink w:anchor="_Toc57387201" w:history="1">
            <w:r w:rsidR="006A07B1" w:rsidRPr="008060AA">
              <w:rPr>
                <w:rStyle w:val="Hyperlink"/>
                <w:rFonts w:ascii="Arial" w:eastAsia="Times New Roman" w:hAnsi="Arial" w:cs="Arial"/>
                <w:noProof/>
              </w:rPr>
              <w:t>PREPARING FOR THE FUTURE</w:t>
            </w:r>
            <w:r w:rsidR="006A07B1">
              <w:rPr>
                <w:noProof/>
                <w:webHidden/>
              </w:rPr>
              <w:tab/>
            </w:r>
            <w:r w:rsidR="006A07B1">
              <w:rPr>
                <w:noProof/>
                <w:webHidden/>
              </w:rPr>
              <w:fldChar w:fldCharType="begin"/>
            </w:r>
            <w:r w:rsidR="006A07B1">
              <w:rPr>
                <w:noProof/>
                <w:webHidden/>
              </w:rPr>
              <w:instrText xml:space="preserve"> PAGEREF _Toc57387201 \h </w:instrText>
            </w:r>
            <w:r w:rsidR="006A07B1">
              <w:rPr>
                <w:noProof/>
                <w:webHidden/>
              </w:rPr>
            </w:r>
            <w:r w:rsidR="006A07B1">
              <w:rPr>
                <w:noProof/>
                <w:webHidden/>
              </w:rPr>
              <w:fldChar w:fldCharType="separate"/>
            </w:r>
            <w:r w:rsidR="001E6FEC">
              <w:rPr>
                <w:noProof/>
                <w:webHidden/>
              </w:rPr>
              <w:t>16</w:t>
            </w:r>
            <w:r w:rsidR="006A07B1">
              <w:rPr>
                <w:noProof/>
                <w:webHidden/>
              </w:rPr>
              <w:fldChar w:fldCharType="end"/>
            </w:r>
          </w:hyperlink>
        </w:p>
        <w:p w14:paraId="6A02C787"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202" w:history="1">
            <w:r w:rsidR="006A07B1" w:rsidRPr="008060AA">
              <w:rPr>
                <w:rStyle w:val="Hyperlink"/>
                <w:rFonts w:ascii="Arial" w:eastAsia="Times New Roman" w:hAnsi="Arial" w:cs="Arial"/>
                <w:noProof/>
              </w:rPr>
              <w:t>Recommendation 21</w:t>
            </w:r>
            <w:r w:rsidR="006A07B1">
              <w:rPr>
                <w:noProof/>
                <w:webHidden/>
              </w:rPr>
              <w:tab/>
            </w:r>
            <w:r w:rsidR="006A07B1">
              <w:rPr>
                <w:noProof/>
                <w:webHidden/>
              </w:rPr>
              <w:fldChar w:fldCharType="begin"/>
            </w:r>
            <w:r w:rsidR="006A07B1">
              <w:rPr>
                <w:noProof/>
                <w:webHidden/>
              </w:rPr>
              <w:instrText xml:space="preserve"> PAGEREF _Toc57387202 \h </w:instrText>
            </w:r>
            <w:r w:rsidR="006A07B1">
              <w:rPr>
                <w:noProof/>
                <w:webHidden/>
              </w:rPr>
            </w:r>
            <w:r w:rsidR="006A07B1">
              <w:rPr>
                <w:noProof/>
                <w:webHidden/>
              </w:rPr>
              <w:fldChar w:fldCharType="separate"/>
            </w:r>
            <w:r w:rsidR="001E6FEC">
              <w:rPr>
                <w:noProof/>
                <w:webHidden/>
              </w:rPr>
              <w:t>16</w:t>
            </w:r>
            <w:r w:rsidR="006A07B1">
              <w:rPr>
                <w:noProof/>
                <w:webHidden/>
              </w:rPr>
              <w:fldChar w:fldCharType="end"/>
            </w:r>
          </w:hyperlink>
        </w:p>
        <w:p w14:paraId="07AD6A73"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203" w:history="1">
            <w:r w:rsidR="006A07B1" w:rsidRPr="008060AA">
              <w:rPr>
                <w:rStyle w:val="Hyperlink"/>
                <w:rFonts w:ascii="Arial" w:eastAsia="Times New Roman" w:hAnsi="Arial" w:cs="Arial"/>
                <w:noProof/>
              </w:rPr>
              <w:t>How many nurses do we need?</w:t>
            </w:r>
            <w:r w:rsidR="006A07B1">
              <w:rPr>
                <w:noProof/>
                <w:webHidden/>
              </w:rPr>
              <w:tab/>
            </w:r>
            <w:r w:rsidR="006A07B1">
              <w:rPr>
                <w:noProof/>
                <w:webHidden/>
              </w:rPr>
              <w:fldChar w:fldCharType="begin"/>
            </w:r>
            <w:r w:rsidR="006A07B1">
              <w:rPr>
                <w:noProof/>
                <w:webHidden/>
              </w:rPr>
              <w:instrText xml:space="preserve"> PAGEREF _Toc57387203 \h </w:instrText>
            </w:r>
            <w:r w:rsidR="006A07B1">
              <w:rPr>
                <w:noProof/>
                <w:webHidden/>
              </w:rPr>
            </w:r>
            <w:r w:rsidR="006A07B1">
              <w:rPr>
                <w:noProof/>
                <w:webHidden/>
              </w:rPr>
              <w:fldChar w:fldCharType="separate"/>
            </w:r>
            <w:r w:rsidR="001E6FEC">
              <w:rPr>
                <w:noProof/>
                <w:webHidden/>
              </w:rPr>
              <w:t>16</w:t>
            </w:r>
            <w:r w:rsidR="006A07B1">
              <w:rPr>
                <w:noProof/>
                <w:webHidden/>
              </w:rPr>
              <w:fldChar w:fldCharType="end"/>
            </w:r>
          </w:hyperlink>
        </w:p>
        <w:p w14:paraId="22D9808A"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204" w:history="1">
            <w:r w:rsidR="006A07B1" w:rsidRPr="008060AA">
              <w:rPr>
                <w:rStyle w:val="Hyperlink"/>
                <w:rFonts w:ascii="Arial" w:eastAsia="Times New Roman" w:hAnsi="Arial" w:cs="Arial"/>
                <w:noProof/>
              </w:rPr>
              <w:t>Recommendation 22</w:t>
            </w:r>
            <w:r w:rsidR="006A07B1">
              <w:rPr>
                <w:noProof/>
                <w:webHidden/>
              </w:rPr>
              <w:tab/>
            </w:r>
            <w:r w:rsidR="006A07B1">
              <w:rPr>
                <w:noProof/>
                <w:webHidden/>
              </w:rPr>
              <w:fldChar w:fldCharType="begin"/>
            </w:r>
            <w:r w:rsidR="006A07B1">
              <w:rPr>
                <w:noProof/>
                <w:webHidden/>
              </w:rPr>
              <w:instrText xml:space="preserve"> PAGEREF _Toc57387204 \h </w:instrText>
            </w:r>
            <w:r w:rsidR="006A07B1">
              <w:rPr>
                <w:noProof/>
                <w:webHidden/>
              </w:rPr>
            </w:r>
            <w:r w:rsidR="006A07B1">
              <w:rPr>
                <w:noProof/>
                <w:webHidden/>
              </w:rPr>
              <w:fldChar w:fldCharType="separate"/>
            </w:r>
            <w:r w:rsidR="001E6FEC">
              <w:rPr>
                <w:noProof/>
                <w:webHidden/>
              </w:rPr>
              <w:t>16</w:t>
            </w:r>
            <w:r w:rsidR="006A07B1">
              <w:rPr>
                <w:noProof/>
                <w:webHidden/>
              </w:rPr>
              <w:fldChar w:fldCharType="end"/>
            </w:r>
          </w:hyperlink>
        </w:p>
        <w:p w14:paraId="0D2501E8"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205" w:history="1">
            <w:r w:rsidR="006A07B1" w:rsidRPr="008060AA">
              <w:rPr>
                <w:rStyle w:val="Hyperlink"/>
                <w:rFonts w:ascii="Arial" w:eastAsia="Times New Roman" w:hAnsi="Arial" w:cs="Arial"/>
                <w:noProof/>
              </w:rPr>
              <w:t>Online course delivery and simulated learning</w:t>
            </w:r>
            <w:r w:rsidR="006A07B1">
              <w:rPr>
                <w:noProof/>
                <w:webHidden/>
              </w:rPr>
              <w:tab/>
            </w:r>
            <w:r w:rsidR="006A07B1">
              <w:rPr>
                <w:noProof/>
                <w:webHidden/>
              </w:rPr>
              <w:fldChar w:fldCharType="begin"/>
            </w:r>
            <w:r w:rsidR="006A07B1">
              <w:rPr>
                <w:noProof/>
                <w:webHidden/>
              </w:rPr>
              <w:instrText xml:space="preserve"> PAGEREF _Toc57387205 \h </w:instrText>
            </w:r>
            <w:r w:rsidR="006A07B1">
              <w:rPr>
                <w:noProof/>
                <w:webHidden/>
              </w:rPr>
            </w:r>
            <w:r w:rsidR="006A07B1">
              <w:rPr>
                <w:noProof/>
                <w:webHidden/>
              </w:rPr>
              <w:fldChar w:fldCharType="separate"/>
            </w:r>
            <w:r w:rsidR="001E6FEC">
              <w:rPr>
                <w:noProof/>
                <w:webHidden/>
              </w:rPr>
              <w:t>16</w:t>
            </w:r>
            <w:r w:rsidR="006A07B1">
              <w:rPr>
                <w:noProof/>
                <w:webHidden/>
              </w:rPr>
              <w:fldChar w:fldCharType="end"/>
            </w:r>
          </w:hyperlink>
        </w:p>
        <w:p w14:paraId="5FC6D79A"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206" w:history="1">
            <w:r w:rsidR="006A07B1" w:rsidRPr="008060AA">
              <w:rPr>
                <w:rStyle w:val="Hyperlink"/>
                <w:rFonts w:ascii="Arial" w:eastAsia="Times New Roman" w:hAnsi="Arial" w:cs="Arial"/>
                <w:noProof/>
              </w:rPr>
              <w:t>Recommendation 23</w:t>
            </w:r>
            <w:r w:rsidR="006A07B1">
              <w:rPr>
                <w:noProof/>
                <w:webHidden/>
              </w:rPr>
              <w:tab/>
            </w:r>
            <w:r w:rsidR="006A07B1">
              <w:rPr>
                <w:noProof/>
                <w:webHidden/>
              </w:rPr>
              <w:fldChar w:fldCharType="begin"/>
            </w:r>
            <w:r w:rsidR="006A07B1">
              <w:rPr>
                <w:noProof/>
                <w:webHidden/>
              </w:rPr>
              <w:instrText xml:space="preserve"> PAGEREF _Toc57387206 \h </w:instrText>
            </w:r>
            <w:r w:rsidR="006A07B1">
              <w:rPr>
                <w:noProof/>
                <w:webHidden/>
              </w:rPr>
            </w:r>
            <w:r w:rsidR="006A07B1">
              <w:rPr>
                <w:noProof/>
                <w:webHidden/>
              </w:rPr>
              <w:fldChar w:fldCharType="separate"/>
            </w:r>
            <w:r w:rsidR="001E6FEC">
              <w:rPr>
                <w:noProof/>
                <w:webHidden/>
              </w:rPr>
              <w:t>16</w:t>
            </w:r>
            <w:r w:rsidR="006A07B1">
              <w:rPr>
                <w:noProof/>
                <w:webHidden/>
              </w:rPr>
              <w:fldChar w:fldCharType="end"/>
            </w:r>
          </w:hyperlink>
        </w:p>
        <w:p w14:paraId="6A4A233B" w14:textId="77777777" w:rsidR="006A07B1" w:rsidRDefault="00AC1563">
          <w:pPr>
            <w:pStyle w:val="TOC1"/>
            <w:tabs>
              <w:tab w:val="right" w:leader="dot" w:pos="9182"/>
            </w:tabs>
            <w:rPr>
              <w:rFonts w:asciiTheme="minorHAnsi" w:eastAsiaTheme="minorEastAsia" w:hAnsiTheme="minorHAnsi" w:cstheme="minorBidi"/>
              <w:noProof/>
              <w:sz w:val="22"/>
              <w:szCs w:val="22"/>
              <w:lang w:eastAsia="en-AU"/>
            </w:rPr>
          </w:pPr>
          <w:hyperlink w:anchor="_Toc57387207" w:history="1">
            <w:r w:rsidR="006A07B1" w:rsidRPr="008060AA">
              <w:rPr>
                <w:rStyle w:val="Hyperlink"/>
                <w:rFonts w:ascii="Arial" w:eastAsia="Times New Roman" w:hAnsi="Arial" w:cs="Arial"/>
                <w:noProof/>
              </w:rPr>
              <w:t>NURSE PRACTITIONERS, SPECIALISTS AND ACADEMICS</w:t>
            </w:r>
            <w:r w:rsidR="006A07B1">
              <w:rPr>
                <w:noProof/>
                <w:webHidden/>
              </w:rPr>
              <w:tab/>
            </w:r>
            <w:r w:rsidR="006A07B1">
              <w:rPr>
                <w:noProof/>
                <w:webHidden/>
              </w:rPr>
              <w:fldChar w:fldCharType="begin"/>
            </w:r>
            <w:r w:rsidR="006A07B1">
              <w:rPr>
                <w:noProof/>
                <w:webHidden/>
              </w:rPr>
              <w:instrText xml:space="preserve"> PAGEREF _Toc57387207 \h </w:instrText>
            </w:r>
            <w:r w:rsidR="006A07B1">
              <w:rPr>
                <w:noProof/>
                <w:webHidden/>
              </w:rPr>
            </w:r>
            <w:r w:rsidR="006A07B1">
              <w:rPr>
                <w:noProof/>
                <w:webHidden/>
              </w:rPr>
              <w:fldChar w:fldCharType="separate"/>
            </w:r>
            <w:r w:rsidR="001E6FEC">
              <w:rPr>
                <w:noProof/>
                <w:webHidden/>
              </w:rPr>
              <w:t>17</w:t>
            </w:r>
            <w:r w:rsidR="006A07B1">
              <w:rPr>
                <w:noProof/>
                <w:webHidden/>
              </w:rPr>
              <w:fldChar w:fldCharType="end"/>
            </w:r>
          </w:hyperlink>
        </w:p>
        <w:p w14:paraId="39368B0A" w14:textId="77777777" w:rsidR="006A07B1" w:rsidRDefault="00AC1563">
          <w:pPr>
            <w:pStyle w:val="TOC2"/>
            <w:tabs>
              <w:tab w:val="right" w:leader="dot" w:pos="9182"/>
            </w:tabs>
            <w:rPr>
              <w:rFonts w:asciiTheme="minorHAnsi" w:eastAsiaTheme="minorEastAsia" w:hAnsiTheme="minorHAnsi" w:cstheme="minorBidi"/>
              <w:noProof/>
              <w:sz w:val="22"/>
              <w:szCs w:val="22"/>
              <w:lang w:eastAsia="en-AU"/>
            </w:rPr>
          </w:pPr>
          <w:hyperlink w:anchor="_Toc57387208" w:history="1">
            <w:r w:rsidR="006A07B1" w:rsidRPr="008060AA">
              <w:rPr>
                <w:rStyle w:val="Hyperlink"/>
                <w:rFonts w:ascii="Arial" w:eastAsia="Times New Roman" w:hAnsi="Arial" w:cs="Arial"/>
                <w:noProof/>
              </w:rPr>
              <w:t>Back to the future</w:t>
            </w:r>
            <w:r w:rsidR="006A07B1">
              <w:rPr>
                <w:noProof/>
                <w:webHidden/>
              </w:rPr>
              <w:tab/>
            </w:r>
            <w:r w:rsidR="006A07B1">
              <w:rPr>
                <w:noProof/>
                <w:webHidden/>
              </w:rPr>
              <w:fldChar w:fldCharType="begin"/>
            </w:r>
            <w:r w:rsidR="006A07B1">
              <w:rPr>
                <w:noProof/>
                <w:webHidden/>
              </w:rPr>
              <w:instrText xml:space="preserve"> PAGEREF _Toc57387208 \h </w:instrText>
            </w:r>
            <w:r w:rsidR="006A07B1">
              <w:rPr>
                <w:noProof/>
                <w:webHidden/>
              </w:rPr>
            </w:r>
            <w:r w:rsidR="006A07B1">
              <w:rPr>
                <w:noProof/>
                <w:webHidden/>
              </w:rPr>
              <w:fldChar w:fldCharType="separate"/>
            </w:r>
            <w:r w:rsidR="001E6FEC">
              <w:rPr>
                <w:noProof/>
                <w:webHidden/>
              </w:rPr>
              <w:t>17</w:t>
            </w:r>
            <w:r w:rsidR="006A07B1">
              <w:rPr>
                <w:noProof/>
                <w:webHidden/>
              </w:rPr>
              <w:fldChar w:fldCharType="end"/>
            </w:r>
          </w:hyperlink>
        </w:p>
        <w:p w14:paraId="7C80DB17"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209" w:history="1">
            <w:r w:rsidR="006A07B1" w:rsidRPr="008060AA">
              <w:rPr>
                <w:rStyle w:val="Hyperlink"/>
                <w:rFonts w:ascii="Arial" w:eastAsia="Times New Roman" w:hAnsi="Arial" w:cs="Arial"/>
                <w:noProof/>
              </w:rPr>
              <w:t>Recommendation 24</w:t>
            </w:r>
            <w:r w:rsidR="006A07B1">
              <w:rPr>
                <w:noProof/>
                <w:webHidden/>
              </w:rPr>
              <w:tab/>
            </w:r>
            <w:r w:rsidR="006A07B1">
              <w:rPr>
                <w:noProof/>
                <w:webHidden/>
              </w:rPr>
              <w:fldChar w:fldCharType="begin"/>
            </w:r>
            <w:r w:rsidR="006A07B1">
              <w:rPr>
                <w:noProof/>
                <w:webHidden/>
              </w:rPr>
              <w:instrText xml:space="preserve"> PAGEREF _Toc57387209 \h </w:instrText>
            </w:r>
            <w:r w:rsidR="006A07B1">
              <w:rPr>
                <w:noProof/>
                <w:webHidden/>
              </w:rPr>
            </w:r>
            <w:r w:rsidR="006A07B1">
              <w:rPr>
                <w:noProof/>
                <w:webHidden/>
              </w:rPr>
              <w:fldChar w:fldCharType="separate"/>
            </w:r>
            <w:r w:rsidR="001E6FEC">
              <w:rPr>
                <w:noProof/>
                <w:webHidden/>
              </w:rPr>
              <w:t>17</w:t>
            </w:r>
            <w:r w:rsidR="006A07B1">
              <w:rPr>
                <w:noProof/>
                <w:webHidden/>
              </w:rPr>
              <w:fldChar w:fldCharType="end"/>
            </w:r>
          </w:hyperlink>
        </w:p>
        <w:p w14:paraId="76620719"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210" w:history="1">
            <w:r w:rsidR="006A07B1" w:rsidRPr="008060AA">
              <w:rPr>
                <w:rStyle w:val="Hyperlink"/>
                <w:rFonts w:ascii="Arial" w:eastAsia="Times New Roman" w:hAnsi="Arial" w:cs="Arial"/>
                <w:noProof/>
              </w:rPr>
              <w:t>Recommendation 25</w:t>
            </w:r>
            <w:r w:rsidR="006A07B1">
              <w:rPr>
                <w:noProof/>
                <w:webHidden/>
              </w:rPr>
              <w:tab/>
            </w:r>
            <w:r w:rsidR="006A07B1">
              <w:rPr>
                <w:noProof/>
                <w:webHidden/>
              </w:rPr>
              <w:fldChar w:fldCharType="begin"/>
            </w:r>
            <w:r w:rsidR="006A07B1">
              <w:rPr>
                <w:noProof/>
                <w:webHidden/>
              </w:rPr>
              <w:instrText xml:space="preserve"> PAGEREF _Toc57387210 \h </w:instrText>
            </w:r>
            <w:r w:rsidR="006A07B1">
              <w:rPr>
                <w:noProof/>
                <w:webHidden/>
              </w:rPr>
            </w:r>
            <w:r w:rsidR="006A07B1">
              <w:rPr>
                <w:noProof/>
                <w:webHidden/>
              </w:rPr>
              <w:fldChar w:fldCharType="separate"/>
            </w:r>
            <w:r w:rsidR="001E6FEC">
              <w:rPr>
                <w:noProof/>
                <w:webHidden/>
              </w:rPr>
              <w:t>17</w:t>
            </w:r>
            <w:r w:rsidR="006A07B1">
              <w:rPr>
                <w:noProof/>
                <w:webHidden/>
              </w:rPr>
              <w:fldChar w:fldCharType="end"/>
            </w:r>
          </w:hyperlink>
        </w:p>
        <w:p w14:paraId="29B75321" w14:textId="77777777" w:rsidR="006A07B1" w:rsidRDefault="00AC1563">
          <w:pPr>
            <w:pStyle w:val="TOC1"/>
            <w:tabs>
              <w:tab w:val="right" w:leader="dot" w:pos="9182"/>
            </w:tabs>
            <w:rPr>
              <w:rFonts w:asciiTheme="minorHAnsi" w:eastAsiaTheme="minorEastAsia" w:hAnsiTheme="minorHAnsi" w:cstheme="minorBidi"/>
              <w:noProof/>
              <w:sz w:val="22"/>
              <w:szCs w:val="22"/>
              <w:lang w:eastAsia="en-AU"/>
            </w:rPr>
          </w:pPr>
          <w:hyperlink w:anchor="_Toc57387211" w:history="1">
            <w:r w:rsidR="006A07B1" w:rsidRPr="008060AA">
              <w:rPr>
                <w:rStyle w:val="Hyperlink"/>
                <w:rFonts w:ascii="Arial" w:eastAsia="Times New Roman" w:hAnsi="Arial" w:cs="Arial"/>
                <w:noProof/>
              </w:rPr>
              <w:t>IMPLEMENTATION OF RECOMMENDATIONS</w:t>
            </w:r>
            <w:r w:rsidR="006A07B1">
              <w:rPr>
                <w:noProof/>
                <w:webHidden/>
              </w:rPr>
              <w:tab/>
            </w:r>
            <w:r w:rsidR="006A07B1">
              <w:rPr>
                <w:noProof/>
                <w:webHidden/>
              </w:rPr>
              <w:fldChar w:fldCharType="begin"/>
            </w:r>
            <w:r w:rsidR="006A07B1">
              <w:rPr>
                <w:noProof/>
                <w:webHidden/>
              </w:rPr>
              <w:instrText xml:space="preserve"> PAGEREF _Toc57387211 \h </w:instrText>
            </w:r>
            <w:r w:rsidR="006A07B1">
              <w:rPr>
                <w:noProof/>
                <w:webHidden/>
              </w:rPr>
            </w:r>
            <w:r w:rsidR="006A07B1">
              <w:rPr>
                <w:noProof/>
                <w:webHidden/>
              </w:rPr>
              <w:fldChar w:fldCharType="separate"/>
            </w:r>
            <w:r w:rsidR="001E6FEC">
              <w:rPr>
                <w:noProof/>
                <w:webHidden/>
              </w:rPr>
              <w:t>18</w:t>
            </w:r>
            <w:r w:rsidR="006A07B1">
              <w:rPr>
                <w:noProof/>
                <w:webHidden/>
              </w:rPr>
              <w:fldChar w:fldCharType="end"/>
            </w:r>
          </w:hyperlink>
        </w:p>
        <w:p w14:paraId="78FCD501" w14:textId="77777777" w:rsidR="006A07B1" w:rsidRDefault="00AC1563">
          <w:pPr>
            <w:pStyle w:val="TOC3"/>
            <w:tabs>
              <w:tab w:val="right" w:leader="dot" w:pos="9182"/>
            </w:tabs>
            <w:rPr>
              <w:rFonts w:asciiTheme="minorHAnsi" w:eastAsiaTheme="minorEastAsia" w:hAnsiTheme="minorHAnsi" w:cstheme="minorBidi"/>
              <w:noProof/>
              <w:sz w:val="22"/>
              <w:szCs w:val="22"/>
              <w:lang w:eastAsia="en-AU"/>
            </w:rPr>
          </w:pPr>
          <w:hyperlink w:anchor="_Toc57387212" w:history="1">
            <w:r w:rsidR="006A07B1" w:rsidRPr="008060AA">
              <w:rPr>
                <w:rStyle w:val="Hyperlink"/>
                <w:rFonts w:ascii="Arial" w:eastAsia="Times New Roman" w:hAnsi="Arial" w:cs="Arial"/>
                <w:noProof/>
              </w:rPr>
              <w:t>Recommendation 26</w:t>
            </w:r>
            <w:r w:rsidR="006A07B1">
              <w:rPr>
                <w:noProof/>
                <w:webHidden/>
              </w:rPr>
              <w:tab/>
            </w:r>
            <w:r w:rsidR="006A07B1">
              <w:rPr>
                <w:noProof/>
                <w:webHidden/>
              </w:rPr>
              <w:fldChar w:fldCharType="begin"/>
            </w:r>
            <w:r w:rsidR="006A07B1">
              <w:rPr>
                <w:noProof/>
                <w:webHidden/>
              </w:rPr>
              <w:instrText xml:space="preserve"> PAGEREF _Toc57387212 \h </w:instrText>
            </w:r>
            <w:r w:rsidR="006A07B1">
              <w:rPr>
                <w:noProof/>
                <w:webHidden/>
              </w:rPr>
            </w:r>
            <w:r w:rsidR="006A07B1">
              <w:rPr>
                <w:noProof/>
                <w:webHidden/>
              </w:rPr>
              <w:fldChar w:fldCharType="separate"/>
            </w:r>
            <w:r w:rsidR="001E6FEC">
              <w:rPr>
                <w:noProof/>
                <w:webHidden/>
              </w:rPr>
              <w:t>18</w:t>
            </w:r>
            <w:r w:rsidR="006A07B1">
              <w:rPr>
                <w:noProof/>
                <w:webHidden/>
              </w:rPr>
              <w:fldChar w:fldCharType="end"/>
            </w:r>
          </w:hyperlink>
        </w:p>
        <w:p w14:paraId="16847429" w14:textId="77777777" w:rsidR="00350157" w:rsidRPr="003E61D9" w:rsidRDefault="00350157" w:rsidP="00350157">
          <w:pPr>
            <w:rPr>
              <w:rFonts w:ascii="Arial" w:hAnsi="Arial" w:cs="Arial"/>
            </w:rPr>
          </w:pPr>
          <w:r w:rsidRPr="006D7CAA">
            <w:rPr>
              <w:rFonts w:ascii="Arial" w:hAnsi="Arial" w:cs="Arial"/>
              <w:b/>
              <w:bCs/>
              <w:noProof/>
            </w:rPr>
            <w:fldChar w:fldCharType="end"/>
          </w:r>
        </w:p>
      </w:sdtContent>
    </w:sdt>
    <w:p w14:paraId="726918D7" w14:textId="77777777" w:rsidR="00350157" w:rsidRPr="006D7CAA" w:rsidRDefault="00350157" w:rsidP="00350157">
      <w:pPr>
        <w:rPr>
          <w:rFonts w:ascii="Arial" w:eastAsia="Times New Roman" w:hAnsi="Arial" w:cs="Arial"/>
          <w:b/>
          <w:bCs/>
          <w:kern w:val="28"/>
          <w:szCs w:val="32"/>
        </w:rPr>
      </w:pPr>
      <w:r w:rsidRPr="006D7CAA">
        <w:rPr>
          <w:rFonts w:ascii="Arial" w:eastAsia="Times New Roman" w:hAnsi="Arial" w:cs="Arial"/>
          <w:b/>
          <w:bCs/>
          <w:kern w:val="28"/>
          <w:szCs w:val="32"/>
        </w:rPr>
        <w:br w:type="page"/>
      </w:r>
    </w:p>
    <w:p w14:paraId="44EAE90A" w14:textId="77777777" w:rsidR="00350157" w:rsidRPr="006D7CAA" w:rsidRDefault="00350157" w:rsidP="00350157">
      <w:pPr>
        <w:pStyle w:val="Heading1"/>
        <w:rPr>
          <w:rFonts w:ascii="Arial" w:hAnsi="Arial" w:cs="Arial"/>
        </w:rPr>
      </w:pPr>
      <w:bookmarkStart w:id="0" w:name="_Toc57387157"/>
      <w:r w:rsidRPr="006D7CAA">
        <w:rPr>
          <w:rFonts w:ascii="Arial" w:hAnsi="Arial" w:cs="Arial"/>
        </w:rPr>
        <w:lastRenderedPageBreak/>
        <w:t>Acronyms</w:t>
      </w:r>
      <w:bookmarkEnd w:id="0"/>
    </w:p>
    <w:p w14:paraId="02FB0512" w14:textId="77777777" w:rsidR="00350157" w:rsidRPr="006D7CAA" w:rsidRDefault="00350157" w:rsidP="00350157">
      <w:pPr>
        <w:rPr>
          <w:rFonts w:ascii="Arial" w:hAnsi="Arial" w:cs="Arial"/>
        </w:rPr>
      </w:pPr>
      <w:r w:rsidRPr="006D7CAA">
        <w:rPr>
          <w:rFonts w:ascii="Arial" w:hAnsi="Arial" w:cs="Arial"/>
        </w:rPr>
        <w:t>Ahpra – Australian Health Practitioner Regulation Agency</w:t>
      </w:r>
    </w:p>
    <w:p w14:paraId="72FE2E3F" w14:textId="77777777" w:rsidR="00350157" w:rsidRPr="006D7CAA" w:rsidRDefault="00350157" w:rsidP="00350157">
      <w:pPr>
        <w:rPr>
          <w:rFonts w:ascii="Arial" w:hAnsi="Arial" w:cs="Arial"/>
        </w:rPr>
      </w:pPr>
      <w:r w:rsidRPr="006D7CAA">
        <w:rPr>
          <w:rFonts w:ascii="Arial" w:hAnsi="Arial" w:cs="Arial"/>
        </w:rPr>
        <w:t>ANMAC- Australian Nursing and Midwifery Accreditation Council</w:t>
      </w:r>
    </w:p>
    <w:p w14:paraId="1C411543" w14:textId="77777777" w:rsidR="006063B5" w:rsidRDefault="006063B5" w:rsidP="00350157">
      <w:pPr>
        <w:rPr>
          <w:rFonts w:ascii="Arial" w:hAnsi="Arial" w:cs="Arial"/>
        </w:rPr>
      </w:pPr>
      <w:r>
        <w:rPr>
          <w:rFonts w:ascii="Arial" w:hAnsi="Arial" w:cs="Arial"/>
        </w:rPr>
        <w:t xml:space="preserve">ASR – </w:t>
      </w:r>
      <w:r w:rsidR="00C63021" w:rsidRPr="002E6485">
        <w:rPr>
          <w:rFonts w:ascii="Arial" w:eastAsia="Times New Roman" w:hAnsi="Arial" w:cs="Arial"/>
          <w:sz w:val="22"/>
          <w:szCs w:val="22"/>
        </w:rPr>
        <w:t xml:space="preserve">Accreditation Systems Review Final Report, </w:t>
      </w:r>
      <w:r w:rsidR="00C63021" w:rsidRPr="002E6485">
        <w:rPr>
          <w:rFonts w:ascii="Arial" w:eastAsia="Times New Roman" w:hAnsi="Arial" w:cs="Arial"/>
          <w:i/>
          <w:sz w:val="22"/>
          <w:szCs w:val="22"/>
        </w:rPr>
        <w:t xml:space="preserve">Australia’s Health Workforce: strengthening the education foundation </w:t>
      </w:r>
    </w:p>
    <w:p w14:paraId="07D964D0" w14:textId="77777777" w:rsidR="00350157" w:rsidRPr="006D7CAA" w:rsidRDefault="00350157" w:rsidP="00350157">
      <w:pPr>
        <w:rPr>
          <w:rFonts w:ascii="Arial" w:hAnsi="Arial" w:cs="Arial"/>
        </w:rPr>
      </w:pPr>
      <w:proofErr w:type="spellStart"/>
      <w:r w:rsidRPr="006D7CAA">
        <w:rPr>
          <w:rFonts w:ascii="Arial" w:hAnsi="Arial" w:cs="Arial"/>
        </w:rPr>
        <w:t>CATSINaM</w:t>
      </w:r>
      <w:proofErr w:type="spellEnd"/>
      <w:r w:rsidRPr="006D7CAA">
        <w:rPr>
          <w:rFonts w:ascii="Arial" w:hAnsi="Arial" w:cs="Arial"/>
        </w:rPr>
        <w:t xml:space="preserve"> – Congress of Aboriginal and Torres Strait Islander Nurses and Midwives</w:t>
      </w:r>
    </w:p>
    <w:p w14:paraId="39FD3F41" w14:textId="77777777" w:rsidR="00350157" w:rsidRPr="006D7CAA" w:rsidRDefault="00350157" w:rsidP="00350157">
      <w:pPr>
        <w:rPr>
          <w:rFonts w:ascii="Arial" w:hAnsi="Arial" w:cs="Arial"/>
        </w:rPr>
      </w:pPr>
      <w:r w:rsidRPr="006D7CAA">
        <w:rPr>
          <w:rFonts w:ascii="Arial" w:hAnsi="Arial" w:cs="Arial"/>
        </w:rPr>
        <w:t>COVID-19 – Novel Coronavirus 19</w:t>
      </w:r>
    </w:p>
    <w:p w14:paraId="4370633A" w14:textId="77777777" w:rsidR="00350157" w:rsidRPr="006D7CAA" w:rsidRDefault="00350157" w:rsidP="00350157">
      <w:pPr>
        <w:rPr>
          <w:rFonts w:ascii="Arial" w:hAnsi="Arial" w:cs="Arial"/>
        </w:rPr>
      </w:pPr>
      <w:r w:rsidRPr="006D7CAA">
        <w:rPr>
          <w:rFonts w:ascii="Arial" w:hAnsi="Arial" w:cs="Arial"/>
        </w:rPr>
        <w:t>EN – Enrolled nurse</w:t>
      </w:r>
    </w:p>
    <w:p w14:paraId="499B6DE7" w14:textId="77777777" w:rsidR="00350157" w:rsidRPr="006D7CAA" w:rsidRDefault="00350157" w:rsidP="00350157">
      <w:pPr>
        <w:rPr>
          <w:rFonts w:ascii="Arial" w:hAnsi="Arial" w:cs="Arial"/>
        </w:rPr>
      </w:pPr>
      <w:r w:rsidRPr="006D7CAA">
        <w:rPr>
          <w:rFonts w:ascii="Arial" w:hAnsi="Arial" w:cs="Arial"/>
        </w:rPr>
        <w:t>HDR – Higher degree by research</w:t>
      </w:r>
    </w:p>
    <w:p w14:paraId="6AD41BD8" w14:textId="77777777" w:rsidR="00350157" w:rsidRPr="006D7CAA" w:rsidRDefault="00350157" w:rsidP="00350157">
      <w:pPr>
        <w:rPr>
          <w:rFonts w:ascii="Arial" w:hAnsi="Arial" w:cs="Arial"/>
        </w:rPr>
      </w:pPr>
      <w:r w:rsidRPr="006D7CAA">
        <w:rPr>
          <w:rFonts w:ascii="Arial" w:hAnsi="Arial" w:cs="Arial"/>
        </w:rPr>
        <w:t>HEP – Higher education providers</w:t>
      </w:r>
    </w:p>
    <w:p w14:paraId="663D2102" w14:textId="77777777" w:rsidR="00350157" w:rsidRPr="006D7CAA" w:rsidRDefault="00350157" w:rsidP="00350157">
      <w:pPr>
        <w:rPr>
          <w:rFonts w:ascii="Arial" w:hAnsi="Arial" w:cs="Arial"/>
        </w:rPr>
      </w:pPr>
      <w:r w:rsidRPr="006D7CAA">
        <w:rPr>
          <w:rFonts w:ascii="Arial" w:hAnsi="Arial" w:cs="Arial"/>
        </w:rPr>
        <w:t>HEPPP – Higher Education Participation and Partnerships Program</w:t>
      </w:r>
    </w:p>
    <w:p w14:paraId="52282729" w14:textId="77777777" w:rsidR="00350157" w:rsidRDefault="00350157" w:rsidP="00350157">
      <w:pPr>
        <w:rPr>
          <w:rFonts w:ascii="Arial" w:hAnsi="Arial" w:cs="Arial"/>
        </w:rPr>
      </w:pPr>
      <w:r w:rsidRPr="006D7CAA">
        <w:rPr>
          <w:rFonts w:ascii="Arial" w:hAnsi="Arial" w:cs="Arial"/>
        </w:rPr>
        <w:t>HWA – Health Workforce Australia</w:t>
      </w:r>
    </w:p>
    <w:p w14:paraId="69733D23" w14:textId="77777777" w:rsidR="006431FB" w:rsidRPr="006D7CAA" w:rsidRDefault="006431FB" w:rsidP="00350157">
      <w:pPr>
        <w:rPr>
          <w:rFonts w:ascii="Arial" w:hAnsi="Arial" w:cs="Arial"/>
        </w:rPr>
      </w:pPr>
      <w:r>
        <w:rPr>
          <w:rFonts w:ascii="Arial" w:hAnsi="Arial" w:cs="Arial"/>
        </w:rPr>
        <w:t>IQN – Internationally Qualified Nurse</w:t>
      </w:r>
    </w:p>
    <w:p w14:paraId="04FD617A" w14:textId="77777777" w:rsidR="00350157" w:rsidRPr="006D7CAA" w:rsidRDefault="00350157" w:rsidP="00350157">
      <w:pPr>
        <w:rPr>
          <w:rFonts w:ascii="Arial" w:hAnsi="Arial" w:cs="Arial"/>
        </w:rPr>
      </w:pPr>
      <w:r w:rsidRPr="006D7CAA">
        <w:rPr>
          <w:rFonts w:ascii="Arial" w:hAnsi="Arial" w:cs="Arial"/>
        </w:rPr>
        <w:t>KPI – Key performance indicator</w:t>
      </w:r>
    </w:p>
    <w:p w14:paraId="07913F2B" w14:textId="77777777" w:rsidR="00350157" w:rsidRPr="006D7CAA" w:rsidRDefault="00350157" w:rsidP="00350157">
      <w:pPr>
        <w:rPr>
          <w:rFonts w:ascii="Arial" w:hAnsi="Arial" w:cs="Arial"/>
        </w:rPr>
      </w:pPr>
      <w:r w:rsidRPr="006D7CAA">
        <w:rPr>
          <w:rFonts w:ascii="Arial" w:hAnsi="Arial" w:cs="Arial"/>
        </w:rPr>
        <w:t>MBS – Medicare Benefits Scheme</w:t>
      </w:r>
    </w:p>
    <w:p w14:paraId="6A3110C9" w14:textId="77777777" w:rsidR="00350157" w:rsidRPr="006D7CAA" w:rsidRDefault="00350157" w:rsidP="00350157">
      <w:pPr>
        <w:rPr>
          <w:rFonts w:ascii="Arial" w:hAnsi="Arial" w:cs="Arial"/>
        </w:rPr>
      </w:pPr>
      <w:r w:rsidRPr="006D7CAA">
        <w:rPr>
          <w:rFonts w:ascii="Arial" w:hAnsi="Arial" w:cs="Arial"/>
        </w:rPr>
        <w:t>NNMEAN – National Nursing and Midwifery Education Advisory Network</w:t>
      </w:r>
    </w:p>
    <w:p w14:paraId="775DE9C0" w14:textId="77777777" w:rsidR="00350157" w:rsidRPr="006D7CAA" w:rsidRDefault="00350157" w:rsidP="00350157">
      <w:pPr>
        <w:rPr>
          <w:rFonts w:ascii="Arial" w:hAnsi="Arial" w:cs="Arial"/>
        </w:rPr>
      </w:pPr>
      <w:r w:rsidRPr="006D7CAA">
        <w:rPr>
          <w:rFonts w:ascii="Arial" w:hAnsi="Arial" w:cs="Arial"/>
        </w:rPr>
        <w:t>NMBA – Nursing and Midwifery Board of Australia</w:t>
      </w:r>
    </w:p>
    <w:p w14:paraId="68DD58D1" w14:textId="77777777" w:rsidR="00350157" w:rsidRPr="006D7CAA" w:rsidRDefault="00350157" w:rsidP="00350157">
      <w:pPr>
        <w:rPr>
          <w:rFonts w:ascii="Arial" w:hAnsi="Arial" w:cs="Arial"/>
        </w:rPr>
      </w:pPr>
      <w:r w:rsidRPr="006D7CAA">
        <w:rPr>
          <w:rFonts w:ascii="Arial" w:hAnsi="Arial" w:cs="Arial"/>
        </w:rPr>
        <w:t>NP – Nurse practitioner</w:t>
      </w:r>
    </w:p>
    <w:p w14:paraId="0EA543B0" w14:textId="77777777" w:rsidR="00350157" w:rsidRPr="006D7CAA" w:rsidRDefault="00350157" w:rsidP="00350157">
      <w:pPr>
        <w:rPr>
          <w:rFonts w:ascii="Arial" w:hAnsi="Arial" w:cs="Arial"/>
        </w:rPr>
      </w:pPr>
      <w:r w:rsidRPr="006D7CAA">
        <w:rPr>
          <w:rFonts w:ascii="Arial" w:hAnsi="Arial" w:cs="Arial"/>
        </w:rPr>
        <w:t>RN – Registered nurse</w:t>
      </w:r>
    </w:p>
    <w:p w14:paraId="752270C7" w14:textId="77777777" w:rsidR="00350157" w:rsidRPr="006D7CAA" w:rsidRDefault="00350157" w:rsidP="00350157">
      <w:pPr>
        <w:rPr>
          <w:rFonts w:ascii="Arial" w:hAnsi="Arial" w:cs="Arial"/>
        </w:rPr>
      </w:pPr>
      <w:r w:rsidRPr="006D7CAA">
        <w:rPr>
          <w:rFonts w:ascii="Arial" w:hAnsi="Arial" w:cs="Arial"/>
        </w:rPr>
        <w:t>RTO – Registered training organisation</w:t>
      </w:r>
    </w:p>
    <w:p w14:paraId="454D8B30" w14:textId="77777777" w:rsidR="00350157" w:rsidRPr="006D7CAA" w:rsidRDefault="00350157" w:rsidP="00350157">
      <w:pPr>
        <w:rPr>
          <w:rFonts w:ascii="Arial" w:hAnsi="Arial" w:cs="Arial"/>
        </w:rPr>
      </w:pPr>
      <w:r w:rsidRPr="006D7CAA">
        <w:rPr>
          <w:rFonts w:ascii="Arial" w:hAnsi="Arial" w:cs="Arial"/>
        </w:rPr>
        <w:t>RTP – Research Training Program</w:t>
      </w:r>
    </w:p>
    <w:p w14:paraId="4AE184E2" w14:textId="77777777" w:rsidR="00350157" w:rsidRPr="006D7CAA" w:rsidRDefault="00350157" w:rsidP="00350157">
      <w:pPr>
        <w:rPr>
          <w:rFonts w:ascii="Arial" w:hAnsi="Arial" w:cs="Arial"/>
        </w:rPr>
      </w:pPr>
      <w:r w:rsidRPr="006D7CAA">
        <w:rPr>
          <w:rFonts w:ascii="Arial" w:hAnsi="Arial" w:cs="Arial"/>
        </w:rPr>
        <w:t>SES – socioeconomic status</w:t>
      </w:r>
    </w:p>
    <w:p w14:paraId="48B3A0C7" w14:textId="77777777" w:rsidR="00350157" w:rsidRPr="006D7CAA" w:rsidRDefault="00350157" w:rsidP="00350157">
      <w:pPr>
        <w:rPr>
          <w:rFonts w:ascii="Arial" w:hAnsi="Arial" w:cs="Arial"/>
        </w:rPr>
      </w:pPr>
      <w:r w:rsidRPr="006D7CAA">
        <w:rPr>
          <w:rFonts w:ascii="Arial" w:hAnsi="Arial" w:cs="Arial"/>
        </w:rPr>
        <w:t>TEQSA – Tertiary Education Quality &amp; Standards Agency</w:t>
      </w:r>
    </w:p>
    <w:p w14:paraId="2E2BC17E" w14:textId="77777777" w:rsidR="00350157" w:rsidRPr="006D7CAA" w:rsidRDefault="00350157" w:rsidP="00350157">
      <w:pPr>
        <w:rPr>
          <w:rFonts w:ascii="Arial" w:hAnsi="Arial" w:cs="Arial"/>
        </w:rPr>
      </w:pPr>
      <w:r w:rsidRPr="006D7CAA">
        <w:rPr>
          <w:rFonts w:ascii="Arial" w:hAnsi="Arial" w:cs="Arial"/>
        </w:rPr>
        <w:t>TTP – Transition to practice</w:t>
      </w:r>
    </w:p>
    <w:p w14:paraId="5FAAD863" w14:textId="77777777" w:rsidR="00350157" w:rsidRPr="006D7CAA" w:rsidRDefault="00350157" w:rsidP="00350157">
      <w:pPr>
        <w:rPr>
          <w:rFonts w:ascii="Arial" w:hAnsi="Arial" w:cs="Arial"/>
        </w:rPr>
      </w:pPr>
      <w:r w:rsidRPr="006D7CAA">
        <w:rPr>
          <w:rFonts w:ascii="Arial" w:hAnsi="Arial" w:cs="Arial"/>
        </w:rPr>
        <w:t>VET – Vocational education and training</w:t>
      </w:r>
    </w:p>
    <w:p w14:paraId="383C3119" w14:textId="77777777" w:rsidR="00350157" w:rsidRDefault="00350157" w:rsidP="00350157">
      <w:pPr>
        <w:rPr>
          <w:rFonts w:ascii="Arial" w:hAnsi="Arial" w:cs="Arial"/>
        </w:rPr>
      </w:pPr>
      <w:r w:rsidRPr="006D7CAA">
        <w:rPr>
          <w:rFonts w:ascii="Arial" w:hAnsi="Arial" w:cs="Arial"/>
        </w:rPr>
        <w:t>WIP – Workforce Incentive Program</w:t>
      </w:r>
    </w:p>
    <w:p w14:paraId="78344B78" w14:textId="77777777" w:rsidR="00350157" w:rsidRDefault="00350157" w:rsidP="00350157">
      <w:pPr>
        <w:rPr>
          <w:rFonts w:ascii="Arial" w:hAnsi="Arial" w:cs="Arial"/>
        </w:rPr>
      </w:pPr>
      <w:r>
        <w:rPr>
          <w:rFonts w:ascii="Arial" w:hAnsi="Arial" w:cs="Arial"/>
        </w:rPr>
        <w:br w:type="page"/>
      </w:r>
    </w:p>
    <w:p w14:paraId="09402E10" w14:textId="77777777" w:rsidR="00350157" w:rsidRPr="006D7CAA" w:rsidRDefault="00350157" w:rsidP="00350157">
      <w:pPr>
        <w:pStyle w:val="Heading1"/>
        <w:rPr>
          <w:rFonts w:ascii="Arial" w:eastAsia="Times New Roman" w:hAnsi="Arial" w:cs="Arial"/>
        </w:rPr>
      </w:pPr>
      <w:bookmarkStart w:id="1" w:name="_Toc57387158"/>
      <w:r w:rsidRPr="006D7CAA">
        <w:rPr>
          <w:rFonts w:ascii="Arial" w:eastAsia="Times New Roman" w:hAnsi="Arial" w:cs="Arial"/>
        </w:rPr>
        <w:lastRenderedPageBreak/>
        <w:t>Message</w:t>
      </w:r>
      <w:bookmarkEnd w:id="1"/>
    </w:p>
    <w:p w14:paraId="7E33CBD7" w14:textId="77777777" w:rsidR="00350157" w:rsidRPr="006D7CAA" w:rsidRDefault="00350157" w:rsidP="00DF5E51">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There are approximately 395,000 nurses registered in Australia and every day they are saving and improving lives. In all settings, across metropolitan, regional, rural and remote areas nurses are working to achieve quality, safe health outcomes for all Australians. </w:t>
      </w:r>
    </w:p>
    <w:p w14:paraId="241FE181" w14:textId="77777777" w:rsidR="00350157" w:rsidRPr="006D7CAA" w:rsidRDefault="00350157" w:rsidP="00350157">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The Australian Government values the work of nurses and is committed to making sure the highly qualified and skilled nursing workforce is available to those who need it. Australians also recognise the outstanding work of Australia’s nurses and demonstrates this by consistently voting nurses as the most trusted profession. And we have seen ample evidence of the nursing profession’s commitment to the Australian community during recent times when nurses have stepped forward to do their bit in helping to manage the COVID-19 pandemic. The COVID-19 pandemic has challenged us all but no more so than our world class health professionals on the frontline and behind the scenes who have risen to the challenge magnificently. </w:t>
      </w:r>
    </w:p>
    <w:p w14:paraId="761AE900" w14:textId="77777777" w:rsidR="00350157" w:rsidRPr="006D7CAA" w:rsidRDefault="00350157" w:rsidP="00350157">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Significant changes have occurred in health care, higher education, and demographics since nursing education was last examined in 2002. These changes highlight the importance of ensuring Australia’s largest single health profession, comprising of more than 40 per cent of Australia’s health workforce, is adequately equipped to meet the needs of our future health system. In December 2018, the Minister for Regional Services announced the appointment of Emeritus Professor Steven Schwartz AM to conduct an independent review of nursing education. This review is part of the Morrison Government’s $550 million Stronger Rural Health Strategy, which is building a sustainable, high-quality health workforce across Australia.</w:t>
      </w:r>
    </w:p>
    <w:p w14:paraId="0169AEB9" w14:textId="77777777" w:rsidR="00350157" w:rsidRPr="006D7CAA" w:rsidRDefault="00350157" w:rsidP="00350157">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The Government welcomes the report of the independent review of nursing education - </w:t>
      </w:r>
      <w:r w:rsidRPr="006D7CAA">
        <w:rPr>
          <w:rFonts w:ascii="Arial" w:eastAsia="Times New Roman" w:hAnsi="Arial" w:cs="Arial"/>
          <w:i/>
          <w:sz w:val="22"/>
          <w:szCs w:val="22"/>
        </w:rPr>
        <w:t>Educating the Nurse of the Future</w:t>
      </w:r>
      <w:r w:rsidRPr="006D7CAA">
        <w:rPr>
          <w:rFonts w:ascii="Arial" w:eastAsia="Times New Roman" w:hAnsi="Arial" w:cs="Arial"/>
          <w:sz w:val="22"/>
          <w:szCs w:val="22"/>
        </w:rPr>
        <w:t xml:space="preserve"> and thanks Professor Schwartz for his work in leading the review, which will have a positive impact on nursing education and the health care needs of all Australians now and into the future.</w:t>
      </w:r>
    </w:p>
    <w:p w14:paraId="4E609D4A" w14:textId="77777777" w:rsidR="00350157" w:rsidRPr="006D7CAA" w:rsidRDefault="00350157" w:rsidP="00350157">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The review found there is much that is good about nursing education in Australia and makes recommendations for improvements to enhance the quality of nursing education. The report is a significant opportunity for the nursing profession, together with the higher education sector and the health sector more broadly to develop a considered view of what needs to be done to ensure a skilled and sustainable nursing workforce</w:t>
      </w:r>
      <w:r w:rsidR="00692392">
        <w:rPr>
          <w:rFonts w:ascii="Arial" w:eastAsia="Times New Roman" w:hAnsi="Arial" w:cs="Arial"/>
          <w:sz w:val="22"/>
          <w:szCs w:val="22"/>
        </w:rPr>
        <w:t>,</w:t>
      </w:r>
      <w:r w:rsidRPr="006D7CAA">
        <w:rPr>
          <w:rFonts w:ascii="Arial" w:eastAsia="Times New Roman" w:hAnsi="Arial" w:cs="Arial"/>
          <w:sz w:val="22"/>
          <w:szCs w:val="22"/>
        </w:rPr>
        <w:t xml:space="preserve"> able to fully realise its potential in the delivery of health care to Australians into the future. </w:t>
      </w:r>
    </w:p>
    <w:p w14:paraId="6B7EEE8E" w14:textId="77777777" w:rsidR="00350157" w:rsidRDefault="00452AD0" w:rsidP="00350157">
      <w:pPr>
        <w:spacing w:before="120" w:after="120" w:line="240" w:lineRule="auto"/>
        <w:rPr>
          <w:rFonts w:ascii="Arial" w:eastAsia="Times New Roman" w:hAnsi="Arial" w:cs="Arial"/>
          <w:sz w:val="22"/>
          <w:szCs w:val="22"/>
        </w:rPr>
      </w:pPr>
      <w:r>
        <w:rPr>
          <w:rFonts w:ascii="Arial" w:eastAsia="Times New Roman" w:hAnsi="Arial" w:cs="Arial"/>
          <w:sz w:val="22"/>
          <w:szCs w:val="22"/>
        </w:rPr>
        <w:t xml:space="preserve">As the review </w:t>
      </w:r>
      <w:r w:rsidR="00692392">
        <w:rPr>
          <w:rFonts w:ascii="Arial" w:eastAsia="Times New Roman" w:hAnsi="Arial" w:cs="Arial"/>
          <w:sz w:val="22"/>
          <w:szCs w:val="22"/>
        </w:rPr>
        <w:t>concerns</w:t>
      </w:r>
      <w:r>
        <w:rPr>
          <w:rFonts w:ascii="Arial" w:eastAsia="Times New Roman" w:hAnsi="Arial" w:cs="Arial"/>
          <w:sz w:val="22"/>
          <w:szCs w:val="22"/>
        </w:rPr>
        <w:t xml:space="preserve"> nursing education, </w:t>
      </w:r>
      <w:proofErr w:type="gramStart"/>
      <w:r>
        <w:rPr>
          <w:rFonts w:ascii="Arial" w:eastAsia="Times New Roman" w:hAnsi="Arial" w:cs="Arial"/>
          <w:sz w:val="22"/>
          <w:szCs w:val="22"/>
        </w:rPr>
        <w:t>the majority of</w:t>
      </w:r>
      <w:proofErr w:type="gramEnd"/>
      <w:r>
        <w:rPr>
          <w:rFonts w:ascii="Arial" w:eastAsia="Times New Roman" w:hAnsi="Arial" w:cs="Arial"/>
          <w:sz w:val="22"/>
          <w:szCs w:val="22"/>
        </w:rPr>
        <w:t xml:space="preserve"> recommendations relate to areas which are not within the Australian Government’s direct responsibility. However, the </w:t>
      </w:r>
      <w:r w:rsidR="00350157" w:rsidRPr="006D7CAA">
        <w:rPr>
          <w:rFonts w:ascii="Arial" w:eastAsia="Times New Roman" w:hAnsi="Arial" w:cs="Arial"/>
          <w:sz w:val="22"/>
          <w:szCs w:val="22"/>
        </w:rPr>
        <w:t xml:space="preserve">Government will facilitate </w:t>
      </w:r>
      <w:r>
        <w:rPr>
          <w:rFonts w:ascii="Arial" w:eastAsia="Times New Roman" w:hAnsi="Arial" w:cs="Arial"/>
          <w:sz w:val="22"/>
          <w:szCs w:val="22"/>
        </w:rPr>
        <w:t>consideration</w:t>
      </w:r>
      <w:r w:rsidR="00350157" w:rsidRPr="006D7CAA">
        <w:rPr>
          <w:rFonts w:ascii="Arial" w:eastAsia="Times New Roman" w:hAnsi="Arial" w:cs="Arial"/>
          <w:sz w:val="22"/>
          <w:szCs w:val="22"/>
        </w:rPr>
        <w:t xml:space="preserve"> of the recommendations by continuing to support the National Nursing and Midwifery Education Advisory Network, chaired by the Commonwealth Chief Nursing and Midwifery Officer, </w:t>
      </w:r>
      <w:r>
        <w:rPr>
          <w:rFonts w:ascii="Arial" w:eastAsia="Times New Roman" w:hAnsi="Arial" w:cs="Arial"/>
          <w:sz w:val="22"/>
          <w:szCs w:val="22"/>
        </w:rPr>
        <w:t xml:space="preserve">and </w:t>
      </w:r>
      <w:r w:rsidR="00350157" w:rsidRPr="006D7CAA">
        <w:rPr>
          <w:rFonts w:ascii="Arial" w:eastAsia="Times New Roman" w:hAnsi="Arial" w:cs="Arial"/>
          <w:sz w:val="22"/>
          <w:szCs w:val="22"/>
        </w:rPr>
        <w:t xml:space="preserve">including the Nursing and Midwifery Board of Australia and the Australian Nursing and Midwifery </w:t>
      </w:r>
      <w:r w:rsidR="00350157">
        <w:rPr>
          <w:rFonts w:ascii="Arial" w:eastAsia="Times New Roman" w:hAnsi="Arial" w:cs="Arial"/>
          <w:sz w:val="22"/>
          <w:szCs w:val="22"/>
        </w:rPr>
        <w:t>Accreditation Council</w:t>
      </w:r>
      <w:r w:rsidR="00350157" w:rsidRPr="006D7CAA">
        <w:rPr>
          <w:rFonts w:ascii="Arial" w:eastAsia="Times New Roman" w:hAnsi="Arial" w:cs="Arial"/>
          <w:sz w:val="22"/>
          <w:szCs w:val="22"/>
        </w:rPr>
        <w:t>.</w:t>
      </w:r>
      <w:r w:rsidR="00350157">
        <w:rPr>
          <w:rFonts w:ascii="Arial" w:eastAsia="Times New Roman" w:hAnsi="Arial" w:cs="Arial"/>
          <w:sz w:val="22"/>
          <w:szCs w:val="22"/>
        </w:rPr>
        <w:t xml:space="preserve"> The recommendations will also be considered in the development of Australia’s first </w:t>
      </w:r>
      <w:r>
        <w:rPr>
          <w:rFonts w:ascii="Arial" w:eastAsia="Times New Roman" w:hAnsi="Arial" w:cs="Arial"/>
          <w:sz w:val="22"/>
          <w:szCs w:val="22"/>
        </w:rPr>
        <w:t>N</w:t>
      </w:r>
      <w:r w:rsidR="00350157" w:rsidRPr="00F91618">
        <w:rPr>
          <w:rFonts w:ascii="Arial" w:eastAsia="Times New Roman" w:hAnsi="Arial" w:cs="Arial"/>
          <w:sz w:val="22"/>
          <w:szCs w:val="22"/>
        </w:rPr>
        <w:t xml:space="preserve">ational </w:t>
      </w:r>
      <w:r>
        <w:rPr>
          <w:rFonts w:ascii="Arial" w:eastAsia="Times New Roman" w:hAnsi="Arial" w:cs="Arial"/>
          <w:sz w:val="22"/>
          <w:szCs w:val="22"/>
        </w:rPr>
        <w:t>N</w:t>
      </w:r>
      <w:r w:rsidR="00350157" w:rsidRPr="00F91618">
        <w:rPr>
          <w:rFonts w:ascii="Arial" w:eastAsia="Times New Roman" w:hAnsi="Arial" w:cs="Arial"/>
          <w:sz w:val="22"/>
          <w:szCs w:val="22"/>
        </w:rPr>
        <w:t xml:space="preserve">ursing </w:t>
      </w:r>
      <w:r>
        <w:rPr>
          <w:rFonts w:ascii="Arial" w:eastAsia="Times New Roman" w:hAnsi="Arial" w:cs="Arial"/>
          <w:sz w:val="22"/>
          <w:szCs w:val="22"/>
        </w:rPr>
        <w:t>S</w:t>
      </w:r>
      <w:r w:rsidR="00350157" w:rsidRPr="00F91618">
        <w:rPr>
          <w:rFonts w:ascii="Arial" w:eastAsia="Times New Roman" w:hAnsi="Arial" w:cs="Arial"/>
          <w:sz w:val="22"/>
          <w:szCs w:val="22"/>
        </w:rPr>
        <w:t>trategy</w:t>
      </w:r>
      <w:r w:rsidR="00350157">
        <w:rPr>
          <w:rFonts w:ascii="Arial" w:eastAsia="Times New Roman" w:hAnsi="Arial" w:cs="Arial"/>
          <w:sz w:val="22"/>
          <w:szCs w:val="22"/>
        </w:rPr>
        <w:t>. The National Nursing Strategy will</w:t>
      </w:r>
      <w:r w:rsidR="00350157" w:rsidRPr="00F91618">
        <w:rPr>
          <w:rFonts w:ascii="Arial" w:eastAsia="Times New Roman" w:hAnsi="Arial" w:cs="Arial"/>
          <w:sz w:val="22"/>
          <w:szCs w:val="22"/>
        </w:rPr>
        <w:t xml:space="preserve"> provide national guidance and direction for the profession and health system to ensure the nursing profession meets the health needs of the Australian community. It will set out a vision for nursing in Australia</w:t>
      </w:r>
      <w:r w:rsidR="00350157">
        <w:rPr>
          <w:rFonts w:ascii="Arial" w:eastAsia="Times New Roman" w:hAnsi="Arial" w:cs="Arial"/>
          <w:sz w:val="22"/>
          <w:szCs w:val="22"/>
        </w:rPr>
        <w:t xml:space="preserve"> for the next ten years.</w:t>
      </w:r>
    </w:p>
    <w:p w14:paraId="7F92BE9C" w14:textId="77777777" w:rsidR="0099264B" w:rsidRPr="006D7CAA" w:rsidRDefault="0099264B" w:rsidP="00350157">
      <w:pPr>
        <w:spacing w:before="120" w:after="120" w:line="240" w:lineRule="auto"/>
        <w:rPr>
          <w:rFonts w:ascii="Arial" w:eastAsia="Times New Roman" w:hAnsi="Arial" w:cs="Arial"/>
          <w:sz w:val="22"/>
          <w:szCs w:val="22"/>
        </w:rPr>
      </w:pPr>
      <w:r w:rsidRPr="00692392">
        <w:rPr>
          <w:rFonts w:ascii="Arial" w:eastAsia="Times New Roman" w:hAnsi="Arial" w:cs="Arial"/>
          <w:sz w:val="22"/>
          <w:szCs w:val="22"/>
        </w:rPr>
        <w:t>There is much work underway in examining the changing role that nurses play in our health system, including the Royal Commissions in</w:t>
      </w:r>
      <w:r w:rsidR="00C73AFC" w:rsidRPr="00692392">
        <w:rPr>
          <w:rFonts w:ascii="Arial" w:eastAsia="Times New Roman" w:hAnsi="Arial" w:cs="Arial"/>
          <w:sz w:val="22"/>
          <w:szCs w:val="22"/>
        </w:rPr>
        <w:t>to</w:t>
      </w:r>
      <w:r w:rsidRPr="00692392">
        <w:rPr>
          <w:rFonts w:ascii="Arial" w:eastAsia="Times New Roman" w:hAnsi="Arial" w:cs="Arial"/>
          <w:sz w:val="22"/>
          <w:szCs w:val="22"/>
        </w:rPr>
        <w:t xml:space="preserve"> Aged Care and Disability, </w:t>
      </w:r>
      <w:r w:rsidR="00C73AFC" w:rsidRPr="00692392">
        <w:rPr>
          <w:rFonts w:ascii="Arial" w:eastAsia="Times New Roman" w:hAnsi="Arial" w:cs="Arial"/>
          <w:sz w:val="22"/>
          <w:szCs w:val="22"/>
        </w:rPr>
        <w:t>and</w:t>
      </w:r>
      <w:r w:rsidRPr="00692392">
        <w:rPr>
          <w:rFonts w:ascii="Arial" w:eastAsia="Times New Roman" w:hAnsi="Arial" w:cs="Arial"/>
          <w:sz w:val="22"/>
          <w:szCs w:val="22"/>
        </w:rPr>
        <w:t xml:space="preserve"> Australia’s </w:t>
      </w:r>
      <w:proofErr w:type="gramStart"/>
      <w:r w:rsidRPr="00692392">
        <w:rPr>
          <w:rFonts w:ascii="Arial" w:eastAsia="Times New Roman" w:hAnsi="Arial" w:cs="Arial"/>
          <w:sz w:val="22"/>
          <w:szCs w:val="22"/>
        </w:rPr>
        <w:t>Long Term</w:t>
      </w:r>
      <w:proofErr w:type="gramEnd"/>
      <w:r w:rsidRPr="00692392">
        <w:rPr>
          <w:rFonts w:ascii="Arial" w:eastAsia="Times New Roman" w:hAnsi="Arial" w:cs="Arial"/>
          <w:sz w:val="22"/>
          <w:szCs w:val="22"/>
        </w:rPr>
        <w:t xml:space="preserve"> National Health Plan.</w:t>
      </w:r>
      <w:r>
        <w:rPr>
          <w:rFonts w:ascii="Arial" w:eastAsia="Times New Roman" w:hAnsi="Arial" w:cs="Arial"/>
          <w:sz w:val="22"/>
          <w:szCs w:val="22"/>
        </w:rPr>
        <w:t xml:space="preserve"> </w:t>
      </w:r>
      <w:r w:rsidR="00C73AFC">
        <w:rPr>
          <w:rFonts w:ascii="Arial" w:eastAsia="Times New Roman" w:hAnsi="Arial" w:cs="Arial"/>
          <w:sz w:val="22"/>
          <w:szCs w:val="22"/>
        </w:rPr>
        <w:t xml:space="preserve">Alongside these are also recent reviews into accreditation and governance of Ahpra and National </w:t>
      </w:r>
      <w:r w:rsidR="00452AD0">
        <w:rPr>
          <w:rFonts w:ascii="Arial" w:eastAsia="Times New Roman" w:hAnsi="Arial" w:cs="Arial"/>
          <w:sz w:val="22"/>
          <w:szCs w:val="22"/>
        </w:rPr>
        <w:t xml:space="preserve">Health Practitioner </w:t>
      </w:r>
      <w:r w:rsidR="00C73AFC">
        <w:rPr>
          <w:rFonts w:ascii="Arial" w:eastAsia="Times New Roman" w:hAnsi="Arial" w:cs="Arial"/>
          <w:sz w:val="22"/>
          <w:szCs w:val="22"/>
        </w:rPr>
        <w:t xml:space="preserve">Boards that have examined the skills and qualifications required of nurses as registered health practitioners. My Department will be looking at recommendations from </w:t>
      </w:r>
      <w:proofErr w:type="gramStart"/>
      <w:r w:rsidR="00C73AFC">
        <w:rPr>
          <w:rFonts w:ascii="Arial" w:eastAsia="Times New Roman" w:hAnsi="Arial" w:cs="Arial"/>
          <w:sz w:val="22"/>
          <w:szCs w:val="22"/>
        </w:rPr>
        <w:t xml:space="preserve">all </w:t>
      </w:r>
      <w:r w:rsidR="00A0514C">
        <w:rPr>
          <w:rFonts w:ascii="Arial" w:eastAsia="Times New Roman" w:hAnsi="Arial" w:cs="Arial"/>
          <w:sz w:val="22"/>
          <w:szCs w:val="22"/>
        </w:rPr>
        <w:t>of</w:t>
      </w:r>
      <w:proofErr w:type="gramEnd"/>
      <w:r w:rsidR="00A0514C">
        <w:rPr>
          <w:rFonts w:ascii="Arial" w:eastAsia="Times New Roman" w:hAnsi="Arial" w:cs="Arial"/>
          <w:sz w:val="22"/>
          <w:szCs w:val="22"/>
        </w:rPr>
        <w:t xml:space="preserve"> </w:t>
      </w:r>
      <w:r w:rsidR="00C73AFC">
        <w:rPr>
          <w:rFonts w:ascii="Arial" w:eastAsia="Times New Roman" w:hAnsi="Arial" w:cs="Arial"/>
          <w:sz w:val="22"/>
          <w:szCs w:val="22"/>
        </w:rPr>
        <w:t>these reviews in conjunction to provide a holistic</w:t>
      </w:r>
      <w:r w:rsidR="003D1BE3">
        <w:rPr>
          <w:rFonts w:ascii="Arial" w:eastAsia="Times New Roman" w:hAnsi="Arial" w:cs="Arial"/>
          <w:sz w:val="22"/>
          <w:szCs w:val="22"/>
        </w:rPr>
        <w:t>,</w:t>
      </w:r>
      <w:r w:rsidR="00C73AFC">
        <w:rPr>
          <w:rFonts w:ascii="Arial" w:eastAsia="Times New Roman" w:hAnsi="Arial" w:cs="Arial"/>
          <w:sz w:val="22"/>
          <w:szCs w:val="22"/>
        </w:rPr>
        <w:t xml:space="preserve"> contemporary solution.</w:t>
      </w:r>
    </w:p>
    <w:p w14:paraId="3BA75EC8" w14:textId="77777777" w:rsidR="00350157" w:rsidRPr="006D7CAA" w:rsidRDefault="00350157" w:rsidP="00350157">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I thank and acknowledge Australia’s extraordinary nurses for their ongoing commitment and dedication to deliver exceptional frontline health care.</w:t>
      </w:r>
    </w:p>
    <w:p w14:paraId="1EEBFF17" w14:textId="77777777" w:rsidR="00350157" w:rsidRPr="006D7CAA" w:rsidRDefault="00350157" w:rsidP="00350157">
      <w:pPr>
        <w:spacing w:before="120" w:after="120" w:line="240" w:lineRule="auto"/>
        <w:rPr>
          <w:rFonts w:ascii="Arial" w:eastAsia="Times New Roman" w:hAnsi="Arial" w:cs="Arial"/>
          <w:sz w:val="22"/>
          <w:szCs w:val="22"/>
        </w:rPr>
      </w:pPr>
    </w:p>
    <w:p w14:paraId="5EA5E66D" w14:textId="77777777" w:rsidR="00350157" w:rsidRPr="006D7CAA" w:rsidRDefault="00350157" w:rsidP="00350157">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Minister Hunt</w:t>
      </w:r>
      <w:r w:rsidRPr="006D7CAA">
        <w:rPr>
          <w:rFonts w:ascii="Arial" w:eastAsia="Times New Roman" w:hAnsi="Arial" w:cs="Arial"/>
          <w:sz w:val="22"/>
          <w:szCs w:val="22"/>
        </w:rPr>
        <w:br w:type="page"/>
      </w:r>
    </w:p>
    <w:p w14:paraId="1D85D1F8" w14:textId="77777777" w:rsidR="00350157" w:rsidRPr="006D7CAA" w:rsidRDefault="00350157" w:rsidP="00350157">
      <w:pPr>
        <w:pStyle w:val="Heading1"/>
        <w:rPr>
          <w:rFonts w:ascii="Arial" w:eastAsia="Times New Roman" w:hAnsi="Arial" w:cs="Arial"/>
          <w:shd w:val="clear" w:color="auto" w:fill="FFFFFF"/>
        </w:rPr>
      </w:pPr>
      <w:bookmarkStart w:id="2" w:name="_Toc57387159"/>
      <w:r w:rsidRPr="006D7CAA">
        <w:rPr>
          <w:rFonts w:ascii="Arial" w:eastAsia="Times New Roman" w:hAnsi="Arial" w:cs="Arial"/>
          <w:shd w:val="clear" w:color="auto" w:fill="FFFFFF"/>
        </w:rPr>
        <w:lastRenderedPageBreak/>
        <w:t>Background</w:t>
      </w:r>
      <w:bookmarkEnd w:id="2"/>
      <w:r w:rsidRPr="006D7CAA">
        <w:rPr>
          <w:rFonts w:ascii="Arial" w:eastAsia="Times New Roman" w:hAnsi="Arial" w:cs="Arial"/>
          <w:shd w:val="clear" w:color="auto" w:fill="FFFFFF"/>
        </w:rPr>
        <w:t xml:space="preserve"> </w:t>
      </w:r>
    </w:p>
    <w:p w14:paraId="31D4DFED" w14:textId="77777777" w:rsidR="00350157" w:rsidRPr="006D7CAA" w:rsidRDefault="00350157" w:rsidP="00561095">
      <w:pPr>
        <w:shd w:val="clear" w:color="auto" w:fill="FFFFFF"/>
        <w:spacing w:before="120" w:after="0" w:line="240" w:lineRule="auto"/>
        <w:rPr>
          <w:rFonts w:ascii="Arial" w:eastAsia="Times New Roman" w:hAnsi="Arial" w:cs="Arial"/>
          <w:sz w:val="22"/>
          <w:szCs w:val="22"/>
          <w:lang w:eastAsia="en-AU"/>
        </w:rPr>
      </w:pPr>
      <w:r w:rsidRPr="006D7CAA">
        <w:rPr>
          <w:rFonts w:ascii="Arial" w:eastAsia="Times New Roman" w:hAnsi="Arial" w:cs="Arial"/>
          <w:sz w:val="22"/>
          <w:szCs w:val="22"/>
        </w:rPr>
        <w:t xml:space="preserve">In December 2018, the Minister for Regional Services announced the appointment of Emeritus Professor Steven Schwartz AM to conduct an independent review of nursing education. </w:t>
      </w:r>
      <w:r w:rsidR="00E81B4F">
        <w:rPr>
          <w:rFonts w:ascii="Arial" w:eastAsia="Times New Roman" w:hAnsi="Arial" w:cs="Arial"/>
          <w:sz w:val="22"/>
          <w:szCs w:val="22"/>
        </w:rPr>
        <w:br/>
      </w:r>
      <w:r w:rsidRPr="006D7CAA">
        <w:rPr>
          <w:rFonts w:ascii="Arial" w:eastAsia="Times New Roman" w:hAnsi="Arial" w:cs="Arial"/>
          <w:sz w:val="22"/>
          <w:szCs w:val="22"/>
        </w:rPr>
        <w:t>Terms of Reference for the review examined:</w:t>
      </w:r>
    </w:p>
    <w:p w14:paraId="4E9F4FDA" w14:textId="77777777" w:rsidR="00350157" w:rsidRPr="006D7CAA" w:rsidRDefault="00350157" w:rsidP="00561095">
      <w:pPr>
        <w:numPr>
          <w:ilvl w:val="0"/>
          <w:numId w:val="1"/>
        </w:numPr>
        <w:shd w:val="clear" w:color="auto" w:fill="FFFFFF"/>
        <w:tabs>
          <w:tab w:val="clear" w:pos="720"/>
        </w:tabs>
        <w:spacing w:before="60" w:after="60" w:line="240" w:lineRule="auto"/>
        <w:ind w:left="284" w:hanging="284"/>
        <w:rPr>
          <w:rFonts w:ascii="Arial" w:eastAsia="Times New Roman" w:hAnsi="Arial" w:cs="Arial"/>
          <w:sz w:val="22"/>
          <w:szCs w:val="22"/>
        </w:rPr>
      </w:pPr>
      <w:r w:rsidRPr="006D7CAA">
        <w:rPr>
          <w:rFonts w:ascii="Arial" w:eastAsia="Times New Roman" w:hAnsi="Arial" w:cs="Arial"/>
          <w:sz w:val="22"/>
          <w:szCs w:val="22"/>
        </w:rPr>
        <w:t>The effectiveness of the current educational preparation of, and articulation between, enrolled and registered nurses and nurse practitioners in meeting the needs of health service delivery</w:t>
      </w:r>
      <w:r w:rsidR="003133A9">
        <w:rPr>
          <w:rFonts w:ascii="Arial" w:eastAsia="Times New Roman" w:hAnsi="Arial" w:cs="Arial"/>
          <w:sz w:val="22"/>
          <w:szCs w:val="22"/>
        </w:rPr>
        <w:t>;</w:t>
      </w:r>
    </w:p>
    <w:p w14:paraId="50C74658" w14:textId="77777777" w:rsidR="00350157" w:rsidRPr="006D7CAA" w:rsidRDefault="00350157" w:rsidP="00561095">
      <w:pPr>
        <w:numPr>
          <w:ilvl w:val="0"/>
          <w:numId w:val="1"/>
        </w:numPr>
        <w:shd w:val="clear" w:color="auto" w:fill="FFFFFF"/>
        <w:tabs>
          <w:tab w:val="clear" w:pos="720"/>
        </w:tabs>
        <w:spacing w:before="60" w:after="60" w:line="240" w:lineRule="auto"/>
        <w:ind w:left="284" w:hanging="284"/>
        <w:rPr>
          <w:rFonts w:ascii="Arial" w:eastAsia="Times New Roman" w:hAnsi="Arial" w:cs="Arial"/>
          <w:sz w:val="22"/>
          <w:szCs w:val="22"/>
        </w:rPr>
      </w:pPr>
      <w:r w:rsidRPr="006D7CAA">
        <w:rPr>
          <w:rFonts w:ascii="Arial" w:eastAsia="Times New Roman" w:hAnsi="Arial" w:cs="Arial"/>
          <w:sz w:val="22"/>
          <w:szCs w:val="22"/>
        </w:rPr>
        <w:t>The respective roles of the education and health sectors in education of the nursing workforce</w:t>
      </w:r>
      <w:r w:rsidR="003133A9">
        <w:rPr>
          <w:rFonts w:ascii="Arial" w:eastAsia="Times New Roman" w:hAnsi="Arial" w:cs="Arial"/>
          <w:sz w:val="22"/>
          <w:szCs w:val="22"/>
        </w:rPr>
        <w:t>;</w:t>
      </w:r>
    </w:p>
    <w:p w14:paraId="07E28A3E" w14:textId="77777777" w:rsidR="00350157" w:rsidRPr="006D7CAA" w:rsidRDefault="00350157" w:rsidP="00561095">
      <w:pPr>
        <w:numPr>
          <w:ilvl w:val="0"/>
          <w:numId w:val="1"/>
        </w:numPr>
        <w:shd w:val="clear" w:color="auto" w:fill="FFFFFF"/>
        <w:tabs>
          <w:tab w:val="clear" w:pos="720"/>
        </w:tabs>
        <w:spacing w:before="60" w:after="60" w:line="240" w:lineRule="auto"/>
        <w:ind w:left="284" w:hanging="284"/>
        <w:rPr>
          <w:rFonts w:ascii="Arial" w:eastAsia="Times New Roman" w:hAnsi="Arial" w:cs="Arial"/>
          <w:sz w:val="22"/>
          <w:szCs w:val="22"/>
        </w:rPr>
      </w:pPr>
      <w:r w:rsidRPr="006D7CAA">
        <w:rPr>
          <w:rFonts w:ascii="Arial" w:eastAsia="Times New Roman" w:hAnsi="Arial" w:cs="Arial"/>
          <w:sz w:val="22"/>
          <w:szCs w:val="22"/>
        </w:rPr>
        <w:t>Regional needs and circumstances</w:t>
      </w:r>
      <w:r w:rsidR="003133A9">
        <w:rPr>
          <w:rFonts w:ascii="Arial" w:eastAsia="Times New Roman" w:hAnsi="Arial" w:cs="Arial"/>
          <w:sz w:val="22"/>
          <w:szCs w:val="22"/>
        </w:rPr>
        <w:t>; and</w:t>
      </w:r>
    </w:p>
    <w:p w14:paraId="18DE320F" w14:textId="77777777" w:rsidR="00350157" w:rsidRPr="006D7CAA" w:rsidRDefault="00350157" w:rsidP="00561095">
      <w:pPr>
        <w:numPr>
          <w:ilvl w:val="0"/>
          <w:numId w:val="1"/>
        </w:numPr>
        <w:shd w:val="clear" w:color="auto" w:fill="FFFFFF"/>
        <w:tabs>
          <w:tab w:val="clear" w:pos="720"/>
        </w:tabs>
        <w:spacing w:before="60" w:after="60" w:line="240" w:lineRule="auto"/>
        <w:ind w:left="284" w:hanging="284"/>
        <w:rPr>
          <w:rFonts w:ascii="Arial" w:eastAsia="Times New Roman" w:hAnsi="Arial" w:cs="Arial"/>
          <w:sz w:val="22"/>
          <w:szCs w:val="22"/>
        </w:rPr>
      </w:pPr>
      <w:r w:rsidRPr="006D7CAA">
        <w:rPr>
          <w:rFonts w:ascii="Arial" w:eastAsia="Times New Roman" w:hAnsi="Arial" w:cs="Arial"/>
          <w:sz w:val="22"/>
          <w:szCs w:val="22"/>
        </w:rPr>
        <w:t>National and international trends.</w:t>
      </w:r>
    </w:p>
    <w:p w14:paraId="1F333282" w14:textId="57546CCF" w:rsidR="00350157" w:rsidRPr="006D7CAA" w:rsidRDefault="00350157" w:rsidP="00DF5E51">
      <w:pPr>
        <w:spacing w:before="120" w:after="120" w:line="240" w:lineRule="auto"/>
        <w:rPr>
          <w:rFonts w:ascii="Arial" w:eastAsia="Times New Roman" w:hAnsi="Arial" w:cs="Arial"/>
          <w:color w:val="000000"/>
          <w:sz w:val="22"/>
          <w:szCs w:val="22"/>
        </w:rPr>
      </w:pPr>
      <w:r w:rsidRPr="006D7CAA">
        <w:rPr>
          <w:rFonts w:ascii="Arial" w:eastAsia="Times New Roman" w:hAnsi="Arial" w:cs="Arial"/>
          <w:color w:val="000000"/>
          <w:sz w:val="22"/>
          <w:szCs w:val="22"/>
        </w:rPr>
        <w:t xml:space="preserve">Professor Schwartz was assisted in his work by the Office of the Chief Nursing and Midwifery Officer, Australian Government Department of Health. Expert advice was provided by the National Nursing and Midwifery Education Advisory Network (NNMEAN). The NNMEAN was established in 2015, to provide high level strategic advice to Health Ministers utilising an </w:t>
      </w:r>
      <w:r w:rsidR="00DE159B" w:rsidRPr="006D7CAA">
        <w:rPr>
          <w:rFonts w:ascii="Arial" w:eastAsia="Times New Roman" w:hAnsi="Arial" w:cs="Arial"/>
          <w:color w:val="000000"/>
          <w:sz w:val="22"/>
          <w:szCs w:val="22"/>
        </w:rPr>
        <w:t>evidence-based</w:t>
      </w:r>
      <w:r w:rsidRPr="006D7CAA">
        <w:rPr>
          <w:rFonts w:ascii="Arial" w:eastAsia="Times New Roman" w:hAnsi="Arial" w:cs="Arial"/>
          <w:color w:val="000000"/>
          <w:sz w:val="22"/>
          <w:szCs w:val="22"/>
        </w:rPr>
        <w:t xml:space="preserve"> approach to the planning and coordination of education, employment and immigration for nurses and midwives in Australia. Membership of the NNMEAN is based on a cross section of professionals with knowledge, experience and influence in the areas of workforce, education, policy and employment</w:t>
      </w:r>
      <w:r w:rsidRPr="00F43BD2">
        <w:rPr>
          <w:rFonts w:ascii="Arial" w:eastAsia="Times New Roman" w:hAnsi="Arial" w:cs="Arial"/>
          <w:color w:val="000000"/>
          <w:sz w:val="22"/>
          <w:szCs w:val="22"/>
        </w:rPr>
        <w:t>. For the purpose of this review, the NNMEAN also co-opted expertise from the Australian Government Department of Education, Skills and Employment.</w:t>
      </w:r>
      <w:r w:rsidRPr="006D7CAA">
        <w:rPr>
          <w:rFonts w:ascii="Arial" w:eastAsia="Times New Roman" w:hAnsi="Arial" w:cs="Arial"/>
          <w:color w:val="000000"/>
          <w:sz w:val="22"/>
          <w:szCs w:val="22"/>
        </w:rPr>
        <w:t xml:space="preserve"> </w:t>
      </w:r>
    </w:p>
    <w:p w14:paraId="0A255C87" w14:textId="018F9202" w:rsidR="00350157" w:rsidRPr="006D7CAA" w:rsidRDefault="00350157">
      <w:pPr>
        <w:widowControl w:val="0"/>
        <w:spacing w:before="120" w:after="120" w:line="240" w:lineRule="auto"/>
        <w:rPr>
          <w:rFonts w:ascii="Arial" w:eastAsia="Times New Roman" w:hAnsi="Arial" w:cs="Arial"/>
          <w:color w:val="000000"/>
          <w:sz w:val="22"/>
          <w:szCs w:val="22"/>
          <w:lang w:val="en-US"/>
        </w:rPr>
      </w:pPr>
      <w:r w:rsidRPr="006D7CAA">
        <w:rPr>
          <w:rFonts w:ascii="Arial" w:eastAsia="Times New Roman" w:hAnsi="Arial" w:cs="Arial"/>
          <w:color w:val="000000"/>
          <w:sz w:val="22"/>
          <w:szCs w:val="22"/>
        </w:rPr>
        <w:t xml:space="preserve">The primary source of information for the review was stakeholder feedback. </w:t>
      </w:r>
      <w:r w:rsidRPr="006D7CAA">
        <w:rPr>
          <w:rFonts w:ascii="Arial" w:eastAsia="Times New Roman" w:hAnsi="Arial" w:cs="Arial"/>
          <w:sz w:val="22"/>
          <w:szCs w:val="22"/>
        </w:rPr>
        <w:t xml:space="preserve">Consultations were conducted in regional, remote and metropolitan areas around Australia over an </w:t>
      </w:r>
      <w:r w:rsidR="00DE159B" w:rsidRPr="006D7CAA">
        <w:rPr>
          <w:rFonts w:ascii="Arial" w:eastAsia="Times New Roman" w:hAnsi="Arial" w:cs="Arial"/>
          <w:sz w:val="22"/>
          <w:szCs w:val="22"/>
        </w:rPr>
        <w:t>eight-month</w:t>
      </w:r>
      <w:r w:rsidRPr="006D7CAA">
        <w:rPr>
          <w:rFonts w:ascii="Arial" w:eastAsia="Times New Roman" w:hAnsi="Arial" w:cs="Arial"/>
          <w:sz w:val="22"/>
          <w:szCs w:val="22"/>
        </w:rPr>
        <w:t xml:space="preserve"> period from March until August 2019. </w:t>
      </w:r>
      <w:r w:rsidRPr="006D7CAA">
        <w:rPr>
          <w:rFonts w:ascii="Arial" w:eastAsia="Times New Roman" w:hAnsi="Arial" w:cs="Arial"/>
          <w:color w:val="000000"/>
          <w:sz w:val="22"/>
          <w:szCs w:val="22"/>
        </w:rPr>
        <w:t xml:space="preserve">Approximately 1,100 nurses, students, employers, academics, consumers, policy makers and other health professionals attended 25 face to face consultations. </w:t>
      </w:r>
      <w:r>
        <w:rPr>
          <w:rFonts w:ascii="Arial" w:eastAsia="Times New Roman" w:hAnsi="Arial" w:cs="Arial"/>
          <w:color w:val="000000"/>
          <w:sz w:val="22"/>
          <w:szCs w:val="22"/>
        </w:rPr>
        <w:t>63</w:t>
      </w:r>
      <w:r w:rsidRPr="006D7CAA">
        <w:rPr>
          <w:rFonts w:ascii="Arial" w:eastAsia="Times New Roman" w:hAnsi="Arial" w:cs="Arial"/>
          <w:color w:val="000000"/>
          <w:sz w:val="22"/>
          <w:szCs w:val="22"/>
        </w:rPr>
        <w:t xml:space="preserve"> written submissions were </w:t>
      </w:r>
      <w:r w:rsidR="00DE159B" w:rsidRPr="006D7CAA">
        <w:rPr>
          <w:rFonts w:ascii="Arial" w:eastAsia="Times New Roman" w:hAnsi="Arial" w:cs="Arial"/>
          <w:color w:val="000000"/>
          <w:sz w:val="22"/>
          <w:szCs w:val="22"/>
        </w:rPr>
        <w:t>received,</w:t>
      </w:r>
      <w:r w:rsidRPr="006D7CAA">
        <w:rPr>
          <w:rFonts w:ascii="Arial" w:eastAsia="Times New Roman" w:hAnsi="Arial" w:cs="Arial"/>
          <w:color w:val="000000"/>
          <w:sz w:val="22"/>
          <w:szCs w:val="22"/>
        </w:rPr>
        <w:t xml:space="preserve"> and 481 survey responses were submitted. Additional targeted meetings were held with key stakeholders including the Nursing and Midwifery Board of Australia (NMBA), Australian Nursing and Midwifery Accreditation Council (ANMAC), Australian Chief Nursing and Midwifery Officers, </w:t>
      </w:r>
      <w:r w:rsidRPr="006D7CAA">
        <w:rPr>
          <w:rFonts w:ascii="Arial" w:eastAsia="Times New Roman" w:hAnsi="Arial" w:cs="Arial"/>
          <w:color w:val="000000"/>
          <w:sz w:val="22"/>
          <w:szCs w:val="22"/>
          <w:lang w:val="en-US"/>
        </w:rPr>
        <w:t>Tertiary Education Quality &amp; Standards Agency (TEQSA), Council of Deans Nursing and Midwifery (Australia &amp; New Zealand) and the Australian Health Practitioner Regulation Agency (Ahpra).</w:t>
      </w:r>
    </w:p>
    <w:p w14:paraId="565B5C77" w14:textId="77777777" w:rsidR="00350157" w:rsidRPr="006D7CAA" w:rsidRDefault="00350157" w:rsidP="00561095">
      <w:pPr>
        <w:widowControl w:val="0"/>
        <w:spacing w:before="120" w:after="0" w:line="240" w:lineRule="auto"/>
        <w:rPr>
          <w:rFonts w:ascii="Arial" w:eastAsia="Times New Roman" w:hAnsi="Arial" w:cs="Arial"/>
          <w:color w:val="000000"/>
          <w:sz w:val="22"/>
          <w:szCs w:val="22"/>
        </w:rPr>
      </w:pPr>
      <w:r w:rsidRPr="006D7CAA">
        <w:rPr>
          <w:rFonts w:ascii="Arial" w:eastAsia="Times New Roman" w:hAnsi="Arial" w:cs="Arial"/>
          <w:color w:val="000000"/>
          <w:sz w:val="22"/>
          <w:szCs w:val="22"/>
        </w:rPr>
        <w:t>The Department of Health also commissioned four literature reviews to reflect the issues outlined in the Terms of Reference for the review. The Centre for Health Development and School of Nursing, University of Wollongong, completed the series of literature reviews which were used to help inform the public consultation and stakeholder engagement that underpinned the review. The reviews present a summary and analysis of national and international literature on the following topics:</w:t>
      </w:r>
    </w:p>
    <w:p w14:paraId="09F72EA1" w14:textId="77777777" w:rsidR="00350157" w:rsidRPr="006D7CAA" w:rsidRDefault="00350157" w:rsidP="00561095">
      <w:pPr>
        <w:pStyle w:val="ListParagraph"/>
        <w:widowControl w:val="0"/>
        <w:numPr>
          <w:ilvl w:val="0"/>
          <w:numId w:val="10"/>
        </w:numPr>
        <w:spacing w:before="60" w:after="60" w:line="240" w:lineRule="auto"/>
        <w:ind w:left="284" w:hanging="284"/>
        <w:contextualSpacing w:val="0"/>
        <w:rPr>
          <w:rFonts w:ascii="Arial" w:eastAsia="Times New Roman" w:hAnsi="Arial" w:cs="Arial"/>
          <w:color w:val="000000"/>
          <w:sz w:val="22"/>
          <w:szCs w:val="22"/>
        </w:rPr>
      </w:pPr>
      <w:r w:rsidRPr="006D7CAA">
        <w:rPr>
          <w:rFonts w:ascii="Arial" w:eastAsia="Times New Roman" w:hAnsi="Arial" w:cs="Arial"/>
          <w:color w:val="000000"/>
          <w:sz w:val="22"/>
          <w:szCs w:val="22"/>
        </w:rPr>
        <w:t>fitness for purpose, work readiness and transition to practice</w:t>
      </w:r>
      <w:r w:rsidR="00561095">
        <w:rPr>
          <w:rFonts w:ascii="Arial" w:eastAsia="Times New Roman" w:hAnsi="Arial" w:cs="Arial"/>
          <w:color w:val="000000"/>
          <w:sz w:val="22"/>
          <w:szCs w:val="22"/>
        </w:rPr>
        <w:t>;</w:t>
      </w:r>
    </w:p>
    <w:p w14:paraId="6AC49174" w14:textId="77777777" w:rsidR="00350157" w:rsidRPr="006D7CAA" w:rsidRDefault="00350157" w:rsidP="00561095">
      <w:pPr>
        <w:pStyle w:val="ListParagraph"/>
        <w:widowControl w:val="0"/>
        <w:numPr>
          <w:ilvl w:val="0"/>
          <w:numId w:val="10"/>
        </w:numPr>
        <w:spacing w:before="60" w:after="60" w:line="240" w:lineRule="auto"/>
        <w:ind w:left="284" w:hanging="284"/>
        <w:contextualSpacing w:val="0"/>
        <w:rPr>
          <w:rFonts w:ascii="Arial" w:eastAsia="Times New Roman" w:hAnsi="Arial" w:cs="Arial"/>
          <w:color w:val="000000"/>
          <w:sz w:val="22"/>
          <w:szCs w:val="22"/>
        </w:rPr>
      </w:pPr>
      <w:r w:rsidRPr="006D7CAA">
        <w:rPr>
          <w:rFonts w:ascii="Arial" w:eastAsia="Times New Roman" w:hAnsi="Arial" w:cs="Arial"/>
          <w:color w:val="000000"/>
          <w:sz w:val="22"/>
          <w:szCs w:val="22"/>
        </w:rPr>
        <w:t>nursing as a career choice</w:t>
      </w:r>
      <w:r w:rsidR="00561095">
        <w:rPr>
          <w:rFonts w:ascii="Arial" w:eastAsia="Times New Roman" w:hAnsi="Arial" w:cs="Arial"/>
          <w:color w:val="000000"/>
          <w:sz w:val="22"/>
          <w:szCs w:val="22"/>
        </w:rPr>
        <w:t>;</w:t>
      </w:r>
    </w:p>
    <w:p w14:paraId="120D0D79" w14:textId="77777777" w:rsidR="00350157" w:rsidRPr="006D7CAA" w:rsidRDefault="00350157" w:rsidP="00561095">
      <w:pPr>
        <w:pStyle w:val="ListParagraph"/>
        <w:widowControl w:val="0"/>
        <w:numPr>
          <w:ilvl w:val="0"/>
          <w:numId w:val="10"/>
        </w:numPr>
        <w:spacing w:before="60" w:after="60" w:line="240" w:lineRule="auto"/>
        <w:ind w:left="284" w:hanging="284"/>
        <w:contextualSpacing w:val="0"/>
        <w:rPr>
          <w:rFonts w:ascii="Arial" w:eastAsia="Times New Roman" w:hAnsi="Arial" w:cs="Arial"/>
          <w:color w:val="000000"/>
          <w:sz w:val="22"/>
          <w:szCs w:val="22"/>
        </w:rPr>
      </w:pPr>
      <w:r w:rsidRPr="006D7CAA">
        <w:rPr>
          <w:rFonts w:ascii="Arial" w:eastAsia="Times New Roman" w:hAnsi="Arial" w:cs="Arial"/>
          <w:color w:val="000000"/>
          <w:sz w:val="22"/>
          <w:szCs w:val="22"/>
        </w:rPr>
        <w:t>clinical skill development</w:t>
      </w:r>
      <w:r w:rsidR="00561095">
        <w:rPr>
          <w:rFonts w:ascii="Arial" w:eastAsia="Times New Roman" w:hAnsi="Arial" w:cs="Arial"/>
          <w:color w:val="000000"/>
          <w:sz w:val="22"/>
          <w:szCs w:val="22"/>
        </w:rPr>
        <w:t>; and</w:t>
      </w:r>
    </w:p>
    <w:p w14:paraId="19CA97E0" w14:textId="77777777" w:rsidR="00350157" w:rsidRPr="006D7CAA" w:rsidRDefault="00350157" w:rsidP="00561095">
      <w:pPr>
        <w:pStyle w:val="ListParagraph"/>
        <w:widowControl w:val="0"/>
        <w:numPr>
          <w:ilvl w:val="0"/>
          <w:numId w:val="10"/>
        </w:numPr>
        <w:spacing w:before="60" w:after="60" w:line="240" w:lineRule="auto"/>
        <w:ind w:left="284" w:hanging="284"/>
        <w:contextualSpacing w:val="0"/>
        <w:rPr>
          <w:rFonts w:ascii="Arial" w:eastAsia="Times New Roman" w:hAnsi="Arial" w:cs="Arial"/>
          <w:color w:val="000000"/>
          <w:sz w:val="22"/>
          <w:szCs w:val="22"/>
        </w:rPr>
      </w:pPr>
      <w:r w:rsidRPr="006D7CAA">
        <w:rPr>
          <w:rFonts w:ascii="Arial" w:eastAsia="Times New Roman" w:hAnsi="Arial" w:cs="Arial"/>
          <w:color w:val="000000"/>
          <w:sz w:val="22"/>
          <w:szCs w:val="22"/>
        </w:rPr>
        <w:t>future directions in health care delivery</w:t>
      </w:r>
      <w:r w:rsidR="00561095">
        <w:rPr>
          <w:rFonts w:ascii="Arial" w:eastAsia="Times New Roman" w:hAnsi="Arial" w:cs="Arial"/>
          <w:color w:val="000000"/>
          <w:sz w:val="22"/>
          <w:szCs w:val="22"/>
        </w:rPr>
        <w:t>.</w:t>
      </w:r>
    </w:p>
    <w:p w14:paraId="0C3139B4" w14:textId="77777777" w:rsidR="00350157" w:rsidRPr="006D7CAA" w:rsidRDefault="00350157" w:rsidP="003133A9">
      <w:pPr>
        <w:shd w:val="clear" w:color="auto" w:fill="FFFFFF"/>
        <w:spacing w:before="120" w:after="120" w:line="240" w:lineRule="auto"/>
        <w:rPr>
          <w:rFonts w:ascii="Arial" w:eastAsia="Times New Roman" w:hAnsi="Arial" w:cs="Arial"/>
          <w:sz w:val="22"/>
          <w:szCs w:val="22"/>
          <w:lang w:eastAsia="en-AU"/>
        </w:rPr>
      </w:pPr>
      <w:r w:rsidRPr="006D7CAA">
        <w:rPr>
          <w:rFonts w:ascii="Arial" w:eastAsia="Times New Roman" w:hAnsi="Arial" w:cs="Arial"/>
          <w:sz w:val="22"/>
          <w:szCs w:val="22"/>
          <w:lang w:eastAsia="en-AU"/>
        </w:rPr>
        <w:t>The review also considered the outcomes of relevant work including the Aged Care Workforce Strategy Taskforce.</w:t>
      </w:r>
    </w:p>
    <w:p w14:paraId="577F7340" w14:textId="77777777" w:rsidR="00350157" w:rsidRPr="006D7CAA" w:rsidRDefault="00350157" w:rsidP="003133A9">
      <w:pPr>
        <w:shd w:val="clear" w:color="auto" w:fill="FFFFFF"/>
        <w:spacing w:before="120" w:after="120" w:line="240" w:lineRule="auto"/>
        <w:rPr>
          <w:rFonts w:ascii="Arial" w:eastAsia="Times New Roman" w:hAnsi="Arial" w:cs="Arial"/>
          <w:sz w:val="22"/>
          <w:szCs w:val="22"/>
          <w:lang w:eastAsia="en-AU"/>
        </w:rPr>
      </w:pPr>
      <w:r w:rsidRPr="006D7CAA">
        <w:rPr>
          <w:rFonts w:ascii="Arial" w:eastAsia="Times New Roman" w:hAnsi="Arial" w:cs="Arial"/>
          <w:sz w:val="22"/>
          <w:szCs w:val="22"/>
          <w:lang w:eastAsia="en-AU"/>
        </w:rPr>
        <w:t xml:space="preserve">Professor Schwartz’s report includes 26 recommendations for the educational preparation required for nurses to meet the future health, aged care, and disability needs of Australians. </w:t>
      </w:r>
    </w:p>
    <w:p w14:paraId="4F753551" w14:textId="77777777" w:rsidR="00350157" w:rsidRPr="00F43BD2" w:rsidRDefault="00350157" w:rsidP="003133A9">
      <w:pPr>
        <w:spacing w:before="120" w:after="120" w:line="240" w:lineRule="auto"/>
        <w:rPr>
          <w:rFonts w:ascii="Arial" w:eastAsia="Times New Roman" w:hAnsi="Arial" w:cs="Arial"/>
          <w:sz w:val="22"/>
          <w:szCs w:val="22"/>
        </w:rPr>
      </w:pPr>
      <w:r w:rsidRPr="00F43BD2">
        <w:rPr>
          <w:rFonts w:ascii="Arial" w:eastAsia="Times New Roman" w:hAnsi="Arial" w:cs="Arial"/>
          <w:sz w:val="22"/>
          <w:szCs w:val="22"/>
        </w:rPr>
        <w:t xml:space="preserve">The Department of Health led the coordination of this response to the report with information from the Department of Education, Skills and Employment. The Department of Health and the Department of Education, Skills and Employment are committed to working in a complementary and coordinated way with key stakeholders – in particular, the nursing profession, to explore cross-sectoral approaches to preparing nurses for the increasing role they will play into the future, as a vital part of Australia’s health workforce. </w:t>
      </w:r>
    </w:p>
    <w:p w14:paraId="5E8B40D0" w14:textId="77777777" w:rsidR="00350157" w:rsidRDefault="00350157" w:rsidP="00DF5E51">
      <w:pPr>
        <w:spacing w:before="120" w:after="120" w:line="240" w:lineRule="auto"/>
        <w:rPr>
          <w:rFonts w:ascii="Arial" w:eastAsia="Times New Roman" w:hAnsi="Arial" w:cs="Arial"/>
          <w:sz w:val="22"/>
          <w:szCs w:val="22"/>
        </w:rPr>
      </w:pPr>
      <w:proofErr w:type="gramStart"/>
      <w:r w:rsidRPr="003D446C">
        <w:rPr>
          <w:rFonts w:ascii="Arial" w:eastAsia="Times New Roman" w:hAnsi="Arial" w:cs="Arial"/>
          <w:sz w:val="22"/>
          <w:szCs w:val="22"/>
        </w:rPr>
        <w:t>The majority of</w:t>
      </w:r>
      <w:proofErr w:type="gramEnd"/>
      <w:r w:rsidRPr="003D446C">
        <w:rPr>
          <w:rFonts w:ascii="Arial" w:eastAsia="Times New Roman" w:hAnsi="Arial" w:cs="Arial"/>
          <w:sz w:val="22"/>
          <w:szCs w:val="22"/>
        </w:rPr>
        <w:t xml:space="preserve"> the recommendations in the report are outside the direct </w:t>
      </w:r>
      <w:r w:rsidR="00452AD0">
        <w:rPr>
          <w:rFonts w:ascii="Arial" w:eastAsia="Times New Roman" w:hAnsi="Arial" w:cs="Arial"/>
          <w:sz w:val="22"/>
          <w:szCs w:val="22"/>
        </w:rPr>
        <w:t>responsibilities of the Commonwealth</w:t>
      </w:r>
      <w:r w:rsidRPr="003D446C">
        <w:rPr>
          <w:rFonts w:ascii="Arial" w:eastAsia="Times New Roman" w:hAnsi="Arial" w:cs="Arial"/>
          <w:sz w:val="22"/>
          <w:szCs w:val="22"/>
        </w:rPr>
        <w:t xml:space="preserve"> Department of Health </w:t>
      </w:r>
      <w:r w:rsidR="00E81B4F">
        <w:rPr>
          <w:rFonts w:ascii="Arial" w:eastAsia="Times New Roman" w:hAnsi="Arial" w:cs="Arial"/>
          <w:sz w:val="22"/>
          <w:szCs w:val="22"/>
        </w:rPr>
        <w:t>or</w:t>
      </w:r>
      <w:r w:rsidR="00E81B4F" w:rsidRPr="003D446C">
        <w:rPr>
          <w:rFonts w:ascii="Arial" w:eastAsia="Times New Roman" w:hAnsi="Arial" w:cs="Arial"/>
          <w:sz w:val="22"/>
          <w:szCs w:val="22"/>
        </w:rPr>
        <w:t xml:space="preserve"> </w:t>
      </w:r>
      <w:r w:rsidR="00452AD0">
        <w:rPr>
          <w:rFonts w:ascii="Arial" w:eastAsia="Times New Roman" w:hAnsi="Arial" w:cs="Arial"/>
          <w:sz w:val="22"/>
          <w:szCs w:val="22"/>
        </w:rPr>
        <w:t>Commonwealth</w:t>
      </w:r>
      <w:r w:rsidRPr="003D446C">
        <w:rPr>
          <w:rFonts w:ascii="Arial" w:eastAsia="Times New Roman" w:hAnsi="Arial" w:cs="Arial"/>
          <w:sz w:val="22"/>
          <w:szCs w:val="22"/>
        </w:rPr>
        <w:t xml:space="preserve"> Department of Education, Skills and </w:t>
      </w:r>
      <w:r w:rsidRPr="003D446C">
        <w:rPr>
          <w:rFonts w:ascii="Arial" w:eastAsia="Times New Roman" w:hAnsi="Arial" w:cs="Arial"/>
          <w:sz w:val="22"/>
          <w:szCs w:val="22"/>
        </w:rPr>
        <w:lastRenderedPageBreak/>
        <w:t xml:space="preserve">Employment. </w:t>
      </w:r>
      <w:r w:rsidR="00A17D2D" w:rsidRPr="003D446C">
        <w:rPr>
          <w:rFonts w:ascii="Arial" w:eastAsia="Times New Roman" w:hAnsi="Arial" w:cs="Arial"/>
          <w:sz w:val="22"/>
          <w:szCs w:val="22"/>
        </w:rPr>
        <w:t xml:space="preserve">Many </w:t>
      </w:r>
      <w:r w:rsidRPr="003D446C">
        <w:rPr>
          <w:rFonts w:ascii="Arial" w:eastAsia="Times New Roman" w:hAnsi="Arial" w:cs="Arial"/>
          <w:sz w:val="22"/>
          <w:szCs w:val="22"/>
        </w:rPr>
        <w:t xml:space="preserve">are directed to the nursing profession, </w:t>
      </w:r>
      <w:proofErr w:type="gramStart"/>
      <w:r w:rsidRPr="003D446C">
        <w:rPr>
          <w:rFonts w:ascii="Arial" w:eastAsia="Times New Roman" w:hAnsi="Arial" w:cs="Arial"/>
          <w:sz w:val="22"/>
          <w:szCs w:val="22"/>
        </w:rPr>
        <w:t>in particular the</w:t>
      </w:r>
      <w:proofErr w:type="gramEnd"/>
      <w:r w:rsidRPr="003D446C">
        <w:rPr>
          <w:rFonts w:ascii="Arial" w:eastAsia="Times New Roman" w:hAnsi="Arial" w:cs="Arial"/>
          <w:sz w:val="22"/>
          <w:szCs w:val="22"/>
        </w:rPr>
        <w:t xml:space="preserve"> NMBA and ANMAC to implement. Both Departments will, however, work closely with the NMBA, ANMAC through the offices of the NNMEAN and through work with the </w:t>
      </w:r>
      <w:r w:rsidR="00E81B4F">
        <w:rPr>
          <w:rFonts w:ascii="Arial" w:eastAsia="Times New Roman" w:hAnsi="Arial" w:cs="Arial"/>
          <w:sz w:val="22"/>
          <w:szCs w:val="22"/>
        </w:rPr>
        <w:t>s</w:t>
      </w:r>
      <w:r w:rsidRPr="003D446C">
        <w:rPr>
          <w:rFonts w:ascii="Arial" w:eastAsia="Times New Roman" w:hAnsi="Arial" w:cs="Arial"/>
          <w:sz w:val="22"/>
          <w:szCs w:val="22"/>
        </w:rPr>
        <w:t xml:space="preserve">tates and </w:t>
      </w:r>
      <w:r w:rsidR="00E81B4F">
        <w:rPr>
          <w:rFonts w:ascii="Arial" w:eastAsia="Times New Roman" w:hAnsi="Arial" w:cs="Arial"/>
          <w:sz w:val="22"/>
          <w:szCs w:val="22"/>
        </w:rPr>
        <w:t>t</w:t>
      </w:r>
      <w:r w:rsidRPr="003D446C">
        <w:rPr>
          <w:rFonts w:ascii="Arial" w:eastAsia="Times New Roman" w:hAnsi="Arial" w:cs="Arial"/>
          <w:sz w:val="22"/>
          <w:szCs w:val="22"/>
        </w:rPr>
        <w:t>erritories and Ahpra to implement the reform directions that are supported in this document. All reforms will require formal discussion</w:t>
      </w:r>
      <w:r w:rsidR="00F2352B" w:rsidRPr="003D446C">
        <w:rPr>
          <w:rFonts w:ascii="Arial" w:eastAsia="Times New Roman" w:hAnsi="Arial" w:cs="Arial"/>
          <w:sz w:val="22"/>
          <w:szCs w:val="22"/>
        </w:rPr>
        <w:t xml:space="preserve"> with relevant stakeholders</w:t>
      </w:r>
      <w:r w:rsidRPr="003D446C">
        <w:rPr>
          <w:rFonts w:ascii="Arial" w:eastAsia="Times New Roman" w:hAnsi="Arial" w:cs="Arial"/>
          <w:sz w:val="22"/>
          <w:szCs w:val="22"/>
        </w:rPr>
        <w:t>.</w:t>
      </w:r>
      <w:r w:rsidRPr="006D7CAA">
        <w:rPr>
          <w:rFonts w:ascii="Arial" w:eastAsia="Times New Roman" w:hAnsi="Arial" w:cs="Arial"/>
          <w:sz w:val="22"/>
          <w:szCs w:val="22"/>
        </w:rPr>
        <w:t xml:space="preserve"> </w:t>
      </w:r>
    </w:p>
    <w:p w14:paraId="1F4243FB" w14:textId="77777777" w:rsidR="007A3FD5" w:rsidRPr="006D7CAA" w:rsidRDefault="00A17D2D">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There is also intersection between a number of the recommendations</w:t>
      </w:r>
      <w:r>
        <w:rPr>
          <w:rFonts w:ascii="Arial" w:eastAsia="Times New Roman" w:hAnsi="Arial" w:cs="Arial"/>
          <w:sz w:val="22"/>
          <w:szCs w:val="22"/>
        </w:rPr>
        <w:t xml:space="preserve"> in this review and those in </w:t>
      </w:r>
      <w:r w:rsidRPr="002E6485">
        <w:rPr>
          <w:rFonts w:ascii="Arial" w:eastAsia="Times New Roman" w:hAnsi="Arial" w:cs="Arial"/>
          <w:sz w:val="22"/>
          <w:szCs w:val="22"/>
        </w:rPr>
        <w:t xml:space="preserve">the independent Accreditation Systems Review Final Report, </w:t>
      </w:r>
      <w:r w:rsidRPr="002E6485">
        <w:rPr>
          <w:rFonts w:ascii="Arial" w:eastAsia="Times New Roman" w:hAnsi="Arial" w:cs="Arial"/>
          <w:i/>
          <w:sz w:val="22"/>
          <w:szCs w:val="22"/>
        </w:rPr>
        <w:t xml:space="preserve">Australia’s Health Workforce: strengthening the education foundation </w:t>
      </w:r>
      <w:r w:rsidRPr="002E6485">
        <w:rPr>
          <w:rFonts w:ascii="Arial" w:eastAsia="Times New Roman" w:hAnsi="Arial" w:cs="Arial"/>
          <w:sz w:val="22"/>
          <w:szCs w:val="22"/>
        </w:rPr>
        <w:t>(ASR)</w:t>
      </w:r>
      <w:r w:rsidR="007E29C0">
        <w:rPr>
          <w:rStyle w:val="FootnoteReference"/>
          <w:rFonts w:ascii="Arial" w:eastAsia="Times New Roman" w:hAnsi="Arial" w:cs="Arial"/>
          <w:sz w:val="22"/>
          <w:szCs w:val="22"/>
        </w:rPr>
        <w:footnoteReference w:id="2"/>
      </w:r>
      <w:r w:rsidRPr="002E6485">
        <w:rPr>
          <w:rFonts w:ascii="Arial" w:eastAsia="Times New Roman" w:hAnsi="Arial" w:cs="Arial"/>
          <w:i/>
          <w:sz w:val="22"/>
          <w:szCs w:val="22"/>
        </w:rPr>
        <w:t xml:space="preserve">, </w:t>
      </w:r>
      <w:r w:rsidRPr="003E0B67">
        <w:rPr>
          <w:rFonts w:ascii="Arial" w:eastAsia="Times New Roman" w:hAnsi="Arial" w:cs="Arial"/>
          <w:sz w:val="22"/>
          <w:szCs w:val="22"/>
        </w:rPr>
        <w:t xml:space="preserve">the </w:t>
      </w:r>
      <w:r w:rsidR="00B364C3" w:rsidRPr="003E0B67">
        <w:rPr>
          <w:rFonts w:ascii="Arial" w:eastAsia="Times New Roman" w:hAnsi="Arial" w:cs="Arial"/>
          <w:sz w:val="22"/>
          <w:szCs w:val="22"/>
        </w:rPr>
        <w:t>final report from</w:t>
      </w:r>
      <w:r w:rsidR="007A3FD5" w:rsidRPr="003E0B67">
        <w:rPr>
          <w:rFonts w:ascii="Arial" w:eastAsia="Times New Roman" w:hAnsi="Arial" w:cs="Arial"/>
          <w:sz w:val="22"/>
          <w:szCs w:val="22"/>
        </w:rPr>
        <w:t xml:space="preserve"> the Royal Commission into Aged Care Quality and Safety</w:t>
      </w:r>
      <w:r w:rsidR="007A3FD5" w:rsidRPr="002E6485">
        <w:rPr>
          <w:rFonts w:ascii="Arial" w:eastAsia="Times New Roman" w:hAnsi="Arial" w:cs="Arial"/>
          <w:sz w:val="22"/>
          <w:szCs w:val="22"/>
        </w:rPr>
        <w:t xml:space="preserve"> and the development of the Primary Health Care 10-Year Plan.</w:t>
      </w:r>
      <w:r w:rsidR="007A3FD5">
        <w:rPr>
          <w:rFonts w:ascii="Arial" w:eastAsia="Times New Roman" w:hAnsi="Arial" w:cs="Arial"/>
          <w:sz w:val="22"/>
          <w:szCs w:val="22"/>
        </w:rPr>
        <w:t xml:space="preserve"> </w:t>
      </w:r>
      <w:r w:rsidR="007E13B8">
        <w:rPr>
          <w:rFonts w:ascii="Arial" w:eastAsia="Times New Roman" w:hAnsi="Arial" w:cs="Arial"/>
          <w:sz w:val="22"/>
          <w:szCs w:val="22"/>
        </w:rPr>
        <w:t>These</w:t>
      </w:r>
      <w:r w:rsidR="008535D1">
        <w:rPr>
          <w:rFonts w:ascii="Arial" w:eastAsia="Times New Roman" w:hAnsi="Arial" w:cs="Arial"/>
          <w:sz w:val="22"/>
          <w:szCs w:val="22"/>
        </w:rPr>
        <w:t xml:space="preserve"> </w:t>
      </w:r>
      <w:r w:rsidR="007E13B8">
        <w:rPr>
          <w:rFonts w:ascii="Arial" w:eastAsia="Times New Roman" w:hAnsi="Arial" w:cs="Arial"/>
          <w:sz w:val="22"/>
          <w:szCs w:val="22"/>
        </w:rPr>
        <w:t>reforms may have implications for the implementation of recommendations from this review.</w:t>
      </w:r>
      <w:r>
        <w:rPr>
          <w:rFonts w:ascii="Arial" w:eastAsia="Times New Roman" w:hAnsi="Arial" w:cs="Arial"/>
          <w:sz w:val="22"/>
          <w:szCs w:val="22"/>
        </w:rPr>
        <w:t xml:space="preserve"> </w:t>
      </w:r>
      <w:r w:rsidRPr="006D7CAA">
        <w:rPr>
          <w:rFonts w:ascii="Arial" w:eastAsia="Times New Roman" w:hAnsi="Arial" w:cs="Arial"/>
          <w:sz w:val="22"/>
          <w:szCs w:val="22"/>
        </w:rPr>
        <w:t>This will necessitate a prioritisation of implementation which may then make subsequent recommendations redundant.</w:t>
      </w:r>
    </w:p>
    <w:p w14:paraId="01EC1AC3" w14:textId="77777777" w:rsidR="00350157" w:rsidRPr="00E21D67" w:rsidRDefault="00350157">
      <w:pPr>
        <w:shd w:val="clear" w:color="auto" w:fill="FFFFFF"/>
        <w:spacing w:before="120" w:after="120" w:line="240" w:lineRule="auto"/>
        <w:rPr>
          <w:rFonts w:ascii="Arial" w:eastAsia="Times New Roman" w:hAnsi="Arial" w:cs="Arial"/>
          <w:sz w:val="22"/>
          <w:szCs w:val="22"/>
          <w:lang w:eastAsia="en-AU"/>
        </w:rPr>
      </w:pPr>
      <w:r w:rsidRPr="00E21D67">
        <w:rPr>
          <w:rFonts w:ascii="Arial" w:eastAsia="Times New Roman" w:hAnsi="Arial" w:cs="Arial"/>
          <w:sz w:val="22"/>
          <w:szCs w:val="22"/>
          <w:lang w:eastAsia="en-AU"/>
        </w:rPr>
        <w:t>The Government has considered the 26 recommendations made in the report and responses follow on each recommendation. The Government supports recommendation 9</w:t>
      </w:r>
      <w:r w:rsidR="00127B02" w:rsidRPr="00E21D67">
        <w:rPr>
          <w:rFonts w:ascii="Arial" w:eastAsia="Times New Roman" w:hAnsi="Arial" w:cs="Arial"/>
          <w:sz w:val="22"/>
          <w:szCs w:val="22"/>
          <w:lang w:eastAsia="en-AU"/>
        </w:rPr>
        <w:t xml:space="preserve"> </w:t>
      </w:r>
      <w:r w:rsidRPr="00E21D67">
        <w:rPr>
          <w:rFonts w:ascii="Arial" w:eastAsia="Times New Roman" w:hAnsi="Arial" w:cs="Arial"/>
          <w:sz w:val="22"/>
          <w:szCs w:val="22"/>
          <w:lang w:eastAsia="en-AU"/>
        </w:rPr>
        <w:t xml:space="preserve">and 26, supports in principle recommendation </w:t>
      </w:r>
      <w:r w:rsidR="00D4402D">
        <w:rPr>
          <w:rFonts w:ascii="Arial" w:eastAsia="Times New Roman" w:hAnsi="Arial" w:cs="Arial"/>
          <w:sz w:val="22"/>
          <w:szCs w:val="22"/>
          <w:lang w:eastAsia="en-AU"/>
        </w:rPr>
        <w:t>23</w:t>
      </w:r>
      <w:r w:rsidR="00E21D67" w:rsidRPr="00E21D67">
        <w:rPr>
          <w:rFonts w:ascii="Arial" w:eastAsia="Times New Roman" w:hAnsi="Arial" w:cs="Arial"/>
          <w:sz w:val="22"/>
          <w:szCs w:val="22"/>
          <w:lang w:eastAsia="en-AU"/>
        </w:rPr>
        <w:t>,</w:t>
      </w:r>
      <w:r w:rsidRPr="00E21D67">
        <w:rPr>
          <w:rFonts w:ascii="Arial" w:eastAsia="Times New Roman" w:hAnsi="Arial" w:cs="Arial"/>
          <w:sz w:val="22"/>
          <w:szCs w:val="22"/>
          <w:lang w:eastAsia="en-AU"/>
        </w:rPr>
        <w:t xml:space="preserve"> and notes recommendations </w:t>
      </w:r>
      <w:r w:rsidR="00D4402D">
        <w:rPr>
          <w:rFonts w:ascii="Arial" w:eastAsia="Times New Roman" w:hAnsi="Arial" w:cs="Arial"/>
          <w:sz w:val="22"/>
          <w:szCs w:val="22"/>
          <w:lang w:eastAsia="en-AU"/>
        </w:rPr>
        <w:t>1-</w:t>
      </w:r>
      <w:r w:rsidR="00E21D67" w:rsidRPr="00E21D67">
        <w:rPr>
          <w:rFonts w:ascii="Arial" w:eastAsia="Times New Roman" w:hAnsi="Arial" w:cs="Arial"/>
          <w:sz w:val="22"/>
          <w:szCs w:val="22"/>
          <w:lang w:eastAsia="en-AU"/>
        </w:rPr>
        <w:t xml:space="preserve">8, </w:t>
      </w:r>
      <w:r w:rsidRPr="00E21D67">
        <w:rPr>
          <w:rFonts w:ascii="Arial" w:eastAsia="Times New Roman" w:hAnsi="Arial" w:cs="Arial"/>
          <w:sz w:val="22"/>
          <w:szCs w:val="22"/>
          <w:lang w:eastAsia="en-AU"/>
        </w:rPr>
        <w:t>10-</w:t>
      </w:r>
      <w:r w:rsidR="00BE7294" w:rsidRPr="00E21D67">
        <w:rPr>
          <w:rFonts w:ascii="Arial" w:eastAsia="Times New Roman" w:hAnsi="Arial" w:cs="Arial"/>
          <w:sz w:val="22"/>
          <w:szCs w:val="22"/>
          <w:lang w:eastAsia="en-AU"/>
        </w:rPr>
        <w:t>2</w:t>
      </w:r>
      <w:r w:rsidR="00D4402D">
        <w:rPr>
          <w:rFonts w:ascii="Arial" w:eastAsia="Times New Roman" w:hAnsi="Arial" w:cs="Arial"/>
          <w:sz w:val="22"/>
          <w:szCs w:val="22"/>
          <w:lang w:eastAsia="en-AU"/>
        </w:rPr>
        <w:t>2</w:t>
      </w:r>
      <w:r w:rsidR="00E21D67" w:rsidRPr="00E21D67">
        <w:rPr>
          <w:rFonts w:ascii="Arial" w:eastAsia="Times New Roman" w:hAnsi="Arial" w:cs="Arial"/>
          <w:sz w:val="22"/>
          <w:szCs w:val="22"/>
          <w:lang w:eastAsia="en-AU"/>
        </w:rPr>
        <w:t>, and 2</w:t>
      </w:r>
      <w:r w:rsidR="00D4402D">
        <w:rPr>
          <w:rFonts w:ascii="Arial" w:eastAsia="Times New Roman" w:hAnsi="Arial" w:cs="Arial"/>
          <w:sz w:val="22"/>
          <w:szCs w:val="22"/>
          <w:lang w:eastAsia="en-AU"/>
        </w:rPr>
        <w:t>4</w:t>
      </w:r>
      <w:r w:rsidR="00E21D67" w:rsidRPr="00E21D67">
        <w:rPr>
          <w:rFonts w:ascii="Arial" w:eastAsia="Times New Roman" w:hAnsi="Arial" w:cs="Arial"/>
          <w:sz w:val="22"/>
          <w:szCs w:val="22"/>
          <w:lang w:eastAsia="en-AU"/>
        </w:rPr>
        <w:t>-25</w:t>
      </w:r>
      <w:r w:rsidRPr="00E21D67">
        <w:rPr>
          <w:rFonts w:ascii="Arial" w:eastAsia="Times New Roman" w:hAnsi="Arial" w:cs="Arial"/>
          <w:sz w:val="22"/>
          <w:szCs w:val="22"/>
          <w:lang w:eastAsia="en-AU"/>
        </w:rPr>
        <w:t>.</w:t>
      </w:r>
    </w:p>
    <w:p w14:paraId="59CB6CC7" w14:textId="77777777" w:rsidR="00350157" w:rsidRPr="006D7CAA" w:rsidRDefault="00350157" w:rsidP="00561095">
      <w:pPr>
        <w:pStyle w:val="Heading1"/>
        <w:rPr>
          <w:rFonts w:ascii="Arial" w:eastAsia="Times New Roman" w:hAnsi="Arial" w:cs="Arial"/>
        </w:rPr>
      </w:pPr>
      <w:bookmarkStart w:id="3" w:name="_Toc57387160"/>
      <w:r w:rsidRPr="006D7CAA">
        <w:rPr>
          <w:rFonts w:ascii="Arial" w:eastAsia="Times New Roman" w:hAnsi="Arial" w:cs="Arial"/>
        </w:rPr>
        <w:t>PROTECTING THE PUBLIC</w:t>
      </w:r>
      <w:bookmarkEnd w:id="3"/>
    </w:p>
    <w:p w14:paraId="6C18E223" w14:textId="77777777" w:rsidR="00350157" w:rsidRPr="006D7CAA" w:rsidRDefault="00350157" w:rsidP="00561095">
      <w:pPr>
        <w:pStyle w:val="Heading2"/>
        <w:spacing w:before="120" w:after="120" w:line="240" w:lineRule="auto"/>
        <w:rPr>
          <w:rFonts w:ascii="Arial" w:eastAsia="Times New Roman" w:hAnsi="Arial" w:cs="Arial"/>
        </w:rPr>
      </w:pPr>
      <w:bookmarkStart w:id="4" w:name="_Toc57387161"/>
      <w:r w:rsidRPr="006D7CAA">
        <w:rPr>
          <w:rFonts w:ascii="Arial" w:eastAsia="Times New Roman" w:hAnsi="Arial" w:cs="Arial"/>
        </w:rPr>
        <w:t>Unregulated health workers</w:t>
      </w:r>
      <w:bookmarkEnd w:id="4"/>
    </w:p>
    <w:tbl>
      <w:tblPr>
        <w:tblStyle w:val="TableGrid"/>
        <w:tblW w:w="0" w:type="auto"/>
        <w:tblLook w:val="04A0" w:firstRow="1" w:lastRow="0" w:firstColumn="1" w:lastColumn="0" w:noHBand="0" w:noVBand="1"/>
      </w:tblPr>
      <w:tblGrid>
        <w:gridCol w:w="9016"/>
      </w:tblGrid>
      <w:tr w:rsidR="00350157" w:rsidRPr="006D7CAA" w14:paraId="0AA5205A" w14:textId="77777777" w:rsidTr="00A470CF">
        <w:trPr>
          <w:trHeight w:val="1085"/>
        </w:trPr>
        <w:tc>
          <w:tcPr>
            <w:tcW w:w="9016" w:type="dxa"/>
          </w:tcPr>
          <w:p w14:paraId="11A85360" w14:textId="77777777" w:rsidR="00350157" w:rsidRPr="006D7CAA" w:rsidRDefault="00350157" w:rsidP="00A470CF">
            <w:pPr>
              <w:pStyle w:val="Heading3"/>
              <w:outlineLvl w:val="2"/>
              <w:rPr>
                <w:rFonts w:ascii="Arial" w:eastAsia="Times New Roman" w:hAnsi="Arial" w:cs="Arial"/>
              </w:rPr>
            </w:pPr>
            <w:bookmarkStart w:id="5" w:name="_Toc57387162"/>
            <w:r w:rsidRPr="006D7CAA">
              <w:rPr>
                <w:rFonts w:ascii="Arial" w:eastAsia="Times New Roman" w:hAnsi="Arial" w:cs="Arial"/>
              </w:rPr>
              <w:t>Recommendation 1</w:t>
            </w:r>
            <w:bookmarkEnd w:id="5"/>
          </w:p>
          <w:p w14:paraId="01934AB1"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To protect the public, assistants in nursing (whatever their job title) should have mandated education, English language, and probity requirements, which are accredited, assessed and enforced by a robust quality-assurance regime.</w:t>
            </w:r>
          </w:p>
        </w:tc>
      </w:tr>
    </w:tbl>
    <w:p w14:paraId="7BD6CB13" w14:textId="77777777" w:rsidR="00350157" w:rsidRPr="006D7CAA" w:rsidRDefault="00350157" w:rsidP="00561095">
      <w:pPr>
        <w:spacing w:before="120" w:after="120" w:line="240" w:lineRule="auto"/>
        <w:rPr>
          <w:rFonts w:ascii="Arial" w:hAnsi="Arial" w:cs="Arial"/>
          <w:b/>
        </w:rPr>
      </w:pPr>
      <w:r w:rsidRPr="006D7CAA">
        <w:rPr>
          <w:rFonts w:ascii="Arial" w:hAnsi="Arial" w:cs="Arial"/>
          <w:b/>
        </w:rPr>
        <w:t>Australian Government response</w:t>
      </w:r>
    </w:p>
    <w:p w14:paraId="7A398DF3" w14:textId="77777777" w:rsidR="0032569E" w:rsidRDefault="00350157">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The Government </w:t>
      </w:r>
      <w:r w:rsidR="0032569E">
        <w:rPr>
          <w:rFonts w:ascii="Arial" w:eastAsia="Times New Roman" w:hAnsi="Arial" w:cs="Arial"/>
          <w:sz w:val="22"/>
          <w:szCs w:val="22"/>
        </w:rPr>
        <w:t>supports</w:t>
      </w:r>
      <w:r w:rsidRPr="00402F5F">
        <w:rPr>
          <w:rFonts w:ascii="Arial" w:eastAsia="Times New Roman" w:hAnsi="Arial" w:cs="Arial"/>
          <w:b/>
          <w:sz w:val="22"/>
          <w:szCs w:val="22"/>
        </w:rPr>
        <w:t xml:space="preserve"> </w:t>
      </w:r>
      <w:r w:rsidRPr="006D7CAA">
        <w:rPr>
          <w:rFonts w:ascii="Arial" w:eastAsia="Times New Roman" w:hAnsi="Arial" w:cs="Arial"/>
          <w:sz w:val="22"/>
          <w:szCs w:val="22"/>
        </w:rPr>
        <w:t>the need for a safe and appropriately educated and skilled health workforce</w:t>
      </w:r>
      <w:r w:rsidR="00452AD0">
        <w:rPr>
          <w:rFonts w:ascii="Arial" w:eastAsia="Times New Roman" w:hAnsi="Arial" w:cs="Arial"/>
          <w:sz w:val="22"/>
          <w:szCs w:val="22"/>
        </w:rPr>
        <w:t xml:space="preserve">, although it is not clear whether the costs of this </w:t>
      </w:r>
      <w:r w:rsidR="00670D34">
        <w:rPr>
          <w:rFonts w:ascii="Arial" w:eastAsia="Times New Roman" w:hAnsi="Arial" w:cs="Arial"/>
          <w:sz w:val="22"/>
          <w:szCs w:val="22"/>
        </w:rPr>
        <w:t>recommendation to individual nursing assistants and the impacts on these workers would outweigh the additional safety benefits for the community</w:t>
      </w:r>
      <w:r w:rsidRPr="006D7CAA">
        <w:rPr>
          <w:rFonts w:ascii="Arial" w:eastAsia="Times New Roman" w:hAnsi="Arial" w:cs="Arial"/>
          <w:sz w:val="22"/>
          <w:szCs w:val="22"/>
        </w:rPr>
        <w:t>.</w:t>
      </w:r>
      <w:r w:rsidR="00D4402D">
        <w:rPr>
          <w:rFonts w:ascii="Arial" w:eastAsia="Times New Roman" w:hAnsi="Arial" w:cs="Arial"/>
          <w:sz w:val="22"/>
          <w:szCs w:val="22"/>
        </w:rPr>
        <w:t xml:space="preserve"> </w:t>
      </w:r>
    </w:p>
    <w:p w14:paraId="0D07970C" w14:textId="77777777" w:rsidR="00141E3C" w:rsidRPr="00670D34" w:rsidRDefault="00141E3C">
      <w:pPr>
        <w:spacing w:before="120" w:after="120" w:line="240" w:lineRule="auto"/>
        <w:rPr>
          <w:rFonts w:ascii="Arial" w:eastAsia="Times New Roman" w:hAnsi="Arial" w:cs="Arial"/>
          <w:sz w:val="22"/>
          <w:szCs w:val="22"/>
        </w:rPr>
      </w:pPr>
      <w:r>
        <w:rPr>
          <w:rFonts w:ascii="Arial" w:eastAsia="Times New Roman" w:hAnsi="Arial" w:cs="Arial"/>
          <w:sz w:val="22"/>
          <w:szCs w:val="22"/>
        </w:rPr>
        <w:t xml:space="preserve">The Government </w:t>
      </w:r>
      <w:r w:rsidRPr="00670D34">
        <w:rPr>
          <w:rFonts w:ascii="Arial" w:eastAsia="Times New Roman" w:hAnsi="Arial" w:cs="Arial"/>
          <w:sz w:val="22"/>
          <w:szCs w:val="22"/>
        </w:rPr>
        <w:t xml:space="preserve">notes that </w:t>
      </w:r>
      <w:r w:rsidR="00854746" w:rsidRPr="00670D34">
        <w:rPr>
          <w:rFonts w:ascii="Arial" w:eastAsia="Times New Roman" w:hAnsi="Arial" w:cs="Arial"/>
          <w:sz w:val="22"/>
          <w:szCs w:val="22"/>
        </w:rPr>
        <w:t xml:space="preserve">further </w:t>
      </w:r>
      <w:r w:rsidRPr="00670D34">
        <w:rPr>
          <w:rFonts w:ascii="Arial" w:eastAsia="Times New Roman" w:hAnsi="Arial" w:cs="Arial"/>
          <w:sz w:val="22"/>
          <w:szCs w:val="22"/>
        </w:rPr>
        <w:t>regulation of this workforce would require the agreement of all states and territories</w:t>
      </w:r>
      <w:r w:rsidR="00B57711" w:rsidRPr="00670D34">
        <w:rPr>
          <w:rFonts w:ascii="Arial" w:eastAsia="Times New Roman" w:hAnsi="Arial" w:cs="Arial"/>
          <w:sz w:val="22"/>
          <w:szCs w:val="22"/>
        </w:rPr>
        <w:t xml:space="preserve"> that</w:t>
      </w:r>
      <w:r w:rsidR="00854746" w:rsidRPr="00670D34">
        <w:rPr>
          <w:rFonts w:ascii="Arial" w:eastAsia="Times New Roman" w:hAnsi="Arial" w:cs="Arial"/>
          <w:sz w:val="22"/>
          <w:szCs w:val="22"/>
        </w:rPr>
        <w:t xml:space="preserve"> currently regulate assistants in nursing </w:t>
      </w:r>
      <w:r w:rsidR="00E81B4F" w:rsidRPr="00670D34">
        <w:rPr>
          <w:rFonts w:ascii="Arial" w:eastAsia="Times New Roman" w:hAnsi="Arial" w:cs="Arial"/>
          <w:sz w:val="22"/>
          <w:szCs w:val="22"/>
        </w:rPr>
        <w:t xml:space="preserve">and personal care workers </w:t>
      </w:r>
      <w:r w:rsidR="00854746" w:rsidRPr="00670D34">
        <w:rPr>
          <w:rFonts w:ascii="Arial" w:eastAsia="Times New Roman" w:hAnsi="Arial" w:cs="Arial"/>
          <w:sz w:val="22"/>
          <w:szCs w:val="22"/>
        </w:rPr>
        <w:t xml:space="preserve">under the </w:t>
      </w:r>
      <w:r w:rsidR="00854746" w:rsidRPr="00670D34">
        <w:rPr>
          <w:rFonts w:ascii="Arial" w:eastAsia="Times New Roman" w:hAnsi="Arial" w:cs="Arial"/>
          <w:i/>
          <w:sz w:val="22"/>
          <w:szCs w:val="22"/>
        </w:rPr>
        <w:t xml:space="preserve">National Code of Conduct for Health Care Workers </w:t>
      </w:r>
      <w:r w:rsidR="00854746" w:rsidRPr="00670D34">
        <w:rPr>
          <w:rFonts w:ascii="Arial" w:eastAsia="Times New Roman" w:hAnsi="Arial" w:cs="Arial"/>
          <w:sz w:val="22"/>
          <w:szCs w:val="22"/>
        </w:rPr>
        <w:t xml:space="preserve">(in those states and territories that have passed appropriate legislation).  </w:t>
      </w:r>
      <w:r w:rsidRPr="00670D34">
        <w:rPr>
          <w:rFonts w:ascii="Arial" w:eastAsia="Times New Roman" w:hAnsi="Arial" w:cs="Arial"/>
          <w:sz w:val="22"/>
          <w:szCs w:val="22"/>
        </w:rPr>
        <w:t xml:space="preserve">  </w:t>
      </w:r>
    </w:p>
    <w:p w14:paraId="773A4CE5" w14:textId="77777777" w:rsidR="00350157" w:rsidRDefault="00350157">
      <w:pPr>
        <w:spacing w:before="120" w:after="120" w:line="240" w:lineRule="auto"/>
        <w:rPr>
          <w:rFonts w:ascii="Arial" w:eastAsia="Times New Roman" w:hAnsi="Arial" w:cs="Arial"/>
          <w:sz w:val="22"/>
          <w:szCs w:val="22"/>
        </w:rPr>
      </w:pPr>
      <w:r w:rsidRPr="000011BA">
        <w:rPr>
          <w:rFonts w:ascii="Arial" w:hAnsi="Arial"/>
          <w:sz w:val="22"/>
        </w:rPr>
        <w:t xml:space="preserve">The Government notes </w:t>
      </w:r>
      <w:r w:rsidR="00723E8D" w:rsidRPr="00053FCA">
        <w:rPr>
          <w:rFonts w:ascii="Arial" w:eastAsia="Times New Roman" w:hAnsi="Arial" w:cs="Arial"/>
          <w:sz w:val="22"/>
          <w:szCs w:val="22"/>
        </w:rPr>
        <w:t xml:space="preserve">that this recommendation is broadly aligned with Recommendations 77 </w:t>
      </w:r>
      <w:r w:rsidR="00D5309A" w:rsidRPr="00D5309A">
        <w:rPr>
          <w:rFonts w:ascii="Arial" w:eastAsia="Times New Roman" w:hAnsi="Arial" w:cs="Arial"/>
          <w:sz w:val="22"/>
          <w:szCs w:val="22"/>
        </w:rPr>
        <w:t>(n</w:t>
      </w:r>
      <w:r w:rsidR="00D5309A" w:rsidRPr="00EF14E5">
        <w:rPr>
          <w:rFonts w:ascii="Arial" w:eastAsia="Times New Roman" w:hAnsi="Arial" w:cs="Arial"/>
          <w:sz w:val="22"/>
          <w:szCs w:val="22"/>
        </w:rPr>
        <w:t>ational registration scheme)</w:t>
      </w:r>
      <w:r w:rsidR="00D5309A" w:rsidRPr="00053FCA">
        <w:rPr>
          <w:rFonts w:ascii="Arial" w:eastAsia="Times New Roman" w:hAnsi="Arial" w:cs="Arial"/>
          <w:sz w:val="22"/>
          <w:szCs w:val="22"/>
        </w:rPr>
        <w:t xml:space="preserve"> </w:t>
      </w:r>
      <w:r w:rsidR="00723E8D" w:rsidRPr="00053FCA">
        <w:rPr>
          <w:rFonts w:ascii="Arial" w:eastAsia="Times New Roman" w:hAnsi="Arial" w:cs="Arial"/>
          <w:sz w:val="22"/>
          <w:szCs w:val="22"/>
        </w:rPr>
        <w:t xml:space="preserve">and 78 </w:t>
      </w:r>
      <w:r w:rsidR="00D5309A" w:rsidRPr="00D5309A">
        <w:rPr>
          <w:rFonts w:ascii="Arial" w:eastAsia="Times New Roman" w:hAnsi="Arial" w:cs="Arial"/>
          <w:sz w:val="22"/>
          <w:szCs w:val="22"/>
        </w:rPr>
        <w:t>(</w:t>
      </w:r>
      <w:r w:rsidR="00D5309A" w:rsidRPr="00EF14E5">
        <w:rPr>
          <w:rFonts w:ascii="Arial" w:eastAsia="Times New Roman" w:hAnsi="Arial" w:cs="Arial"/>
          <w:sz w:val="22"/>
          <w:szCs w:val="22"/>
        </w:rPr>
        <w:t>mandatory minimum qualification for personal care workers)</w:t>
      </w:r>
      <w:r w:rsidR="00D5309A" w:rsidRPr="00053FCA">
        <w:rPr>
          <w:rFonts w:ascii="Arial" w:eastAsia="Times New Roman" w:hAnsi="Arial" w:cs="Arial"/>
          <w:sz w:val="22"/>
          <w:szCs w:val="22"/>
        </w:rPr>
        <w:t xml:space="preserve"> </w:t>
      </w:r>
      <w:r w:rsidR="00723E8D" w:rsidRPr="00053FCA">
        <w:rPr>
          <w:rFonts w:ascii="Arial" w:eastAsia="Times New Roman" w:hAnsi="Arial" w:cs="Arial"/>
          <w:sz w:val="22"/>
          <w:szCs w:val="22"/>
        </w:rPr>
        <w:t>of the final report of</w:t>
      </w:r>
      <w:r w:rsidRPr="000011BA">
        <w:rPr>
          <w:rFonts w:ascii="Arial" w:hAnsi="Arial"/>
          <w:sz w:val="22"/>
        </w:rPr>
        <w:t xml:space="preserve"> the Royal Commission into Aged Care Quality and Safety</w:t>
      </w:r>
      <w:r w:rsidR="00D80943">
        <w:rPr>
          <w:rFonts w:ascii="Arial" w:eastAsia="Times New Roman" w:hAnsi="Arial" w:cs="Arial"/>
          <w:sz w:val="22"/>
          <w:szCs w:val="22"/>
        </w:rPr>
        <w:t xml:space="preserve"> (Royal Commission)</w:t>
      </w:r>
      <w:r w:rsidR="000011BA">
        <w:rPr>
          <w:rStyle w:val="FootnoteReference"/>
          <w:rFonts w:ascii="Arial" w:eastAsia="Times New Roman" w:hAnsi="Arial" w:cs="Arial"/>
          <w:sz w:val="22"/>
          <w:szCs w:val="22"/>
        </w:rPr>
        <w:footnoteReference w:id="3"/>
      </w:r>
      <w:r w:rsidRPr="00670D34">
        <w:rPr>
          <w:rFonts w:ascii="Arial" w:eastAsia="Times New Roman" w:hAnsi="Arial" w:cs="Arial"/>
          <w:sz w:val="22"/>
          <w:szCs w:val="22"/>
        </w:rPr>
        <w:t xml:space="preserve">. </w:t>
      </w:r>
      <w:r w:rsidR="00723E8D" w:rsidRPr="00EF14E5">
        <w:rPr>
          <w:rFonts w:ascii="Arial" w:eastAsia="Times New Roman" w:hAnsi="Arial" w:cs="Arial"/>
          <w:sz w:val="22"/>
          <w:szCs w:val="22"/>
        </w:rPr>
        <w:t xml:space="preserve">While the </w:t>
      </w:r>
      <w:r w:rsidR="00D5309A">
        <w:rPr>
          <w:rFonts w:ascii="Arial" w:eastAsia="Times New Roman" w:hAnsi="Arial" w:cs="Arial"/>
          <w:sz w:val="22"/>
          <w:szCs w:val="22"/>
        </w:rPr>
        <w:t xml:space="preserve">Royal Commission’s recommendation to establish </w:t>
      </w:r>
      <w:r w:rsidR="00EF14E5">
        <w:rPr>
          <w:rFonts w:ascii="Arial" w:eastAsia="Times New Roman" w:hAnsi="Arial" w:cs="Arial"/>
          <w:sz w:val="22"/>
          <w:szCs w:val="22"/>
        </w:rPr>
        <w:t xml:space="preserve">a </w:t>
      </w:r>
      <w:r w:rsidR="00EF14E5" w:rsidRPr="00EF14E5">
        <w:rPr>
          <w:rFonts w:ascii="Arial" w:eastAsia="Times New Roman" w:hAnsi="Arial" w:cs="Arial"/>
          <w:sz w:val="22"/>
          <w:szCs w:val="22"/>
        </w:rPr>
        <w:t xml:space="preserve">national registration scheme for the personal care workforce </w:t>
      </w:r>
      <w:r w:rsidR="00EF14E5">
        <w:rPr>
          <w:rFonts w:ascii="Arial" w:eastAsia="Times New Roman" w:hAnsi="Arial" w:cs="Arial"/>
          <w:sz w:val="22"/>
          <w:szCs w:val="22"/>
        </w:rPr>
        <w:t xml:space="preserve">has been accepted </w:t>
      </w:r>
      <w:r w:rsidR="00D5309A">
        <w:rPr>
          <w:rFonts w:ascii="Arial" w:eastAsia="Times New Roman" w:hAnsi="Arial" w:cs="Arial"/>
          <w:sz w:val="22"/>
          <w:szCs w:val="22"/>
        </w:rPr>
        <w:t>in principle</w:t>
      </w:r>
      <w:r w:rsidR="00D5309A" w:rsidRPr="00D5309A">
        <w:rPr>
          <w:rFonts w:ascii="Arial" w:eastAsia="Times New Roman" w:hAnsi="Arial" w:cs="Arial"/>
          <w:sz w:val="22"/>
          <w:szCs w:val="22"/>
        </w:rPr>
        <w:t xml:space="preserve">, the Government has decided to proceed with a </w:t>
      </w:r>
      <w:r w:rsidR="00BE5A79">
        <w:rPr>
          <w:rFonts w:ascii="Arial" w:eastAsia="Times New Roman" w:hAnsi="Arial" w:cs="Arial"/>
          <w:sz w:val="22"/>
          <w:szCs w:val="22"/>
        </w:rPr>
        <w:t xml:space="preserve">regulatory </w:t>
      </w:r>
      <w:r w:rsidR="00D5309A" w:rsidRPr="00D5309A">
        <w:rPr>
          <w:rFonts w:ascii="Arial" w:eastAsia="Times New Roman" w:hAnsi="Arial" w:cs="Arial"/>
          <w:sz w:val="22"/>
          <w:szCs w:val="22"/>
        </w:rPr>
        <w:t>model that aligns worker regulation across the care</w:t>
      </w:r>
      <w:r w:rsidR="00EF14E5">
        <w:rPr>
          <w:rFonts w:ascii="Arial" w:eastAsia="Times New Roman" w:hAnsi="Arial" w:cs="Arial"/>
          <w:sz w:val="22"/>
          <w:szCs w:val="22"/>
        </w:rPr>
        <w:t xml:space="preserve"> and support</w:t>
      </w:r>
      <w:r w:rsidR="00D5309A" w:rsidRPr="00D5309A">
        <w:rPr>
          <w:rFonts w:ascii="Arial" w:eastAsia="Times New Roman" w:hAnsi="Arial" w:cs="Arial"/>
          <w:sz w:val="22"/>
          <w:szCs w:val="22"/>
        </w:rPr>
        <w:t xml:space="preserve"> sectors.</w:t>
      </w:r>
    </w:p>
    <w:p w14:paraId="5C36ED3C" w14:textId="6448AA7B" w:rsidR="00EF14E5" w:rsidRDefault="00EF14E5" w:rsidP="00EF14E5">
      <w:pPr>
        <w:spacing w:before="120" w:after="120" w:line="240" w:lineRule="auto"/>
        <w:rPr>
          <w:rFonts w:ascii="Arial" w:eastAsia="Times New Roman" w:hAnsi="Arial" w:cs="Arial"/>
          <w:sz w:val="22"/>
          <w:szCs w:val="22"/>
        </w:rPr>
      </w:pPr>
      <w:r>
        <w:rPr>
          <w:rFonts w:ascii="Arial" w:eastAsia="Times New Roman" w:hAnsi="Arial" w:cs="Arial"/>
          <w:sz w:val="22"/>
          <w:szCs w:val="22"/>
        </w:rPr>
        <w:t>Specifically, t</w:t>
      </w:r>
      <w:r w:rsidRPr="00EF14E5">
        <w:rPr>
          <w:rFonts w:ascii="Arial" w:eastAsia="Times New Roman" w:hAnsi="Arial" w:cs="Arial"/>
          <w:sz w:val="22"/>
          <w:szCs w:val="22"/>
        </w:rPr>
        <w:t xml:space="preserve">he Government has agreed to establish a single </w:t>
      </w:r>
      <w:r>
        <w:rPr>
          <w:rFonts w:ascii="Arial" w:eastAsia="Times New Roman" w:hAnsi="Arial" w:cs="Arial"/>
          <w:sz w:val="22"/>
          <w:szCs w:val="22"/>
        </w:rPr>
        <w:t xml:space="preserve">enforceable </w:t>
      </w:r>
      <w:r w:rsidRPr="00EF14E5">
        <w:rPr>
          <w:rFonts w:ascii="Arial" w:eastAsia="Times New Roman" w:hAnsi="Arial" w:cs="Arial"/>
          <w:sz w:val="22"/>
          <w:szCs w:val="22"/>
        </w:rPr>
        <w:t xml:space="preserve">care and support sector code of conduct (Code) across the aged care, veterans’ care and disability support sectors for implementation by 1 July 2022. </w:t>
      </w:r>
      <w:r w:rsidR="00BE5A79" w:rsidRPr="00BE5A79">
        <w:rPr>
          <w:rFonts w:ascii="Arial" w:eastAsia="Times New Roman" w:hAnsi="Arial" w:cs="Arial"/>
          <w:sz w:val="22"/>
          <w:szCs w:val="22"/>
        </w:rPr>
        <w:t xml:space="preserve">The Aged Care Quality and Safety Commission will </w:t>
      </w:r>
      <w:r w:rsidR="00BC3B82">
        <w:rPr>
          <w:rFonts w:ascii="Arial" w:eastAsia="Times New Roman" w:hAnsi="Arial" w:cs="Arial"/>
          <w:sz w:val="22"/>
          <w:szCs w:val="22"/>
        </w:rPr>
        <w:t xml:space="preserve">be given powers to </w:t>
      </w:r>
      <w:r w:rsidR="00BE5A79" w:rsidRPr="00BE5A79">
        <w:rPr>
          <w:rFonts w:ascii="Arial" w:eastAsia="Times New Roman" w:hAnsi="Arial" w:cs="Arial"/>
          <w:sz w:val="22"/>
          <w:szCs w:val="22"/>
        </w:rPr>
        <w:t xml:space="preserve">enforce the Code </w:t>
      </w:r>
      <w:r w:rsidR="00BE5A79">
        <w:rPr>
          <w:rFonts w:ascii="Arial" w:eastAsia="Times New Roman" w:hAnsi="Arial" w:cs="Arial"/>
          <w:sz w:val="22"/>
          <w:szCs w:val="22"/>
        </w:rPr>
        <w:t>against</w:t>
      </w:r>
      <w:r w:rsidR="00BE5A79" w:rsidRPr="00BE5A79">
        <w:rPr>
          <w:rFonts w:ascii="Arial" w:eastAsia="Times New Roman" w:hAnsi="Arial" w:cs="Arial"/>
          <w:sz w:val="22"/>
          <w:szCs w:val="22"/>
        </w:rPr>
        <w:t xml:space="preserve"> aged care workers</w:t>
      </w:r>
      <w:r w:rsidR="00BE5A79">
        <w:rPr>
          <w:rFonts w:ascii="Arial" w:eastAsia="Times New Roman" w:hAnsi="Arial" w:cs="Arial"/>
          <w:sz w:val="22"/>
          <w:szCs w:val="22"/>
        </w:rPr>
        <w:t xml:space="preserve">. </w:t>
      </w:r>
      <w:r w:rsidRPr="00EF14E5">
        <w:rPr>
          <w:rFonts w:ascii="Arial" w:eastAsia="Times New Roman" w:hAnsi="Arial" w:cs="Arial"/>
          <w:sz w:val="22"/>
          <w:szCs w:val="22"/>
        </w:rPr>
        <w:t xml:space="preserve">The Government will also deliver a </w:t>
      </w:r>
      <w:r w:rsidR="00DE159B" w:rsidRPr="00EF14E5">
        <w:rPr>
          <w:rFonts w:ascii="Arial" w:eastAsia="Times New Roman" w:hAnsi="Arial" w:cs="Arial"/>
          <w:sz w:val="22"/>
          <w:szCs w:val="22"/>
        </w:rPr>
        <w:t>nationally consistent</w:t>
      </w:r>
      <w:r w:rsidR="00DE159B">
        <w:rPr>
          <w:rFonts w:ascii="Arial" w:eastAsia="Times New Roman" w:hAnsi="Arial" w:cs="Arial"/>
          <w:sz w:val="22"/>
          <w:szCs w:val="22"/>
        </w:rPr>
        <w:t>,</w:t>
      </w:r>
      <w:r w:rsidRPr="00EF14E5">
        <w:rPr>
          <w:rFonts w:ascii="Arial" w:eastAsia="Times New Roman" w:hAnsi="Arial" w:cs="Arial"/>
          <w:sz w:val="22"/>
          <w:szCs w:val="22"/>
        </w:rPr>
        <w:t xml:space="preserve"> centralised pre-employment screening check with a register of cleared and excluded workers, in the aged and veterans’ care sectors, commencing 1 July 2022.</w:t>
      </w:r>
    </w:p>
    <w:p w14:paraId="4237EC11" w14:textId="77777777" w:rsidR="00350157" w:rsidRPr="00670D34" w:rsidRDefault="0098033F">
      <w:pPr>
        <w:spacing w:before="120" w:after="120" w:line="240" w:lineRule="auto"/>
        <w:rPr>
          <w:rFonts w:ascii="Arial" w:eastAsia="Times New Roman" w:hAnsi="Arial" w:cs="Arial"/>
          <w:sz w:val="22"/>
          <w:szCs w:val="22"/>
        </w:rPr>
      </w:pPr>
      <w:r w:rsidRPr="0098033F">
        <w:rPr>
          <w:rFonts w:ascii="Arial" w:eastAsia="Times New Roman" w:hAnsi="Arial" w:cs="Arial"/>
          <w:sz w:val="22"/>
          <w:szCs w:val="22"/>
        </w:rPr>
        <w:t xml:space="preserve">The Review of the Aged Care Quality Standards will consider appropriate regulatory levers to require </w:t>
      </w:r>
      <w:r>
        <w:rPr>
          <w:rFonts w:ascii="Arial" w:eastAsia="Times New Roman" w:hAnsi="Arial" w:cs="Arial"/>
          <w:sz w:val="22"/>
          <w:szCs w:val="22"/>
        </w:rPr>
        <w:t xml:space="preserve">aged care </w:t>
      </w:r>
      <w:r w:rsidRPr="0098033F">
        <w:rPr>
          <w:rFonts w:ascii="Arial" w:eastAsia="Times New Roman" w:hAnsi="Arial" w:cs="Arial"/>
          <w:sz w:val="22"/>
          <w:szCs w:val="22"/>
        </w:rPr>
        <w:t>providers to ensure staff are appropriately trained.</w:t>
      </w:r>
      <w:r w:rsidR="00053FCA">
        <w:rPr>
          <w:rFonts w:ascii="Arial" w:eastAsia="Times New Roman" w:hAnsi="Arial" w:cs="Arial"/>
          <w:sz w:val="22"/>
          <w:szCs w:val="22"/>
        </w:rPr>
        <w:t xml:space="preserve"> The Government is also </w:t>
      </w:r>
      <w:r w:rsidR="00053FCA">
        <w:rPr>
          <w:rFonts w:ascii="Arial" w:eastAsia="Times New Roman" w:hAnsi="Arial" w:cs="Arial"/>
          <w:sz w:val="22"/>
          <w:szCs w:val="22"/>
        </w:rPr>
        <w:lastRenderedPageBreak/>
        <w:t xml:space="preserve">supporting the attainment of qualifications by supporting an additional 33,800 vocational education and training places for new and existing aged care workers. </w:t>
      </w:r>
    </w:p>
    <w:p w14:paraId="766816C6" w14:textId="77777777" w:rsidR="00350157" w:rsidRPr="006D7CAA" w:rsidRDefault="00350157">
      <w:pPr>
        <w:spacing w:before="120" w:after="120" w:line="240" w:lineRule="auto"/>
        <w:rPr>
          <w:rFonts w:ascii="Arial" w:eastAsia="Times New Roman" w:hAnsi="Arial" w:cs="Arial"/>
          <w:sz w:val="22"/>
          <w:szCs w:val="22"/>
        </w:rPr>
      </w:pPr>
      <w:r w:rsidRPr="000011BA">
        <w:rPr>
          <w:rFonts w:ascii="Arial" w:hAnsi="Arial"/>
          <w:sz w:val="22"/>
        </w:rPr>
        <w:t>The Government</w:t>
      </w:r>
      <w:r w:rsidR="0032569E" w:rsidRPr="000011BA">
        <w:rPr>
          <w:rFonts w:ascii="Arial" w:hAnsi="Arial"/>
          <w:sz w:val="22"/>
        </w:rPr>
        <w:t xml:space="preserve"> </w:t>
      </w:r>
      <w:r w:rsidR="00C73AFC" w:rsidRPr="000011BA">
        <w:rPr>
          <w:rFonts w:ascii="Arial" w:hAnsi="Arial"/>
          <w:sz w:val="22"/>
        </w:rPr>
        <w:t xml:space="preserve">will soon </w:t>
      </w:r>
      <w:r w:rsidR="00EF14E5">
        <w:rPr>
          <w:rFonts w:ascii="Arial" w:eastAsia="Times New Roman" w:hAnsi="Arial" w:cs="Arial"/>
          <w:sz w:val="22"/>
          <w:szCs w:val="22"/>
        </w:rPr>
        <w:t>be</w:t>
      </w:r>
      <w:r w:rsidR="00C73AFC" w:rsidRPr="000011BA">
        <w:rPr>
          <w:rFonts w:ascii="Arial" w:eastAsia="Times New Roman" w:hAnsi="Arial" w:cs="Arial"/>
          <w:sz w:val="22"/>
          <w:szCs w:val="22"/>
        </w:rPr>
        <w:t xml:space="preserve"> </w:t>
      </w:r>
      <w:r w:rsidR="00C73AFC" w:rsidRPr="000011BA">
        <w:rPr>
          <w:rFonts w:ascii="Arial" w:hAnsi="Arial"/>
          <w:sz w:val="22"/>
        </w:rPr>
        <w:t xml:space="preserve">receiving recommendations from the Royal Commission into Disability that may also </w:t>
      </w:r>
      <w:r w:rsidR="00670D34" w:rsidRPr="000011BA">
        <w:rPr>
          <w:rFonts w:ascii="Arial" w:hAnsi="Arial"/>
          <w:sz w:val="22"/>
        </w:rPr>
        <w:t>consider standards in this area</w:t>
      </w:r>
      <w:r w:rsidRPr="00DC68EB">
        <w:rPr>
          <w:rFonts w:ascii="Arial" w:eastAsia="Times New Roman" w:hAnsi="Arial" w:cs="Arial"/>
          <w:sz w:val="22"/>
          <w:szCs w:val="22"/>
        </w:rPr>
        <w:t xml:space="preserve">. </w:t>
      </w:r>
    </w:p>
    <w:p w14:paraId="123E9887" w14:textId="77777777" w:rsidR="00350157" w:rsidRPr="006E4761" w:rsidRDefault="00350157" w:rsidP="00C7528B">
      <w:pPr>
        <w:pStyle w:val="Heading2"/>
        <w:spacing w:before="240" w:after="120" w:line="240" w:lineRule="auto"/>
        <w:rPr>
          <w:rFonts w:ascii="Arial" w:eastAsia="Times New Roman" w:hAnsi="Arial" w:cs="Arial"/>
        </w:rPr>
      </w:pPr>
      <w:bookmarkStart w:id="6" w:name="_Toc57387163"/>
      <w:r w:rsidRPr="006D7CAA">
        <w:rPr>
          <w:rFonts w:ascii="Arial" w:eastAsia="Times New Roman" w:hAnsi="Arial" w:cs="Arial"/>
        </w:rPr>
        <w:t>Language, literacy and numeracy</w:t>
      </w:r>
      <w:bookmarkEnd w:id="6"/>
    </w:p>
    <w:tbl>
      <w:tblPr>
        <w:tblStyle w:val="TableGrid"/>
        <w:tblW w:w="0" w:type="auto"/>
        <w:tblLook w:val="04A0" w:firstRow="1" w:lastRow="0" w:firstColumn="1" w:lastColumn="0" w:noHBand="0" w:noVBand="1"/>
      </w:tblPr>
      <w:tblGrid>
        <w:gridCol w:w="9016"/>
      </w:tblGrid>
      <w:tr w:rsidR="00350157" w:rsidRPr="006D7CAA" w14:paraId="71497E9D" w14:textId="77777777" w:rsidTr="00A470CF">
        <w:trPr>
          <w:trHeight w:val="1591"/>
        </w:trPr>
        <w:tc>
          <w:tcPr>
            <w:tcW w:w="9016" w:type="dxa"/>
          </w:tcPr>
          <w:p w14:paraId="066E2A6B" w14:textId="77777777" w:rsidR="00350157" w:rsidRPr="006D7CAA" w:rsidRDefault="00350157" w:rsidP="00A470CF">
            <w:pPr>
              <w:pStyle w:val="Heading3"/>
              <w:outlineLvl w:val="2"/>
              <w:rPr>
                <w:rFonts w:ascii="Arial" w:eastAsia="Times New Roman" w:hAnsi="Arial" w:cs="Arial"/>
              </w:rPr>
            </w:pPr>
            <w:bookmarkStart w:id="7" w:name="_Toc57387164"/>
            <w:r w:rsidRPr="006D7CAA">
              <w:rPr>
                <w:rFonts w:ascii="Arial" w:eastAsia="Times New Roman" w:hAnsi="Arial" w:cs="Arial"/>
              </w:rPr>
              <w:t>Recommendation 2</w:t>
            </w:r>
            <w:bookmarkEnd w:id="7"/>
          </w:p>
          <w:p w14:paraId="4B5E0743"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The NMBA (in association with Ahpra and other professional boards) should commission research comparing the validity of various English language proficiency tests for assessing nurses’ language skills in a work environment. This research should form the evidence-base for choosing and implementing an appropriate test for registration purposes. </w:t>
            </w:r>
          </w:p>
        </w:tc>
      </w:tr>
    </w:tbl>
    <w:p w14:paraId="2B8B2EBE"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Australian Government response</w:t>
      </w:r>
    </w:p>
    <w:p w14:paraId="158D0378" w14:textId="77777777" w:rsidR="0032569E" w:rsidRPr="00670D34" w:rsidRDefault="0032569E"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w:t>
      </w:r>
      <w:r w:rsidRPr="00215E88">
        <w:rPr>
          <w:rFonts w:ascii="Arial" w:eastAsia="Times New Roman" w:hAnsi="Arial" w:cs="Arial"/>
          <w:sz w:val="22"/>
          <w:szCs w:val="22"/>
        </w:rPr>
        <w:t>supports</w:t>
      </w:r>
      <w:r w:rsidR="00881DD6" w:rsidRPr="00215E88">
        <w:rPr>
          <w:rFonts w:ascii="Arial" w:eastAsia="Times New Roman" w:hAnsi="Arial" w:cs="Arial"/>
          <w:sz w:val="22"/>
          <w:szCs w:val="22"/>
        </w:rPr>
        <w:t xml:space="preserve"> in-principle</w:t>
      </w:r>
      <w:r w:rsidR="00881DD6" w:rsidRPr="00670D34">
        <w:rPr>
          <w:rFonts w:ascii="Arial" w:eastAsia="Times New Roman" w:hAnsi="Arial" w:cs="Arial"/>
          <w:sz w:val="22"/>
          <w:szCs w:val="22"/>
        </w:rPr>
        <w:t xml:space="preserve"> that</w:t>
      </w:r>
      <w:r w:rsidRPr="00670D34">
        <w:rPr>
          <w:rFonts w:ascii="Arial" w:eastAsia="Times New Roman" w:hAnsi="Arial" w:cs="Arial"/>
          <w:sz w:val="22"/>
          <w:szCs w:val="22"/>
        </w:rPr>
        <w:t xml:space="preserve"> </w:t>
      </w:r>
      <w:r w:rsidR="00881DD6" w:rsidRPr="00670D34">
        <w:rPr>
          <w:rFonts w:ascii="Arial" w:eastAsia="Times New Roman" w:hAnsi="Arial" w:cs="Arial"/>
          <w:sz w:val="22"/>
          <w:szCs w:val="22"/>
        </w:rPr>
        <w:t xml:space="preserve">registered </w:t>
      </w:r>
      <w:r w:rsidRPr="00670D34">
        <w:rPr>
          <w:rFonts w:ascii="Arial" w:eastAsia="Times New Roman" w:hAnsi="Arial" w:cs="Arial"/>
          <w:sz w:val="22"/>
          <w:szCs w:val="22"/>
        </w:rPr>
        <w:t xml:space="preserve">nurses </w:t>
      </w:r>
      <w:r w:rsidR="00881DD6" w:rsidRPr="00670D34">
        <w:rPr>
          <w:rFonts w:ascii="Arial" w:eastAsia="Times New Roman" w:hAnsi="Arial" w:cs="Arial"/>
          <w:sz w:val="22"/>
          <w:szCs w:val="22"/>
        </w:rPr>
        <w:t>have the language, literac</w:t>
      </w:r>
      <w:r w:rsidRPr="00670D34">
        <w:rPr>
          <w:rFonts w:ascii="Arial" w:eastAsia="Times New Roman" w:hAnsi="Arial" w:cs="Arial"/>
          <w:sz w:val="22"/>
          <w:szCs w:val="22"/>
        </w:rPr>
        <w:t xml:space="preserve">y and numeracy skills required to perform their role in a safe and professional way. </w:t>
      </w:r>
    </w:p>
    <w:p w14:paraId="5DCAE144" w14:textId="77777777" w:rsidR="0032569E" w:rsidRPr="00670D34" w:rsidRDefault="0032569E"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notes that </w:t>
      </w:r>
      <w:r w:rsidR="00881DD6" w:rsidRPr="00670D34">
        <w:rPr>
          <w:rFonts w:ascii="Arial" w:eastAsia="Times New Roman" w:hAnsi="Arial" w:cs="Arial"/>
          <w:sz w:val="22"/>
          <w:szCs w:val="22"/>
        </w:rPr>
        <w:t xml:space="preserve">the NMBA endorses </w:t>
      </w:r>
      <w:r w:rsidR="00EA421E" w:rsidRPr="00670D34">
        <w:rPr>
          <w:rFonts w:ascii="Arial" w:eastAsia="Times New Roman" w:hAnsi="Arial" w:cs="Arial"/>
          <w:sz w:val="22"/>
          <w:szCs w:val="22"/>
        </w:rPr>
        <w:t xml:space="preserve">four approved </w:t>
      </w:r>
      <w:r w:rsidR="00EA421E" w:rsidRPr="00670D34">
        <w:rPr>
          <w:rFonts w:ascii="Arial" w:eastAsia="Times New Roman" w:hAnsi="Arial" w:cs="Arial"/>
          <w:color w:val="000000"/>
          <w:sz w:val="22"/>
          <w:szCs w:val="22"/>
          <w:lang w:eastAsia="en-AU"/>
        </w:rPr>
        <w:t xml:space="preserve">English language proficiency tests for the purposes of meeting </w:t>
      </w:r>
      <w:r w:rsidR="00881DD6" w:rsidRPr="00670D34">
        <w:rPr>
          <w:rFonts w:ascii="Arial" w:eastAsia="Times New Roman" w:hAnsi="Arial" w:cs="Arial"/>
          <w:color w:val="000000"/>
          <w:sz w:val="22"/>
          <w:szCs w:val="22"/>
          <w:lang w:eastAsia="en-AU"/>
        </w:rPr>
        <w:t>English language registration</w:t>
      </w:r>
      <w:r w:rsidR="00EA421E" w:rsidRPr="00670D34">
        <w:rPr>
          <w:rFonts w:ascii="Arial" w:eastAsia="Times New Roman" w:hAnsi="Arial" w:cs="Arial"/>
          <w:color w:val="000000"/>
          <w:sz w:val="22"/>
          <w:szCs w:val="22"/>
          <w:lang w:eastAsia="en-AU"/>
        </w:rPr>
        <w:t xml:space="preserve"> standard</w:t>
      </w:r>
      <w:r w:rsidR="00881DD6" w:rsidRPr="00670D34">
        <w:rPr>
          <w:rFonts w:ascii="Arial" w:eastAsia="Times New Roman" w:hAnsi="Arial" w:cs="Arial"/>
          <w:color w:val="000000"/>
          <w:sz w:val="22"/>
          <w:szCs w:val="22"/>
          <w:lang w:eastAsia="en-AU"/>
        </w:rPr>
        <w:t>. These are the same tests endorsed by other National Boards, including the Medical Board of Australia. These tests</w:t>
      </w:r>
      <w:r w:rsidR="00EA421E" w:rsidRPr="00670D34">
        <w:rPr>
          <w:rFonts w:ascii="Arial" w:eastAsia="Times New Roman" w:hAnsi="Arial" w:cs="Arial"/>
          <w:color w:val="000000"/>
          <w:sz w:val="22"/>
          <w:szCs w:val="22"/>
          <w:lang w:eastAsia="en-AU"/>
        </w:rPr>
        <w:t xml:space="preserve"> </w:t>
      </w:r>
      <w:r w:rsidR="00EA421E" w:rsidRPr="00670D34">
        <w:rPr>
          <w:rFonts w:ascii="Arial" w:eastAsia="Times New Roman" w:hAnsi="Arial" w:cs="Arial"/>
          <w:sz w:val="22"/>
          <w:szCs w:val="22"/>
        </w:rPr>
        <w:t>have been validated</w:t>
      </w:r>
      <w:r w:rsidRPr="00670D34">
        <w:rPr>
          <w:rFonts w:ascii="Arial" w:eastAsia="Times New Roman" w:hAnsi="Arial" w:cs="Arial"/>
          <w:sz w:val="22"/>
          <w:szCs w:val="22"/>
        </w:rPr>
        <w:t xml:space="preserve"> by </w:t>
      </w:r>
      <w:r w:rsidR="00EA421E" w:rsidRPr="00670D34">
        <w:rPr>
          <w:rFonts w:ascii="Arial" w:eastAsia="Times New Roman" w:hAnsi="Arial" w:cs="Arial"/>
          <w:sz w:val="22"/>
          <w:szCs w:val="22"/>
        </w:rPr>
        <w:t>research and international experience</w:t>
      </w:r>
      <w:r w:rsidR="00881DD6" w:rsidRPr="00670D34">
        <w:rPr>
          <w:rFonts w:ascii="Arial" w:eastAsia="Times New Roman" w:hAnsi="Arial" w:cs="Arial"/>
          <w:sz w:val="22"/>
          <w:szCs w:val="22"/>
        </w:rPr>
        <w:t>.</w:t>
      </w:r>
    </w:p>
    <w:p w14:paraId="4B30E344" w14:textId="77777777" w:rsidR="00881DD6" w:rsidRPr="006D7CAA" w:rsidRDefault="0049139C"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notes that </w:t>
      </w:r>
      <w:r w:rsidR="001948D8" w:rsidRPr="00670D34">
        <w:rPr>
          <w:rFonts w:ascii="Arial" w:eastAsia="Times New Roman" w:hAnsi="Arial" w:cs="Arial"/>
          <w:sz w:val="22"/>
          <w:szCs w:val="22"/>
        </w:rPr>
        <w:t>all</w:t>
      </w:r>
      <w:r w:rsidR="00881DD6" w:rsidRPr="00670D34">
        <w:rPr>
          <w:rFonts w:ascii="Arial" w:eastAsia="Times New Roman" w:hAnsi="Arial" w:cs="Arial"/>
          <w:sz w:val="22"/>
          <w:szCs w:val="22"/>
        </w:rPr>
        <w:t xml:space="preserve"> registration standard</w:t>
      </w:r>
      <w:r w:rsidR="001948D8" w:rsidRPr="00670D34">
        <w:rPr>
          <w:rFonts w:ascii="Arial" w:eastAsia="Times New Roman" w:hAnsi="Arial" w:cs="Arial"/>
          <w:sz w:val="22"/>
          <w:szCs w:val="22"/>
        </w:rPr>
        <w:t>s</w:t>
      </w:r>
      <w:r w:rsidR="00881DD6" w:rsidRPr="00670D34">
        <w:rPr>
          <w:rFonts w:ascii="Arial" w:eastAsia="Times New Roman" w:hAnsi="Arial" w:cs="Arial"/>
          <w:sz w:val="22"/>
          <w:szCs w:val="22"/>
        </w:rPr>
        <w:t xml:space="preserve"> </w:t>
      </w:r>
      <w:r w:rsidR="001948D8" w:rsidRPr="00670D34">
        <w:rPr>
          <w:rFonts w:ascii="Arial" w:eastAsia="Times New Roman" w:hAnsi="Arial" w:cs="Arial"/>
          <w:sz w:val="22"/>
          <w:szCs w:val="22"/>
        </w:rPr>
        <w:t>are regularly reviewed to ensure they</w:t>
      </w:r>
      <w:r w:rsidR="00881DD6" w:rsidRPr="00670D34">
        <w:rPr>
          <w:rFonts w:ascii="Arial" w:eastAsia="Times New Roman" w:hAnsi="Arial" w:cs="Arial"/>
          <w:sz w:val="22"/>
          <w:szCs w:val="22"/>
        </w:rPr>
        <w:t xml:space="preserve"> </w:t>
      </w:r>
      <w:r w:rsidR="001948D8" w:rsidRPr="00670D34">
        <w:rPr>
          <w:rFonts w:ascii="Arial" w:eastAsia="Times New Roman" w:hAnsi="Arial" w:cs="Arial"/>
          <w:sz w:val="22"/>
          <w:szCs w:val="22"/>
        </w:rPr>
        <w:t>are</w:t>
      </w:r>
      <w:r w:rsidR="00881DD6" w:rsidRPr="00670D34">
        <w:rPr>
          <w:rFonts w:ascii="Arial" w:eastAsia="Times New Roman" w:hAnsi="Arial" w:cs="Arial"/>
          <w:sz w:val="22"/>
          <w:szCs w:val="22"/>
        </w:rPr>
        <w:t xml:space="preserve"> fit for purpose</w:t>
      </w:r>
      <w:r w:rsidR="001948D8" w:rsidRPr="00670D34">
        <w:rPr>
          <w:rFonts w:ascii="Arial" w:eastAsia="Times New Roman" w:hAnsi="Arial" w:cs="Arial"/>
          <w:sz w:val="22"/>
          <w:szCs w:val="22"/>
        </w:rPr>
        <w:t xml:space="preserve"> and achieve</w:t>
      </w:r>
      <w:r w:rsidR="00881DD6" w:rsidRPr="00670D34">
        <w:rPr>
          <w:rFonts w:ascii="Arial" w:eastAsia="Times New Roman" w:hAnsi="Arial" w:cs="Arial"/>
          <w:sz w:val="22"/>
          <w:szCs w:val="22"/>
        </w:rPr>
        <w:t xml:space="preserve"> </w:t>
      </w:r>
      <w:r w:rsidR="001948D8" w:rsidRPr="00670D34">
        <w:rPr>
          <w:rFonts w:ascii="Arial" w:eastAsia="Times New Roman" w:hAnsi="Arial" w:cs="Arial"/>
          <w:sz w:val="22"/>
          <w:szCs w:val="22"/>
        </w:rPr>
        <w:t>their</w:t>
      </w:r>
      <w:r w:rsidR="00881DD6" w:rsidRPr="00670D34">
        <w:rPr>
          <w:rFonts w:ascii="Arial" w:eastAsia="Times New Roman" w:hAnsi="Arial" w:cs="Arial"/>
          <w:sz w:val="22"/>
          <w:szCs w:val="22"/>
        </w:rPr>
        <w:t xml:space="preserve"> objectives</w:t>
      </w:r>
      <w:r w:rsidR="00881DD6">
        <w:rPr>
          <w:rFonts w:ascii="Arial" w:eastAsia="Times New Roman" w:hAnsi="Arial" w:cs="Arial"/>
          <w:sz w:val="22"/>
          <w:szCs w:val="22"/>
        </w:rPr>
        <w:t xml:space="preserve"> under the National Law. </w:t>
      </w:r>
      <w:r w:rsidR="001948D8">
        <w:rPr>
          <w:rFonts w:ascii="Arial" w:eastAsia="Times New Roman" w:hAnsi="Arial" w:cs="Arial"/>
          <w:sz w:val="22"/>
          <w:szCs w:val="22"/>
        </w:rPr>
        <w:t xml:space="preserve">Should a standard be found to no longer be fit for purpose, the Government can, through the Ministerial Council, require the NMBA to review and update the standard as required. </w:t>
      </w:r>
    </w:p>
    <w:p w14:paraId="2D8B8152" w14:textId="77777777" w:rsidR="00350157" w:rsidRPr="006D7CAA" w:rsidRDefault="00350157" w:rsidP="00561095">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Noted is the intersection of this recommendation and </w:t>
      </w:r>
      <w:r w:rsidRPr="006D7CAA">
        <w:rPr>
          <w:rFonts w:ascii="Arial" w:eastAsia="Times New Roman" w:hAnsi="Arial" w:cs="Arial"/>
          <w:b/>
          <w:sz w:val="22"/>
          <w:szCs w:val="22"/>
        </w:rPr>
        <w:t>recommendations 4, 6, 10 and 11</w:t>
      </w:r>
      <w:r w:rsidRPr="006D7CAA">
        <w:rPr>
          <w:rFonts w:ascii="Arial" w:eastAsia="Times New Roman" w:hAnsi="Arial" w:cs="Arial"/>
          <w:sz w:val="22"/>
          <w:szCs w:val="22"/>
        </w:rPr>
        <w:t>.</w:t>
      </w:r>
    </w:p>
    <w:tbl>
      <w:tblPr>
        <w:tblStyle w:val="TableGrid"/>
        <w:tblW w:w="0" w:type="auto"/>
        <w:tblLook w:val="04A0" w:firstRow="1" w:lastRow="0" w:firstColumn="1" w:lastColumn="0" w:noHBand="0" w:noVBand="1"/>
      </w:tblPr>
      <w:tblGrid>
        <w:gridCol w:w="9016"/>
      </w:tblGrid>
      <w:tr w:rsidR="00350157" w:rsidRPr="006D7CAA" w14:paraId="76C76AB4" w14:textId="77777777" w:rsidTr="00A470CF">
        <w:trPr>
          <w:trHeight w:val="1338"/>
        </w:trPr>
        <w:tc>
          <w:tcPr>
            <w:tcW w:w="9016" w:type="dxa"/>
          </w:tcPr>
          <w:p w14:paraId="5BECE38E" w14:textId="77777777" w:rsidR="00350157" w:rsidRPr="006D7CAA" w:rsidRDefault="00350157" w:rsidP="00A470CF">
            <w:pPr>
              <w:pStyle w:val="Heading3"/>
              <w:outlineLvl w:val="2"/>
              <w:rPr>
                <w:rFonts w:ascii="Arial" w:eastAsia="Times New Roman" w:hAnsi="Arial" w:cs="Arial"/>
              </w:rPr>
            </w:pPr>
            <w:bookmarkStart w:id="8" w:name="_Toc57387165"/>
            <w:r w:rsidRPr="006D7CAA">
              <w:rPr>
                <w:rFonts w:ascii="Arial" w:eastAsia="Times New Roman" w:hAnsi="Arial" w:cs="Arial"/>
              </w:rPr>
              <w:t>Recommendation 3</w:t>
            </w:r>
            <w:bookmarkEnd w:id="8"/>
          </w:p>
          <w:p w14:paraId="29E2A457"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ANMAC should amend the evidence guide used for accreditation to include a mandatory report on the credentials and number of qualified English language experts employed to assist students in applying their English language skills at work and evidence that these experts are available to students who need assistance.</w:t>
            </w:r>
          </w:p>
        </w:tc>
      </w:tr>
    </w:tbl>
    <w:p w14:paraId="5B557812" w14:textId="77777777" w:rsidR="00350157" w:rsidRPr="006D7CAA" w:rsidRDefault="00350157" w:rsidP="00561095">
      <w:pPr>
        <w:spacing w:before="120" w:after="120" w:line="240" w:lineRule="auto"/>
        <w:rPr>
          <w:rFonts w:ascii="Arial" w:hAnsi="Arial" w:cs="Arial"/>
          <w:b/>
        </w:rPr>
      </w:pPr>
      <w:r w:rsidRPr="006D7CAA">
        <w:rPr>
          <w:rFonts w:ascii="Arial" w:hAnsi="Arial" w:cs="Arial"/>
          <w:b/>
        </w:rPr>
        <w:t>Australian Government response</w:t>
      </w:r>
    </w:p>
    <w:p w14:paraId="78EC2DF7" w14:textId="77777777" w:rsidR="009847AB" w:rsidRPr="00670D34" w:rsidRDefault="00350157"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notes </w:t>
      </w:r>
      <w:r w:rsidR="00474763" w:rsidRPr="00670D34">
        <w:rPr>
          <w:rFonts w:ascii="Arial" w:eastAsia="Times New Roman" w:hAnsi="Arial" w:cs="Arial"/>
          <w:sz w:val="22"/>
          <w:szCs w:val="22"/>
        </w:rPr>
        <w:t xml:space="preserve">that </w:t>
      </w:r>
      <w:r w:rsidR="0015317A" w:rsidRPr="00670D34">
        <w:rPr>
          <w:rFonts w:ascii="Arial" w:eastAsia="Times New Roman" w:hAnsi="Arial" w:cs="Arial"/>
          <w:sz w:val="22"/>
          <w:szCs w:val="22"/>
        </w:rPr>
        <w:t xml:space="preserve">the </w:t>
      </w:r>
      <w:r w:rsidRPr="00670D34">
        <w:rPr>
          <w:rFonts w:ascii="Arial" w:eastAsia="Times New Roman" w:hAnsi="Arial" w:cs="Arial"/>
          <w:sz w:val="22"/>
          <w:szCs w:val="22"/>
        </w:rPr>
        <w:t>ANMAC Accreditation Standards require education providers to have current registration with TEQSA as an Australian university.</w:t>
      </w:r>
      <w:r w:rsidR="0025130E" w:rsidRPr="00670D34">
        <w:rPr>
          <w:rFonts w:ascii="Arial" w:eastAsia="Times New Roman" w:hAnsi="Arial" w:cs="Arial"/>
          <w:sz w:val="22"/>
          <w:szCs w:val="22"/>
        </w:rPr>
        <w:t xml:space="preserve"> </w:t>
      </w:r>
      <w:r w:rsidR="00474763" w:rsidRPr="00670D34">
        <w:rPr>
          <w:rFonts w:ascii="Arial" w:eastAsia="Times New Roman" w:hAnsi="Arial" w:cs="Arial"/>
          <w:sz w:val="22"/>
          <w:szCs w:val="22"/>
        </w:rPr>
        <w:t>TEQSA has requirements for universities to provide teaching and learning s</w:t>
      </w:r>
      <w:r w:rsidR="0015317A" w:rsidRPr="00670D34">
        <w:rPr>
          <w:rFonts w:ascii="Arial" w:eastAsia="Times New Roman" w:hAnsi="Arial" w:cs="Arial"/>
          <w:sz w:val="22"/>
          <w:szCs w:val="22"/>
        </w:rPr>
        <w:t xml:space="preserve">upport in literacy and numeracy, which can </w:t>
      </w:r>
      <w:r w:rsidR="0015317A" w:rsidRPr="00670D34">
        <w:rPr>
          <w:rFonts w:ascii="Arial" w:hAnsi="Arial" w:cs="Arial"/>
          <w:sz w:val="22"/>
          <w:szCs w:val="22"/>
          <w:lang w:eastAsia="en-GB"/>
        </w:rPr>
        <w:t>assist students to apply their English language skills and evidence</w:t>
      </w:r>
      <w:r w:rsidR="0015317A" w:rsidRPr="00670D34">
        <w:rPr>
          <w:rFonts w:ascii="Arial" w:eastAsia="Times New Roman" w:hAnsi="Arial" w:cs="Arial"/>
          <w:sz w:val="22"/>
          <w:szCs w:val="22"/>
        </w:rPr>
        <w:t xml:space="preserve"> to their area of study. </w:t>
      </w:r>
    </w:p>
    <w:p w14:paraId="17AC5E5C" w14:textId="77777777" w:rsidR="0015317A" w:rsidRPr="00670D34" w:rsidRDefault="0015317A" w:rsidP="00561095">
      <w:pPr>
        <w:spacing w:before="120" w:after="120" w:line="240" w:lineRule="auto"/>
        <w:rPr>
          <w:rFonts w:ascii="Arial" w:hAnsi="Arial" w:cs="Arial"/>
          <w:sz w:val="22"/>
          <w:szCs w:val="22"/>
          <w:lang w:val="en"/>
        </w:rPr>
      </w:pPr>
      <w:r w:rsidRPr="00670D34">
        <w:rPr>
          <w:rFonts w:ascii="Arial" w:eastAsia="Times New Roman" w:hAnsi="Arial" w:cs="Arial"/>
          <w:sz w:val="22"/>
          <w:szCs w:val="22"/>
        </w:rPr>
        <w:t xml:space="preserve">The Government notes that TEQSA is </w:t>
      </w:r>
      <w:r w:rsidRPr="00670D34">
        <w:rPr>
          <w:rFonts w:ascii="Arial" w:hAnsi="Arial" w:cs="Arial"/>
          <w:sz w:val="22"/>
          <w:szCs w:val="22"/>
          <w:lang w:val="en"/>
        </w:rPr>
        <w:t xml:space="preserve">a national quality assurance and regulatory agency, independent of Government. Their role is to protect student interests and the reputation of Australia's higher education sector through a proportionate, risk-reflective approach to quality assurance that supports diversity, innovation and excellence. The Government undertakes to raise the recommendation with TEQSA for consideration and review. </w:t>
      </w:r>
    </w:p>
    <w:p w14:paraId="4AACAC30" w14:textId="77777777" w:rsidR="009847AB" w:rsidRPr="0015317A" w:rsidRDefault="009847AB"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The Government also notes</w:t>
      </w:r>
      <w:r w:rsidR="0015317A" w:rsidRPr="00670D34">
        <w:rPr>
          <w:rFonts w:ascii="Arial" w:eastAsia="Times New Roman" w:hAnsi="Arial" w:cs="Arial"/>
          <w:sz w:val="22"/>
          <w:szCs w:val="22"/>
        </w:rPr>
        <w:t xml:space="preserve"> that ANMAC</w:t>
      </w:r>
      <w:r w:rsidRPr="0015317A">
        <w:rPr>
          <w:rFonts w:ascii="Arial" w:eastAsia="Times New Roman" w:hAnsi="Arial" w:cs="Arial"/>
          <w:sz w:val="22"/>
          <w:szCs w:val="22"/>
        </w:rPr>
        <w:t xml:space="preserve"> undertakes checks relating to support provided for students as part of the accreditation process, including literacy, numeracy, disability and pastoral care, and th</w:t>
      </w:r>
      <w:r w:rsidR="0049139C" w:rsidRPr="0015317A">
        <w:rPr>
          <w:rFonts w:ascii="Arial" w:eastAsia="Times New Roman" w:hAnsi="Arial" w:cs="Arial"/>
          <w:sz w:val="22"/>
          <w:szCs w:val="22"/>
        </w:rPr>
        <w:t xml:space="preserve">at </w:t>
      </w:r>
      <w:r w:rsidR="0015317A" w:rsidRPr="0015317A">
        <w:rPr>
          <w:rFonts w:ascii="Arial" w:eastAsia="Times New Roman" w:hAnsi="Arial" w:cs="Arial"/>
          <w:sz w:val="22"/>
          <w:szCs w:val="22"/>
        </w:rPr>
        <w:t xml:space="preserve">the </w:t>
      </w:r>
      <w:r w:rsidR="0049139C" w:rsidRPr="0015317A">
        <w:rPr>
          <w:rFonts w:ascii="Arial" w:eastAsia="Times New Roman" w:hAnsi="Arial" w:cs="Arial"/>
          <w:sz w:val="22"/>
          <w:szCs w:val="22"/>
        </w:rPr>
        <w:t xml:space="preserve">recent changes to the </w:t>
      </w:r>
      <w:r w:rsidR="0049139C" w:rsidRPr="00215E88">
        <w:rPr>
          <w:rFonts w:ascii="Arial" w:eastAsia="Times New Roman" w:hAnsi="Arial" w:cs="Arial"/>
          <w:sz w:val="22"/>
          <w:szCs w:val="22"/>
        </w:rPr>
        <w:t>ELS Registration</w:t>
      </w:r>
      <w:r w:rsidR="0049139C" w:rsidRPr="0015317A">
        <w:rPr>
          <w:rFonts w:ascii="Arial" w:eastAsia="Times New Roman" w:hAnsi="Arial" w:cs="Arial"/>
          <w:sz w:val="22"/>
          <w:szCs w:val="22"/>
        </w:rPr>
        <w:t xml:space="preserve"> and Accreditation Standards may also partially address this recommendation. </w:t>
      </w:r>
    </w:p>
    <w:tbl>
      <w:tblPr>
        <w:tblStyle w:val="TableGrid"/>
        <w:tblW w:w="0" w:type="auto"/>
        <w:tblLook w:val="04A0" w:firstRow="1" w:lastRow="0" w:firstColumn="1" w:lastColumn="0" w:noHBand="0" w:noVBand="1"/>
      </w:tblPr>
      <w:tblGrid>
        <w:gridCol w:w="9016"/>
      </w:tblGrid>
      <w:tr w:rsidR="00350157" w:rsidRPr="006D7CAA" w14:paraId="4F58F33C" w14:textId="77777777" w:rsidTr="00A470CF">
        <w:trPr>
          <w:trHeight w:val="1085"/>
        </w:trPr>
        <w:tc>
          <w:tcPr>
            <w:tcW w:w="9016" w:type="dxa"/>
          </w:tcPr>
          <w:p w14:paraId="5D569330" w14:textId="77777777" w:rsidR="00350157" w:rsidRPr="006D7CAA" w:rsidRDefault="00350157" w:rsidP="00A470CF">
            <w:pPr>
              <w:pStyle w:val="Heading3"/>
              <w:outlineLvl w:val="2"/>
              <w:rPr>
                <w:rFonts w:ascii="Arial" w:eastAsia="Times New Roman" w:hAnsi="Arial" w:cs="Arial"/>
              </w:rPr>
            </w:pPr>
            <w:bookmarkStart w:id="9" w:name="_Toc57387166"/>
            <w:r w:rsidRPr="006D7CAA">
              <w:rPr>
                <w:rFonts w:ascii="Arial" w:eastAsia="Times New Roman" w:hAnsi="Arial" w:cs="Arial"/>
              </w:rPr>
              <w:t>Recommendation 4</w:t>
            </w:r>
            <w:bookmarkEnd w:id="9"/>
          </w:p>
          <w:p w14:paraId="5D598BE7"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NMBA should require all candidates for registration to undergo an independent assessment to demonstrate they have the literacy and numeracy skills required to practise safely. </w:t>
            </w:r>
          </w:p>
        </w:tc>
      </w:tr>
    </w:tbl>
    <w:p w14:paraId="12E1F202" w14:textId="77777777" w:rsidR="00196411" w:rsidRDefault="00196411" w:rsidP="00C7528B">
      <w:pPr>
        <w:spacing w:before="120" w:after="120" w:line="240" w:lineRule="auto"/>
        <w:rPr>
          <w:rFonts w:ascii="Arial" w:hAnsi="Arial" w:cs="Arial"/>
          <w:b/>
        </w:rPr>
      </w:pPr>
    </w:p>
    <w:p w14:paraId="2278283B" w14:textId="4451D840" w:rsidR="00350157" w:rsidRPr="006D7CAA" w:rsidRDefault="00350157" w:rsidP="00C7528B">
      <w:pPr>
        <w:spacing w:before="120" w:after="120" w:line="240" w:lineRule="auto"/>
        <w:rPr>
          <w:rFonts w:ascii="Arial" w:hAnsi="Arial" w:cs="Arial"/>
          <w:b/>
        </w:rPr>
      </w:pPr>
      <w:r w:rsidRPr="006D7CAA">
        <w:rPr>
          <w:rFonts w:ascii="Arial" w:hAnsi="Arial" w:cs="Arial"/>
          <w:b/>
        </w:rPr>
        <w:lastRenderedPageBreak/>
        <w:t xml:space="preserve">Australian Government response </w:t>
      </w:r>
    </w:p>
    <w:p w14:paraId="76AC1454" w14:textId="6D1F092D" w:rsidR="00F91EA8" w:rsidRPr="006D7CAA" w:rsidRDefault="00F91EA8" w:rsidP="00561095">
      <w:pPr>
        <w:spacing w:before="120" w:after="120" w:line="240" w:lineRule="auto"/>
        <w:rPr>
          <w:rFonts w:ascii="Arial" w:eastAsia="Times New Roman" w:hAnsi="Arial" w:cs="Arial"/>
          <w:sz w:val="22"/>
        </w:rPr>
      </w:pPr>
      <w:r w:rsidRPr="006D7CAA">
        <w:rPr>
          <w:rFonts w:ascii="Arial" w:eastAsia="Times New Roman" w:hAnsi="Arial" w:cs="Arial"/>
          <w:sz w:val="22"/>
        </w:rPr>
        <w:t>The Government</w:t>
      </w:r>
      <w:r w:rsidRPr="006D7CAA">
        <w:rPr>
          <w:rFonts w:ascii="Arial" w:eastAsia="Times New Roman" w:hAnsi="Arial" w:cs="Arial"/>
          <w:b/>
          <w:sz w:val="22"/>
        </w:rPr>
        <w:t xml:space="preserve"> </w:t>
      </w:r>
      <w:r w:rsidRPr="00670D34">
        <w:rPr>
          <w:rFonts w:ascii="Arial" w:eastAsia="Times New Roman" w:hAnsi="Arial" w:cs="Arial"/>
          <w:sz w:val="22"/>
        </w:rPr>
        <w:t>supports</w:t>
      </w:r>
      <w:r w:rsidRPr="006D7CAA">
        <w:rPr>
          <w:rFonts w:ascii="Arial" w:eastAsia="Times New Roman" w:hAnsi="Arial" w:cs="Arial"/>
          <w:sz w:val="22"/>
        </w:rPr>
        <w:t xml:space="preserve"> the need for students to have the requisite literacy and numeracy skills to practice </w:t>
      </w:r>
      <w:r w:rsidR="00196411" w:rsidRPr="006D7CAA">
        <w:rPr>
          <w:rFonts w:ascii="Arial" w:eastAsia="Times New Roman" w:hAnsi="Arial" w:cs="Arial"/>
          <w:sz w:val="22"/>
        </w:rPr>
        <w:t>safely</w:t>
      </w:r>
      <w:r w:rsidR="00196411">
        <w:rPr>
          <w:rFonts w:ascii="Arial" w:eastAsia="Times New Roman" w:hAnsi="Arial" w:cs="Arial"/>
          <w:sz w:val="22"/>
        </w:rPr>
        <w:t xml:space="preserve"> but</w:t>
      </w:r>
      <w:r w:rsidR="00B60004">
        <w:rPr>
          <w:rFonts w:ascii="Arial" w:eastAsia="Times New Roman" w:hAnsi="Arial" w:cs="Arial"/>
          <w:sz w:val="22"/>
        </w:rPr>
        <w:t xml:space="preserve"> believes</w:t>
      </w:r>
      <w:r w:rsidR="00670D34">
        <w:rPr>
          <w:rFonts w:ascii="Arial" w:eastAsia="Times New Roman" w:hAnsi="Arial" w:cs="Arial"/>
          <w:sz w:val="22"/>
        </w:rPr>
        <w:t xml:space="preserve"> there needs to be considerable flexibility in how this is assessed. Completion of secondary or tertiary education in Australia can be considered to provide most, if not all, of the literacy and numeracy skills required</w:t>
      </w:r>
      <w:r w:rsidRPr="006D7CAA">
        <w:rPr>
          <w:rFonts w:ascii="Arial" w:eastAsia="Times New Roman" w:hAnsi="Arial" w:cs="Arial"/>
          <w:sz w:val="22"/>
        </w:rPr>
        <w:t xml:space="preserve">. </w:t>
      </w:r>
    </w:p>
    <w:p w14:paraId="4294E3DC" w14:textId="77777777" w:rsidR="00F91EA8" w:rsidRPr="00670D34" w:rsidRDefault="00F91EA8" w:rsidP="00561095">
      <w:pPr>
        <w:autoSpaceDE w:val="0"/>
        <w:autoSpaceDN w:val="0"/>
        <w:adjustRightInd w:val="0"/>
        <w:spacing w:before="120" w:after="120" w:line="240" w:lineRule="auto"/>
        <w:rPr>
          <w:rFonts w:ascii="Arial" w:hAnsi="Arial" w:cs="Arial"/>
          <w:sz w:val="22"/>
          <w:szCs w:val="22"/>
          <w:lang w:val="en-US" w:eastAsia="en-AU"/>
        </w:rPr>
      </w:pPr>
      <w:r w:rsidRPr="00670D34">
        <w:rPr>
          <w:rFonts w:ascii="Arial" w:eastAsia="Times New Roman" w:hAnsi="Arial" w:cs="Arial"/>
          <w:sz w:val="22"/>
          <w:szCs w:val="22"/>
        </w:rPr>
        <w:t>The Government</w:t>
      </w:r>
      <w:r w:rsidR="00350157" w:rsidRPr="00670D34">
        <w:rPr>
          <w:rFonts w:ascii="Arial" w:eastAsia="Times New Roman" w:hAnsi="Arial" w:cs="Arial"/>
          <w:sz w:val="22"/>
          <w:szCs w:val="22"/>
        </w:rPr>
        <w:t xml:space="preserve"> notes </w:t>
      </w:r>
      <w:r w:rsidRPr="00670D34">
        <w:rPr>
          <w:rFonts w:ascii="Arial" w:eastAsia="Times New Roman" w:hAnsi="Arial" w:cs="Arial"/>
          <w:sz w:val="22"/>
          <w:szCs w:val="22"/>
        </w:rPr>
        <w:t xml:space="preserve">the recently revised NMBA English language registration standard requires all nurses applying for initial registration to be able to </w:t>
      </w:r>
      <w:r w:rsidRPr="00670D34">
        <w:rPr>
          <w:rFonts w:ascii="Arial" w:hAnsi="Arial" w:cs="Arial"/>
          <w:sz w:val="22"/>
          <w:szCs w:val="22"/>
          <w:lang w:val="en-US" w:eastAsia="en-AU"/>
        </w:rPr>
        <w:t xml:space="preserve">demonstrate to the Board that their competency in speaking and communicating in English is sufficient to </w:t>
      </w:r>
      <w:proofErr w:type="spellStart"/>
      <w:r w:rsidRPr="00670D34">
        <w:rPr>
          <w:rFonts w:ascii="Arial" w:hAnsi="Arial" w:cs="Arial"/>
          <w:sz w:val="22"/>
          <w:szCs w:val="22"/>
          <w:lang w:val="en-US" w:eastAsia="en-AU"/>
        </w:rPr>
        <w:t>practise</w:t>
      </w:r>
      <w:proofErr w:type="spellEnd"/>
      <w:r w:rsidRPr="00670D34">
        <w:rPr>
          <w:rFonts w:ascii="Arial" w:hAnsi="Arial" w:cs="Arial"/>
          <w:sz w:val="22"/>
          <w:szCs w:val="22"/>
          <w:lang w:val="en-US" w:eastAsia="en-AU"/>
        </w:rPr>
        <w:t xml:space="preserve"> nursing and/or midwifery. The required competency is </w:t>
      </w:r>
      <w:r w:rsidRPr="00670D34">
        <w:rPr>
          <w:rFonts w:ascii="Arial" w:hAnsi="Arial" w:cs="Arial"/>
          <w:sz w:val="22"/>
          <w:szCs w:val="22"/>
          <w:lang w:val="en"/>
        </w:rPr>
        <w:t xml:space="preserve">the completion of at least five years of </w:t>
      </w:r>
      <w:r w:rsidRPr="00821117">
        <w:rPr>
          <w:rStyle w:val="Strong"/>
          <w:rFonts w:ascii="Arial" w:hAnsi="Arial" w:cs="Arial"/>
          <w:b w:val="0"/>
          <w:sz w:val="22"/>
          <w:szCs w:val="22"/>
          <w:lang w:val="en"/>
        </w:rPr>
        <w:t>continuous</w:t>
      </w:r>
      <w:r w:rsidRPr="00670D34">
        <w:rPr>
          <w:rFonts w:ascii="Arial" w:hAnsi="Arial" w:cs="Arial"/>
          <w:sz w:val="22"/>
          <w:szCs w:val="22"/>
          <w:lang w:val="en"/>
        </w:rPr>
        <w:t xml:space="preserve"> education in order to meet all the elements of the standard, including speaking, listening, reading and writing.</w:t>
      </w:r>
    </w:p>
    <w:p w14:paraId="64F646D0" w14:textId="77777777" w:rsidR="001948D8" w:rsidRPr="00670D34" w:rsidRDefault="001948D8"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notes that all registration standards are regularly reviewed to ensure they are fit for purpose and achieve their objectives under the National Law. Should a standard be found to no longer be fit for purpose, the Government can, through the Ministerial Council, require the NMBA to review and update the standard as required. </w:t>
      </w:r>
    </w:p>
    <w:p w14:paraId="570775E0" w14:textId="77777777" w:rsidR="00350157" w:rsidRPr="006D7CAA" w:rsidRDefault="00350157" w:rsidP="00561095">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Noted is the intersection of this recommendation and </w:t>
      </w:r>
      <w:r w:rsidRPr="006D7CAA">
        <w:rPr>
          <w:rFonts w:ascii="Arial" w:eastAsia="Times New Roman" w:hAnsi="Arial" w:cs="Arial"/>
          <w:b/>
          <w:sz w:val="22"/>
          <w:szCs w:val="22"/>
        </w:rPr>
        <w:t>recommendations 2, 6, 10 and 11.</w:t>
      </w:r>
    </w:p>
    <w:p w14:paraId="5441E3D2" w14:textId="77777777" w:rsidR="00350157" w:rsidRPr="006D7CAA" w:rsidRDefault="00350157" w:rsidP="00561095">
      <w:pPr>
        <w:pStyle w:val="Heading1"/>
        <w:rPr>
          <w:rFonts w:ascii="Arial" w:eastAsia="Times New Roman" w:hAnsi="Arial" w:cs="Arial"/>
        </w:rPr>
      </w:pPr>
      <w:bookmarkStart w:id="10" w:name="_Toc57387167"/>
      <w:r w:rsidRPr="006D7CAA">
        <w:rPr>
          <w:rFonts w:ascii="Arial" w:eastAsia="Times New Roman" w:hAnsi="Arial" w:cs="Arial"/>
        </w:rPr>
        <w:t>TRANSPARENCY</w:t>
      </w:r>
      <w:bookmarkEnd w:id="10"/>
    </w:p>
    <w:tbl>
      <w:tblPr>
        <w:tblStyle w:val="TableGrid"/>
        <w:tblW w:w="0" w:type="auto"/>
        <w:tblLook w:val="04A0" w:firstRow="1" w:lastRow="0" w:firstColumn="1" w:lastColumn="0" w:noHBand="0" w:noVBand="1"/>
      </w:tblPr>
      <w:tblGrid>
        <w:gridCol w:w="9016"/>
      </w:tblGrid>
      <w:tr w:rsidR="00350157" w:rsidRPr="006D7CAA" w14:paraId="4FF3BA0A" w14:textId="77777777" w:rsidTr="00A470CF">
        <w:trPr>
          <w:trHeight w:val="1591"/>
        </w:trPr>
        <w:tc>
          <w:tcPr>
            <w:tcW w:w="9016" w:type="dxa"/>
          </w:tcPr>
          <w:p w14:paraId="7ECDDA22" w14:textId="77777777" w:rsidR="00350157" w:rsidRPr="006D7CAA" w:rsidRDefault="00350157" w:rsidP="00A470CF">
            <w:pPr>
              <w:pStyle w:val="Heading3"/>
              <w:outlineLvl w:val="2"/>
              <w:rPr>
                <w:rFonts w:ascii="Arial" w:eastAsia="Times New Roman" w:hAnsi="Arial" w:cs="Arial"/>
              </w:rPr>
            </w:pPr>
            <w:bookmarkStart w:id="11" w:name="_Toc57387168"/>
            <w:r w:rsidRPr="006D7CAA">
              <w:rPr>
                <w:rFonts w:ascii="Arial" w:eastAsia="Times New Roman" w:hAnsi="Arial" w:cs="Arial"/>
              </w:rPr>
              <w:t>Recommendation 5</w:t>
            </w:r>
            <w:bookmarkEnd w:id="11"/>
          </w:p>
          <w:p w14:paraId="3A364B4E"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To improve the quality of nursing education across the country, ANMAC should make accreditation and monitoring reports public. It should point out areas of poor practice and disseminate information about effective teaching techniques and initiatives. In a commitment to transparency, ANMAC should create a publicly accessible database, containing comparative information about all accredited nursing courses. </w:t>
            </w:r>
          </w:p>
        </w:tc>
      </w:tr>
    </w:tbl>
    <w:p w14:paraId="5434EF24" w14:textId="77777777" w:rsidR="00350157" w:rsidRPr="006D7CAA" w:rsidRDefault="00350157" w:rsidP="00561095">
      <w:pPr>
        <w:spacing w:before="120" w:after="120" w:line="240" w:lineRule="auto"/>
        <w:rPr>
          <w:rFonts w:ascii="Arial" w:hAnsi="Arial" w:cs="Arial"/>
          <w:b/>
        </w:rPr>
      </w:pPr>
      <w:r w:rsidRPr="006D7CAA">
        <w:rPr>
          <w:rFonts w:ascii="Arial" w:hAnsi="Arial" w:cs="Arial"/>
          <w:b/>
        </w:rPr>
        <w:t>Australian Government response</w:t>
      </w:r>
    </w:p>
    <w:p w14:paraId="0DC72C4C" w14:textId="77777777" w:rsidR="002C2ACD" w:rsidRPr="00670D34" w:rsidRDefault="00350157"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w:t>
      </w:r>
      <w:r w:rsidR="002C2ACD" w:rsidRPr="00670D34">
        <w:rPr>
          <w:rFonts w:ascii="Arial" w:eastAsia="Times New Roman" w:hAnsi="Arial" w:cs="Arial"/>
          <w:sz w:val="22"/>
          <w:szCs w:val="22"/>
        </w:rPr>
        <w:t xml:space="preserve">supports performance and financial reporting on accreditation functions and other published accreditation activity data being available to the public. </w:t>
      </w:r>
    </w:p>
    <w:p w14:paraId="2CFB0886" w14:textId="77777777" w:rsidR="002C2ACD" w:rsidRPr="00670D34" w:rsidRDefault="002C2ACD"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through the Ministerial Council recently endorsed the recommendations of the ASR, which include the publication of monitoring reports from accreditation councils. The Government also endorsed a similar recommendation (recommendation 4) in the </w:t>
      </w:r>
      <w:r w:rsidRPr="00670D34">
        <w:rPr>
          <w:rFonts w:ascii="Arial" w:eastAsia="Times New Roman" w:hAnsi="Arial" w:cs="Arial"/>
          <w:i/>
          <w:sz w:val="22"/>
          <w:szCs w:val="22"/>
        </w:rPr>
        <w:t>Independent Review of the National Registration and Accreditation Scheme for health professions</w:t>
      </w:r>
      <w:r w:rsidRPr="00670D34">
        <w:rPr>
          <w:rFonts w:ascii="Arial" w:eastAsia="Times New Roman" w:hAnsi="Arial" w:cs="Arial"/>
          <w:sz w:val="22"/>
          <w:szCs w:val="22"/>
        </w:rPr>
        <w:t xml:space="preserve"> (Governance Review) report.</w:t>
      </w:r>
    </w:p>
    <w:p w14:paraId="3582B6E6" w14:textId="77777777" w:rsidR="008C147E" w:rsidRDefault="008C147E"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T</w:t>
      </w:r>
      <w:r w:rsidR="000C5796" w:rsidRPr="00670D34">
        <w:rPr>
          <w:rFonts w:ascii="Arial" w:eastAsia="Times New Roman" w:hAnsi="Arial" w:cs="Arial"/>
          <w:sz w:val="22"/>
          <w:szCs w:val="22"/>
        </w:rPr>
        <w:t xml:space="preserve">he Government </w:t>
      </w:r>
      <w:r w:rsidR="001761D5" w:rsidRPr="00670D34">
        <w:rPr>
          <w:rFonts w:ascii="Arial" w:eastAsia="Times New Roman" w:hAnsi="Arial" w:cs="Arial"/>
          <w:sz w:val="22"/>
          <w:szCs w:val="22"/>
        </w:rPr>
        <w:t>undertakes to</w:t>
      </w:r>
      <w:r w:rsidR="000C5796" w:rsidRPr="00670D34">
        <w:rPr>
          <w:rFonts w:ascii="Arial" w:eastAsia="Times New Roman" w:hAnsi="Arial" w:cs="Arial"/>
          <w:sz w:val="22"/>
          <w:szCs w:val="22"/>
        </w:rPr>
        <w:t xml:space="preserve"> work with </w:t>
      </w:r>
      <w:r w:rsidRPr="00670D34">
        <w:rPr>
          <w:rFonts w:ascii="Arial" w:eastAsia="Times New Roman" w:hAnsi="Arial" w:cs="Arial"/>
          <w:sz w:val="22"/>
          <w:szCs w:val="22"/>
        </w:rPr>
        <w:t>jurisdictions</w:t>
      </w:r>
      <w:r w:rsidR="00B82DF6" w:rsidRPr="00670D34">
        <w:rPr>
          <w:rFonts w:ascii="Arial" w:eastAsia="Times New Roman" w:hAnsi="Arial" w:cs="Arial"/>
          <w:sz w:val="22"/>
          <w:szCs w:val="22"/>
        </w:rPr>
        <w:t>, the newly formed independent accreditation committee (who will be tasked with</w:t>
      </w:r>
      <w:r w:rsidR="00B82DF6">
        <w:rPr>
          <w:rFonts w:ascii="Arial" w:eastAsia="Times New Roman" w:hAnsi="Arial" w:cs="Arial"/>
          <w:sz w:val="22"/>
          <w:szCs w:val="22"/>
        </w:rPr>
        <w:t xml:space="preserve"> providing advice on accreditation)</w:t>
      </w:r>
      <w:r>
        <w:rPr>
          <w:rFonts w:ascii="Arial" w:eastAsia="Times New Roman" w:hAnsi="Arial" w:cs="Arial"/>
          <w:sz w:val="22"/>
          <w:szCs w:val="22"/>
        </w:rPr>
        <w:t xml:space="preserve"> and </w:t>
      </w:r>
      <w:r w:rsidR="000C5796">
        <w:rPr>
          <w:rFonts w:ascii="Arial" w:eastAsia="Times New Roman" w:hAnsi="Arial" w:cs="Arial"/>
          <w:sz w:val="22"/>
          <w:szCs w:val="22"/>
        </w:rPr>
        <w:t xml:space="preserve">Ahpra to align implementation of recommendations from the </w:t>
      </w:r>
      <w:r w:rsidR="001A206E">
        <w:rPr>
          <w:rFonts w:ascii="Arial" w:eastAsia="Times New Roman" w:hAnsi="Arial" w:cs="Arial"/>
          <w:sz w:val="22"/>
          <w:szCs w:val="22"/>
        </w:rPr>
        <w:t>ASR</w:t>
      </w:r>
      <w:r w:rsidR="000C5796">
        <w:rPr>
          <w:rFonts w:ascii="Arial" w:eastAsia="Times New Roman" w:hAnsi="Arial" w:cs="Arial"/>
          <w:sz w:val="22"/>
          <w:szCs w:val="22"/>
        </w:rPr>
        <w:t xml:space="preserve">, the Governance Review and </w:t>
      </w:r>
      <w:r w:rsidR="003B74D9">
        <w:rPr>
          <w:rFonts w:ascii="Arial" w:eastAsia="Times New Roman" w:hAnsi="Arial" w:cs="Arial"/>
          <w:sz w:val="22"/>
          <w:szCs w:val="22"/>
        </w:rPr>
        <w:t>this report</w:t>
      </w:r>
      <w:r w:rsidR="002C2ACD">
        <w:rPr>
          <w:rFonts w:ascii="Arial" w:eastAsia="Times New Roman" w:hAnsi="Arial" w:cs="Arial"/>
          <w:sz w:val="22"/>
          <w:szCs w:val="22"/>
        </w:rPr>
        <w:t>.</w:t>
      </w:r>
    </w:p>
    <w:p w14:paraId="72AF7490" w14:textId="77777777" w:rsidR="00350157" w:rsidRPr="006D7CAA" w:rsidRDefault="00350157" w:rsidP="00561095">
      <w:pPr>
        <w:pStyle w:val="Heading1"/>
        <w:rPr>
          <w:rFonts w:ascii="Arial" w:eastAsia="Times New Roman" w:hAnsi="Arial" w:cs="Arial"/>
        </w:rPr>
      </w:pPr>
      <w:bookmarkStart w:id="12" w:name="_Toc57387169"/>
      <w:r w:rsidRPr="006D7CAA">
        <w:rPr>
          <w:rFonts w:ascii="Arial" w:eastAsia="Times New Roman" w:hAnsi="Arial" w:cs="Arial"/>
        </w:rPr>
        <w:t>REALITY SHOCK: ARE GRADUATE NURSES READY FOR WORK?</w:t>
      </w:r>
      <w:bookmarkEnd w:id="12"/>
    </w:p>
    <w:p w14:paraId="50179E70" w14:textId="77777777" w:rsidR="00350157" w:rsidRPr="006E4761" w:rsidRDefault="00350157" w:rsidP="00561095">
      <w:pPr>
        <w:pStyle w:val="Heading2"/>
        <w:spacing w:before="120" w:after="120" w:line="240" w:lineRule="auto"/>
        <w:rPr>
          <w:rFonts w:ascii="Arial" w:eastAsia="Times New Roman" w:hAnsi="Arial" w:cs="Arial"/>
        </w:rPr>
      </w:pPr>
      <w:bookmarkStart w:id="13" w:name="_Toc57387170"/>
      <w:r w:rsidRPr="006D7CAA">
        <w:rPr>
          <w:rFonts w:ascii="Arial" w:eastAsia="Times New Roman" w:hAnsi="Arial" w:cs="Arial"/>
        </w:rPr>
        <w:t xml:space="preserve">What can we expect from a graduate </w:t>
      </w:r>
      <w:proofErr w:type="gramStart"/>
      <w:r w:rsidRPr="006D7CAA">
        <w:rPr>
          <w:rFonts w:ascii="Arial" w:eastAsia="Times New Roman" w:hAnsi="Arial" w:cs="Arial"/>
        </w:rPr>
        <w:t>nurse</w:t>
      </w:r>
      <w:bookmarkEnd w:id="13"/>
      <w:proofErr w:type="gramEnd"/>
    </w:p>
    <w:tbl>
      <w:tblPr>
        <w:tblStyle w:val="TableGrid"/>
        <w:tblW w:w="0" w:type="auto"/>
        <w:tblLook w:val="04A0" w:firstRow="1" w:lastRow="0" w:firstColumn="1" w:lastColumn="0" w:noHBand="0" w:noVBand="1"/>
      </w:tblPr>
      <w:tblGrid>
        <w:gridCol w:w="9016"/>
      </w:tblGrid>
      <w:tr w:rsidR="00350157" w:rsidRPr="006D7CAA" w14:paraId="26205982" w14:textId="77777777" w:rsidTr="00A470CF">
        <w:trPr>
          <w:trHeight w:val="832"/>
        </w:trPr>
        <w:tc>
          <w:tcPr>
            <w:tcW w:w="9016" w:type="dxa"/>
          </w:tcPr>
          <w:p w14:paraId="35261EB5" w14:textId="77777777" w:rsidR="00350157" w:rsidRPr="006D7CAA" w:rsidRDefault="00350157" w:rsidP="00A470CF">
            <w:pPr>
              <w:pStyle w:val="Heading3"/>
              <w:outlineLvl w:val="2"/>
              <w:rPr>
                <w:rFonts w:ascii="Arial" w:eastAsia="Times New Roman" w:hAnsi="Arial" w:cs="Arial"/>
              </w:rPr>
            </w:pPr>
            <w:bookmarkStart w:id="14" w:name="_Toc57387171"/>
            <w:r w:rsidRPr="006D7CAA">
              <w:rPr>
                <w:rFonts w:ascii="Arial" w:eastAsia="Times New Roman" w:hAnsi="Arial" w:cs="Arial"/>
              </w:rPr>
              <w:t>Recommendation 6</w:t>
            </w:r>
            <w:bookmarkEnd w:id="14"/>
            <w:r w:rsidRPr="006D7CAA">
              <w:rPr>
                <w:rFonts w:ascii="Arial" w:eastAsia="Times New Roman" w:hAnsi="Arial" w:cs="Arial"/>
              </w:rPr>
              <w:t xml:space="preserve"> </w:t>
            </w:r>
          </w:p>
          <w:p w14:paraId="1274CE70"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NMBA practice standards should specify the core knowledge, skills, and procedural competence newly registered ENs and RNs require to function in any workplace setting. </w:t>
            </w:r>
          </w:p>
        </w:tc>
      </w:tr>
    </w:tbl>
    <w:p w14:paraId="42169A42" w14:textId="77777777" w:rsidR="00350157" w:rsidRPr="006D7CAA" w:rsidRDefault="00350157" w:rsidP="00561095">
      <w:pPr>
        <w:spacing w:before="120" w:after="120" w:line="240" w:lineRule="auto"/>
        <w:rPr>
          <w:rFonts w:ascii="Arial" w:hAnsi="Arial" w:cs="Arial"/>
          <w:b/>
        </w:rPr>
      </w:pPr>
      <w:r w:rsidRPr="006D7CAA">
        <w:rPr>
          <w:rFonts w:ascii="Arial" w:hAnsi="Arial" w:cs="Arial"/>
          <w:b/>
        </w:rPr>
        <w:t xml:space="preserve">Australian Government response </w:t>
      </w:r>
    </w:p>
    <w:p w14:paraId="78289B22" w14:textId="77777777" w:rsidR="00B82DF6" w:rsidRPr="00670D34" w:rsidRDefault="008C147E"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The Government notes</w:t>
      </w:r>
      <w:r w:rsidR="00B82DF6" w:rsidRPr="00670D34">
        <w:rPr>
          <w:rFonts w:ascii="Arial" w:eastAsia="Times New Roman" w:hAnsi="Arial" w:cs="Arial"/>
          <w:sz w:val="22"/>
          <w:szCs w:val="22"/>
        </w:rPr>
        <w:t xml:space="preserve"> that the NMBA has</w:t>
      </w:r>
      <w:r w:rsidRPr="00670D34">
        <w:rPr>
          <w:rFonts w:ascii="Arial" w:eastAsia="Times New Roman" w:hAnsi="Arial" w:cs="Arial"/>
          <w:sz w:val="22"/>
          <w:szCs w:val="22"/>
        </w:rPr>
        <w:t xml:space="preserve"> recently moved away from competencies in favour of standards </w:t>
      </w:r>
      <w:r w:rsidR="002D3E0B">
        <w:rPr>
          <w:rFonts w:ascii="Arial" w:eastAsia="Times New Roman" w:hAnsi="Arial" w:cs="Arial"/>
          <w:sz w:val="22"/>
          <w:szCs w:val="22"/>
        </w:rPr>
        <w:t>for</w:t>
      </w:r>
      <w:r w:rsidRPr="00670D34">
        <w:rPr>
          <w:rFonts w:ascii="Arial" w:eastAsia="Times New Roman" w:hAnsi="Arial" w:cs="Arial"/>
          <w:sz w:val="22"/>
          <w:szCs w:val="22"/>
        </w:rPr>
        <w:t xml:space="preserve"> practice, which was conducted through an extensive process of consultation with the profession and the public</w:t>
      </w:r>
      <w:r w:rsidR="00E4520C" w:rsidRPr="00670D34">
        <w:rPr>
          <w:rFonts w:ascii="Arial" w:eastAsia="Times New Roman" w:hAnsi="Arial" w:cs="Arial"/>
          <w:sz w:val="22"/>
          <w:szCs w:val="22"/>
        </w:rPr>
        <w:t xml:space="preserve">, </w:t>
      </w:r>
      <w:r w:rsidRPr="00670D34">
        <w:rPr>
          <w:rFonts w:ascii="Arial" w:eastAsia="Times New Roman" w:hAnsi="Arial" w:cs="Arial"/>
          <w:sz w:val="22"/>
          <w:szCs w:val="22"/>
        </w:rPr>
        <w:t>to balance the need of graduates with the risk of a tick box approach to the assessment of nursing skills.</w:t>
      </w:r>
      <w:r w:rsidR="00E4520C" w:rsidRPr="00670D34">
        <w:rPr>
          <w:rFonts w:ascii="Arial" w:eastAsia="Times New Roman" w:hAnsi="Arial" w:cs="Arial"/>
          <w:sz w:val="22"/>
          <w:szCs w:val="22"/>
        </w:rPr>
        <w:t xml:space="preserve"> These changes may have addressed some or </w:t>
      </w:r>
      <w:proofErr w:type="gramStart"/>
      <w:r w:rsidR="00E4520C" w:rsidRPr="00670D34">
        <w:rPr>
          <w:rFonts w:ascii="Arial" w:eastAsia="Times New Roman" w:hAnsi="Arial" w:cs="Arial"/>
          <w:sz w:val="22"/>
          <w:szCs w:val="22"/>
        </w:rPr>
        <w:t>all of</w:t>
      </w:r>
      <w:proofErr w:type="gramEnd"/>
      <w:r w:rsidR="00E4520C" w:rsidRPr="00670D34">
        <w:rPr>
          <w:rFonts w:ascii="Arial" w:eastAsia="Times New Roman" w:hAnsi="Arial" w:cs="Arial"/>
          <w:sz w:val="22"/>
          <w:szCs w:val="22"/>
        </w:rPr>
        <w:t xml:space="preserve"> this recommendation. </w:t>
      </w:r>
    </w:p>
    <w:p w14:paraId="48D45A4B" w14:textId="77777777" w:rsidR="00582E8C" w:rsidRPr="00670D34" w:rsidRDefault="00350157"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lastRenderedPageBreak/>
        <w:t>The Government</w:t>
      </w:r>
      <w:r w:rsidR="00E4520C" w:rsidRPr="00670D34">
        <w:rPr>
          <w:rFonts w:ascii="Arial" w:eastAsia="Times New Roman" w:hAnsi="Arial" w:cs="Arial"/>
          <w:sz w:val="22"/>
          <w:szCs w:val="22"/>
        </w:rPr>
        <w:t xml:space="preserve"> also</w:t>
      </w:r>
      <w:r w:rsidRPr="00670D34">
        <w:rPr>
          <w:rFonts w:ascii="Arial" w:eastAsia="Times New Roman" w:hAnsi="Arial" w:cs="Arial"/>
          <w:sz w:val="22"/>
          <w:szCs w:val="22"/>
        </w:rPr>
        <w:t xml:space="preserve"> notes that a </w:t>
      </w:r>
      <w:r w:rsidRPr="00670D34">
        <w:rPr>
          <w:rFonts w:ascii="Arial" w:hAnsi="Arial"/>
          <w:sz w:val="22"/>
        </w:rPr>
        <w:t>similar recommendation is reflected in recommendation 10 of the</w:t>
      </w:r>
      <w:r w:rsidR="00127B02" w:rsidRPr="00670D34">
        <w:rPr>
          <w:rFonts w:ascii="Arial" w:hAnsi="Arial"/>
          <w:sz w:val="22"/>
        </w:rPr>
        <w:t xml:space="preserve"> </w:t>
      </w:r>
      <w:r w:rsidR="00B309A8" w:rsidRPr="00670D34">
        <w:rPr>
          <w:rFonts w:ascii="Arial" w:hAnsi="Arial"/>
          <w:sz w:val="22"/>
        </w:rPr>
        <w:t>ASR</w:t>
      </w:r>
      <w:r w:rsidRPr="00670D34">
        <w:rPr>
          <w:rFonts w:ascii="Arial" w:hAnsi="Arial"/>
          <w:i/>
          <w:sz w:val="22"/>
        </w:rPr>
        <w:t xml:space="preserve">, </w:t>
      </w:r>
      <w:r w:rsidRPr="00670D34">
        <w:rPr>
          <w:rFonts w:ascii="Arial" w:hAnsi="Arial"/>
          <w:sz w:val="22"/>
        </w:rPr>
        <w:t>which recommends</w:t>
      </w:r>
      <w:r w:rsidRPr="00670D34">
        <w:rPr>
          <w:rFonts w:ascii="Arial" w:eastAsia="Times New Roman" w:hAnsi="Arial" w:cs="Arial"/>
          <w:sz w:val="22"/>
          <w:szCs w:val="22"/>
        </w:rPr>
        <w:t xml:space="preserve"> that the National Boards develop profession-specific and common competency standards. </w:t>
      </w:r>
    </w:p>
    <w:p w14:paraId="1598BB4D" w14:textId="77777777" w:rsidR="00B82DF6" w:rsidRDefault="00B82DF6" w:rsidP="00561095">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The Government will work with jurisdictions</w:t>
      </w:r>
      <w:r>
        <w:rPr>
          <w:rFonts w:ascii="Arial" w:eastAsia="Times New Roman" w:hAnsi="Arial" w:cs="Arial"/>
          <w:sz w:val="22"/>
          <w:szCs w:val="22"/>
        </w:rPr>
        <w:t xml:space="preserve">, the independent accreditation committee and the NMBA to align the implementation of this recommendation with recommendation 10 of the ASR. </w:t>
      </w:r>
    </w:p>
    <w:p w14:paraId="1F563A76" w14:textId="77777777" w:rsidR="00350157" w:rsidRPr="006D7CAA" w:rsidRDefault="00350157" w:rsidP="00561095">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Noted is the intersection of this recommendation and </w:t>
      </w:r>
      <w:r w:rsidRPr="006D7CAA">
        <w:rPr>
          <w:rFonts w:ascii="Arial" w:eastAsia="Times New Roman" w:hAnsi="Arial" w:cs="Arial"/>
          <w:b/>
          <w:sz w:val="22"/>
          <w:szCs w:val="22"/>
        </w:rPr>
        <w:t>recommendations 2,</w:t>
      </w:r>
      <w:r w:rsidR="00D87FE1">
        <w:rPr>
          <w:rFonts w:ascii="Arial" w:eastAsia="Times New Roman" w:hAnsi="Arial" w:cs="Arial"/>
          <w:b/>
          <w:sz w:val="22"/>
          <w:szCs w:val="22"/>
        </w:rPr>
        <w:t xml:space="preserve"> </w:t>
      </w:r>
      <w:r w:rsidRPr="006D7CAA">
        <w:rPr>
          <w:rFonts w:ascii="Arial" w:eastAsia="Times New Roman" w:hAnsi="Arial" w:cs="Arial"/>
          <w:b/>
          <w:sz w:val="22"/>
          <w:szCs w:val="22"/>
        </w:rPr>
        <w:t>4,</w:t>
      </w:r>
      <w:r w:rsidR="00D87FE1">
        <w:rPr>
          <w:rFonts w:ascii="Arial" w:eastAsia="Times New Roman" w:hAnsi="Arial" w:cs="Arial"/>
          <w:b/>
          <w:sz w:val="22"/>
          <w:szCs w:val="22"/>
        </w:rPr>
        <w:t xml:space="preserve"> </w:t>
      </w:r>
      <w:r w:rsidRPr="006D7CAA">
        <w:rPr>
          <w:rFonts w:ascii="Arial" w:eastAsia="Times New Roman" w:hAnsi="Arial" w:cs="Arial"/>
          <w:b/>
          <w:sz w:val="22"/>
          <w:szCs w:val="22"/>
        </w:rPr>
        <w:t>10 and 11</w:t>
      </w:r>
      <w:r w:rsidR="00B82DF6">
        <w:rPr>
          <w:rFonts w:ascii="Arial" w:eastAsia="Times New Roman" w:hAnsi="Arial" w:cs="Arial"/>
          <w:b/>
          <w:sz w:val="22"/>
          <w:szCs w:val="22"/>
        </w:rPr>
        <w:t>.</w:t>
      </w:r>
    </w:p>
    <w:p w14:paraId="4A0D9144" w14:textId="77777777" w:rsidR="00350157" w:rsidRPr="006D7CAA" w:rsidRDefault="00350157" w:rsidP="00561095">
      <w:pPr>
        <w:pStyle w:val="Heading1"/>
        <w:rPr>
          <w:rFonts w:ascii="Arial" w:eastAsia="Times New Roman" w:hAnsi="Arial" w:cs="Arial"/>
        </w:rPr>
      </w:pPr>
      <w:bookmarkStart w:id="15" w:name="_Toc57387172"/>
      <w:r w:rsidRPr="006D7CAA">
        <w:rPr>
          <w:rFonts w:ascii="Arial" w:eastAsia="Times New Roman" w:hAnsi="Arial" w:cs="Arial"/>
        </w:rPr>
        <w:t>REDUCING REALITY SHOCK</w:t>
      </w:r>
      <w:bookmarkEnd w:id="15"/>
    </w:p>
    <w:p w14:paraId="058AB3BA" w14:textId="77777777" w:rsidR="00350157" w:rsidRDefault="00350157" w:rsidP="00C7528B">
      <w:pPr>
        <w:pStyle w:val="Heading2"/>
        <w:spacing w:before="120" w:after="120" w:line="240" w:lineRule="auto"/>
        <w:rPr>
          <w:rFonts w:ascii="Arial" w:eastAsia="Times New Roman" w:hAnsi="Arial" w:cs="Arial"/>
        </w:rPr>
      </w:pPr>
      <w:bookmarkStart w:id="16" w:name="_Toc57387173"/>
      <w:r w:rsidRPr="006D7CAA">
        <w:rPr>
          <w:rFonts w:ascii="Arial" w:eastAsia="Times New Roman" w:hAnsi="Arial" w:cs="Arial"/>
        </w:rPr>
        <w:t>Assuring the quality of professional experience placements</w:t>
      </w:r>
      <w:bookmarkEnd w:id="16"/>
    </w:p>
    <w:tbl>
      <w:tblPr>
        <w:tblStyle w:val="TableGrid"/>
        <w:tblW w:w="0" w:type="auto"/>
        <w:tblLook w:val="04A0" w:firstRow="1" w:lastRow="0" w:firstColumn="1" w:lastColumn="0" w:noHBand="0" w:noVBand="1"/>
      </w:tblPr>
      <w:tblGrid>
        <w:gridCol w:w="9016"/>
      </w:tblGrid>
      <w:tr w:rsidR="00350157" w:rsidRPr="006D7CAA" w14:paraId="74A46EF9" w14:textId="77777777" w:rsidTr="00A470CF">
        <w:trPr>
          <w:trHeight w:val="1085"/>
        </w:trPr>
        <w:tc>
          <w:tcPr>
            <w:tcW w:w="9016" w:type="dxa"/>
          </w:tcPr>
          <w:p w14:paraId="351D87C4" w14:textId="77777777" w:rsidR="00350157" w:rsidRPr="006D7CAA" w:rsidRDefault="00350157" w:rsidP="00A470CF">
            <w:pPr>
              <w:pStyle w:val="Heading3"/>
              <w:outlineLvl w:val="2"/>
              <w:rPr>
                <w:rFonts w:ascii="Arial" w:eastAsia="Times New Roman" w:hAnsi="Arial" w:cs="Arial"/>
              </w:rPr>
            </w:pPr>
            <w:bookmarkStart w:id="17" w:name="_Toc57387174"/>
            <w:r w:rsidRPr="006D7CAA">
              <w:rPr>
                <w:rFonts w:ascii="Arial" w:eastAsia="Times New Roman" w:hAnsi="Arial" w:cs="Arial"/>
              </w:rPr>
              <w:t>Recommendation 7</w:t>
            </w:r>
            <w:bookmarkEnd w:id="17"/>
          </w:p>
          <w:p w14:paraId="48EE2F96"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To ensure quality and equity, NMBA and ANMAC should consider implementing an accreditation system for clinical placements. Only practice hours spent in accredited placements should count toward meeting clinical practice hour requirements. </w:t>
            </w:r>
          </w:p>
        </w:tc>
      </w:tr>
    </w:tbl>
    <w:p w14:paraId="63422C5C"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 xml:space="preserve">Australian Government response </w:t>
      </w:r>
    </w:p>
    <w:p w14:paraId="7CACA075" w14:textId="77777777" w:rsidR="00E714DE" w:rsidRPr="00670D34" w:rsidRDefault="00350157" w:rsidP="00DF5E51">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The Government recognises that quality clinical placements are critical to the development of nursing students</w:t>
      </w:r>
      <w:r w:rsidR="00E714DE" w:rsidRPr="00670D34">
        <w:rPr>
          <w:rFonts w:ascii="Arial" w:eastAsia="Times New Roman" w:hAnsi="Arial" w:cs="Arial"/>
          <w:sz w:val="22"/>
          <w:szCs w:val="22"/>
        </w:rPr>
        <w:t>.</w:t>
      </w:r>
    </w:p>
    <w:p w14:paraId="05949CF2" w14:textId="77777777" w:rsidR="00E714DE" w:rsidRPr="00670D34" w:rsidRDefault="00E714DE" w:rsidP="00DF5E51">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notes that ANMAC Accreditation Standards contain strong expectations that </w:t>
      </w:r>
      <w:r w:rsidR="006A2B27" w:rsidRPr="00670D34">
        <w:rPr>
          <w:rFonts w:ascii="Arial" w:eastAsia="Times New Roman" w:hAnsi="Arial" w:cs="Arial"/>
          <w:sz w:val="22"/>
          <w:szCs w:val="22"/>
        </w:rPr>
        <w:t>H</w:t>
      </w:r>
      <w:r w:rsidR="002D3E0B">
        <w:rPr>
          <w:rFonts w:ascii="Arial" w:eastAsia="Times New Roman" w:hAnsi="Arial" w:cs="Arial"/>
          <w:sz w:val="22"/>
          <w:szCs w:val="22"/>
        </w:rPr>
        <w:t xml:space="preserve">igher </w:t>
      </w:r>
      <w:r w:rsidR="006A2B27" w:rsidRPr="00670D34">
        <w:rPr>
          <w:rFonts w:ascii="Arial" w:eastAsia="Times New Roman" w:hAnsi="Arial" w:cs="Arial"/>
          <w:sz w:val="22"/>
          <w:szCs w:val="22"/>
        </w:rPr>
        <w:t>E</w:t>
      </w:r>
      <w:r w:rsidR="002D3E0B">
        <w:rPr>
          <w:rFonts w:ascii="Arial" w:eastAsia="Times New Roman" w:hAnsi="Arial" w:cs="Arial"/>
          <w:sz w:val="22"/>
          <w:szCs w:val="22"/>
        </w:rPr>
        <w:t xml:space="preserve">ducation </w:t>
      </w:r>
      <w:r w:rsidR="006A2B27" w:rsidRPr="00670D34">
        <w:rPr>
          <w:rFonts w:ascii="Arial" w:eastAsia="Times New Roman" w:hAnsi="Arial" w:cs="Arial"/>
          <w:sz w:val="22"/>
          <w:szCs w:val="22"/>
        </w:rPr>
        <w:t>P</w:t>
      </w:r>
      <w:r w:rsidR="002D3E0B">
        <w:rPr>
          <w:rFonts w:ascii="Arial" w:eastAsia="Times New Roman" w:hAnsi="Arial" w:cs="Arial"/>
          <w:sz w:val="22"/>
          <w:szCs w:val="22"/>
        </w:rPr>
        <w:t>roviders (HEP)</w:t>
      </w:r>
      <w:r w:rsidRPr="00670D34">
        <w:rPr>
          <w:rFonts w:ascii="Arial" w:eastAsia="Times New Roman" w:hAnsi="Arial" w:cs="Arial"/>
          <w:sz w:val="22"/>
          <w:szCs w:val="22"/>
        </w:rPr>
        <w:t xml:space="preserve"> ensure provision of quality clinical placements</w:t>
      </w:r>
      <w:r w:rsidR="00C03243" w:rsidRPr="00670D34">
        <w:rPr>
          <w:rFonts w:ascii="Arial" w:eastAsia="Times New Roman" w:hAnsi="Arial" w:cs="Arial"/>
          <w:sz w:val="22"/>
          <w:szCs w:val="22"/>
        </w:rPr>
        <w:t xml:space="preserve"> relevant to learning outcomes.</w:t>
      </w:r>
      <w:r w:rsidR="00B82DF6" w:rsidRPr="00670D34">
        <w:rPr>
          <w:rFonts w:ascii="Arial" w:eastAsia="Times New Roman" w:hAnsi="Arial" w:cs="Arial"/>
          <w:sz w:val="22"/>
          <w:szCs w:val="22"/>
        </w:rPr>
        <w:t xml:space="preserve"> The Government undertakes to raise with </w:t>
      </w:r>
      <w:r w:rsidRPr="00670D34">
        <w:rPr>
          <w:rFonts w:ascii="Arial" w:eastAsia="Times New Roman" w:hAnsi="Arial" w:cs="Arial"/>
          <w:sz w:val="22"/>
          <w:szCs w:val="22"/>
        </w:rPr>
        <w:t xml:space="preserve">ANMAC </w:t>
      </w:r>
      <w:r w:rsidR="00B82DF6" w:rsidRPr="00670D34">
        <w:rPr>
          <w:rFonts w:ascii="Arial" w:eastAsia="Times New Roman" w:hAnsi="Arial" w:cs="Arial"/>
          <w:sz w:val="22"/>
          <w:szCs w:val="22"/>
        </w:rPr>
        <w:t>increased</w:t>
      </w:r>
      <w:r w:rsidRPr="00670D34">
        <w:rPr>
          <w:rFonts w:ascii="Arial" w:eastAsia="Times New Roman" w:hAnsi="Arial" w:cs="Arial"/>
          <w:sz w:val="22"/>
          <w:szCs w:val="22"/>
        </w:rPr>
        <w:t xml:space="preserve"> monitoring of compliance with these</w:t>
      </w:r>
      <w:r w:rsidR="00B82DF6" w:rsidRPr="00670D34">
        <w:rPr>
          <w:rFonts w:ascii="Arial" w:eastAsia="Times New Roman" w:hAnsi="Arial" w:cs="Arial"/>
          <w:sz w:val="22"/>
          <w:szCs w:val="22"/>
        </w:rPr>
        <w:t xml:space="preserve"> expectations,</w:t>
      </w:r>
      <w:r w:rsidRPr="00670D34">
        <w:rPr>
          <w:rFonts w:ascii="Arial" w:eastAsia="Times New Roman" w:hAnsi="Arial" w:cs="Arial"/>
          <w:sz w:val="22"/>
          <w:szCs w:val="22"/>
        </w:rPr>
        <w:t xml:space="preserve"> including conducting random audits</w:t>
      </w:r>
      <w:r w:rsidR="00350157" w:rsidRPr="00670D34">
        <w:rPr>
          <w:rFonts w:ascii="Arial" w:eastAsia="Times New Roman" w:hAnsi="Arial" w:cs="Arial"/>
          <w:sz w:val="22"/>
          <w:szCs w:val="22"/>
        </w:rPr>
        <w:t>.</w:t>
      </w:r>
      <w:r w:rsidRPr="00670D34">
        <w:rPr>
          <w:rFonts w:ascii="Arial" w:eastAsia="Times New Roman" w:hAnsi="Arial" w:cs="Arial"/>
          <w:sz w:val="22"/>
          <w:szCs w:val="22"/>
        </w:rPr>
        <w:t xml:space="preserve"> </w:t>
      </w:r>
    </w:p>
    <w:p w14:paraId="3155ADE2" w14:textId="77777777" w:rsidR="00B309A8" w:rsidRPr="00670D34" w:rsidRDefault="00E714DE">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The Government also notes that r</w:t>
      </w:r>
      <w:r w:rsidR="00B309A8" w:rsidRPr="00670D34">
        <w:rPr>
          <w:rFonts w:ascii="Arial" w:eastAsia="Times New Roman" w:hAnsi="Arial" w:cs="Arial"/>
          <w:sz w:val="22"/>
          <w:szCs w:val="22"/>
        </w:rPr>
        <w:t xml:space="preserve">ecommendation 12 of the </w:t>
      </w:r>
      <w:r w:rsidR="00A114A2" w:rsidRPr="00670D34">
        <w:rPr>
          <w:rFonts w:ascii="Arial" w:eastAsia="Times New Roman" w:hAnsi="Arial" w:cs="Arial"/>
          <w:sz w:val="22"/>
          <w:szCs w:val="22"/>
        </w:rPr>
        <w:t xml:space="preserve">ASR </w:t>
      </w:r>
      <w:r w:rsidR="00B82DF6" w:rsidRPr="00670D34">
        <w:rPr>
          <w:rFonts w:ascii="Arial" w:eastAsia="Times New Roman" w:hAnsi="Arial" w:cs="Arial"/>
          <w:sz w:val="22"/>
          <w:szCs w:val="22"/>
        </w:rPr>
        <w:t>proposes</w:t>
      </w:r>
      <w:r w:rsidR="00A114A2" w:rsidRPr="00670D34">
        <w:rPr>
          <w:rFonts w:ascii="Arial" w:eastAsia="Times New Roman" w:hAnsi="Arial" w:cs="Arial"/>
          <w:sz w:val="22"/>
          <w:szCs w:val="22"/>
        </w:rPr>
        <w:t xml:space="preserve"> reform </w:t>
      </w:r>
      <w:r w:rsidR="00B82DF6" w:rsidRPr="00670D34">
        <w:rPr>
          <w:rFonts w:ascii="Arial" w:eastAsia="Times New Roman" w:hAnsi="Arial" w:cs="Arial"/>
          <w:sz w:val="22"/>
          <w:szCs w:val="22"/>
        </w:rPr>
        <w:t>to</w:t>
      </w:r>
      <w:r w:rsidR="00A114A2" w:rsidRPr="00670D34">
        <w:rPr>
          <w:rFonts w:ascii="Arial" w:eastAsia="Times New Roman" w:hAnsi="Arial" w:cs="Arial"/>
          <w:sz w:val="22"/>
          <w:szCs w:val="22"/>
        </w:rPr>
        <w:t xml:space="preserve"> clinical placements. The role of the </w:t>
      </w:r>
      <w:r w:rsidR="0099264B" w:rsidRPr="00670D34">
        <w:rPr>
          <w:rFonts w:ascii="Arial" w:eastAsia="Times New Roman" w:hAnsi="Arial" w:cs="Arial"/>
          <w:sz w:val="22"/>
          <w:szCs w:val="22"/>
        </w:rPr>
        <w:t>newly formed independent accreditation committee</w:t>
      </w:r>
      <w:r w:rsidR="00A114A2" w:rsidRPr="00670D34">
        <w:rPr>
          <w:rFonts w:ascii="Arial" w:eastAsia="Times New Roman" w:hAnsi="Arial" w:cs="Arial"/>
          <w:sz w:val="22"/>
          <w:szCs w:val="22"/>
        </w:rPr>
        <w:t xml:space="preserve"> will include providing advice to support good practice on diverse clinical placements and evidence-based technological advances</w:t>
      </w:r>
      <w:r w:rsidR="0099264B" w:rsidRPr="00670D34">
        <w:rPr>
          <w:rFonts w:ascii="Arial" w:eastAsia="Times New Roman" w:hAnsi="Arial" w:cs="Arial"/>
          <w:sz w:val="22"/>
          <w:szCs w:val="22"/>
        </w:rPr>
        <w:t>, ensuring that the profession, community, sector and education providers all have a voice</w:t>
      </w:r>
      <w:r w:rsidR="00E9112B" w:rsidRPr="00670D34">
        <w:rPr>
          <w:rFonts w:ascii="Arial" w:eastAsia="Times New Roman" w:hAnsi="Arial" w:cs="Arial"/>
          <w:sz w:val="22"/>
          <w:szCs w:val="22"/>
        </w:rPr>
        <w:t>. This recommendation could be implemented (in part) as part of the work</w:t>
      </w:r>
      <w:r w:rsidR="0099264B" w:rsidRPr="00670D34">
        <w:rPr>
          <w:rFonts w:ascii="Arial" w:eastAsia="Times New Roman" w:hAnsi="Arial" w:cs="Arial"/>
          <w:sz w:val="22"/>
          <w:szCs w:val="22"/>
        </w:rPr>
        <w:t xml:space="preserve"> </w:t>
      </w:r>
      <w:r w:rsidR="00E9112B" w:rsidRPr="00670D34">
        <w:rPr>
          <w:rFonts w:ascii="Arial" w:eastAsia="Times New Roman" w:hAnsi="Arial" w:cs="Arial"/>
          <w:sz w:val="22"/>
          <w:szCs w:val="22"/>
        </w:rPr>
        <w:t xml:space="preserve">plan of the </w:t>
      </w:r>
      <w:r w:rsidR="0099264B" w:rsidRPr="00670D34">
        <w:rPr>
          <w:rFonts w:ascii="Arial" w:eastAsia="Times New Roman" w:hAnsi="Arial" w:cs="Arial"/>
          <w:sz w:val="22"/>
          <w:szCs w:val="22"/>
        </w:rPr>
        <w:t>newly formed committee</w:t>
      </w:r>
      <w:r w:rsidR="00E9112B" w:rsidRPr="00670D34">
        <w:rPr>
          <w:rFonts w:ascii="Arial" w:eastAsia="Times New Roman" w:hAnsi="Arial" w:cs="Arial"/>
          <w:sz w:val="22"/>
          <w:szCs w:val="22"/>
        </w:rPr>
        <w:t>.</w:t>
      </w:r>
    </w:p>
    <w:p w14:paraId="3EFC72E5" w14:textId="77777777" w:rsidR="00350157" w:rsidRPr="00C7528B" w:rsidRDefault="00B82DF6" w:rsidP="00350157">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w:t>
      </w:r>
      <w:r w:rsidR="001761D5" w:rsidRPr="00670D34">
        <w:rPr>
          <w:rFonts w:ascii="Arial" w:eastAsia="Times New Roman" w:hAnsi="Arial" w:cs="Arial"/>
          <w:sz w:val="22"/>
          <w:szCs w:val="22"/>
        </w:rPr>
        <w:t>undertakes to</w:t>
      </w:r>
      <w:r w:rsidRPr="00670D34">
        <w:rPr>
          <w:rFonts w:ascii="Arial" w:eastAsia="Times New Roman" w:hAnsi="Arial" w:cs="Arial"/>
          <w:sz w:val="22"/>
          <w:szCs w:val="22"/>
        </w:rPr>
        <w:t xml:space="preserve"> work with jurisdictions, the independent accreditation committee, the NMBA and ANMAC to align the implementation of this recommendation with</w:t>
      </w:r>
      <w:r w:rsidR="00561095">
        <w:rPr>
          <w:rFonts w:ascii="Arial" w:eastAsia="Times New Roman" w:hAnsi="Arial" w:cs="Arial"/>
          <w:sz w:val="22"/>
          <w:szCs w:val="22"/>
        </w:rPr>
        <w:t xml:space="preserve"> recommendation 12 of the ASR. </w:t>
      </w:r>
    </w:p>
    <w:tbl>
      <w:tblPr>
        <w:tblStyle w:val="TableGrid"/>
        <w:tblW w:w="0" w:type="auto"/>
        <w:tblLook w:val="04A0" w:firstRow="1" w:lastRow="0" w:firstColumn="1" w:lastColumn="0" w:noHBand="0" w:noVBand="1"/>
      </w:tblPr>
      <w:tblGrid>
        <w:gridCol w:w="9016"/>
      </w:tblGrid>
      <w:tr w:rsidR="00350157" w:rsidRPr="006D7CAA" w14:paraId="7A71B6FF" w14:textId="77777777" w:rsidTr="00A470CF">
        <w:trPr>
          <w:trHeight w:val="1338"/>
        </w:trPr>
        <w:tc>
          <w:tcPr>
            <w:tcW w:w="9016" w:type="dxa"/>
          </w:tcPr>
          <w:p w14:paraId="75D09314" w14:textId="77777777" w:rsidR="00350157" w:rsidRPr="006D7CAA" w:rsidRDefault="00350157" w:rsidP="00A470CF">
            <w:pPr>
              <w:pStyle w:val="Heading3"/>
              <w:outlineLvl w:val="2"/>
              <w:rPr>
                <w:rFonts w:ascii="Arial" w:eastAsia="Times New Roman" w:hAnsi="Arial" w:cs="Arial"/>
              </w:rPr>
            </w:pPr>
            <w:bookmarkStart w:id="18" w:name="_Recommendation_8"/>
            <w:bookmarkStart w:id="19" w:name="_Toc57387175"/>
            <w:bookmarkEnd w:id="18"/>
            <w:r w:rsidRPr="006D7CAA">
              <w:rPr>
                <w:rFonts w:ascii="Arial" w:eastAsia="Times New Roman" w:hAnsi="Arial" w:cs="Arial"/>
              </w:rPr>
              <w:t>Recommendation 8</w:t>
            </w:r>
            <w:bookmarkEnd w:id="19"/>
          </w:p>
          <w:p w14:paraId="5DA768F0"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Given rising clinical placement charges and the cost of accrediting professional placements (see Recommendation 7), the Department of Education should review the costs and funding of undergraduate nursing education to ensure it is adequate to provide high-quality theoretical and clinical education. </w:t>
            </w:r>
          </w:p>
        </w:tc>
      </w:tr>
    </w:tbl>
    <w:p w14:paraId="77863F7B"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 xml:space="preserve">Australian Government response </w:t>
      </w:r>
    </w:p>
    <w:p w14:paraId="743E52C8" w14:textId="77777777" w:rsidR="00350157" w:rsidRPr="006D7CAA" w:rsidRDefault="00350157" w:rsidP="00C7528B">
      <w:pPr>
        <w:spacing w:before="120" w:after="120" w:line="240" w:lineRule="auto"/>
        <w:rPr>
          <w:rFonts w:ascii="Arial" w:eastAsia="Times New Roman" w:hAnsi="Arial" w:cs="Arial"/>
          <w:bCs/>
          <w:sz w:val="22"/>
          <w:lang w:val="en-GB"/>
        </w:rPr>
      </w:pPr>
      <w:r w:rsidRPr="006D7CAA">
        <w:rPr>
          <w:rFonts w:ascii="Arial" w:eastAsia="Times New Roman" w:hAnsi="Arial" w:cs="Arial"/>
          <w:bCs/>
          <w:sz w:val="22"/>
          <w:lang w:val="en-GB"/>
        </w:rPr>
        <w:t xml:space="preserve">The Government </w:t>
      </w:r>
      <w:r w:rsidRPr="00670D34">
        <w:rPr>
          <w:rFonts w:ascii="Arial" w:eastAsia="Times New Roman" w:hAnsi="Arial" w:cs="Arial"/>
          <w:bCs/>
          <w:sz w:val="22"/>
          <w:lang w:val="en-GB"/>
        </w:rPr>
        <w:t>notes</w:t>
      </w:r>
      <w:r w:rsidRPr="006D7CAA">
        <w:rPr>
          <w:rFonts w:ascii="Arial" w:eastAsia="Times New Roman" w:hAnsi="Arial" w:cs="Arial"/>
          <w:b/>
          <w:bCs/>
          <w:sz w:val="22"/>
          <w:lang w:val="en-GB"/>
        </w:rPr>
        <w:t xml:space="preserve"> </w:t>
      </w:r>
      <w:r w:rsidRPr="00F43BD2">
        <w:rPr>
          <w:rFonts w:ascii="Arial" w:eastAsia="Times New Roman" w:hAnsi="Arial" w:cs="Arial"/>
          <w:bCs/>
          <w:sz w:val="22"/>
          <w:lang w:val="en-GB"/>
        </w:rPr>
        <w:t>the recommendation</w:t>
      </w:r>
      <w:r>
        <w:rPr>
          <w:rFonts w:ascii="Arial" w:eastAsia="Times New Roman" w:hAnsi="Arial" w:cs="Arial"/>
          <w:bCs/>
          <w:sz w:val="22"/>
          <w:lang w:val="en-GB"/>
        </w:rPr>
        <w:t xml:space="preserve"> and makes the following observations</w:t>
      </w:r>
      <w:r w:rsidRPr="006D7CAA">
        <w:rPr>
          <w:rFonts w:ascii="Arial" w:eastAsia="Times New Roman" w:hAnsi="Arial" w:cs="Arial"/>
          <w:bCs/>
          <w:sz w:val="22"/>
          <w:lang w:val="en-GB"/>
        </w:rPr>
        <w:t xml:space="preserve">. </w:t>
      </w:r>
    </w:p>
    <w:p w14:paraId="15FAC1AA" w14:textId="77777777" w:rsidR="00350157" w:rsidRPr="000011BA" w:rsidRDefault="00350157" w:rsidP="00350157">
      <w:pPr>
        <w:spacing w:before="120" w:after="120" w:line="240" w:lineRule="auto"/>
        <w:rPr>
          <w:rFonts w:ascii="Arial" w:hAnsi="Arial"/>
          <w:sz w:val="22"/>
        </w:rPr>
      </w:pPr>
      <w:r w:rsidRPr="00F43BD2">
        <w:rPr>
          <w:rFonts w:ascii="Arial" w:eastAsia="Times New Roman" w:hAnsi="Arial" w:cs="Arial"/>
          <w:bCs/>
          <w:sz w:val="22"/>
          <w:lang w:val="en-GB"/>
        </w:rPr>
        <w:t xml:space="preserve">The Department of Education, Skills and Employment has engaged Deloitte Access Economics to </w:t>
      </w:r>
      <w:proofErr w:type="gramStart"/>
      <w:r w:rsidRPr="00F43BD2">
        <w:rPr>
          <w:rFonts w:ascii="Arial" w:eastAsia="Times New Roman" w:hAnsi="Arial" w:cs="Arial"/>
          <w:bCs/>
          <w:sz w:val="22"/>
          <w:lang w:val="en-GB"/>
        </w:rPr>
        <w:t>undertake a study of</w:t>
      </w:r>
      <w:proofErr w:type="gramEnd"/>
      <w:r w:rsidRPr="00F43BD2">
        <w:rPr>
          <w:rFonts w:ascii="Arial" w:eastAsia="Times New Roman" w:hAnsi="Arial" w:cs="Arial"/>
          <w:bCs/>
          <w:sz w:val="22"/>
          <w:lang w:val="en-GB"/>
        </w:rPr>
        <w:t xml:space="preserve"> transparency in higher education expenditure on teaching and scholarship at Australian universities, examining what universities spend on teaching different disciplines.  The report found that bachelor level</w:t>
      </w:r>
      <w:r w:rsidRPr="00F43BD2">
        <w:rPr>
          <w:rFonts w:ascii="Arial" w:eastAsia="Times New Roman" w:hAnsi="Arial" w:cs="Arial"/>
          <w:sz w:val="22"/>
        </w:rPr>
        <w:t xml:space="preserve"> </w:t>
      </w:r>
      <w:r w:rsidRPr="00F43BD2">
        <w:rPr>
          <w:rFonts w:ascii="Arial" w:eastAsia="Times New Roman" w:hAnsi="Arial" w:cs="Arial"/>
          <w:bCs/>
          <w:sz w:val="22"/>
          <w:lang w:val="en-GB"/>
        </w:rPr>
        <w:t>nursing received more than sufficient funding to meet the costs of teaching these courses across the sector.</w:t>
      </w:r>
      <w:r w:rsidR="00256A9B">
        <w:rPr>
          <w:rFonts w:ascii="Arial" w:eastAsia="Times New Roman" w:hAnsi="Arial" w:cs="Arial"/>
          <w:bCs/>
          <w:sz w:val="22"/>
          <w:lang w:val="en-GB"/>
        </w:rPr>
        <w:t xml:space="preserve"> </w:t>
      </w:r>
    </w:p>
    <w:p w14:paraId="4FE445BD" w14:textId="1ED1C63A" w:rsidR="0020123B" w:rsidRDefault="00256A9B" w:rsidP="00350157">
      <w:pPr>
        <w:spacing w:before="120" w:after="120" w:line="240" w:lineRule="auto"/>
        <w:rPr>
          <w:rFonts w:ascii="Arial" w:eastAsia="Times New Roman" w:hAnsi="Arial" w:cs="Arial"/>
          <w:sz w:val="22"/>
        </w:rPr>
      </w:pPr>
      <w:r w:rsidRPr="00572D41">
        <w:rPr>
          <w:rFonts w:ascii="Arial" w:eastAsia="Times New Roman" w:hAnsi="Arial" w:cs="Arial"/>
          <w:sz w:val="22"/>
        </w:rPr>
        <w:t>From 2021, the Government’s Job</w:t>
      </w:r>
      <w:r w:rsidR="0020123B">
        <w:rPr>
          <w:rFonts w:ascii="Arial" w:eastAsia="Times New Roman" w:hAnsi="Arial" w:cs="Arial"/>
          <w:sz w:val="22"/>
        </w:rPr>
        <w:t>-r</w:t>
      </w:r>
      <w:r w:rsidRPr="00572D41">
        <w:rPr>
          <w:rFonts w:ascii="Arial" w:eastAsia="Times New Roman" w:hAnsi="Arial" w:cs="Arial"/>
          <w:sz w:val="22"/>
        </w:rPr>
        <w:t xml:space="preserve">eady Graduates </w:t>
      </w:r>
      <w:r w:rsidR="0020123B">
        <w:rPr>
          <w:rFonts w:ascii="Arial" w:eastAsia="Times New Roman" w:hAnsi="Arial" w:cs="Arial"/>
          <w:sz w:val="22"/>
        </w:rPr>
        <w:t>package of reforms</w:t>
      </w:r>
      <w:r w:rsidRPr="00572D41">
        <w:rPr>
          <w:rFonts w:ascii="Arial" w:eastAsia="Times New Roman" w:hAnsi="Arial" w:cs="Arial"/>
          <w:sz w:val="22"/>
        </w:rPr>
        <w:t xml:space="preserve"> to higher education</w:t>
      </w:r>
      <w:r w:rsidR="0020123B">
        <w:rPr>
          <w:rFonts w:ascii="Arial" w:eastAsia="Times New Roman" w:hAnsi="Arial" w:cs="Arial"/>
          <w:sz w:val="22"/>
        </w:rPr>
        <w:t xml:space="preserve"> (the package)</w:t>
      </w:r>
      <w:r w:rsidRPr="00572D41">
        <w:rPr>
          <w:rFonts w:ascii="Arial" w:eastAsia="Times New Roman" w:hAnsi="Arial" w:cs="Arial"/>
          <w:sz w:val="22"/>
        </w:rPr>
        <w:t xml:space="preserve"> funding set new Commonwealth and student contribution amounts, with total funding for disciplines more closely aligned with the average cost of delivering courses, as reported in the Deloitte study.</w:t>
      </w:r>
      <w:r w:rsidR="00966D29" w:rsidRPr="00966D29">
        <w:rPr>
          <w:rFonts w:ascii="Arial" w:eastAsia="Times New Roman" w:hAnsi="Arial" w:cs="Arial"/>
          <w:sz w:val="22"/>
        </w:rPr>
        <w:t xml:space="preserve"> </w:t>
      </w:r>
      <w:r w:rsidR="00966D29" w:rsidRPr="0020123B">
        <w:rPr>
          <w:rFonts w:ascii="Arial" w:eastAsia="Times New Roman" w:hAnsi="Arial" w:cs="Arial"/>
          <w:sz w:val="22"/>
        </w:rPr>
        <w:t xml:space="preserve">As a result of the </w:t>
      </w:r>
      <w:r w:rsidR="00966D29">
        <w:rPr>
          <w:rFonts w:ascii="Arial" w:eastAsia="Times New Roman" w:hAnsi="Arial" w:cs="Arial"/>
          <w:sz w:val="22"/>
        </w:rPr>
        <w:t>package</w:t>
      </w:r>
      <w:r w:rsidR="00966D29" w:rsidRPr="0020123B">
        <w:rPr>
          <w:rFonts w:ascii="Arial" w:eastAsia="Times New Roman" w:hAnsi="Arial" w:cs="Arial"/>
          <w:sz w:val="22"/>
        </w:rPr>
        <w:t>, students studying units of nursing will pay lower student contributions of $3,950 in 2021 which is a reduction from $6,684 in 2020.</w:t>
      </w:r>
      <w:r w:rsidR="00966D29">
        <w:rPr>
          <w:rFonts w:ascii="Arial" w:eastAsia="Times New Roman" w:hAnsi="Arial" w:cs="Arial"/>
          <w:sz w:val="22"/>
        </w:rPr>
        <w:t xml:space="preserve"> </w:t>
      </w:r>
      <w:r w:rsidR="00DE159B">
        <w:rPr>
          <w:rFonts w:ascii="Arial" w:eastAsia="Times New Roman" w:hAnsi="Arial" w:cs="Arial"/>
          <w:sz w:val="22"/>
        </w:rPr>
        <w:t>Additionally,</w:t>
      </w:r>
      <w:r w:rsidR="00966D29">
        <w:rPr>
          <w:rFonts w:ascii="Arial" w:eastAsia="Times New Roman" w:hAnsi="Arial" w:cs="Arial"/>
          <w:sz w:val="22"/>
        </w:rPr>
        <w:t xml:space="preserve"> the </w:t>
      </w:r>
      <w:r w:rsidR="0020123B" w:rsidRPr="0020123B">
        <w:rPr>
          <w:rFonts w:ascii="Arial" w:eastAsia="Times New Roman" w:hAnsi="Arial" w:cs="Arial"/>
          <w:sz w:val="22"/>
        </w:rPr>
        <w:t xml:space="preserve">Australian </w:t>
      </w:r>
      <w:r w:rsidR="0020123B" w:rsidRPr="0020123B">
        <w:rPr>
          <w:rFonts w:ascii="Arial" w:eastAsia="Times New Roman" w:hAnsi="Arial" w:cs="Arial"/>
          <w:sz w:val="22"/>
        </w:rPr>
        <w:lastRenderedPageBreak/>
        <w:t xml:space="preserve">Government </w:t>
      </w:r>
      <w:r w:rsidR="0020123B">
        <w:rPr>
          <w:rFonts w:ascii="Arial" w:eastAsia="Times New Roman" w:hAnsi="Arial" w:cs="Arial"/>
          <w:sz w:val="22"/>
        </w:rPr>
        <w:t xml:space="preserve">provides </w:t>
      </w:r>
      <w:r w:rsidR="0020123B" w:rsidRPr="0020123B">
        <w:rPr>
          <w:rFonts w:ascii="Arial" w:eastAsia="Times New Roman" w:hAnsi="Arial" w:cs="Arial"/>
          <w:sz w:val="22"/>
        </w:rPr>
        <w:t>Commonwealth Grant Scheme funding for nursing</w:t>
      </w:r>
      <w:r w:rsidR="0020123B">
        <w:rPr>
          <w:rFonts w:ascii="Arial" w:eastAsia="Times New Roman" w:hAnsi="Arial" w:cs="Arial"/>
          <w:sz w:val="22"/>
        </w:rPr>
        <w:t xml:space="preserve"> courses of study</w:t>
      </w:r>
      <w:r w:rsidR="0020123B" w:rsidRPr="0020123B">
        <w:rPr>
          <w:rFonts w:ascii="Arial" w:eastAsia="Times New Roman" w:hAnsi="Arial" w:cs="Arial"/>
          <w:sz w:val="22"/>
        </w:rPr>
        <w:t xml:space="preserve"> to support nursing clinical placements. </w:t>
      </w:r>
    </w:p>
    <w:p w14:paraId="0354393B" w14:textId="77777777" w:rsidR="00256A9B" w:rsidRPr="006D7CAA" w:rsidRDefault="00256A9B" w:rsidP="00350157">
      <w:pPr>
        <w:spacing w:before="120" w:after="120" w:line="240" w:lineRule="auto"/>
        <w:rPr>
          <w:rFonts w:ascii="Arial" w:eastAsia="Times New Roman" w:hAnsi="Arial" w:cs="Arial"/>
          <w:sz w:val="22"/>
        </w:rPr>
      </w:pPr>
    </w:p>
    <w:tbl>
      <w:tblPr>
        <w:tblStyle w:val="TableGrid"/>
        <w:tblW w:w="0" w:type="auto"/>
        <w:tblLook w:val="04A0" w:firstRow="1" w:lastRow="0" w:firstColumn="1" w:lastColumn="0" w:noHBand="0" w:noVBand="1"/>
      </w:tblPr>
      <w:tblGrid>
        <w:gridCol w:w="9016"/>
      </w:tblGrid>
      <w:tr w:rsidR="00350157" w:rsidRPr="006D7CAA" w14:paraId="2B60AA8C" w14:textId="77777777" w:rsidTr="00A470CF">
        <w:trPr>
          <w:trHeight w:val="1085"/>
        </w:trPr>
        <w:tc>
          <w:tcPr>
            <w:tcW w:w="9016" w:type="dxa"/>
          </w:tcPr>
          <w:p w14:paraId="5124508B" w14:textId="77777777" w:rsidR="00350157" w:rsidRPr="006D7CAA" w:rsidRDefault="00350157" w:rsidP="00A470CF">
            <w:pPr>
              <w:pStyle w:val="Heading3"/>
              <w:outlineLvl w:val="2"/>
              <w:rPr>
                <w:rFonts w:ascii="Arial" w:eastAsia="Times New Roman" w:hAnsi="Arial" w:cs="Arial"/>
              </w:rPr>
            </w:pPr>
            <w:bookmarkStart w:id="20" w:name="_Toc57387176"/>
            <w:r w:rsidRPr="006D7CAA">
              <w:rPr>
                <w:rFonts w:ascii="Arial" w:eastAsia="Times New Roman" w:hAnsi="Arial" w:cs="Arial"/>
              </w:rPr>
              <w:t>Recommendation 9</w:t>
            </w:r>
            <w:bookmarkEnd w:id="20"/>
            <w:r w:rsidRPr="006D7CAA">
              <w:rPr>
                <w:rFonts w:ascii="Arial" w:eastAsia="Times New Roman" w:hAnsi="Arial" w:cs="Arial"/>
              </w:rPr>
              <w:t xml:space="preserve"> </w:t>
            </w:r>
          </w:p>
          <w:p w14:paraId="7932C29B"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The Department of Health should review the Rural Health Multidisciplinary Training Program guidelines to ensure that nursing education gains the benefits of longer regional placements, interdisciplinary training, and travel subsidies. </w:t>
            </w:r>
          </w:p>
        </w:tc>
      </w:tr>
    </w:tbl>
    <w:p w14:paraId="367B889D"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 xml:space="preserve">Australian Government response </w:t>
      </w:r>
    </w:p>
    <w:p w14:paraId="3C34BB03" w14:textId="77777777" w:rsidR="00350157" w:rsidRPr="006D7CAA" w:rsidRDefault="00350157" w:rsidP="00C7528B">
      <w:pPr>
        <w:spacing w:before="120" w:after="120" w:line="240" w:lineRule="auto"/>
        <w:rPr>
          <w:rFonts w:ascii="Arial" w:eastAsia="Times New Roman" w:hAnsi="Arial" w:cs="Arial"/>
          <w:sz w:val="22"/>
        </w:rPr>
      </w:pPr>
      <w:r w:rsidRPr="006D7CAA">
        <w:rPr>
          <w:rFonts w:ascii="Arial" w:eastAsia="Times New Roman" w:hAnsi="Arial" w:cs="Arial"/>
          <w:bCs/>
          <w:sz w:val="22"/>
          <w:lang w:val="en-GB"/>
        </w:rPr>
        <w:t xml:space="preserve">The Government </w:t>
      </w:r>
      <w:r w:rsidRPr="00670D34">
        <w:rPr>
          <w:rFonts w:ascii="Arial" w:eastAsia="Times New Roman" w:hAnsi="Arial" w:cs="Arial"/>
          <w:bCs/>
          <w:sz w:val="22"/>
          <w:lang w:val="en-GB"/>
        </w:rPr>
        <w:t>supports</w:t>
      </w:r>
      <w:r w:rsidRPr="006D7CAA">
        <w:rPr>
          <w:rFonts w:ascii="Arial" w:eastAsia="Times New Roman" w:hAnsi="Arial" w:cs="Arial"/>
          <w:b/>
          <w:bCs/>
          <w:sz w:val="22"/>
          <w:lang w:val="en-GB"/>
        </w:rPr>
        <w:t xml:space="preserve"> </w:t>
      </w:r>
      <w:r w:rsidRPr="006D7CAA">
        <w:rPr>
          <w:rFonts w:ascii="Arial" w:eastAsia="Times New Roman" w:hAnsi="Arial" w:cs="Arial"/>
          <w:bCs/>
          <w:sz w:val="22"/>
          <w:lang w:val="en-GB"/>
        </w:rPr>
        <w:t>the recommendation</w:t>
      </w:r>
      <w:r w:rsidR="00E94D35">
        <w:rPr>
          <w:rFonts w:ascii="Arial" w:eastAsia="Times New Roman" w:hAnsi="Arial" w:cs="Arial"/>
          <w:b/>
          <w:bCs/>
          <w:sz w:val="22"/>
          <w:lang w:val="en-GB"/>
        </w:rPr>
        <w:t xml:space="preserve">. </w:t>
      </w:r>
      <w:r w:rsidR="00E94D35">
        <w:rPr>
          <w:rFonts w:ascii="Arial" w:eastAsia="Times New Roman" w:hAnsi="Arial" w:cs="Arial"/>
          <w:sz w:val="22"/>
        </w:rPr>
        <w:t xml:space="preserve">The Government </w:t>
      </w:r>
      <w:r w:rsidRPr="00670D34">
        <w:rPr>
          <w:rFonts w:ascii="Arial" w:eastAsia="Times New Roman" w:hAnsi="Arial" w:cs="Arial"/>
          <w:sz w:val="22"/>
        </w:rPr>
        <w:t>notes</w:t>
      </w:r>
      <w:r w:rsidRPr="00413300">
        <w:rPr>
          <w:rFonts w:ascii="Arial" w:eastAsia="Times New Roman" w:hAnsi="Arial" w:cs="Arial"/>
          <w:b/>
          <w:sz w:val="22"/>
        </w:rPr>
        <w:t xml:space="preserve"> </w:t>
      </w:r>
      <w:r w:rsidR="00737FB9">
        <w:rPr>
          <w:rFonts w:ascii="Arial" w:eastAsia="Times New Roman" w:hAnsi="Arial" w:cs="Arial"/>
          <w:sz w:val="22"/>
        </w:rPr>
        <w:t>the</w:t>
      </w:r>
      <w:r>
        <w:rPr>
          <w:rFonts w:ascii="Arial" w:eastAsia="Times New Roman" w:hAnsi="Arial" w:cs="Arial"/>
          <w:sz w:val="22"/>
        </w:rPr>
        <w:t xml:space="preserve"> </w:t>
      </w:r>
      <w:r w:rsidRPr="006D7CAA">
        <w:rPr>
          <w:rFonts w:ascii="Arial" w:eastAsia="Times New Roman" w:hAnsi="Arial" w:cs="Arial"/>
          <w:sz w:val="22"/>
        </w:rPr>
        <w:t xml:space="preserve">Rural Health Multidisciplinary Training Program </w:t>
      </w:r>
      <w:r w:rsidR="003B748E">
        <w:rPr>
          <w:rFonts w:ascii="Arial" w:eastAsia="Times New Roman" w:hAnsi="Arial" w:cs="Arial"/>
          <w:sz w:val="22"/>
        </w:rPr>
        <w:t>has recently been</w:t>
      </w:r>
      <w:r w:rsidRPr="006D7CAA">
        <w:rPr>
          <w:rFonts w:ascii="Arial" w:eastAsia="Times New Roman" w:hAnsi="Arial" w:cs="Arial"/>
          <w:sz w:val="22"/>
        </w:rPr>
        <w:t xml:space="preserve"> evaluated, and feedback from this review (Recommendation 9) </w:t>
      </w:r>
      <w:r w:rsidR="003B748E">
        <w:rPr>
          <w:rFonts w:ascii="Arial" w:eastAsia="Times New Roman" w:hAnsi="Arial" w:cs="Arial"/>
          <w:sz w:val="22"/>
        </w:rPr>
        <w:t>was</w:t>
      </w:r>
      <w:r w:rsidRPr="006D7CAA">
        <w:rPr>
          <w:rFonts w:ascii="Arial" w:eastAsia="Times New Roman" w:hAnsi="Arial" w:cs="Arial"/>
          <w:sz w:val="22"/>
        </w:rPr>
        <w:t xml:space="preserve"> provided to the program evaluators. </w:t>
      </w:r>
    </w:p>
    <w:p w14:paraId="4DF742F9" w14:textId="77777777" w:rsidR="00350157" w:rsidRPr="006D7CAA" w:rsidRDefault="00350157" w:rsidP="00350157">
      <w:pPr>
        <w:spacing w:before="120" w:after="120" w:line="240" w:lineRule="auto"/>
        <w:rPr>
          <w:rFonts w:ascii="Arial" w:eastAsia="Times New Roman" w:hAnsi="Arial" w:cs="Arial"/>
          <w:sz w:val="22"/>
        </w:rPr>
      </w:pPr>
      <w:r w:rsidRPr="006D7CAA">
        <w:rPr>
          <w:rFonts w:ascii="Arial" w:eastAsia="Times New Roman" w:hAnsi="Arial" w:cs="Arial"/>
          <w:sz w:val="22"/>
        </w:rPr>
        <w:t xml:space="preserve">A copy of the final evaluation report </w:t>
      </w:r>
      <w:r w:rsidR="003B748E">
        <w:rPr>
          <w:rFonts w:ascii="Arial" w:eastAsia="Times New Roman" w:hAnsi="Arial" w:cs="Arial"/>
          <w:sz w:val="22"/>
        </w:rPr>
        <w:t>was</w:t>
      </w:r>
      <w:r w:rsidR="003B748E" w:rsidRPr="006D7CAA">
        <w:rPr>
          <w:rFonts w:ascii="Arial" w:eastAsia="Times New Roman" w:hAnsi="Arial" w:cs="Arial"/>
          <w:sz w:val="22"/>
        </w:rPr>
        <w:t xml:space="preserve"> </w:t>
      </w:r>
      <w:r w:rsidRPr="006D7CAA">
        <w:rPr>
          <w:rFonts w:ascii="Arial" w:eastAsia="Times New Roman" w:hAnsi="Arial" w:cs="Arial"/>
          <w:sz w:val="22"/>
        </w:rPr>
        <w:t>provided to the NNMEAN</w:t>
      </w:r>
      <w:r w:rsidR="003B748E">
        <w:rPr>
          <w:rFonts w:ascii="Arial" w:eastAsia="Times New Roman" w:hAnsi="Arial" w:cs="Arial"/>
          <w:sz w:val="22"/>
        </w:rPr>
        <w:t xml:space="preserve"> and is available at </w:t>
      </w:r>
      <w:r w:rsidR="003B748E" w:rsidRPr="0099264B">
        <w:rPr>
          <w:rFonts w:ascii="Arial" w:eastAsia="Times New Roman" w:hAnsi="Arial" w:cs="Arial"/>
          <w:sz w:val="22"/>
          <w:u w:val="single"/>
        </w:rPr>
        <w:t>health.gov.au</w:t>
      </w:r>
      <w:r w:rsidRPr="0099264B">
        <w:rPr>
          <w:rFonts w:ascii="Arial" w:hAnsi="Arial"/>
          <w:sz w:val="22"/>
        </w:rPr>
        <w:t>.</w:t>
      </w:r>
      <w:r w:rsidRPr="006D7CAA">
        <w:rPr>
          <w:rFonts w:ascii="Arial" w:eastAsia="Times New Roman" w:hAnsi="Arial" w:cs="Arial"/>
          <w:sz w:val="22"/>
        </w:rPr>
        <w:t xml:space="preserve"> </w:t>
      </w:r>
    </w:p>
    <w:p w14:paraId="21D11EFA" w14:textId="77777777" w:rsidR="00350157" w:rsidRPr="00C41768" w:rsidRDefault="00350157" w:rsidP="00C7528B">
      <w:pPr>
        <w:pStyle w:val="Heading2"/>
        <w:spacing w:before="120" w:after="120" w:line="240" w:lineRule="auto"/>
        <w:rPr>
          <w:rFonts w:ascii="Arial" w:hAnsi="Arial" w:cs="Arial"/>
        </w:rPr>
      </w:pPr>
      <w:bookmarkStart w:id="21" w:name="_Toc57387177"/>
      <w:r w:rsidRPr="006D7CAA">
        <w:rPr>
          <w:rFonts w:ascii="Arial" w:hAnsi="Arial" w:cs="Arial"/>
        </w:rPr>
        <w:t>How many placement hours are sufficient</w:t>
      </w:r>
      <w:bookmarkEnd w:id="21"/>
    </w:p>
    <w:tbl>
      <w:tblPr>
        <w:tblStyle w:val="TableGrid"/>
        <w:tblW w:w="0" w:type="auto"/>
        <w:tblLook w:val="04A0" w:firstRow="1" w:lastRow="0" w:firstColumn="1" w:lastColumn="0" w:noHBand="0" w:noVBand="1"/>
      </w:tblPr>
      <w:tblGrid>
        <w:gridCol w:w="9016"/>
      </w:tblGrid>
      <w:tr w:rsidR="00350157" w:rsidRPr="006D7CAA" w14:paraId="741812D6" w14:textId="77777777" w:rsidTr="00A470CF">
        <w:trPr>
          <w:trHeight w:val="1591"/>
        </w:trPr>
        <w:tc>
          <w:tcPr>
            <w:tcW w:w="9016" w:type="dxa"/>
          </w:tcPr>
          <w:p w14:paraId="6E9E3276" w14:textId="77777777" w:rsidR="00350157" w:rsidRPr="006D7CAA" w:rsidRDefault="00350157" w:rsidP="00A470CF">
            <w:pPr>
              <w:pStyle w:val="Heading3"/>
              <w:outlineLvl w:val="2"/>
              <w:rPr>
                <w:rFonts w:ascii="Arial" w:eastAsia="Times New Roman" w:hAnsi="Arial" w:cs="Arial"/>
              </w:rPr>
            </w:pPr>
            <w:bookmarkStart w:id="22" w:name="_Recommendation_10"/>
            <w:bookmarkStart w:id="23" w:name="_Toc57387178"/>
            <w:bookmarkEnd w:id="22"/>
            <w:r w:rsidRPr="006D7CAA">
              <w:rPr>
                <w:rFonts w:ascii="Arial" w:eastAsia="Times New Roman" w:hAnsi="Arial" w:cs="Arial"/>
              </w:rPr>
              <w:t>Recommendation 10</w:t>
            </w:r>
            <w:bookmarkEnd w:id="23"/>
            <w:r w:rsidRPr="006D7CAA">
              <w:rPr>
                <w:rFonts w:ascii="Arial" w:eastAsia="Times New Roman" w:hAnsi="Arial" w:cs="Arial"/>
              </w:rPr>
              <w:t xml:space="preserve"> </w:t>
            </w:r>
          </w:p>
          <w:p w14:paraId="4602CA4F"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To ensure that all nurses are adequately prepared, ANMAC and the NMBA should increase the minimum number of placement hours required for the Bachelor of Nursing degree to 1,000 hours. ANMAC/NMBA should also increase the minimum number of placement hours required for EN diplomas and graduate-entry master’s degree programs proportionately. </w:t>
            </w:r>
          </w:p>
        </w:tc>
      </w:tr>
    </w:tbl>
    <w:p w14:paraId="5A978949" w14:textId="77777777" w:rsidR="00350157" w:rsidRDefault="00350157" w:rsidP="00C7528B">
      <w:pPr>
        <w:spacing w:before="120" w:after="120" w:line="240" w:lineRule="auto"/>
        <w:rPr>
          <w:rFonts w:ascii="Arial" w:eastAsia="Times New Roman" w:hAnsi="Arial" w:cs="Arial"/>
          <w:sz w:val="22"/>
          <w:szCs w:val="22"/>
        </w:rPr>
      </w:pPr>
      <w:r w:rsidRPr="006D7CAA">
        <w:rPr>
          <w:rFonts w:ascii="Arial" w:hAnsi="Arial" w:cs="Arial"/>
          <w:b/>
        </w:rPr>
        <w:t xml:space="preserve">Australian Government response </w:t>
      </w:r>
    </w:p>
    <w:p w14:paraId="027AA4F1" w14:textId="77777777" w:rsidR="00ED1B67" w:rsidRPr="00670D34" w:rsidRDefault="00E46C00" w:rsidP="00662296">
      <w:pPr>
        <w:spacing w:before="120" w:after="120" w:line="240" w:lineRule="auto"/>
        <w:rPr>
          <w:rFonts w:ascii="Arial" w:eastAsia="Times New Roman" w:hAnsi="Arial" w:cs="Arial"/>
          <w:sz w:val="22"/>
          <w:szCs w:val="22"/>
        </w:rPr>
      </w:pPr>
      <w:r>
        <w:rPr>
          <w:rFonts w:ascii="Arial" w:eastAsia="Times New Roman" w:hAnsi="Arial" w:cs="Arial"/>
          <w:sz w:val="22"/>
          <w:szCs w:val="22"/>
        </w:rPr>
        <w:t xml:space="preserve">The Government </w:t>
      </w:r>
      <w:r w:rsidRPr="00670D34">
        <w:rPr>
          <w:rFonts w:ascii="Arial" w:eastAsia="Times New Roman" w:hAnsi="Arial" w:cs="Arial"/>
          <w:sz w:val="22"/>
          <w:szCs w:val="22"/>
        </w:rPr>
        <w:t>notes this recommendation</w:t>
      </w:r>
      <w:r w:rsidR="00ED1B67" w:rsidRPr="00670D34">
        <w:rPr>
          <w:rFonts w:ascii="Arial" w:eastAsia="Times New Roman" w:hAnsi="Arial" w:cs="Arial"/>
          <w:sz w:val="22"/>
          <w:szCs w:val="22"/>
        </w:rPr>
        <w:t xml:space="preserve"> and that current Australian clinical placement hours are not consistent with international requirements for nursing registration.</w:t>
      </w:r>
    </w:p>
    <w:p w14:paraId="361668D9" w14:textId="77777777" w:rsidR="00ED1B67" w:rsidRPr="00670D34" w:rsidRDefault="00ED1B67" w:rsidP="00662296">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supports quality clinical placements relevant to learning outcomes, and that </w:t>
      </w:r>
      <w:r w:rsidR="006A2B27" w:rsidRPr="00670D34">
        <w:rPr>
          <w:rFonts w:ascii="Arial" w:eastAsia="Times New Roman" w:hAnsi="Arial" w:cs="Arial"/>
          <w:sz w:val="22"/>
          <w:szCs w:val="22"/>
        </w:rPr>
        <w:t>HEP</w:t>
      </w:r>
      <w:r w:rsidR="00662296" w:rsidRPr="00670D34">
        <w:rPr>
          <w:rFonts w:ascii="Arial" w:eastAsia="Times New Roman" w:hAnsi="Arial" w:cs="Arial"/>
          <w:sz w:val="22"/>
          <w:szCs w:val="22"/>
        </w:rPr>
        <w:t xml:space="preserve"> </w:t>
      </w:r>
      <w:r w:rsidRPr="00670D34">
        <w:rPr>
          <w:rFonts w:ascii="Arial" w:eastAsia="Times New Roman" w:hAnsi="Arial" w:cs="Arial"/>
          <w:sz w:val="22"/>
          <w:szCs w:val="22"/>
        </w:rPr>
        <w:t xml:space="preserve">should </w:t>
      </w:r>
      <w:r w:rsidR="00662296" w:rsidRPr="00670D34">
        <w:rPr>
          <w:rFonts w:ascii="Arial" w:eastAsia="Times New Roman" w:hAnsi="Arial" w:cs="Arial"/>
          <w:sz w:val="22"/>
          <w:szCs w:val="22"/>
        </w:rPr>
        <w:t xml:space="preserve">consider innovative approaches to support student access </w:t>
      </w:r>
      <w:r w:rsidRPr="00670D34">
        <w:rPr>
          <w:rFonts w:ascii="Arial" w:eastAsia="Times New Roman" w:hAnsi="Arial" w:cs="Arial"/>
          <w:sz w:val="22"/>
          <w:szCs w:val="22"/>
        </w:rPr>
        <w:t xml:space="preserve">to </w:t>
      </w:r>
      <w:r w:rsidR="00662296" w:rsidRPr="00670D34">
        <w:rPr>
          <w:rFonts w:ascii="Arial" w:eastAsia="Times New Roman" w:hAnsi="Arial" w:cs="Arial"/>
          <w:sz w:val="22"/>
          <w:szCs w:val="22"/>
        </w:rPr>
        <w:t>quality clinical placement hours</w:t>
      </w:r>
      <w:r w:rsidRPr="00670D34">
        <w:rPr>
          <w:rFonts w:ascii="Arial" w:eastAsia="Times New Roman" w:hAnsi="Arial" w:cs="Arial"/>
          <w:sz w:val="22"/>
          <w:szCs w:val="22"/>
        </w:rPr>
        <w:t xml:space="preserve"> </w:t>
      </w:r>
      <w:r w:rsidR="00662296" w:rsidRPr="00670D34">
        <w:rPr>
          <w:rFonts w:ascii="Arial" w:eastAsia="Times New Roman" w:hAnsi="Arial" w:cs="Arial"/>
          <w:sz w:val="22"/>
          <w:szCs w:val="22"/>
        </w:rPr>
        <w:t>as an alternative</w:t>
      </w:r>
      <w:r w:rsidRPr="00670D34">
        <w:rPr>
          <w:rFonts w:ascii="Arial" w:eastAsia="Times New Roman" w:hAnsi="Arial" w:cs="Arial"/>
          <w:sz w:val="22"/>
          <w:szCs w:val="22"/>
        </w:rPr>
        <w:t xml:space="preserve"> to</w:t>
      </w:r>
      <w:r w:rsidR="00662296" w:rsidRPr="00670D34">
        <w:rPr>
          <w:rFonts w:ascii="Arial" w:eastAsia="Times New Roman" w:hAnsi="Arial" w:cs="Arial"/>
          <w:sz w:val="22"/>
          <w:szCs w:val="22"/>
        </w:rPr>
        <w:t xml:space="preserve"> increasing the quantity of hours. </w:t>
      </w:r>
    </w:p>
    <w:p w14:paraId="14C128A0" w14:textId="77777777" w:rsidR="00662296" w:rsidRPr="00670D34" w:rsidRDefault="00662296" w:rsidP="00662296">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w:t>
      </w:r>
      <w:r w:rsidR="00ED1B67" w:rsidRPr="00670D34">
        <w:rPr>
          <w:rFonts w:ascii="Arial" w:eastAsia="Times New Roman" w:hAnsi="Arial" w:cs="Arial"/>
          <w:sz w:val="22"/>
          <w:szCs w:val="22"/>
        </w:rPr>
        <w:t xml:space="preserve">supports NMMEAN raising this </w:t>
      </w:r>
      <w:r w:rsidR="00670D34" w:rsidRPr="00670D34">
        <w:rPr>
          <w:rFonts w:ascii="Arial" w:eastAsia="Times New Roman" w:hAnsi="Arial" w:cs="Arial"/>
          <w:sz w:val="22"/>
          <w:szCs w:val="22"/>
        </w:rPr>
        <w:t>issue</w:t>
      </w:r>
      <w:r w:rsidRPr="00670D34">
        <w:rPr>
          <w:rFonts w:ascii="Arial" w:eastAsia="Times New Roman" w:hAnsi="Arial" w:cs="Arial"/>
          <w:sz w:val="22"/>
          <w:szCs w:val="22"/>
        </w:rPr>
        <w:t xml:space="preserve"> with the </w:t>
      </w:r>
      <w:r w:rsidR="00670D34" w:rsidRPr="00670D34">
        <w:rPr>
          <w:rFonts w:ascii="Arial" w:eastAsia="Times New Roman" w:hAnsi="Arial" w:cs="Arial"/>
          <w:sz w:val="22"/>
          <w:szCs w:val="22"/>
        </w:rPr>
        <w:t xml:space="preserve">Commonwealth </w:t>
      </w:r>
      <w:r w:rsidRPr="00670D34">
        <w:rPr>
          <w:rFonts w:ascii="Arial" w:eastAsia="Times New Roman" w:hAnsi="Arial" w:cs="Arial"/>
          <w:sz w:val="22"/>
          <w:szCs w:val="22"/>
        </w:rPr>
        <w:t>Department of Education</w:t>
      </w:r>
      <w:r w:rsidR="00623290">
        <w:rPr>
          <w:rFonts w:ascii="Arial" w:eastAsia="Times New Roman" w:hAnsi="Arial" w:cs="Arial"/>
          <w:sz w:val="22"/>
          <w:szCs w:val="22"/>
        </w:rPr>
        <w:t>, Skills and Employment</w:t>
      </w:r>
      <w:r w:rsidRPr="00670D34">
        <w:rPr>
          <w:rFonts w:ascii="Arial" w:eastAsia="Times New Roman" w:hAnsi="Arial" w:cs="Arial"/>
          <w:sz w:val="22"/>
          <w:szCs w:val="22"/>
        </w:rPr>
        <w:t>.</w:t>
      </w:r>
    </w:p>
    <w:p w14:paraId="514039CC" w14:textId="77777777" w:rsidR="00350157" w:rsidRPr="006D7CAA" w:rsidRDefault="00350157" w:rsidP="00DF5E51">
      <w:pPr>
        <w:spacing w:before="120" w:after="120" w:line="240" w:lineRule="auto"/>
        <w:rPr>
          <w:rFonts w:ascii="Arial" w:eastAsia="Times New Roman" w:hAnsi="Arial" w:cs="Arial"/>
          <w:sz w:val="22"/>
        </w:rPr>
      </w:pPr>
      <w:r w:rsidRPr="00821117">
        <w:rPr>
          <w:rFonts w:ascii="Arial" w:eastAsia="Times New Roman" w:hAnsi="Arial" w:cs="Arial"/>
          <w:sz w:val="22"/>
        </w:rPr>
        <w:t>Noted</w:t>
      </w:r>
      <w:r w:rsidRPr="006D7CAA">
        <w:rPr>
          <w:rFonts w:ascii="Arial" w:eastAsia="Times New Roman" w:hAnsi="Arial" w:cs="Arial"/>
          <w:sz w:val="22"/>
        </w:rPr>
        <w:t xml:space="preserve"> is the intersection of this recommendation and </w:t>
      </w:r>
      <w:r w:rsidRPr="006D7CAA">
        <w:rPr>
          <w:rFonts w:ascii="Arial" w:eastAsia="Times New Roman" w:hAnsi="Arial" w:cs="Arial"/>
          <w:b/>
          <w:sz w:val="22"/>
        </w:rPr>
        <w:t>recommendations 2, 4, 6 and 11</w:t>
      </w:r>
      <w:r w:rsidRPr="006D7CAA">
        <w:rPr>
          <w:rFonts w:ascii="Arial" w:eastAsia="Times New Roman" w:hAnsi="Arial" w:cs="Arial"/>
          <w:sz w:val="22"/>
        </w:rPr>
        <w:t>.</w:t>
      </w:r>
    </w:p>
    <w:p w14:paraId="27F61F60" w14:textId="77777777" w:rsidR="00350157" w:rsidRPr="006E4761" w:rsidRDefault="00350157" w:rsidP="00E94D35">
      <w:pPr>
        <w:pStyle w:val="Heading2"/>
        <w:spacing w:before="120" w:after="120" w:line="240" w:lineRule="auto"/>
        <w:rPr>
          <w:rFonts w:ascii="Arial" w:eastAsia="Times New Roman" w:hAnsi="Arial" w:cs="Arial"/>
        </w:rPr>
      </w:pPr>
      <w:bookmarkStart w:id="24" w:name="_Toc57387179"/>
      <w:r w:rsidRPr="006D7CAA">
        <w:rPr>
          <w:rFonts w:ascii="Arial" w:eastAsia="Times New Roman" w:hAnsi="Arial" w:cs="Arial"/>
        </w:rPr>
        <w:t>Independent pre-registration examinations</w:t>
      </w:r>
      <w:bookmarkEnd w:id="24"/>
    </w:p>
    <w:tbl>
      <w:tblPr>
        <w:tblStyle w:val="TableGrid"/>
        <w:tblW w:w="0" w:type="auto"/>
        <w:tblLook w:val="04A0" w:firstRow="1" w:lastRow="0" w:firstColumn="1" w:lastColumn="0" w:noHBand="0" w:noVBand="1"/>
      </w:tblPr>
      <w:tblGrid>
        <w:gridCol w:w="9016"/>
      </w:tblGrid>
      <w:tr w:rsidR="00350157" w:rsidRPr="006D7CAA" w14:paraId="2EC02417" w14:textId="77777777" w:rsidTr="00A470CF">
        <w:trPr>
          <w:trHeight w:val="1325"/>
        </w:trPr>
        <w:tc>
          <w:tcPr>
            <w:tcW w:w="9016" w:type="dxa"/>
          </w:tcPr>
          <w:p w14:paraId="281E7EAB" w14:textId="77777777" w:rsidR="00350157" w:rsidRPr="006D7CAA" w:rsidRDefault="00350157" w:rsidP="00A470CF">
            <w:pPr>
              <w:pStyle w:val="Heading3"/>
              <w:outlineLvl w:val="2"/>
              <w:rPr>
                <w:rFonts w:ascii="Arial" w:eastAsia="Times New Roman" w:hAnsi="Arial" w:cs="Arial"/>
              </w:rPr>
            </w:pPr>
            <w:bookmarkStart w:id="25" w:name="_Toc57387180"/>
            <w:r w:rsidRPr="006D7CAA">
              <w:rPr>
                <w:rFonts w:ascii="Arial" w:eastAsia="Times New Roman" w:hAnsi="Arial" w:cs="Arial"/>
              </w:rPr>
              <w:t>Recommendation 11</w:t>
            </w:r>
            <w:bookmarkEnd w:id="25"/>
          </w:p>
          <w:p w14:paraId="34EE22F7" w14:textId="77777777" w:rsidR="00350157" w:rsidRPr="006D7CAA" w:rsidRDefault="00350157" w:rsidP="00A470CF">
            <w:pPr>
              <w:spacing w:before="120" w:after="120"/>
              <w:rPr>
                <w:rFonts w:ascii="Arial" w:eastAsia="Times New Roman" w:hAnsi="Arial" w:cs="Arial"/>
              </w:rPr>
            </w:pPr>
            <w:r w:rsidRPr="006D7CAA">
              <w:rPr>
                <w:rFonts w:ascii="Arial" w:eastAsia="Times New Roman" w:hAnsi="Arial" w:cs="Arial"/>
                <w:sz w:val="22"/>
                <w:szCs w:val="22"/>
              </w:rPr>
              <w:t>The outcomes-based cognitive and behavioural assessments that will be used to determine whether internationally educated nurses are safe to practise in Australia should be used to serve the same purpose for domestic graduates.</w:t>
            </w:r>
          </w:p>
        </w:tc>
      </w:tr>
    </w:tbl>
    <w:p w14:paraId="1C354F57" w14:textId="77777777" w:rsidR="00350157" w:rsidRPr="006D7CAA" w:rsidRDefault="00350157" w:rsidP="00DF5E51">
      <w:pPr>
        <w:spacing w:before="120" w:after="120" w:line="240" w:lineRule="auto"/>
        <w:rPr>
          <w:rFonts w:ascii="Arial" w:hAnsi="Arial" w:cs="Arial"/>
          <w:b/>
        </w:rPr>
      </w:pPr>
      <w:r w:rsidRPr="006D7CAA">
        <w:rPr>
          <w:rFonts w:ascii="Arial" w:hAnsi="Arial" w:cs="Arial"/>
          <w:b/>
        </w:rPr>
        <w:t xml:space="preserve">Australian Government response </w:t>
      </w:r>
    </w:p>
    <w:p w14:paraId="44316CEF" w14:textId="77777777" w:rsidR="00350157" w:rsidRPr="00670D34" w:rsidRDefault="00350157">
      <w:pPr>
        <w:spacing w:before="120" w:after="120" w:line="240" w:lineRule="auto"/>
        <w:rPr>
          <w:rFonts w:ascii="Arial" w:eastAsia="Times New Roman" w:hAnsi="Arial" w:cs="Arial"/>
          <w:sz w:val="22"/>
        </w:rPr>
      </w:pPr>
      <w:r w:rsidRPr="006D7CAA">
        <w:rPr>
          <w:rFonts w:ascii="Arial" w:eastAsia="Times New Roman" w:hAnsi="Arial" w:cs="Arial"/>
          <w:sz w:val="22"/>
        </w:rPr>
        <w:t xml:space="preserve">The Government </w:t>
      </w:r>
      <w:r w:rsidRPr="00670D34">
        <w:rPr>
          <w:rFonts w:ascii="Arial" w:eastAsia="Times New Roman" w:hAnsi="Arial" w:cs="Arial"/>
          <w:sz w:val="22"/>
        </w:rPr>
        <w:t xml:space="preserve">notes </w:t>
      </w:r>
      <w:r w:rsidR="003133A9" w:rsidRPr="00670D34">
        <w:rPr>
          <w:rFonts w:ascii="Arial" w:eastAsia="Times New Roman" w:hAnsi="Arial" w:cs="Arial"/>
          <w:sz w:val="22"/>
        </w:rPr>
        <w:t xml:space="preserve">that currently, </w:t>
      </w:r>
      <w:r w:rsidRPr="00670D34">
        <w:rPr>
          <w:rFonts w:ascii="Arial" w:eastAsia="Times New Roman" w:hAnsi="Arial" w:cs="Arial"/>
          <w:sz w:val="22"/>
        </w:rPr>
        <w:t>only internationally qualified nurses (IQN) who do not possess qualifications that hold equivalence as deemed by the NMBA</w:t>
      </w:r>
      <w:r w:rsidR="00623290">
        <w:rPr>
          <w:rFonts w:ascii="Arial" w:eastAsia="Times New Roman" w:hAnsi="Arial" w:cs="Arial"/>
          <w:sz w:val="22"/>
        </w:rPr>
        <w:t>,</w:t>
      </w:r>
      <w:r w:rsidRPr="00670D34">
        <w:rPr>
          <w:rFonts w:ascii="Arial" w:eastAsia="Times New Roman" w:hAnsi="Arial" w:cs="Arial"/>
          <w:sz w:val="22"/>
        </w:rPr>
        <w:t xml:space="preserve"> </w:t>
      </w:r>
      <w:r w:rsidR="009D004C" w:rsidRPr="00670D34">
        <w:rPr>
          <w:rFonts w:ascii="Arial" w:eastAsia="Times New Roman" w:hAnsi="Arial" w:cs="Arial"/>
          <w:sz w:val="22"/>
        </w:rPr>
        <w:t>are</w:t>
      </w:r>
      <w:r w:rsidRPr="00670D34">
        <w:rPr>
          <w:rFonts w:ascii="Arial" w:eastAsia="Times New Roman" w:hAnsi="Arial" w:cs="Arial"/>
          <w:sz w:val="22"/>
        </w:rPr>
        <w:t xml:space="preserve"> required to undertake a multi-choice questionnaire and objective structured clinical exam. Such assessments are not normally required prior to registration of Australian graduates in other registered health professions. </w:t>
      </w:r>
      <w:r w:rsidR="00CD4EED" w:rsidRPr="00670D34">
        <w:rPr>
          <w:rFonts w:ascii="Arial" w:eastAsia="Times New Roman" w:hAnsi="Arial" w:cs="Arial"/>
          <w:sz w:val="22"/>
        </w:rPr>
        <w:t xml:space="preserve">The </w:t>
      </w:r>
      <w:r w:rsidR="00B30876" w:rsidRPr="00670D34">
        <w:rPr>
          <w:rFonts w:ascii="Arial" w:eastAsia="Times New Roman" w:hAnsi="Arial" w:cs="Arial"/>
          <w:sz w:val="22"/>
        </w:rPr>
        <w:t>new</w:t>
      </w:r>
      <w:r w:rsidR="009434C2" w:rsidRPr="00670D34">
        <w:rPr>
          <w:rFonts w:ascii="Arial" w:eastAsia="Times New Roman" w:hAnsi="Arial" w:cs="Arial"/>
          <w:sz w:val="22"/>
        </w:rPr>
        <w:t xml:space="preserve"> IQN assessment</w:t>
      </w:r>
      <w:r w:rsidR="00B30876" w:rsidRPr="00670D34">
        <w:rPr>
          <w:rFonts w:ascii="Arial" w:eastAsia="Times New Roman" w:hAnsi="Arial" w:cs="Arial"/>
          <w:sz w:val="22"/>
        </w:rPr>
        <w:t>s</w:t>
      </w:r>
      <w:r w:rsidR="009434C2" w:rsidRPr="00670D34">
        <w:rPr>
          <w:rFonts w:ascii="Arial" w:eastAsia="Times New Roman" w:hAnsi="Arial" w:cs="Arial"/>
          <w:sz w:val="22"/>
        </w:rPr>
        <w:t xml:space="preserve"> commenced in 2020 and are yet to be evaluated. </w:t>
      </w:r>
    </w:p>
    <w:p w14:paraId="372CECBC" w14:textId="77777777" w:rsidR="00C03243" w:rsidRPr="00670D34" w:rsidRDefault="00C03243" w:rsidP="00C03243">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notes that all registration standards, including assessment of IQNs, are regularly reviewed to ensure they are fit for purpose and achieve their objectives under the National Law. Should a standard be found to no longer be fit for purpose, the Government can, through the Ministerial Council, require the NMBA to review and update the standard as required. </w:t>
      </w:r>
    </w:p>
    <w:p w14:paraId="5182AEF4" w14:textId="77777777" w:rsidR="00350157" w:rsidRPr="006D7CAA" w:rsidRDefault="00350157">
      <w:pPr>
        <w:spacing w:before="120" w:after="120" w:line="240" w:lineRule="auto"/>
        <w:rPr>
          <w:rFonts w:ascii="Arial" w:eastAsia="Times New Roman" w:hAnsi="Arial" w:cs="Arial"/>
          <w:sz w:val="22"/>
        </w:rPr>
      </w:pPr>
      <w:r w:rsidRPr="00670D34">
        <w:rPr>
          <w:rFonts w:ascii="Arial" w:eastAsia="Times New Roman" w:hAnsi="Arial" w:cs="Arial"/>
          <w:sz w:val="22"/>
        </w:rPr>
        <w:t>Noted is the intersection</w:t>
      </w:r>
      <w:r w:rsidRPr="006D7CAA">
        <w:rPr>
          <w:rFonts w:ascii="Arial" w:eastAsia="Times New Roman" w:hAnsi="Arial" w:cs="Arial"/>
          <w:sz w:val="22"/>
        </w:rPr>
        <w:t xml:space="preserve"> of this recommendation and </w:t>
      </w:r>
      <w:r w:rsidRPr="006D7CAA">
        <w:rPr>
          <w:rFonts w:ascii="Arial" w:eastAsia="Times New Roman" w:hAnsi="Arial" w:cs="Arial"/>
          <w:b/>
          <w:sz w:val="22"/>
        </w:rPr>
        <w:t>recommendations 2, 4, 6 and 10</w:t>
      </w:r>
      <w:r w:rsidRPr="006D7CAA">
        <w:rPr>
          <w:rFonts w:ascii="Arial" w:eastAsia="Times New Roman" w:hAnsi="Arial" w:cs="Arial"/>
          <w:sz w:val="22"/>
        </w:rPr>
        <w:t>.</w:t>
      </w:r>
    </w:p>
    <w:p w14:paraId="1D7EAB7F" w14:textId="77777777" w:rsidR="00350157" w:rsidRPr="006D7CAA" w:rsidRDefault="00350157" w:rsidP="00E94D35">
      <w:pPr>
        <w:pStyle w:val="Heading2"/>
        <w:spacing w:before="120" w:after="120" w:line="240" w:lineRule="auto"/>
        <w:rPr>
          <w:rFonts w:ascii="Arial" w:eastAsia="Times New Roman" w:hAnsi="Arial" w:cs="Arial"/>
        </w:rPr>
      </w:pPr>
      <w:bookmarkStart w:id="26" w:name="_Toc57387181"/>
      <w:r w:rsidRPr="006D7CAA">
        <w:rPr>
          <w:rFonts w:ascii="Arial" w:eastAsia="Times New Roman" w:hAnsi="Arial" w:cs="Arial"/>
        </w:rPr>
        <w:lastRenderedPageBreak/>
        <w:t xml:space="preserve">Extending the </w:t>
      </w:r>
      <w:proofErr w:type="gramStart"/>
      <w:r w:rsidRPr="006D7CAA">
        <w:rPr>
          <w:rFonts w:ascii="Arial" w:eastAsia="Times New Roman" w:hAnsi="Arial" w:cs="Arial"/>
        </w:rPr>
        <w:t>bachelor of nursing</w:t>
      </w:r>
      <w:proofErr w:type="gramEnd"/>
      <w:r w:rsidRPr="006D7CAA">
        <w:rPr>
          <w:rFonts w:ascii="Arial" w:eastAsia="Times New Roman" w:hAnsi="Arial" w:cs="Arial"/>
        </w:rPr>
        <w:t xml:space="preserve"> degree: adding years vs articulation</w:t>
      </w:r>
      <w:bookmarkEnd w:id="26"/>
    </w:p>
    <w:tbl>
      <w:tblPr>
        <w:tblStyle w:val="TableGrid"/>
        <w:tblW w:w="0" w:type="auto"/>
        <w:tblLook w:val="04A0" w:firstRow="1" w:lastRow="0" w:firstColumn="1" w:lastColumn="0" w:noHBand="0" w:noVBand="1"/>
      </w:tblPr>
      <w:tblGrid>
        <w:gridCol w:w="9016"/>
      </w:tblGrid>
      <w:tr w:rsidR="00350157" w:rsidRPr="006D7CAA" w14:paraId="453983CF" w14:textId="77777777" w:rsidTr="00A470CF">
        <w:trPr>
          <w:trHeight w:val="1591"/>
        </w:trPr>
        <w:tc>
          <w:tcPr>
            <w:tcW w:w="9016" w:type="dxa"/>
          </w:tcPr>
          <w:p w14:paraId="1F85ED59" w14:textId="77777777" w:rsidR="00350157" w:rsidRPr="006D7CAA" w:rsidRDefault="00350157" w:rsidP="00A470CF">
            <w:pPr>
              <w:pStyle w:val="Heading3"/>
              <w:outlineLvl w:val="2"/>
              <w:rPr>
                <w:rFonts w:ascii="Arial" w:eastAsia="Times New Roman" w:hAnsi="Arial" w:cs="Arial"/>
              </w:rPr>
            </w:pPr>
            <w:bookmarkStart w:id="27" w:name="_Recommendation_12"/>
            <w:bookmarkStart w:id="28" w:name="_Toc57387182"/>
            <w:bookmarkEnd w:id="27"/>
            <w:r w:rsidRPr="006D7CAA">
              <w:rPr>
                <w:rFonts w:ascii="Arial" w:eastAsia="Times New Roman" w:hAnsi="Arial" w:cs="Arial"/>
              </w:rPr>
              <w:t>Recommendation 12</w:t>
            </w:r>
            <w:bookmarkEnd w:id="28"/>
          </w:p>
          <w:p w14:paraId="6FEF2A5F" w14:textId="77777777" w:rsidR="00350157" w:rsidRPr="006D7CAA" w:rsidRDefault="00350157" w:rsidP="008A0C4A">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As registered nurses</w:t>
            </w:r>
            <w:r>
              <w:rPr>
                <w:rFonts w:ascii="Arial" w:eastAsia="Times New Roman" w:hAnsi="Arial" w:cs="Arial"/>
                <w:color w:val="000000"/>
                <w:sz w:val="22"/>
                <w:szCs w:val="22"/>
                <w:lang w:eastAsia="en-AU"/>
              </w:rPr>
              <w:t xml:space="preserve"> </w:t>
            </w:r>
            <w:r w:rsidRPr="006D7CAA">
              <w:rPr>
                <w:rFonts w:ascii="Arial" w:eastAsia="Times New Roman" w:hAnsi="Arial" w:cs="Arial"/>
                <w:color w:val="000000"/>
                <w:sz w:val="22"/>
                <w:szCs w:val="22"/>
                <w:lang w:eastAsia="en-AU"/>
              </w:rPr>
              <w:t xml:space="preserve">(RN) take on increasing responsibility for complex care, it is likely that three years of higher education will be insufficient to prepare the nurse of the future. Working with NMBA, ANMAC, the Commonwealth education department, and other stakeholders, HEPs should explore ways to extend nursing education, including the option of nesting an associate degree in a four-year bachelor’s degree. </w:t>
            </w:r>
          </w:p>
        </w:tc>
      </w:tr>
    </w:tbl>
    <w:p w14:paraId="4A827B6F" w14:textId="77777777" w:rsidR="00350157" w:rsidRPr="006D7CAA" w:rsidRDefault="00350157" w:rsidP="00DF5E51">
      <w:pPr>
        <w:spacing w:before="120" w:after="120" w:line="240" w:lineRule="auto"/>
        <w:rPr>
          <w:rFonts w:ascii="Arial" w:hAnsi="Arial" w:cs="Arial"/>
          <w:b/>
        </w:rPr>
      </w:pPr>
      <w:r w:rsidRPr="006D7CAA">
        <w:rPr>
          <w:rFonts w:ascii="Arial" w:hAnsi="Arial" w:cs="Arial"/>
          <w:b/>
        </w:rPr>
        <w:t xml:space="preserve">Australian Government response </w:t>
      </w:r>
    </w:p>
    <w:p w14:paraId="0AC625FF" w14:textId="77777777" w:rsidR="00350157" w:rsidRPr="0003345D" w:rsidRDefault="00350157" w:rsidP="00DF5E51">
      <w:pPr>
        <w:spacing w:before="120" w:after="120" w:line="240" w:lineRule="auto"/>
        <w:rPr>
          <w:rFonts w:ascii="Arial" w:eastAsia="Times New Roman" w:hAnsi="Arial" w:cs="Arial"/>
          <w:sz w:val="22"/>
          <w:szCs w:val="22"/>
        </w:rPr>
      </w:pPr>
      <w:r w:rsidRPr="0003345D">
        <w:rPr>
          <w:rFonts w:ascii="Arial" w:eastAsia="Times New Roman" w:hAnsi="Arial" w:cs="Arial"/>
          <w:sz w:val="22"/>
          <w:szCs w:val="22"/>
        </w:rPr>
        <w:t xml:space="preserve">The Government </w:t>
      </w:r>
      <w:r w:rsidRPr="00670D34">
        <w:rPr>
          <w:rFonts w:ascii="Arial" w:eastAsia="Times New Roman" w:hAnsi="Arial" w:cs="Arial"/>
          <w:sz w:val="22"/>
          <w:szCs w:val="22"/>
        </w:rPr>
        <w:t>notes</w:t>
      </w:r>
      <w:r w:rsidRPr="0003345D">
        <w:rPr>
          <w:rFonts w:ascii="Arial" w:eastAsia="Times New Roman" w:hAnsi="Arial" w:cs="Arial"/>
          <w:b/>
          <w:sz w:val="22"/>
          <w:szCs w:val="22"/>
        </w:rPr>
        <w:t xml:space="preserve"> </w:t>
      </w:r>
      <w:r w:rsidRPr="0003345D">
        <w:rPr>
          <w:rFonts w:ascii="Arial" w:eastAsia="Times New Roman" w:hAnsi="Arial" w:cs="Arial"/>
          <w:sz w:val="22"/>
          <w:szCs w:val="22"/>
        </w:rPr>
        <w:t>the recommendation</w:t>
      </w:r>
      <w:r w:rsidRPr="0003345D">
        <w:rPr>
          <w:rFonts w:ascii="Arial" w:eastAsia="Times New Roman" w:hAnsi="Arial" w:cs="Arial"/>
          <w:b/>
          <w:sz w:val="22"/>
          <w:szCs w:val="22"/>
        </w:rPr>
        <w:t xml:space="preserve"> </w:t>
      </w:r>
      <w:r w:rsidRPr="0003345D">
        <w:rPr>
          <w:rFonts w:ascii="Arial" w:eastAsia="Times New Roman" w:hAnsi="Arial" w:cs="Arial"/>
          <w:sz w:val="22"/>
          <w:szCs w:val="22"/>
        </w:rPr>
        <w:t>and makes</w:t>
      </w:r>
      <w:r w:rsidRPr="0003345D">
        <w:rPr>
          <w:rFonts w:ascii="Arial" w:eastAsia="Times New Roman" w:hAnsi="Arial" w:cs="Arial"/>
          <w:b/>
          <w:sz w:val="22"/>
          <w:szCs w:val="22"/>
        </w:rPr>
        <w:t xml:space="preserve"> </w:t>
      </w:r>
      <w:r w:rsidRPr="0003345D">
        <w:rPr>
          <w:rFonts w:ascii="Arial" w:eastAsia="Times New Roman" w:hAnsi="Arial" w:cs="Arial"/>
          <w:sz w:val="22"/>
          <w:szCs w:val="22"/>
        </w:rPr>
        <w:t>the following observations.</w:t>
      </w:r>
    </w:p>
    <w:p w14:paraId="6EAC64DA" w14:textId="77777777" w:rsidR="00350157" w:rsidRDefault="00350157" w:rsidP="00DF5E51">
      <w:pPr>
        <w:spacing w:before="120" w:after="120" w:line="240" w:lineRule="auto"/>
        <w:ind w:left="43"/>
        <w:rPr>
          <w:rFonts w:ascii="Arial" w:eastAsia="Times New Roman" w:hAnsi="Arial" w:cs="Arial"/>
          <w:bCs/>
          <w:sz w:val="22"/>
          <w:szCs w:val="22"/>
          <w:lang w:val="en-GB"/>
        </w:rPr>
      </w:pPr>
      <w:r w:rsidRPr="0003345D">
        <w:rPr>
          <w:rFonts w:ascii="Arial" w:eastAsia="Times New Roman" w:hAnsi="Arial" w:cs="Arial"/>
          <w:bCs/>
          <w:sz w:val="22"/>
          <w:szCs w:val="22"/>
          <w:lang w:val="en-GB"/>
        </w:rPr>
        <w:t>RN qualifications are currently delivered in the higher education system (</w:t>
      </w:r>
      <w:r w:rsidR="00B30876">
        <w:rPr>
          <w:rFonts w:ascii="Arial" w:eastAsia="Times New Roman" w:hAnsi="Arial" w:cs="Arial"/>
          <w:bCs/>
          <w:sz w:val="22"/>
          <w:szCs w:val="22"/>
          <w:lang w:val="en-GB"/>
        </w:rPr>
        <w:t xml:space="preserve">minimum of </w:t>
      </w:r>
      <w:r w:rsidRPr="0003345D">
        <w:rPr>
          <w:rFonts w:ascii="Arial" w:eastAsia="Times New Roman" w:hAnsi="Arial" w:cs="Arial"/>
          <w:bCs/>
          <w:sz w:val="22"/>
          <w:szCs w:val="22"/>
          <w:lang w:val="en-GB"/>
        </w:rPr>
        <w:t>Bachelor of Nursing), while E</w:t>
      </w:r>
      <w:r>
        <w:rPr>
          <w:rFonts w:ascii="Arial" w:eastAsia="Times New Roman" w:hAnsi="Arial" w:cs="Arial"/>
          <w:bCs/>
          <w:sz w:val="22"/>
          <w:szCs w:val="22"/>
          <w:lang w:val="en-GB"/>
        </w:rPr>
        <w:t xml:space="preserve">nrolled </w:t>
      </w:r>
      <w:r w:rsidRPr="0003345D">
        <w:rPr>
          <w:rFonts w:ascii="Arial" w:eastAsia="Times New Roman" w:hAnsi="Arial" w:cs="Arial"/>
          <w:bCs/>
          <w:sz w:val="22"/>
          <w:szCs w:val="22"/>
          <w:lang w:val="en-GB"/>
        </w:rPr>
        <w:t>N</w:t>
      </w:r>
      <w:r>
        <w:rPr>
          <w:rFonts w:ascii="Arial" w:eastAsia="Times New Roman" w:hAnsi="Arial" w:cs="Arial"/>
          <w:bCs/>
          <w:sz w:val="22"/>
          <w:szCs w:val="22"/>
          <w:lang w:val="en-GB"/>
        </w:rPr>
        <w:t>urse (EN)</w:t>
      </w:r>
      <w:r w:rsidRPr="0003345D">
        <w:rPr>
          <w:rFonts w:ascii="Arial" w:eastAsia="Times New Roman" w:hAnsi="Arial" w:cs="Arial"/>
          <w:bCs/>
          <w:sz w:val="22"/>
          <w:szCs w:val="22"/>
          <w:lang w:val="en-GB"/>
        </w:rPr>
        <w:t xml:space="preserve"> qualifications are delivered in the vocational education and training (VET) system (Diploma of Nursing).</w:t>
      </w:r>
    </w:p>
    <w:p w14:paraId="66A5E865" w14:textId="77777777" w:rsidR="00350157" w:rsidRDefault="00350157" w:rsidP="00DF5E51">
      <w:pPr>
        <w:spacing w:before="120" w:after="120" w:line="240" w:lineRule="auto"/>
        <w:ind w:left="43"/>
        <w:rPr>
          <w:rFonts w:ascii="Arial" w:eastAsia="Times New Roman" w:hAnsi="Arial" w:cs="Arial"/>
          <w:bCs/>
          <w:sz w:val="22"/>
          <w:szCs w:val="22"/>
          <w:lang w:val="en-GB"/>
        </w:rPr>
      </w:pPr>
      <w:r w:rsidRPr="0003345D">
        <w:rPr>
          <w:rFonts w:ascii="Arial" w:eastAsia="Times New Roman" w:hAnsi="Arial" w:cs="Arial"/>
          <w:bCs/>
          <w:sz w:val="22"/>
          <w:szCs w:val="22"/>
          <w:lang w:val="en-GB"/>
        </w:rPr>
        <w:t>The Australian Qualifications Framework (AQF) allows education providers to design nested qualifications, which provide for different qualifications to be issued at defined exit points within an overall qualification. The Higher Education Standards Panel (HESP), in its 2017 report Improving retention, completion and success in higher education recommended that institutions should increasingly offer nested courses, which are appropriate and compliant with the AQF, to give students a greater range of exit options with meaningful qualifications. With careful design and appropriate articulation agreements, this could include the possibility of integrated Diploma and Bachelor of Nursing pathways that combine delivery across the VET and higher education systems.</w:t>
      </w:r>
    </w:p>
    <w:p w14:paraId="05D1456F" w14:textId="77777777" w:rsidR="00350157" w:rsidRPr="0003345D" w:rsidRDefault="00350157" w:rsidP="00DF5E51">
      <w:pPr>
        <w:spacing w:before="120" w:after="120" w:line="240" w:lineRule="auto"/>
        <w:ind w:left="43"/>
        <w:rPr>
          <w:rFonts w:ascii="Arial" w:eastAsia="Times New Roman" w:hAnsi="Arial" w:cs="Arial"/>
          <w:bCs/>
          <w:sz w:val="22"/>
          <w:szCs w:val="22"/>
          <w:lang w:val="en-GB"/>
        </w:rPr>
      </w:pPr>
      <w:r w:rsidRPr="0003345D">
        <w:rPr>
          <w:rFonts w:ascii="Arial" w:eastAsia="Times New Roman" w:hAnsi="Arial" w:cs="Arial"/>
          <w:bCs/>
          <w:sz w:val="22"/>
          <w:szCs w:val="22"/>
          <w:lang w:val="en-GB"/>
        </w:rPr>
        <w:t>While an Associate Degree in Health Sciences, or similar qualification, could potentially be nested within a Bachelor of Nursing degree, this would not currently enable a graduate to enter the nursing profession without further study. If it were proposed that a nested associate degree would lead to an EN qualification, the Australian Government would need to engage with state and territory governments to examine the financial implications for the Commonwealth</w:t>
      </w:r>
      <w:r w:rsidR="00066A17">
        <w:rPr>
          <w:rFonts w:ascii="Arial" w:eastAsia="Times New Roman" w:hAnsi="Arial" w:cs="Arial"/>
          <w:bCs/>
          <w:sz w:val="22"/>
          <w:szCs w:val="22"/>
          <w:lang w:val="en-GB"/>
        </w:rPr>
        <w:t xml:space="preserve">, of creating </w:t>
      </w:r>
      <w:r w:rsidRPr="0003345D">
        <w:rPr>
          <w:rFonts w:ascii="Arial" w:eastAsia="Times New Roman" w:hAnsi="Arial" w:cs="Arial"/>
          <w:bCs/>
          <w:sz w:val="22"/>
          <w:szCs w:val="22"/>
          <w:lang w:val="en-GB"/>
        </w:rPr>
        <w:t>an additional higher education nursing qualification and the potential impact on registered training organisations (RTO) of any shift in enrolments.</w:t>
      </w:r>
    </w:p>
    <w:p w14:paraId="48616587" w14:textId="77777777" w:rsidR="00350157" w:rsidRDefault="00350157" w:rsidP="00DF5E51">
      <w:pPr>
        <w:spacing w:before="120" w:after="120" w:line="240" w:lineRule="auto"/>
        <w:ind w:left="43"/>
        <w:rPr>
          <w:rFonts w:ascii="Arial" w:eastAsia="Times New Roman" w:hAnsi="Arial" w:cs="Arial"/>
          <w:bCs/>
          <w:sz w:val="22"/>
          <w:szCs w:val="22"/>
          <w:lang w:val="en-GB"/>
        </w:rPr>
      </w:pPr>
      <w:r w:rsidRPr="0003345D">
        <w:rPr>
          <w:rFonts w:ascii="Arial" w:eastAsia="Times New Roman" w:hAnsi="Arial" w:cs="Arial"/>
          <w:bCs/>
          <w:sz w:val="22"/>
          <w:szCs w:val="22"/>
          <w:lang w:val="en-GB"/>
        </w:rPr>
        <w:t>Australian universities are autonomous institutions and have the flexibility to determine their student admission policies, course requirements and procedures for each degree course they offer. This includes determining course content and duration. Under the NRAS, however, nursing qualifications must be accredited by the appropriate accreditation body, in this case ANMAC.</w:t>
      </w:r>
    </w:p>
    <w:p w14:paraId="5B80BA57" w14:textId="77777777" w:rsidR="00350157" w:rsidRPr="006D7CAA" w:rsidRDefault="00350157" w:rsidP="00DF5E51">
      <w:pPr>
        <w:spacing w:before="120" w:after="120" w:line="240" w:lineRule="auto"/>
        <w:rPr>
          <w:rFonts w:ascii="Arial" w:eastAsia="Times New Roman" w:hAnsi="Arial" w:cs="Arial"/>
          <w:bCs/>
          <w:sz w:val="22"/>
          <w:szCs w:val="22"/>
          <w:lang w:val="en-GB"/>
        </w:rPr>
      </w:pPr>
      <w:r w:rsidRPr="006D7CAA">
        <w:rPr>
          <w:rFonts w:ascii="Arial" w:eastAsia="Times New Roman" w:hAnsi="Arial" w:cs="Arial"/>
          <w:sz w:val="22"/>
          <w:szCs w:val="22"/>
          <w:lang w:val="en-GB"/>
        </w:rPr>
        <w:t xml:space="preserve">It is </w:t>
      </w:r>
      <w:r w:rsidRPr="00670D34">
        <w:rPr>
          <w:rFonts w:ascii="Arial" w:eastAsia="Times New Roman" w:hAnsi="Arial" w:cs="Arial"/>
          <w:sz w:val="22"/>
          <w:szCs w:val="22"/>
          <w:lang w:val="en-GB"/>
        </w:rPr>
        <w:t>noted</w:t>
      </w:r>
      <w:r w:rsidRPr="006D7CAA">
        <w:rPr>
          <w:rFonts w:ascii="Arial" w:eastAsia="Times New Roman" w:hAnsi="Arial" w:cs="Arial"/>
          <w:sz w:val="22"/>
          <w:szCs w:val="22"/>
          <w:lang w:val="en-GB"/>
        </w:rPr>
        <w:t xml:space="preserve"> </w:t>
      </w:r>
      <w:r w:rsidR="003B748E">
        <w:rPr>
          <w:rFonts w:ascii="Arial" w:eastAsia="Times New Roman" w:hAnsi="Arial" w:cs="Arial"/>
          <w:sz w:val="22"/>
          <w:szCs w:val="22"/>
          <w:lang w:val="en-GB"/>
        </w:rPr>
        <w:t xml:space="preserve">the need for </w:t>
      </w:r>
      <w:r w:rsidRPr="006D7CAA">
        <w:rPr>
          <w:rFonts w:ascii="Arial" w:eastAsia="Times New Roman" w:hAnsi="Arial" w:cs="Arial"/>
          <w:bCs/>
          <w:sz w:val="22"/>
          <w:szCs w:val="22"/>
          <w:lang w:val="en-GB"/>
        </w:rPr>
        <w:t xml:space="preserve">this recommendation </w:t>
      </w:r>
      <w:r w:rsidR="003B748E">
        <w:rPr>
          <w:rFonts w:ascii="Arial" w:eastAsia="Times New Roman" w:hAnsi="Arial" w:cs="Arial"/>
          <w:bCs/>
          <w:sz w:val="22"/>
          <w:szCs w:val="22"/>
          <w:lang w:val="en-GB"/>
        </w:rPr>
        <w:t>should be</w:t>
      </w:r>
      <w:r w:rsidR="003B748E" w:rsidRPr="006D7CAA">
        <w:rPr>
          <w:rFonts w:ascii="Arial" w:eastAsia="Times New Roman" w:hAnsi="Arial" w:cs="Arial"/>
          <w:bCs/>
          <w:sz w:val="22"/>
          <w:szCs w:val="22"/>
          <w:lang w:val="en-GB"/>
        </w:rPr>
        <w:t xml:space="preserve"> </w:t>
      </w:r>
      <w:r w:rsidRPr="006D7CAA">
        <w:rPr>
          <w:rFonts w:ascii="Arial" w:eastAsia="Times New Roman" w:hAnsi="Arial" w:cs="Arial"/>
          <w:bCs/>
          <w:sz w:val="22"/>
          <w:szCs w:val="22"/>
          <w:lang w:val="en-GB"/>
        </w:rPr>
        <w:t>considered</w:t>
      </w:r>
      <w:r w:rsidR="003B748E">
        <w:rPr>
          <w:rFonts w:ascii="Arial" w:eastAsia="Times New Roman" w:hAnsi="Arial" w:cs="Arial"/>
          <w:bCs/>
          <w:sz w:val="22"/>
          <w:szCs w:val="22"/>
          <w:lang w:val="en-GB"/>
        </w:rPr>
        <w:t xml:space="preserve"> </w:t>
      </w:r>
      <w:r w:rsidRPr="006D7CAA">
        <w:rPr>
          <w:rFonts w:ascii="Arial" w:eastAsia="Times New Roman" w:hAnsi="Arial" w:cs="Arial"/>
          <w:bCs/>
          <w:sz w:val="22"/>
          <w:szCs w:val="22"/>
          <w:lang w:val="en-GB"/>
        </w:rPr>
        <w:t xml:space="preserve">after the implementation of </w:t>
      </w:r>
      <w:r w:rsidRPr="006D7CAA">
        <w:rPr>
          <w:rFonts w:ascii="Arial" w:eastAsia="Times New Roman" w:hAnsi="Arial" w:cs="Arial"/>
          <w:b/>
          <w:bCs/>
          <w:sz w:val="22"/>
          <w:szCs w:val="22"/>
          <w:lang w:val="en-GB"/>
        </w:rPr>
        <w:t>recommendations 4, 6, 7 and 10</w:t>
      </w:r>
      <w:r w:rsidRPr="006D7CAA">
        <w:rPr>
          <w:rFonts w:ascii="Arial" w:eastAsia="Times New Roman" w:hAnsi="Arial" w:cs="Arial"/>
          <w:bCs/>
          <w:sz w:val="22"/>
          <w:szCs w:val="22"/>
          <w:lang w:val="en-GB"/>
        </w:rPr>
        <w:t xml:space="preserve"> as the implementation of these may impact on the need (or not) for changes in program length. Also </w:t>
      </w:r>
      <w:r w:rsidRPr="00670D34">
        <w:rPr>
          <w:rFonts w:ascii="Arial" w:eastAsia="Times New Roman" w:hAnsi="Arial" w:cs="Arial"/>
          <w:bCs/>
          <w:sz w:val="22"/>
          <w:szCs w:val="22"/>
          <w:lang w:val="en-GB"/>
        </w:rPr>
        <w:t>noted</w:t>
      </w:r>
      <w:r w:rsidRPr="006D7CAA">
        <w:rPr>
          <w:rFonts w:ascii="Arial" w:eastAsia="Times New Roman" w:hAnsi="Arial" w:cs="Arial"/>
          <w:bCs/>
          <w:sz w:val="22"/>
          <w:szCs w:val="22"/>
          <w:lang w:val="en-GB"/>
        </w:rPr>
        <w:t xml:space="preserve"> is the overlap with </w:t>
      </w:r>
      <w:r w:rsidRPr="006D7CAA">
        <w:rPr>
          <w:rFonts w:ascii="Arial" w:eastAsia="Times New Roman" w:hAnsi="Arial" w:cs="Arial"/>
          <w:b/>
          <w:bCs/>
          <w:sz w:val="22"/>
          <w:szCs w:val="22"/>
          <w:lang w:val="en-GB"/>
        </w:rPr>
        <w:t>recommendation 15</w:t>
      </w:r>
      <w:r w:rsidRPr="006D7CAA">
        <w:rPr>
          <w:rFonts w:ascii="Arial" w:eastAsia="Times New Roman" w:hAnsi="Arial" w:cs="Arial"/>
          <w:bCs/>
          <w:sz w:val="22"/>
          <w:szCs w:val="22"/>
          <w:lang w:val="en-GB"/>
        </w:rPr>
        <w:t>.</w:t>
      </w:r>
    </w:p>
    <w:p w14:paraId="747994B0" w14:textId="77777777" w:rsidR="00350157" w:rsidRPr="006E4761" w:rsidRDefault="00350157" w:rsidP="00E94D35">
      <w:pPr>
        <w:pStyle w:val="Heading2"/>
        <w:spacing w:before="120" w:after="120" w:line="240" w:lineRule="auto"/>
        <w:rPr>
          <w:rFonts w:ascii="Arial" w:eastAsia="Times New Roman" w:hAnsi="Arial" w:cs="Arial"/>
        </w:rPr>
      </w:pPr>
      <w:bookmarkStart w:id="29" w:name="_Toc57387183"/>
      <w:r w:rsidRPr="006D7CAA">
        <w:rPr>
          <w:rFonts w:ascii="Arial" w:eastAsia="Times New Roman" w:hAnsi="Arial" w:cs="Arial"/>
        </w:rPr>
        <w:t>Standards for transition to practice programs</w:t>
      </w:r>
      <w:bookmarkEnd w:id="29"/>
    </w:p>
    <w:tbl>
      <w:tblPr>
        <w:tblStyle w:val="TableGrid"/>
        <w:tblW w:w="0" w:type="auto"/>
        <w:tblLook w:val="04A0" w:firstRow="1" w:lastRow="0" w:firstColumn="1" w:lastColumn="0" w:noHBand="0" w:noVBand="1"/>
      </w:tblPr>
      <w:tblGrid>
        <w:gridCol w:w="9016"/>
      </w:tblGrid>
      <w:tr w:rsidR="00350157" w:rsidRPr="006D7CAA" w14:paraId="04951B54" w14:textId="77777777" w:rsidTr="00A470CF">
        <w:trPr>
          <w:trHeight w:val="1085"/>
        </w:trPr>
        <w:tc>
          <w:tcPr>
            <w:tcW w:w="9016" w:type="dxa"/>
          </w:tcPr>
          <w:p w14:paraId="774A1227" w14:textId="77777777" w:rsidR="00350157" w:rsidRPr="006D7CAA" w:rsidRDefault="00350157" w:rsidP="00A470CF">
            <w:pPr>
              <w:pStyle w:val="Heading3"/>
              <w:outlineLvl w:val="2"/>
              <w:rPr>
                <w:rFonts w:ascii="Arial" w:eastAsia="Times New Roman" w:hAnsi="Arial" w:cs="Arial"/>
              </w:rPr>
            </w:pPr>
            <w:bookmarkStart w:id="30" w:name="_Toc57387184"/>
            <w:r w:rsidRPr="006D7CAA">
              <w:rPr>
                <w:rFonts w:ascii="Arial" w:eastAsia="Times New Roman" w:hAnsi="Arial" w:cs="Arial"/>
              </w:rPr>
              <w:t>Recommendation 13</w:t>
            </w:r>
            <w:bookmarkEnd w:id="30"/>
          </w:p>
          <w:p w14:paraId="6FA769DC"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NMBA and ANMAC should establish a national web-based transition-to-practice (TTP). The TTP should be flexible enough to be tailored to the individual needs and circumstances of different workplaces. Completing this TTP should be a requirement for all nurses in their first year. </w:t>
            </w:r>
          </w:p>
        </w:tc>
      </w:tr>
    </w:tbl>
    <w:p w14:paraId="67462979" w14:textId="77777777" w:rsidR="00350157" w:rsidRPr="006F417D" w:rsidRDefault="00350157" w:rsidP="00DF5E51">
      <w:pPr>
        <w:spacing w:before="120" w:after="120" w:line="240" w:lineRule="auto"/>
        <w:rPr>
          <w:rFonts w:ascii="Arial" w:hAnsi="Arial" w:cs="Arial"/>
          <w:b/>
        </w:rPr>
      </w:pPr>
      <w:r w:rsidRPr="006F417D">
        <w:rPr>
          <w:rFonts w:ascii="Arial" w:hAnsi="Arial" w:cs="Arial"/>
          <w:b/>
        </w:rPr>
        <w:t xml:space="preserve">Australian Government response </w:t>
      </w:r>
    </w:p>
    <w:p w14:paraId="09B1FD7F" w14:textId="77777777" w:rsidR="006A2B27" w:rsidRPr="00670D34" w:rsidRDefault="009D004C">
      <w:pPr>
        <w:spacing w:before="120" w:after="120" w:line="240" w:lineRule="auto"/>
        <w:rPr>
          <w:rFonts w:ascii="Arial" w:eastAsia="Times New Roman" w:hAnsi="Arial" w:cs="Arial"/>
          <w:sz w:val="22"/>
          <w:szCs w:val="22"/>
        </w:rPr>
      </w:pPr>
      <w:r>
        <w:rPr>
          <w:rFonts w:ascii="Arial" w:eastAsia="Times New Roman" w:hAnsi="Arial" w:cs="Arial"/>
          <w:sz w:val="22"/>
          <w:szCs w:val="22"/>
        </w:rPr>
        <w:t xml:space="preserve">The </w:t>
      </w:r>
      <w:r w:rsidRPr="00670D34">
        <w:rPr>
          <w:rFonts w:ascii="Arial" w:eastAsia="Times New Roman" w:hAnsi="Arial" w:cs="Arial"/>
          <w:sz w:val="22"/>
          <w:szCs w:val="22"/>
        </w:rPr>
        <w:t xml:space="preserve">Government notes this recommendation </w:t>
      </w:r>
      <w:r w:rsidR="006A2B27" w:rsidRPr="00670D34">
        <w:rPr>
          <w:rFonts w:ascii="Arial" w:eastAsia="Times New Roman" w:hAnsi="Arial" w:cs="Arial"/>
          <w:sz w:val="22"/>
          <w:szCs w:val="22"/>
        </w:rPr>
        <w:t>and acknowledge the importance of quality TTPs.</w:t>
      </w:r>
    </w:p>
    <w:p w14:paraId="0C56B241" w14:textId="77777777" w:rsidR="007A6D62" w:rsidRPr="00670D34" w:rsidRDefault="007A6D62">
      <w:pPr>
        <w:spacing w:before="120" w:after="120" w:line="240" w:lineRule="auto"/>
        <w:rPr>
          <w:rFonts w:ascii="Arial" w:eastAsia="Times New Roman" w:hAnsi="Arial" w:cs="Arial"/>
          <w:sz w:val="22"/>
          <w:szCs w:val="22"/>
        </w:rPr>
      </w:pPr>
      <w:r>
        <w:rPr>
          <w:rFonts w:ascii="Arial" w:eastAsia="Times New Roman" w:hAnsi="Arial" w:cs="Arial"/>
          <w:sz w:val="22"/>
          <w:szCs w:val="22"/>
        </w:rPr>
        <w:t xml:space="preserve">The Government has funded the establishment of an aged care transition to practice program. </w:t>
      </w:r>
      <w:r w:rsidRPr="000011BA">
        <w:rPr>
          <w:rFonts w:ascii="Arial" w:eastAsia="Times New Roman" w:hAnsi="Arial" w:cs="Arial"/>
          <w:sz w:val="22"/>
          <w:szCs w:val="22"/>
        </w:rPr>
        <w:t>The program will guide new nurses in their first year of clinical practice through mentorship, professional development and specialist clinical training.</w:t>
      </w:r>
    </w:p>
    <w:p w14:paraId="7501152B" w14:textId="77777777" w:rsidR="00C03243" w:rsidRPr="00670D34" w:rsidRDefault="006A2B27">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notes that </w:t>
      </w:r>
      <w:r w:rsidR="00C03243" w:rsidRPr="00670D34">
        <w:rPr>
          <w:rFonts w:ascii="Arial" w:eastAsia="Times New Roman" w:hAnsi="Arial" w:cs="Arial"/>
          <w:sz w:val="22"/>
          <w:szCs w:val="22"/>
        </w:rPr>
        <w:t xml:space="preserve">TTPs have been developed by state governments, private health networks, and </w:t>
      </w:r>
      <w:proofErr w:type="spellStart"/>
      <w:r w:rsidR="00C03243" w:rsidRPr="00670D34">
        <w:rPr>
          <w:rFonts w:ascii="Arial" w:eastAsia="Times New Roman" w:hAnsi="Arial" w:cs="Arial"/>
          <w:sz w:val="22"/>
          <w:szCs w:val="22"/>
        </w:rPr>
        <w:t>CATSINaM</w:t>
      </w:r>
      <w:proofErr w:type="spellEnd"/>
      <w:r w:rsidR="00C03243" w:rsidRPr="00670D34">
        <w:rPr>
          <w:rFonts w:ascii="Arial" w:eastAsia="Times New Roman" w:hAnsi="Arial" w:cs="Arial"/>
          <w:sz w:val="22"/>
          <w:szCs w:val="22"/>
        </w:rPr>
        <w:t xml:space="preserve"> to address the individual needs of the workplace and the profession.</w:t>
      </w:r>
    </w:p>
    <w:p w14:paraId="4595FD3E" w14:textId="77777777" w:rsidR="00C03243" w:rsidRDefault="00C03243" w:rsidP="00C03243">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lastRenderedPageBreak/>
        <w:t>The Government supports NMMEAN</w:t>
      </w:r>
      <w:r>
        <w:rPr>
          <w:rFonts w:ascii="Arial" w:eastAsia="Times New Roman" w:hAnsi="Arial" w:cs="Arial"/>
          <w:b/>
          <w:sz w:val="22"/>
          <w:szCs w:val="22"/>
        </w:rPr>
        <w:t xml:space="preserve"> </w:t>
      </w:r>
      <w:r w:rsidR="00A12ACA">
        <w:rPr>
          <w:rFonts w:ascii="Arial" w:eastAsia="Times New Roman" w:hAnsi="Arial" w:cs="Arial"/>
          <w:sz w:val="22"/>
          <w:szCs w:val="22"/>
        </w:rPr>
        <w:t xml:space="preserve">engaging with TTP providers to encourage </w:t>
      </w:r>
      <w:r>
        <w:rPr>
          <w:rFonts w:ascii="Arial" w:eastAsia="Times New Roman" w:hAnsi="Arial" w:cs="Arial"/>
          <w:sz w:val="22"/>
          <w:szCs w:val="22"/>
        </w:rPr>
        <w:t>evaluati</w:t>
      </w:r>
      <w:r w:rsidR="00A12ACA">
        <w:rPr>
          <w:rFonts w:ascii="Arial" w:eastAsia="Times New Roman" w:hAnsi="Arial" w:cs="Arial"/>
          <w:sz w:val="22"/>
          <w:szCs w:val="22"/>
        </w:rPr>
        <w:t>on of</w:t>
      </w:r>
      <w:r>
        <w:rPr>
          <w:rFonts w:ascii="Arial" w:eastAsia="Times New Roman" w:hAnsi="Arial" w:cs="Arial"/>
          <w:sz w:val="22"/>
          <w:szCs w:val="22"/>
        </w:rPr>
        <w:t xml:space="preserve"> </w:t>
      </w:r>
      <w:r w:rsidR="00A12ACA">
        <w:rPr>
          <w:rFonts w:ascii="Arial" w:eastAsia="Times New Roman" w:hAnsi="Arial" w:cs="Arial"/>
          <w:sz w:val="22"/>
          <w:szCs w:val="22"/>
        </w:rPr>
        <w:t xml:space="preserve">their </w:t>
      </w:r>
      <w:r>
        <w:rPr>
          <w:rFonts w:ascii="Arial" w:eastAsia="Times New Roman" w:hAnsi="Arial" w:cs="Arial"/>
          <w:sz w:val="22"/>
          <w:szCs w:val="22"/>
        </w:rPr>
        <w:t xml:space="preserve">TTPs to ensure they are achieving their objectives. </w:t>
      </w:r>
    </w:p>
    <w:p w14:paraId="26211FA6" w14:textId="77777777" w:rsidR="00350157" w:rsidRPr="006D7CAA" w:rsidRDefault="00350157" w:rsidP="00350157">
      <w:pPr>
        <w:pStyle w:val="Heading1"/>
        <w:rPr>
          <w:rFonts w:ascii="Arial" w:eastAsia="Times New Roman" w:hAnsi="Arial" w:cs="Arial"/>
        </w:rPr>
      </w:pPr>
      <w:bookmarkStart w:id="31" w:name="_Toc57387185"/>
      <w:r w:rsidRPr="006D7CAA">
        <w:rPr>
          <w:rFonts w:ascii="Arial" w:eastAsia="Times New Roman" w:hAnsi="Arial" w:cs="Arial"/>
        </w:rPr>
        <w:t>BREAKING DOWN THE BARRIERS</w:t>
      </w:r>
      <w:bookmarkEnd w:id="31"/>
    </w:p>
    <w:p w14:paraId="5FC7DAE6" w14:textId="77777777" w:rsidR="00350157" w:rsidRPr="006E4761" w:rsidRDefault="00350157" w:rsidP="00DF5E51">
      <w:pPr>
        <w:pStyle w:val="Heading2"/>
        <w:spacing w:before="120" w:after="120" w:line="240" w:lineRule="auto"/>
        <w:rPr>
          <w:rFonts w:ascii="Arial" w:eastAsia="Times New Roman" w:hAnsi="Arial" w:cs="Arial"/>
        </w:rPr>
      </w:pPr>
      <w:bookmarkStart w:id="32" w:name="_Toc57387186"/>
      <w:r w:rsidRPr="006D7CAA">
        <w:rPr>
          <w:rFonts w:ascii="Arial" w:eastAsia="Times New Roman" w:hAnsi="Arial" w:cs="Arial"/>
        </w:rPr>
        <w:t>Raising the esteem of nursing</w:t>
      </w:r>
      <w:bookmarkEnd w:id="32"/>
    </w:p>
    <w:tbl>
      <w:tblPr>
        <w:tblStyle w:val="TableGrid"/>
        <w:tblW w:w="0" w:type="auto"/>
        <w:tblLook w:val="04A0" w:firstRow="1" w:lastRow="0" w:firstColumn="1" w:lastColumn="0" w:noHBand="0" w:noVBand="1"/>
      </w:tblPr>
      <w:tblGrid>
        <w:gridCol w:w="9016"/>
      </w:tblGrid>
      <w:tr w:rsidR="00350157" w:rsidRPr="006D7CAA" w14:paraId="711DE8A8" w14:textId="77777777" w:rsidTr="00A470CF">
        <w:trPr>
          <w:trHeight w:val="1085"/>
        </w:trPr>
        <w:tc>
          <w:tcPr>
            <w:tcW w:w="9016" w:type="dxa"/>
          </w:tcPr>
          <w:p w14:paraId="1125A138" w14:textId="77777777" w:rsidR="00350157" w:rsidRPr="006D7CAA" w:rsidRDefault="00350157" w:rsidP="00A470CF">
            <w:pPr>
              <w:pStyle w:val="Heading3"/>
              <w:outlineLvl w:val="2"/>
              <w:rPr>
                <w:rFonts w:ascii="Arial" w:eastAsia="Times New Roman" w:hAnsi="Arial" w:cs="Arial"/>
              </w:rPr>
            </w:pPr>
            <w:bookmarkStart w:id="33" w:name="_Toc57387187"/>
            <w:r w:rsidRPr="006D7CAA">
              <w:rPr>
                <w:rFonts w:ascii="Arial" w:eastAsia="Times New Roman" w:hAnsi="Arial" w:cs="Arial"/>
              </w:rPr>
              <w:t>Recommendation 14</w:t>
            </w:r>
            <w:bookmarkEnd w:id="33"/>
          </w:p>
          <w:p w14:paraId="6BA697E4"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The Commonwealth Department of Health should fund a national campaign designed to attract under-represented groups to nursing. NNMEAN should oversee the campaign and ensure that key stakeholders are engaged in its development and conduct. </w:t>
            </w:r>
          </w:p>
        </w:tc>
      </w:tr>
    </w:tbl>
    <w:p w14:paraId="2373655A" w14:textId="77777777" w:rsidR="00350157" w:rsidRPr="006D7CAA" w:rsidRDefault="00350157" w:rsidP="00DF5E51">
      <w:pPr>
        <w:spacing w:before="120" w:after="120" w:line="240" w:lineRule="auto"/>
        <w:rPr>
          <w:rFonts w:ascii="Arial" w:hAnsi="Arial" w:cs="Arial"/>
          <w:b/>
        </w:rPr>
      </w:pPr>
      <w:r w:rsidRPr="006D7CAA">
        <w:rPr>
          <w:rFonts w:ascii="Arial" w:hAnsi="Arial" w:cs="Arial"/>
          <w:b/>
        </w:rPr>
        <w:t>Australian Government response</w:t>
      </w:r>
    </w:p>
    <w:p w14:paraId="1D03EBF7" w14:textId="77777777" w:rsidR="00350157" w:rsidRPr="00670D34" w:rsidRDefault="00350157">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The </w:t>
      </w:r>
      <w:r w:rsidRPr="00670D34">
        <w:rPr>
          <w:rFonts w:ascii="Arial" w:eastAsia="Times New Roman" w:hAnsi="Arial" w:cs="Arial"/>
          <w:sz w:val="22"/>
          <w:szCs w:val="22"/>
        </w:rPr>
        <w:t xml:space="preserve">Government notes that ANMAC requires education providers to promote equity and diversity in enrolment, assessment and progression policies. ANMAC also requires that under-represented groups in the nursing profession, especially those from culturally, socially and linguistically diverse backgrounds, are encouraged to apply for nursing programs. </w:t>
      </w:r>
    </w:p>
    <w:p w14:paraId="3A801409" w14:textId="77777777" w:rsidR="00655E25" w:rsidRPr="00670D34" w:rsidRDefault="00D12B3A">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The Government also notes the responsibility for widening participation in the nursing profession by under-represented groups should not sit solely with education providers.</w:t>
      </w:r>
      <w:r w:rsidR="00C432AF" w:rsidRPr="00670D34">
        <w:rPr>
          <w:rFonts w:ascii="Arial" w:eastAsia="Times New Roman" w:hAnsi="Arial" w:cs="Arial"/>
          <w:sz w:val="22"/>
          <w:szCs w:val="22"/>
        </w:rPr>
        <w:t xml:space="preserve"> </w:t>
      </w:r>
    </w:p>
    <w:p w14:paraId="5E8D64AD" w14:textId="77777777" w:rsidR="00BE7294" w:rsidRPr="00E50AE2" w:rsidRDefault="00BE7294">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The Government will explore opportunities</w:t>
      </w:r>
      <w:r>
        <w:rPr>
          <w:rFonts w:ascii="Arial" w:eastAsia="Times New Roman" w:hAnsi="Arial" w:cs="Arial"/>
          <w:sz w:val="22"/>
          <w:szCs w:val="22"/>
        </w:rPr>
        <w:t xml:space="preserve"> </w:t>
      </w:r>
      <w:r w:rsidR="00F30AF0">
        <w:rPr>
          <w:rFonts w:ascii="Arial" w:eastAsia="Times New Roman" w:hAnsi="Arial" w:cs="Arial"/>
          <w:sz w:val="22"/>
          <w:szCs w:val="22"/>
        </w:rPr>
        <w:t xml:space="preserve">to widen participation of under-represented groups within </w:t>
      </w:r>
      <w:r w:rsidR="00C7528B">
        <w:rPr>
          <w:rFonts w:ascii="Arial" w:eastAsia="Times New Roman" w:hAnsi="Arial" w:cs="Arial"/>
          <w:sz w:val="22"/>
          <w:szCs w:val="22"/>
        </w:rPr>
        <w:t>emerging</w:t>
      </w:r>
      <w:r w:rsidR="00F30AF0">
        <w:rPr>
          <w:rFonts w:ascii="Arial" w:eastAsia="Times New Roman" w:hAnsi="Arial" w:cs="Arial"/>
          <w:sz w:val="22"/>
          <w:szCs w:val="22"/>
        </w:rPr>
        <w:t xml:space="preserve"> strategies that target the nursing workforce. </w:t>
      </w:r>
    </w:p>
    <w:p w14:paraId="715C1EA8" w14:textId="77777777" w:rsidR="00350157" w:rsidRPr="006D7CAA" w:rsidRDefault="00350157" w:rsidP="00C7528B">
      <w:pPr>
        <w:pStyle w:val="Heading2"/>
        <w:spacing w:before="120" w:after="120" w:line="240" w:lineRule="auto"/>
        <w:rPr>
          <w:rFonts w:ascii="Arial" w:eastAsia="Times New Roman" w:hAnsi="Arial" w:cs="Arial"/>
        </w:rPr>
      </w:pPr>
      <w:bookmarkStart w:id="34" w:name="_Toc57387188"/>
      <w:r w:rsidRPr="006D7CAA">
        <w:rPr>
          <w:rFonts w:ascii="Arial" w:eastAsia="Times New Roman" w:hAnsi="Arial" w:cs="Arial"/>
        </w:rPr>
        <w:t>Using articulation to widen participation</w:t>
      </w:r>
      <w:bookmarkEnd w:id="34"/>
    </w:p>
    <w:tbl>
      <w:tblPr>
        <w:tblStyle w:val="TableGrid"/>
        <w:tblW w:w="0" w:type="auto"/>
        <w:tblLook w:val="04A0" w:firstRow="1" w:lastRow="0" w:firstColumn="1" w:lastColumn="0" w:noHBand="0" w:noVBand="1"/>
      </w:tblPr>
      <w:tblGrid>
        <w:gridCol w:w="9016"/>
      </w:tblGrid>
      <w:tr w:rsidR="00350157" w:rsidRPr="006D7CAA" w14:paraId="6FB2BBBA" w14:textId="77777777" w:rsidTr="00A470CF">
        <w:trPr>
          <w:trHeight w:val="1338"/>
        </w:trPr>
        <w:tc>
          <w:tcPr>
            <w:tcW w:w="9016" w:type="dxa"/>
          </w:tcPr>
          <w:p w14:paraId="7610FCC1" w14:textId="77777777" w:rsidR="00350157" w:rsidRPr="006D7CAA" w:rsidRDefault="00350157" w:rsidP="00A470CF">
            <w:pPr>
              <w:pStyle w:val="Heading3"/>
              <w:outlineLvl w:val="2"/>
              <w:rPr>
                <w:rFonts w:ascii="Arial" w:eastAsia="Times New Roman" w:hAnsi="Arial" w:cs="Arial"/>
              </w:rPr>
            </w:pPr>
            <w:bookmarkStart w:id="35" w:name="_Recommendation_15"/>
            <w:bookmarkStart w:id="36" w:name="_Toc57387189"/>
            <w:bookmarkEnd w:id="35"/>
            <w:r w:rsidRPr="006D7CAA">
              <w:rPr>
                <w:rFonts w:ascii="Arial" w:eastAsia="Times New Roman" w:hAnsi="Arial" w:cs="Arial"/>
              </w:rPr>
              <w:t>Recommendation 15</w:t>
            </w:r>
            <w:bookmarkEnd w:id="36"/>
          </w:p>
          <w:p w14:paraId="04BD5D58"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HEPs should develop robust articulation arrangements from VET credentials to degrees. Exit points should allow students to work while continuing their studies. HEPs should also consider creating EN associate degrees to facilitate a smooth transition between EN and RN qualifications. </w:t>
            </w:r>
          </w:p>
        </w:tc>
      </w:tr>
    </w:tbl>
    <w:p w14:paraId="36D8C8B4"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Australian Government response</w:t>
      </w:r>
    </w:p>
    <w:p w14:paraId="35987E3A" w14:textId="77777777" w:rsidR="00350157" w:rsidRDefault="00350157" w:rsidP="00DF5E51">
      <w:pPr>
        <w:spacing w:before="120" w:after="120" w:line="240" w:lineRule="auto"/>
        <w:rPr>
          <w:rFonts w:ascii="Arial" w:eastAsia="Times New Roman" w:hAnsi="Arial" w:cs="Arial"/>
          <w:b/>
          <w:sz w:val="22"/>
          <w:szCs w:val="22"/>
        </w:rPr>
      </w:pPr>
      <w:r w:rsidRPr="006D7CAA">
        <w:rPr>
          <w:rFonts w:ascii="Arial" w:eastAsia="Times New Roman" w:hAnsi="Arial" w:cs="Arial"/>
          <w:sz w:val="22"/>
          <w:szCs w:val="22"/>
        </w:rPr>
        <w:t xml:space="preserve">The Government </w:t>
      </w:r>
      <w:r w:rsidRPr="00670D34">
        <w:rPr>
          <w:rFonts w:ascii="Arial" w:eastAsia="Times New Roman" w:hAnsi="Arial" w:cs="Arial"/>
          <w:sz w:val="22"/>
          <w:szCs w:val="22"/>
        </w:rPr>
        <w:t>notes</w:t>
      </w:r>
      <w:r w:rsidRPr="006D7CAA">
        <w:rPr>
          <w:rFonts w:ascii="Arial" w:eastAsia="Times New Roman" w:hAnsi="Arial" w:cs="Arial"/>
          <w:b/>
          <w:sz w:val="22"/>
          <w:szCs w:val="22"/>
        </w:rPr>
        <w:t xml:space="preserve"> </w:t>
      </w:r>
      <w:r w:rsidRPr="006D7CAA">
        <w:rPr>
          <w:rFonts w:ascii="Arial" w:eastAsia="Times New Roman" w:hAnsi="Arial" w:cs="Arial"/>
          <w:sz w:val="22"/>
          <w:szCs w:val="22"/>
        </w:rPr>
        <w:t>this recommendation</w:t>
      </w:r>
      <w:r>
        <w:rPr>
          <w:rFonts w:ascii="Arial" w:eastAsia="Times New Roman" w:hAnsi="Arial" w:cs="Arial"/>
          <w:b/>
          <w:sz w:val="22"/>
          <w:szCs w:val="22"/>
        </w:rPr>
        <w:t>.</w:t>
      </w:r>
    </w:p>
    <w:p w14:paraId="362F52EF" w14:textId="77777777" w:rsidR="00350157" w:rsidRPr="006F417D" w:rsidRDefault="00350157" w:rsidP="00C7528B">
      <w:pPr>
        <w:spacing w:before="120" w:after="120" w:line="240" w:lineRule="auto"/>
        <w:rPr>
          <w:rFonts w:ascii="Arial" w:eastAsia="Times New Roman" w:hAnsi="Arial" w:cs="Arial"/>
          <w:sz w:val="22"/>
          <w:szCs w:val="22"/>
        </w:rPr>
      </w:pPr>
      <w:r w:rsidRPr="006F417D">
        <w:rPr>
          <w:rFonts w:ascii="Arial" w:eastAsia="Times New Roman" w:hAnsi="Arial" w:cs="Arial"/>
          <w:sz w:val="22"/>
          <w:szCs w:val="22"/>
        </w:rPr>
        <w:t xml:space="preserve">The Government </w:t>
      </w:r>
      <w:r w:rsidR="00DF5E51" w:rsidRPr="00C7528B">
        <w:rPr>
          <w:rFonts w:ascii="Arial" w:eastAsia="Times New Roman" w:hAnsi="Arial" w:cs="Arial"/>
          <w:sz w:val="22"/>
          <w:szCs w:val="22"/>
        </w:rPr>
        <w:t>understands</w:t>
      </w:r>
      <w:r w:rsidR="00DF5E51" w:rsidRPr="00DF5E51">
        <w:rPr>
          <w:rFonts w:ascii="Arial" w:eastAsia="Times New Roman" w:hAnsi="Arial" w:cs="Arial"/>
          <w:sz w:val="22"/>
          <w:szCs w:val="22"/>
        </w:rPr>
        <w:t xml:space="preserve"> </w:t>
      </w:r>
      <w:r w:rsidRPr="006F417D">
        <w:rPr>
          <w:rFonts w:ascii="Arial" w:eastAsia="Times New Roman" w:hAnsi="Arial" w:cs="Arial"/>
          <w:sz w:val="22"/>
          <w:szCs w:val="22"/>
        </w:rPr>
        <w:t>that EN courses are vocationally based and offered through Registered Training Organisations (this includes the VET arm of some dual-sector universities). Under the AQF Qualifications Pathways Policy, all organisations issuing AQF qualifications are responsible for negotiating agreements to provide students with entry into or credit towards other AQF qualifications, as discussed above at Recommendation 12.</w:t>
      </w:r>
    </w:p>
    <w:p w14:paraId="508D68D3" w14:textId="77777777" w:rsidR="00350157" w:rsidRDefault="00350157" w:rsidP="00C7528B">
      <w:pPr>
        <w:spacing w:before="120" w:after="120" w:line="240" w:lineRule="auto"/>
        <w:rPr>
          <w:rFonts w:ascii="Arial" w:eastAsia="Times New Roman" w:hAnsi="Arial" w:cs="Arial"/>
          <w:sz w:val="22"/>
          <w:szCs w:val="22"/>
        </w:rPr>
      </w:pPr>
      <w:r w:rsidRPr="006F417D">
        <w:rPr>
          <w:rFonts w:ascii="Arial" w:eastAsia="Times New Roman" w:hAnsi="Arial" w:cs="Arial"/>
          <w:sz w:val="22"/>
          <w:szCs w:val="22"/>
        </w:rPr>
        <w:t xml:space="preserve">A recent review of the AQF recommended revising the framework to better recognise and encourage broader credit recognition, both within and between sectors. The Government has accepted the aims of the recommendations and will work with states and territories </w:t>
      </w:r>
      <w:r w:rsidR="00DF5E51">
        <w:rPr>
          <w:rFonts w:ascii="Arial" w:eastAsia="Times New Roman" w:hAnsi="Arial" w:cs="Arial"/>
          <w:sz w:val="22"/>
          <w:szCs w:val="22"/>
        </w:rPr>
        <w:t xml:space="preserve">and TEQSA </w:t>
      </w:r>
      <w:r w:rsidRPr="006F417D">
        <w:rPr>
          <w:rFonts w:ascii="Arial" w:eastAsia="Times New Roman" w:hAnsi="Arial" w:cs="Arial"/>
          <w:sz w:val="22"/>
          <w:szCs w:val="22"/>
        </w:rPr>
        <w:t>to create better pathways through tertiary education in a revised AQF.</w:t>
      </w:r>
    </w:p>
    <w:p w14:paraId="5BFB43DD" w14:textId="77777777" w:rsidR="00350157" w:rsidRPr="006D7CAA" w:rsidRDefault="00350157" w:rsidP="00C7528B">
      <w:pPr>
        <w:spacing w:before="120" w:after="120" w:line="240" w:lineRule="auto"/>
        <w:rPr>
          <w:rFonts w:ascii="Arial" w:eastAsia="Times New Roman" w:hAnsi="Arial" w:cs="Arial"/>
          <w:b/>
          <w:sz w:val="22"/>
          <w:szCs w:val="22"/>
        </w:rPr>
      </w:pPr>
      <w:r w:rsidRPr="006F417D">
        <w:rPr>
          <w:rFonts w:ascii="Arial" w:eastAsia="Times New Roman" w:hAnsi="Arial" w:cs="Arial"/>
          <w:sz w:val="22"/>
          <w:szCs w:val="22"/>
        </w:rPr>
        <w:t xml:space="preserve">Whether it would be possible to adequately prepare a student for entry to the profession as an EN through completion of an associate degree would be a matter for the NMBA and ANMAC to determine, in consultation with </w:t>
      </w:r>
      <w:r w:rsidR="00551C2E">
        <w:rPr>
          <w:rFonts w:ascii="Arial" w:eastAsia="Times New Roman" w:hAnsi="Arial" w:cs="Arial"/>
          <w:sz w:val="22"/>
          <w:szCs w:val="22"/>
        </w:rPr>
        <w:t>HEP</w:t>
      </w:r>
      <w:r w:rsidRPr="006F417D">
        <w:rPr>
          <w:rFonts w:ascii="Arial" w:eastAsia="Times New Roman" w:hAnsi="Arial" w:cs="Arial"/>
          <w:sz w:val="22"/>
          <w:szCs w:val="22"/>
        </w:rPr>
        <w:t>. However, as noted at Recommendation 12, this would potentially see a shift in enrolments from competency-based VET Diploma courses to the higher education system and would be a significant change, particularly for any RTOs that may lose enrolments. The Australian Government would need to engage with state and territory governments to examine the financial implications for the Commonwealth of creating an additional higher education nursing qualification and the potential impact on registered training organisations (RTO) of any shift in enrolments.</w:t>
      </w:r>
    </w:p>
    <w:p w14:paraId="51674DA0" w14:textId="77777777" w:rsidR="00350157" w:rsidRPr="006E4761" w:rsidRDefault="00350157" w:rsidP="00E94D35">
      <w:pPr>
        <w:pStyle w:val="Heading2"/>
        <w:spacing w:before="120" w:after="120" w:line="240" w:lineRule="auto"/>
        <w:rPr>
          <w:rFonts w:ascii="Arial" w:eastAsia="Times New Roman" w:hAnsi="Arial" w:cs="Arial"/>
        </w:rPr>
      </w:pPr>
      <w:bookmarkStart w:id="37" w:name="_Toc57387190"/>
      <w:r w:rsidRPr="006D7CAA">
        <w:rPr>
          <w:rFonts w:ascii="Arial" w:eastAsia="Times New Roman" w:hAnsi="Arial" w:cs="Arial"/>
        </w:rPr>
        <w:lastRenderedPageBreak/>
        <w:t>Widening Indigenous participation</w:t>
      </w:r>
      <w:bookmarkEnd w:id="37"/>
    </w:p>
    <w:tbl>
      <w:tblPr>
        <w:tblStyle w:val="TableGrid"/>
        <w:tblW w:w="0" w:type="auto"/>
        <w:tblLook w:val="04A0" w:firstRow="1" w:lastRow="0" w:firstColumn="1" w:lastColumn="0" w:noHBand="0" w:noVBand="1"/>
      </w:tblPr>
      <w:tblGrid>
        <w:gridCol w:w="9016"/>
      </w:tblGrid>
      <w:tr w:rsidR="00350157" w:rsidRPr="006D7CAA" w14:paraId="186C832D" w14:textId="77777777" w:rsidTr="00A470CF">
        <w:trPr>
          <w:trHeight w:val="1085"/>
        </w:trPr>
        <w:tc>
          <w:tcPr>
            <w:tcW w:w="9016" w:type="dxa"/>
          </w:tcPr>
          <w:p w14:paraId="0319D2E3" w14:textId="77777777" w:rsidR="00350157" w:rsidRPr="006D7CAA" w:rsidRDefault="00350157" w:rsidP="00A470CF">
            <w:pPr>
              <w:pStyle w:val="Heading3"/>
              <w:outlineLvl w:val="2"/>
              <w:rPr>
                <w:rFonts w:ascii="Arial" w:eastAsia="Times New Roman" w:hAnsi="Arial" w:cs="Arial"/>
              </w:rPr>
            </w:pPr>
            <w:bookmarkStart w:id="38" w:name="_Toc57387191"/>
            <w:r w:rsidRPr="006D7CAA">
              <w:rPr>
                <w:rFonts w:ascii="Arial" w:eastAsia="Times New Roman" w:hAnsi="Arial" w:cs="Arial"/>
              </w:rPr>
              <w:t>Recommendation 16</w:t>
            </w:r>
            <w:bookmarkEnd w:id="38"/>
          </w:p>
          <w:p w14:paraId="10BC0730"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HEPs should consider forming consortia to develop recruiting, transition, and preparedness programs specifically designed to attract Indigenous students to nursing and to support them in making the transition to tertiary education. </w:t>
            </w:r>
          </w:p>
        </w:tc>
      </w:tr>
    </w:tbl>
    <w:p w14:paraId="15F10B73"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Australian Government response</w:t>
      </w:r>
    </w:p>
    <w:p w14:paraId="5B50F3CC" w14:textId="77777777" w:rsidR="00350157" w:rsidRPr="00670D34" w:rsidRDefault="00350157" w:rsidP="00DF5E51">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The Government </w:t>
      </w:r>
      <w:r w:rsidRPr="00670D34">
        <w:rPr>
          <w:rFonts w:ascii="Arial" w:eastAsia="Times New Roman" w:hAnsi="Arial" w:cs="Arial"/>
          <w:sz w:val="22"/>
          <w:szCs w:val="22"/>
        </w:rPr>
        <w:t>notes this recommendation and makes the following observations.</w:t>
      </w:r>
    </w:p>
    <w:p w14:paraId="4BA5BBB7" w14:textId="77777777" w:rsidR="00350157" w:rsidRPr="00670D34" w:rsidRDefault="00350157" w:rsidP="00DF5E51">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The Government notes the Department of Health has funded the Congress of Aboriginal and Torres Strait Islander Nurses and Midwives (</w:t>
      </w:r>
      <w:proofErr w:type="spellStart"/>
      <w:r w:rsidRPr="00670D34">
        <w:rPr>
          <w:rFonts w:ascii="Arial" w:eastAsia="Times New Roman" w:hAnsi="Arial" w:cs="Arial"/>
          <w:sz w:val="22"/>
          <w:szCs w:val="22"/>
        </w:rPr>
        <w:t>CATSINaM</w:t>
      </w:r>
      <w:proofErr w:type="spellEnd"/>
      <w:r w:rsidRPr="00670D34">
        <w:rPr>
          <w:rFonts w:ascii="Arial" w:eastAsia="Times New Roman" w:hAnsi="Arial" w:cs="Arial"/>
          <w:sz w:val="22"/>
          <w:szCs w:val="22"/>
        </w:rPr>
        <w:t xml:space="preserve">) since 1997 to attract Aboriginal and Torres Strait Islander peoples into nursing courses. </w:t>
      </w:r>
    </w:p>
    <w:p w14:paraId="301F36D2" w14:textId="77777777" w:rsidR="00350157" w:rsidRPr="00670D34" w:rsidRDefault="00350157">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also notes the current Accreditation standards support the recruitment, retention and support of indigenous students into nursing programs and that ANMAC works collaboratively with </w:t>
      </w:r>
      <w:proofErr w:type="spellStart"/>
      <w:r w:rsidRPr="00670D34">
        <w:rPr>
          <w:rFonts w:ascii="Arial" w:eastAsia="Times New Roman" w:hAnsi="Arial" w:cs="Arial"/>
          <w:sz w:val="22"/>
          <w:szCs w:val="22"/>
        </w:rPr>
        <w:t>CATSINaM</w:t>
      </w:r>
      <w:proofErr w:type="spellEnd"/>
      <w:r w:rsidRPr="00670D34">
        <w:rPr>
          <w:rFonts w:ascii="Arial" w:eastAsia="Times New Roman" w:hAnsi="Arial" w:cs="Arial"/>
          <w:sz w:val="22"/>
          <w:szCs w:val="22"/>
        </w:rPr>
        <w:t xml:space="preserve"> on the standards.</w:t>
      </w:r>
    </w:p>
    <w:p w14:paraId="3886D9E0" w14:textId="77777777" w:rsidR="00435FB9" w:rsidRDefault="00435FB9">
      <w:pPr>
        <w:spacing w:before="120" w:after="120" w:line="240" w:lineRule="auto"/>
        <w:rPr>
          <w:rFonts w:ascii="Arial" w:hAnsi="Arial" w:cs="Arial"/>
          <w:sz w:val="22"/>
          <w:szCs w:val="22"/>
        </w:rPr>
      </w:pPr>
      <w:r w:rsidRPr="00670D34">
        <w:rPr>
          <w:rFonts w:ascii="Arial" w:eastAsia="Times New Roman" w:hAnsi="Arial" w:cs="Arial"/>
          <w:sz w:val="22"/>
          <w:szCs w:val="22"/>
        </w:rPr>
        <w:t xml:space="preserve">The Government’s </w:t>
      </w:r>
      <w:r w:rsidRPr="00670D34">
        <w:rPr>
          <w:rFonts w:ascii="Arial" w:eastAsia="Times New Roman" w:hAnsi="Arial" w:cs="Arial"/>
          <w:i/>
          <w:sz w:val="22"/>
          <w:szCs w:val="22"/>
        </w:rPr>
        <w:t xml:space="preserve">Implementation Plan for the National Aboriginal and Torres Strait Islander Health Plan 2013-23 </w:t>
      </w:r>
      <w:r w:rsidR="003E4D1E" w:rsidRPr="00670D34">
        <w:rPr>
          <w:rFonts w:ascii="Arial" w:eastAsia="Times New Roman" w:hAnsi="Arial" w:cs="Arial"/>
          <w:sz w:val="22"/>
          <w:szCs w:val="22"/>
        </w:rPr>
        <w:t xml:space="preserve">(Health Plan) </w:t>
      </w:r>
      <w:r w:rsidRPr="00670D34">
        <w:rPr>
          <w:rFonts w:ascii="Arial" w:eastAsia="Times New Roman" w:hAnsi="Arial" w:cs="Arial"/>
          <w:sz w:val="22"/>
          <w:szCs w:val="22"/>
        </w:rPr>
        <w:t>commits to</w:t>
      </w:r>
      <w:r w:rsidRPr="00435FB9">
        <w:rPr>
          <w:rFonts w:ascii="Arial" w:eastAsia="Times New Roman" w:hAnsi="Arial" w:cs="Arial"/>
          <w:sz w:val="22"/>
          <w:szCs w:val="22"/>
        </w:rPr>
        <w:t xml:space="preserve"> </w:t>
      </w:r>
      <w:r w:rsidR="003E4D1E">
        <w:rPr>
          <w:rFonts w:ascii="Arial" w:eastAsia="Times New Roman" w:hAnsi="Arial" w:cs="Arial"/>
          <w:sz w:val="22"/>
          <w:szCs w:val="22"/>
        </w:rPr>
        <w:t>s</w:t>
      </w:r>
      <w:r w:rsidRPr="00435FB9">
        <w:rPr>
          <w:rFonts w:ascii="Arial" w:hAnsi="Arial" w:cs="Arial"/>
          <w:sz w:val="22"/>
          <w:szCs w:val="22"/>
        </w:rPr>
        <w:t>upporting and growing the workforce including nurses to meet current and future Aboriginal and Torres Strait Islander health needs</w:t>
      </w:r>
      <w:r>
        <w:rPr>
          <w:rFonts w:ascii="Arial" w:hAnsi="Arial" w:cs="Arial"/>
          <w:sz w:val="22"/>
          <w:szCs w:val="22"/>
        </w:rPr>
        <w:t>.</w:t>
      </w:r>
    </w:p>
    <w:p w14:paraId="28613A12" w14:textId="77777777" w:rsidR="00154342" w:rsidRPr="003E4D1E" w:rsidRDefault="00154342" w:rsidP="00C7528B">
      <w:pPr>
        <w:pStyle w:val="NormalWeb"/>
        <w:spacing w:before="120" w:beforeAutospacing="0" w:after="120" w:afterAutospacing="0"/>
        <w:rPr>
          <w:rFonts w:ascii="Arial" w:hAnsi="Arial" w:cs="Arial"/>
          <w:sz w:val="22"/>
          <w:szCs w:val="22"/>
          <w:lang w:eastAsia="en-US"/>
        </w:rPr>
      </w:pPr>
      <w:r w:rsidRPr="003E4D1E">
        <w:rPr>
          <w:rFonts w:ascii="Arial" w:hAnsi="Arial" w:cs="Arial"/>
          <w:sz w:val="22"/>
          <w:szCs w:val="22"/>
          <w:lang w:eastAsia="en-US"/>
        </w:rPr>
        <w:t>Similarly, the</w:t>
      </w:r>
      <w:r w:rsidRPr="003E4D1E">
        <w:rPr>
          <w:rFonts w:ascii="Arial" w:hAnsi="Arial" w:cs="Arial"/>
          <w:i/>
          <w:sz w:val="22"/>
          <w:szCs w:val="22"/>
          <w:lang w:eastAsia="en-US"/>
        </w:rPr>
        <w:t xml:space="preserve"> National Aboriginal and Torres Strait Islander Health Workforce Strategic Framework and Implementation Plan 2021-2031</w:t>
      </w:r>
      <w:r>
        <w:rPr>
          <w:rFonts w:ascii="Arial" w:hAnsi="Arial" w:cs="Arial"/>
          <w:i/>
          <w:sz w:val="22"/>
          <w:szCs w:val="22"/>
          <w:lang w:eastAsia="en-US"/>
        </w:rPr>
        <w:t xml:space="preserve"> </w:t>
      </w:r>
      <w:r>
        <w:rPr>
          <w:rFonts w:ascii="Arial" w:hAnsi="Arial" w:cs="Arial"/>
          <w:sz w:val="22"/>
          <w:szCs w:val="22"/>
          <w:lang w:eastAsia="en-US"/>
        </w:rPr>
        <w:t>closely aligns with the Health Plan to support priority reforms and targets outlined in the 2020 National Agreement on Closing the Gap</w:t>
      </w:r>
      <w:r w:rsidR="003E4D1E">
        <w:rPr>
          <w:rFonts w:ascii="Arial" w:hAnsi="Arial" w:cs="Arial"/>
          <w:sz w:val="22"/>
          <w:szCs w:val="22"/>
          <w:lang w:eastAsia="en-US"/>
        </w:rPr>
        <w:t>, including encouraging more Aboriginal and Torres Strait Islander health practitioners</w:t>
      </w:r>
      <w:r>
        <w:rPr>
          <w:rFonts w:ascii="Arial" w:hAnsi="Arial" w:cs="Arial"/>
          <w:sz w:val="22"/>
          <w:szCs w:val="22"/>
          <w:lang w:eastAsia="en-US"/>
        </w:rPr>
        <w:t>.</w:t>
      </w:r>
    </w:p>
    <w:p w14:paraId="34FD9A42" w14:textId="77777777" w:rsidR="00350157" w:rsidRPr="00670D34" w:rsidRDefault="00350157" w:rsidP="00DF5E51">
      <w:pPr>
        <w:spacing w:before="120" w:after="120" w:line="240" w:lineRule="auto"/>
        <w:rPr>
          <w:rFonts w:ascii="Arial" w:eastAsia="Times New Roman" w:hAnsi="Arial" w:cs="Arial"/>
          <w:bCs/>
          <w:sz w:val="22"/>
          <w:szCs w:val="22"/>
          <w:lang w:val="en-GB"/>
        </w:rPr>
      </w:pPr>
      <w:r w:rsidRPr="006F417D">
        <w:rPr>
          <w:rFonts w:ascii="Arial" w:eastAsia="Times New Roman" w:hAnsi="Arial" w:cs="Arial"/>
          <w:sz w:val="22"/>
          <w:szCs w:val="22"/>
        </w:rPr>
        <w:t xml:space="preserve">The Government </w:t>
      </w:r>
      <w:r w:rsidRPr="00670D34">
        <w:rPr>
          <w:rFonts w:ascii="Arial" w:eastAsia="Times New Roman" w:hAnsi="Arial" w:cs="Arial"/>
          <w:sz w:val="22"/>
          <w:szCs w:val="22"/>
        </w:rPr>
        <w:t>notes that</w:t>
      </w:r>
      <w:r w:rsidRPr="00670D34">
        <w:rPr>
          <w:rFonts w:ascii="Arial" w:eastAsia="Times New Roman" w:hAnsi="Arial" w:cs="Arial"/>
          <w:bCs/>
          <w:sz w:val="22"/>
          <w:szCs w:val="22"/>
          <w:lang w:val="en-GB"/>
        </w:rPr>
        <w:t xml:space="preserve"> the Higher Education Participation and Partnerships Program (HEPPP) plays a vital role in enabling participation, retention and completion in higher education. The HEPPP provides funding to assist universities to improve access and support for </w:t>
      </w:r>
      <w:r w:rsidR="001C6C23" w:rsidRPr="00670D34">
        <w:rPr>
          <w:rFonts w:ascii="Arial" w:eastAsia="Times New Roman" w:hAnsi="Arial" w:cs="Arial"/>
          <w:bCs/>
          <w:sz w:val="22"/>
          <w:szCs w:val="22"/>
          <w:lang w:val="en-GB"/>
        </w:rPr>
        <w:t xml:space="preserve">Indigenous </w:t>
      </w:r>
      <w:r w:rsidR="004D4F0A" w:rsidRPr="00670D34">
        <w:rPr>
          <w:rFonts w:ascii="Arial" w:eastAsia="Times New Roman" w:hAnsi="Arial" w:cs="Arial"/>
          <w:bCs/>
          <w:sz w:val="22"/>
          <w:szCs w:val="22"/>
          <w:lang w:val="en-GB"/>
        </w:rPr>
        <w:t>students</w:t>
      </w:r>
      <w:r w:rsidR="001C6C23">
        <w:rPr>
          <w:rFonts w:ascii="Arial" w:eastAsia="Times New Roman" w:hAnsi="Arial" w:cs="Arial"/>
          <w:bCs/>
          <w:sz w:val="22"/>
          <w:szCs w:val="22"/>
          <w:lang w:val="en-GB"/>
        </w:rPr>
        <w:t xml:space="preserve">, and </w:t>
      </w:r>
      <w:r w:rsidRPr="00670D34">
        <w:rPr>
          <w:rFonts w:ascii="Arial" w:eastAsia="Times New Roman" w:hAnsi="Arial" w:cs="Arial"/>
          <w:bCs/>
          <w:sz w:val="22"/>
          <w:szCs w:val="22"/>
          <w:lang w:val="en-GB"/>
        </w:rPr>
        <w:t>students from low socioeconomic status (SES)</w:t>
      </w:r>
      <w:r w:rsidR="004D4F0A">
        <w:rPr>
          <w:rFonts w:ascii="Arial" w:eastAsia="Times New Roman" w:hAnsi="Arial" w:cs="Arial"/>
          <w:bCs/>
          <w:sz w:val="22"/>
          <w:szCs w:val="22"/>
          <w:lang w:val="en-GB"/>
        </w:rPr>
        <w:t>,</w:t>
      </w:r>
      <w:r w:rsidRPr="00670D34">
        <w:rPr>
          <w:rFonts w:ascii="Arial" w:eastAsia="Times New Roman" w:hAnsi="Arial" w:cs="Arial"/>
          <w:bCs/>
          <w:sz w:val="22"/>
          <w:szCs w:val="22"/>
          <w:lang w:val="en-GB"/>
        </w:rPr>
        <w:t xml:space="preserve"> regional</w:t>
      </w:r>
      <w:r w:rsidR="00A35E1D">
        <w:rPr>
          <w:rFonts w:ascii="Arial" w:eastAsia="Times New Roman" w:hAnsi="Arial" w:cs="Arial"/>
          <w:bCs/>
          <w:sz w:val="22"/>
          <w:szCs w:val="22"/>
          <w:lang w:val="en-GB"/>
        </w:rPr>
        <w:t xml:space="preserve"> and</w:t>
      </w:r>
      <w:r w:rsidRPr="00670D34">
        <w:rPr>
          <w:rFonts w:ascii="Arial" w:eastAsia="Times New Roman" w:hAnsi="Arial" w:cs="Arial"/>
          <w:bCs/>
          <w:sz w:val="22"/>
          <w:szCs w:val="22"/>
          <w:lang w:val="en-GB"/>
        </w:rPr>
        <w:t xml:space="preserve"> remote </w:t>
      </w:r>
      <w:r w:rsidR="004D4F0A">
        <w:rPr>
          <w:rFonts w:ascii="Arial" w:eastAsia="Times New Roman" w:hAnsi="Arial" w:cs="Arial"/>
          <w:bCs/>
          <w:sz w:val="22"/>
          <w:szCs w:val="22"/>
          <w:lang w:val="en-GB"/>
        </w:rPr>
        <w:t>backgrounds</w:t>
      </w:r>
      <w:r w:rsidRPr="00670D34">
        <w:rPr>
          <w:rFonts w:ascii="Arial" w:eastAsia="Times New Roman" w:hAnsi="Arial" w:cs="Arial"/>
          <w:bCs/>
          <w:sz w:val="22"/>
          <w:szCs w:val="22"/>
          <w:lang w:val="en-GB"/>
        </w:rPr>
        <w:t xml:space="preserve">.  </w:t>
      </w:r>
    </w:p>
    <w:p w14:paraId="0013A807" w14:textId="77777777" w:rsidR="00350157" w:rsidRPr="0095636C" w:rsidRDefault="00350157" w:rsidP="00C7528B">
      <w:pPr>
        <w:spacing w:before="120" w:after="120" w:line="240" w:lineRule="auto"/>
        <w:rPr>
          <w:rFonts w:ascii="Arial" w:hAnsi="Arial" w:cs="Arial"/>
          <w:sz w:val="22"/>
          <w:szCs w:val="22"/>
        </w:rPr>
      </w:pPr>
      <w:r w:rsidRPr="00670D34">
        <w:rPr>
          <w:rFonts w:ascii="Arial" w:hAnsi="Arial" w:cs="Arial"/>
          <w:sz w:val="22"/>
          <w:szCs w:val="22"/>
        </w:rPr>
        <w:t>The Government notes</w:t>
      </w:r>
      <w:r>
        <w:rPr>
          <w:rFonts w:ascii="Arial" w:hAnsi="Arial" w:cs="Arial"/>
          <w:sz w:val="22"/>
          <w:szCs w:val="22"/>
        </w:rPr>
        <w:t xml:space="preserve"> the </w:t>
      </w:r>
      <w:r w:rsidRPr="0095636C">
        <w:rPr>
          <w:rFonts w:ascii="Arial" w:hAnsi="Arial" w:cs="Arial"/>
          <w:sz w:val="22"/>
          <w:szCs w:val="22"/>
        </w:rPr>
        <w:t xml:space="preserve">Indigenous Student Support Program (ISSP) provides $71 million annually to 40 universities to support the participation and graduation of Aboriginal and Torres Strait Islander students in higher education. Universities use the funding to provide targeted support services, including scholarships, tutorial assistance, mentoring, providing safe cultural spaces and other personal support services. The flexibility of the ISSP assists universities to tailor their services to match student needs. </w:t>
      </w:r>
    </w:p>
    <w:p w14:paraId="0D21C40D" w14:textId="77777777" w:rsidR="00350157" w:rsidRPr="006D7CAA" w:rsidRDefault="00350157" w:rsidP="00E94D35">
      <w:pPr>
        <w:pStyle w:val="Heading1"/>
        <w:rPr>
          <w:rFonts w:ascii="Arial" w:eastAsia="Times New Roman" w:hAnsi="Arial" w:cs="Arial"/>
        </w:rPr>
      </w:pPr>
      <w:bookmarkStart w:id="39" w:name="_Toc57387192"/>
      <w:r w:rsidRPr="006D7CAA">
        <w:rPr>
          <w:rFonts w:ascii="Arial" w:eastAsia="Times New Roman" w:hAnsi="Arial" w:cs="Arial"/>
        </w:rPr>
        <w:t>TRENDS AFFECTING NURSING EDUCATION</w:t>
      </w:r>
      <w:bookmarkEnd w:id="39"/>
    </w:p>
    <w:p w14:paraId="636AE058" w14:textId="77777777" w:rsidR="00350157" w:rsidRPr="00C41768" w:rsidRDefault="00350157" w:rsidP="00E94D35">
      <w:pPr>
        <w:pStyle w:val="Heading2"/>
        <w:spacing w:before="120" w:after="120" w:line="240" w:lineRule="auto"/>
        <w:rPr>
          <w:rFonts w:ascii="Arial" w:eastAsia="Times New Roman" w:hAnsi="Arial" w:cs="Arial"/>
        </w:rPr>
      </w:pPr>
      <w:bookmarkStart w:id="40" w:name="_Toc57387193"/>
      <w:r w:rsidRPr="006D7CAA">
        <w:rPr>
          <w:rFonts w:ascii="Arial" w:eastAsia="Times New Roman" w:hAnsi="Arial" w:cs="Arial"/>
        </w:rPr>
        <w:t>The aging population and the burden of disease</w:t>
      </w:r>
      <w:bookmarkEnd w:id="40"/>
    </w:p>
    <w:tbl>
      <w:tblPr>
        <w:tblStyle w:val="TableGrid"/>
        <w:tblW w:w="0" w:type="auto"/>
        <w:tblLook w:val="04A0" w:firstRow="1" w:lastRow="0" w:firstColumn="1" w:lastColumn="0" w:noHBand="0" w:noVBand="1"/>
      </w:tblPr>
      <w:tblGrid>
        <w:gridCol w:w="9016"/>
      </w:tblGrid>
      <w:tr w:rsidR="00350157" w:rsidRPr="006D7CAA" w14:paraId="0DD631D5" w14:textId="77777777" w:rsidTr="00A470CF">
        <w:trPr>
          <w:trHeight w:val="1338"/>
        </w:trPr>
        <w:tc>
          <w:tcPr>
            <w:tcW w:w="9016" w:type="dxa"/>
          </w:tcPr>
          <w:p w14:paraId="162D6B41" w14:textId="77777777" w:rsidR="00350157" w:rsidRPr="006D7CAA" w:rsidRDefault="00350157" w:rsidP="00A470CF">
            <w:pPr>
              <w:pStyle w:val="Heading3"/>
              <w:outlineLvl w:val="2"/>
              <w:rPr>
                <w:rFonts w:ascii="Arial" w:eastAsia="Times New Roman" w:hAnsi="Arial" w:cs="Arial"/>
              </w:rPr>
            </w:pPr>
            <w:bookmarkStart w:id="41" w:name="_Toc57387194"/>
            <w:r w:rsidRPr="006D7CAA">
              <w:rPr>
                <w:rFonts w:ascii="Arial" w:eastAsia="Times New Roman" w:hAnsi="Arial" w:cs="Arial"/>
              </w:rPr>
              <w:t>Recommendation 17</w:t>
            </w:r>
            <w:bookmarkEnd w:id="41"/>
          </w:p>
          <w:p w14:paraId="6778515C"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Nurses should be prepared by their academic work and clinical placements to enter the workforce in a range of practice environments. ANMAC’s accreditation standards should encourage the re-orientation of nursing education toward primary care, which may require an easing of restrictions on who can oversee nursing education.</w:t>
            </w:r>
          </w:p>
        </w:tc>
      </w:tr>
    </w:tbl>
    <w:p w14:paraId="6D427212"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Australian Government response</w:t>
      </w:r>
    </w:p>
    <w:p w14:paraId="291F1780" w14:textId="77777777" w:rsidR="00C83494" w:rsidRPr="00670D34" w:rsidRDefault="00C83494" w:rsidP="00C83494">
      <w:pPr>
        <w:spacing w:before="120" w:after="120" w:line="240" w:lineRule="auto"/>
        <w:rPr>
          <w:rFonts w:ascii="Arial" w:eastAsia="Times New Roman" w:hAnsi="Arial" w:cs="Arial"/>
          <w:sz w:val="22"/>
          <w:szCs w:val="22"/>
        </w:rPr>
      </w:pPr>
      <w:r>
        <w:rPr>
          <w:rFonts w:ascii="Arial" w:eastAsia="Times New Roman" w:hAnsi="Arial" w:cs="Arial"/>
          <w:sz w:val="22"/>
          <w:szCs w:val="22"/>
        </w:rPr>
        <w:t xml:space="preserve">The </w:t>
      </w:r>
      <w:r w:rsidRPr="00670D34">
        <w:rPr>
          <w:rFonts w:ascii="Arial" w:eastAsia="Times New Roman" w:hAnsi="Arial" w:cs="Arial"/>
          <w:sz w:val="22"/>
          <w:szCs w:val="22"/>
        </w:rPr>
        <w:t>Government supports the increased role of nurses in primary care.</w:t>
      </w:r>
    </w:p>
    <w:p w14:paraId="28D53FD3" w14:textId="77777777" w:rsidR="00655E25" w:rsidRPr="00670D34" w:rsidRDefault="00350157" w:rsidP="00DF5E51">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The Government notes that the current EN and RN Accreditation Standards stipulate clinical placements must be in a variety of settings and capture requirements of a foundation in primary care</w:t>
      </w:r>
      <w:r w:rsidR="001001DB" w:rsidRPr="00670D34">
        <w:rPr>
          <w:rFonts w:ascii="Arial" w:eastAsia="Times New Roman" w:hAnsi="Arial" w:cs="Arial"/>
          <w:sz w:val="22"/>
          <w:szCs w:val="22"/>
        </w:rPr>
        <w:t xml:space="preserve">. Similarly, </w:t>
      </w:r>
      <w:r w:rsidRPr="00670D34">
        <w:rPr>
          <w:rFonts w:ascii="Arial" w:eastAsia="Times New Roman" w:hAnsi="Arial" w:cs="Arial"/>
          <w:sz w:val="22"/>
          <w:szCs w:val="22"/>
        </w:rPr>
        <w:t>the RN Accreditation Standards released in 2019 allow supervision by other health professionals</w:t>
      </w:r>
      <w:r w:rsidR="001001DB" w:rsidRPr="00670D34">
        <w:rPr>
          <w:rFonts w:ascii="Arial" w:eastAsia="Times New Roman" w:hAnsi="Arial" w:cs="Arial"/>
          <w:sz w:val="22"/>
          <w:szCs w:val="22"/>
        </w:rPr>
        <w:t>,</w:t>
      </w:r>
      <w:r w:rsidRPr="00670D34">
        <w:rPr>
          <w:rFonts w:ascii="Arial" w:eastAsia="Times New Roman" w:hAnsi="Arial" w:cs="Arial"/>
          <w:sz w:val="22"/>
          <w:szCs w:val="22"/>
        </w:rPr>
        <w:t xml:space="preserve"> which</w:t>
      </w:r>
      <w:r w:rsidR="004E6849" w:rsidRPr="00670D34">
        <w:rPr>
          <w:rFonts w:ascii="Arial" w:eastAsia="Times New Roman" w:hAnsi="Arial" w:cs="Arial"/>
          <w:sz w:val="22"/>
          <w:szCs w:val="22"/>
        </w:rPr>
        <w:t xml:space="preserve"> further</w:t>
      </w:r>
      <w:r w:rsidRPr="00670D34">
        <w:rPr>
          <w:rFonts w:ascii="Arial" w:eastAsia="Times New Roman" w:hAnsi="Arial" w:cs="Arial"/>
          <w:sz w:val="22"/>
          <w:szCs w:val="22"/>
        </w:rPr>
        <w:t xml:space="preserve"> enables clinical placements in primary care. </w:t>
      </w:r>
    </w:p>
    <w:p w14:paraId="17FE4F95" w14:textId="77777777" w:rsidR="009D004C" w:rsidRDefault="001C5191" w:rsidP="00DF5E51">
      <w:pPr>
        <w:spacing w:before="120" w:after="120" w:line="240" w:lineRule="auto"/>
        <w:rPr>
          <w:rFonts w:ascii="Arial" w:eastAsia="Times New Roman" w:hAnsi="Arial" w:cs="Arial"/>
          <w:sz w:val="22"/>
          <w:szCs w:val="22"/>
        </w:rPr>
      </w:pPr>
      <w:r w:rsidRPr="00670D34">
        <w:rPr>
          <w:rFonts w:ascii="Arial" w:eastAsia="Times New Roman" w:hAnsi="Arial" w:cs="Arial"/>
          <w:sz w:val="22"/>
          <w:szCs w:val="22"/>
        </w:rPr>
        <w:t xml:space="preserve">The Government </w:t>
      </w:r>
      <w:r w:rsidR="00C83494" w:rsidRPr="00670D34">
        <w:rPr>
          <w:rFonts w:ascii="Arial" w:eastAsia="Times New Roman" w:hAnsi="Arial" w:cs="Arial"/>
          <w:sz w:val="22"/>
          <w:szCs w:val="22"/>
        </w:rPr>
        <w:t>supports NMMEAN</w:t>
      </w:r>
      <w:r w:rsidR="00C83494">
        <w:rPr>
          <w:rFonts w:ascii="Arial" w:eastAsia="Times New Roman" w:hAnsi="Arial" w:cs="Arial"/>
          <w:b/>
          <w:sz w:val="22"/>
          <w:szCs w:val="22"/>
        </w:rPr>
        <w:t xml:space="preserve"> </w:t>
      </w:r>
      <w:r w:rsidR="00C83494" w:rsidRPr="00C83494">
        <w:rPr>
          <w:rFonts w:ascii="Arial" w:eastAsia="Times New Roman" w:hAnsi="Arial" w:cs="Arial"/>
          <w:sz w:val="22"/>
          <w:szCs w:val="22"/>
        </w:rPr>
        <w:t>working with</w:t>
      </w:r>
      <w:r w:rsidR="00C83494">
        <w:rPr>
          <w:rFonts w:ascii="Arial" w:eastAsia="Times New Roman" w:hAnsi="Arial" w:cs="Arial"/>
          <w:b/>
          <w:sz w:val="22"/>
          <w:szCs w:val="22"/>
        </w:rPr>
        <w:t xml:space="preserve"> </w:t>
      </w:r>
      <w:r w:rsidR="009D004C">
        <w:rPr>
          <w:rFonts w:ascii="Arial" w:eastAsia="Times New Roman" w:hAnsi="Arial" w:cs="Arial"/>
          <w:sz w:val="22"/>
          <w:szCs w:val="22"/>
        </w:rPr>
        <w:t xml:space="preserve">ANMAC to </w:t>
      </w:r>
      <w:r w:rsidR="001001DB">
        <w:rPr>
          <w:rFonts w:ascii="Arial" w:eastAsia="Times New Roman" w:hAnsi="Arial" w:cs="Arial"/>
          <w:sz w:val="22"/>
          <w:szCs w:val="22"/>
        </w:rPr>
        <w:t xml:space="preserve">explore ways to </w:t>
      </w:r>
      <w:r w:rsidR="00C83494">
        <w:rPr>
          <w:rFonts w:ascii="Arial" w:eastAsia="Times New Roman" w:hAnsi="Arial" w:cs="Arial"/>
          <w:sz w:val="22"/>
          <w:szCs w:val="22"/>
        </w:rPr>
        <w:t>encourage more clinical placements to become available to nurses in primary care settings.</w:t>
      </w:r>
    </w:p>
    <w:p w14:paraId="123FB703" w14:textId="77777777" w:rsidR="00350157" w:rsidRDefault="00350157" w:rsidP="00C7528B">
      <w:pPr>
        <w:spacing w:before="120" w:after="120" w:line="240" w:lineRule="auto"/>
        <w:rPr>
          <w:rFonts w:ascii="Arial" w:eastAsia="Times New Roman" w:hAnsi="Arial" w:cs="Arial"/>
          <w:b/>
          <w:sz w:val="22"/>
          <w:szCs w:val="22"/>
        </w:rPr>
      </w:pPr>
      <w:r w:rsidRPr="006D7CAA">
        <w:rPr>
          <w:rFonts w:ascii="Arial" w:eastAsia="Times New Roman" w:hAnsi="Arial" w:cs="Arial"/>
          <w:sz w:val="22"/>
          <w:szCs w:val="22"/>
        </w:rPr>
        <w:lastRenderedPageBreak/>
        <w:t xml:space="preserve">This recommendation will also be impacted by </w:t>
      </w:r>
      <w:r w:rsidRPr="006D7CAA">
        <w:rPr>
          <w:rFonts w:ascii="Arial" w:eastAsia="Times New Roman" w:hAnsi="Arial" w:cs="Arial"/>
          <w:b/>
          <w:sz w:val="22"/>
          <w:szCs w:val="22"/>
        </w:rPr>
        <w:t>recommendations 6 and 7.</w:t>
      </w:r>
    </w:p>
    <w:p w14:paraId="315CA430" w14:textId="77777777" w:rsidR="00350157" w:rsidRPr="006E4761" w:rsidRDefault="00350157" w:rsidP="00E94D35">
      <w:pPr>
        <w:pStyle w:val="Heading2"/>
        <w:spacing w:before="120" w:after="120" w:line="240" w:lineRule="auto"/>
        <w:rPr>
          <w:rFonts w:ascii="Arial" w:eastAsia="Times New Roman" w:hAnsi="Arial" w:cs="Arial"/>
        </w:rPr>
      </w:pPr>
      <w:bookmarkStart w:id="42" w:name="_Toc57387195"/>
      <w:r w:rsidRPr="006D7CAA">
        <w:rPr>
          <w:rFonts w:ascii="Arial" w:eastAsia="Times New Roman" w:hAnsi="Arial" w:cs="Arial"/>
        </w:rPr>
        <w:t>Increasing incidence and prevalence of mental health problems</w:t>
      </w:r>
      <w:bookmarkEnd w:id="42"/>
    </w:p>
    <w:tbl>
      <w:tblPr>
        <w:tblStyle w:val="TableGrid"/>
        <w:tblW w:w="0" w:type="auto"/>
        <w:tblLook w:val="04A0" w:firstRow="1" w:lastRow="0" w:firstColumn="1" w:lastColumn="0" w:noHBand="0" w:noVBand="1"/>
      </w:tblPr>
      <w:tblGrid>
        <w:gridCol w:w="9016"/>
      </w:tblGrid>
      <w:tr w:rsidR="00350157" w:rsidRPr="006D7CAA" w14:paraId="1527A288" w14:textId="77777777" w:rsidTr="00A470CF">
        <w:trPr>
          <w:trHeight w:val="1844"/>
        </w:trPr>
        <w:tc>
          <w:tcPr>
            <w:tcW w:w="9016" w:type="dxa"/>
          </w:tcPr>
          <w:p w14:paraId="4A13A4D2" w14:textId="77777777" w:rsidR="00350157" w:rsidRPr="006D7CAA" w:rsidRDefault="00350157" w:rsidP="00A470CF">
            <w:pPr>
              <w:pStyle w:val="Heading3"/>
              <w:outlineLvl w:val="2"/>
              <w:rPr>
                <w:rFonts w:ascii="Arial" w:eastAsia="Times New Roman" w:hAnsi="Arial" w:cs="Arial"/>
              </w:rPr>
            </w:pPr>
            <w:bookmarkStart w:id="43" w:name="_Toc57387196"/>
            <w:r w:rsidRPr="006D7CAA">
              <w:rPr>
                <w:rFonts w:ascii="Arial" w:eastAsia="Times New Roman" w:hAnsi="Arial" w:cs="Arial"/>
              </w:rPr>
              <w:t>Recommendation 18</w:t>
            </w:r>
            <w:bookmarkEnd w:id="43"/>
          </w:p>
          <w:p w14:paraId="6EA6EEE4"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Mental health is a national priority area; it should also be a priority area for educational institutions preparing nurses for practice. ANMAC has added “content related to mental health” to its proposed RN accreditation standards. The EN and NP accreditation standards should be amended to contain a similar requirement. To ensure that all nurses are adequately prepared, the accreditation standards should be specific about the core areas of mental health that must be covered and the required learning outcomes. </w:t>
            </w:r>
          </w:p>
        </w:tc>
      </w:tr>
    </w:tbl>
    <w:p w14:paraId="2C92FF11" w14:textId="77777777" w:rsidR="00350157" w:rsidRDefault="00350157" w:rsidP="00C7528B">
      <w:pPr>
        <w:spacing w:before="120" w:after="120" w:line="240" w:lineRule="auto"/>
        <w:rPr>
          <w:rFonts w:ascii="Arial" w:eastAsia="Times New Roman" w:hAnsi="Arial" w:cs="Arial"/>
          <w:sz w:val="22"/>
          <w:szCs w:val="22"/>
        </w:rPr>
      </w:pPr>
      <w:r w:rsidRPr="006D7CAA">
        <w:rPr>
          <w:rFonts w:ascii="Arial" w:hAnsi="Arial" w:cs="Arial"/>
          <w:b/>
        </w:rPr>
        <w:t>Australian Government response</w:t>
      </w:r>
    </w:p>
    <w:p w14:paraId="1E5009D7" w14:textId="77777777" w:rsidR="00350157" w:rsidRPr="00561095" w:rsidRDefault="00350157" w:rsidP="00DF5E51">
      <w:pPr>
        <w:spacing w:before="120" w:after="120" w:line="240" w:lineRule="auto"/>
        <w:rPr>
          <w:rFonts w:ascii="Arial" w:eastAsia="Times New Roman" w:hAnsi="Arial" w:cs="Arial"/>
          <w:sz w:val="22"/>
          <w:szCs w:val="22"/>
        </w:rPr>
      </w:pPr>
      <w:r w:rsidRPr="00561095">
        <w:rPr>
          <w:rFonts w:ascii="Arial" w:eastAsia="Times New Roman" w:hAnsi="Arial" w:cs="Arial"/>
          <w:sz w:val="22"/>
          <w:szCs w:val="22"/>
        </w:rPr>
        <w:t xml:space="preserve">The Government notes that the </w:t>
      </w:r>
      <w:r w:rsidR="00447C98" w:rsidRPr="00561095">
        <w:rPr>
          <w:rFonts w:ascii="Arial" w:eastAsia="Times New Roman" w:hAnsi="Arial" w:cs="Arial"/>
          <w:sz w:val="22"/>
          <w:szCs w:val="22"/>
        </w:rPr>
        <w:t xml:space="preserve">ANMAC </w:t>
      </w:r>
      <w:r w:rsidRPr="00561095">
        <w:rPr>
          <w:rFonts w:ascii="Arial" w:eastAsia="Times New Roman" w:hAnsi="Arial" w:cs="Arial"/>
          <w:sz w:val="22"/>
          <w:szCs w:val="22"/>
        </w:rPr>
        <w:t>RN Accreditation Standards</w:t>
      </w:r>
      <w:r w:rsidR="00447C98" w:rsidRPr="00561095">
        <w:rPr>
          <w:rFonts w:ascii="Arial" w:eastAsia="Times New Roman" w:hAnsi="Arial" w:cs="Arial"/>
          <w:sz w:val="22"/>
          <w:szCs w:val="22"/>
        </w:rPr>
        <w:t xml:space="preserve"> were updated in 2019 and now</w:t>
      </w:r>
      <w:r w:rsidRPr="00561095">
        <w:rPr>
          <w:rFonts w:ascii="Arial" w:eastAsia="Times New Roman" w:hAnsi="Arial" w:cs="Arial"/>
          <w:sz w:val="22"/>
          <w:szCs w:val="22"/>
        </w:rPr>
        <w:t xml:space="preserve"> require “</w:t>
      </w:r>
      <w:r w:rsidR="008138FC" w:rsidRPr="00561095">
        <w:rPr>
          <w:rFonts w:ascii="Arial" w:eastAsia="Times New Roman" w:hAnsi="Arial" w:cs="Arial"/>
          <w:i/>
          <w:sz w:val="22"/>
          <w:szCs w:val="22"/>
        </w:rPr>
        <w:t>i</w:t>
      </w:r>
      <w:r w:rsidRPr="00561095">
        <w:rPr>
          <w:rFonts w:ascii="Arial" w:eastAsia="Times New Roman" w:hAnsi="Arial" w:cs="Arial"/>
          <w:i/>
          <w:sz w:val="22"/>
          <w:szCs w:val="22"/>
        </w:rPr>
        <w:t>ntegrated knowledge of regional, national and global health priorities including mental health and care of the older person”</w:t>
      </w:r>
      <w:r w:rsidRPr="00561095">
        <w:rPr>
          <w:rFonts w:ascii="Arial" w:eastAsia="Times New Roman" w:hAnsi="Arial" w:cs="Arial"/>
          <w:sz w:val="22"/>
          <w:szCs w:val="22"/>
        </w:rPr>
        <w:t xml:space="preserve"> rather than </w:t>
      </w:r>
      <w:r w:rsidR="00447C98" w:rsidRPr="00561095">
        <w:rPr>
          <w:rFonts w:ascii="Arial" w:eastAsia="Times New Roman" w:hAnsi="Arial" w:cs="Arial"/>
          <w:sz w:val="22"/>
          <w:szCs w:val="22"/>
        </w:rPr>
        <w:t xml:space="preserve">require ‘content related to mental health’. These changes may have addressed some or </w:t>
      </w:r>
      <w:proofErr w:type="gramStart"/>
      <w:r w:rsidR="00447C98" w:rsidRPr="00561095">
        <w:rPr>
          <w:rFonts w:ascii="Arial" w:eastAsia="Times New Roman" w:hAnsi="Arial" w:cs="Arial"/>
          <w:sz w:val="22"/>
          <w:szCs w:val="22"/>
        </w:rPr>
        <w:t>all of</w:t>
      </w:r>
      <w:proofErr w:type="gramEnd"/>
      <w:r w:rsidR="00447C98" w:rsidRPr="00561095">
        <w:rPr>
          <w:rFonts w:ascii="Arial" w:eastAsia="Times New Roman" w:hAnsi="Arial" w:cs="Arial"/>
          <w:sz w:val="22"/>
          <w:szCs w:val="22"/>
        </w:rPr>
        <w:t xml:space="preserve"> this recommendation.</w:t>
      </w:r>
    </w:p>
    <w:p w14:paraId="7F964EB3" w14:textId="77777777" w:rsidR="00B122B6" w:rsidRPr="00561095" w:rsidRDefault="00350157" w:rsidP="00C7528B">
      <w:pPr>
        <w:spacing w:before="120" w:after="120" w:line="240" w:lineRule="auto"/>
        <w:rPr>
          <w:rFonts w:ascii="Arial" w:eastAsia="Times New Roman" w:hAnsi="Arial" w:cs="Arial"/>
          <w:sz w:val="22"/>
          <w:szCs w:val="22"/>
        </w:rPr>
      </w:pPr>
      <w:r w:rsidRPr="00561095">
        <w:rPr>
          <w:rFonts w:ascii="Arial" w:eastAsia="Times New Roman" w:hAnsi="Arial" w:cs="Arial"/>
          <w:sz w:val="22"/>
          <w:szCs w:val="22"/>
        </w:rPr>
        <w:t>The Government</w:t>
      </w:r>
      <w:r w:rsidR="001001DB" w:rsidRPr="00561095">
        <w:rPr>
          <w:rFonts w:ascii="Arial" w:eastAsia="Times New Roman" w:hAnsi="Arial" w:cs="Arial"/>
          <w:sz w:val="22"/>
          <w:szCs w:val="22"/>
        </w:rPr>
        <w:t xml:space="preserve"> also</w:t>
      </w:r>
      <w:r w:rsidRPr="00561095">
        <w:rPr>
          <w:rFonts w:ascii="Arial" w:eastAsia="Times New Roman" w:hAnsi="Arial" w:cs="Arial"/>
          <w:sz w:val="22"/>
          <w:szCs w:val="22"/>
        </w:rPr>
        <w:t xml:space="preserve"> notes the EN Accreditation Standards incorporate the Diploma of Nursing National Training Package. Teaching and learning relating to mental health is already a core unit of study in the training package. </w:t>
      </w:r>
    </w:p>
    <w:p w14:paraId="445621D0" w14:textId="77777777" w:rsidR="00447C98" w:rsidRPr="00561095" w:rsidRDefault="00447C98" w:rsidP="00447C98">
      <w:pPr>
        <w:spacing w:before="120" w:after="120" w:line="240" w:lineRule="auto"/>
        <w:rPr>
          <w:rFonts w:ascii="Arial" w:eastAsia="Times New Roman" w:hAnsi="Arial" w:cs="Arial"/>
          <w:sz w:val="22"/>
          <w:szCs w:val="22"/>
        </w:rPr>
      </w:pPr>
      <w:r w:rsidRPr="00561095">
        <w:rPr>
          <w:rFonts w:ascii="Arial" w:eastAsia="Times New Roman" w:hAnsi="Arial" w:cs="Arial"/>
          <w:sz w:val="22"/>
          <w:szCs w:val="22"/>
        </w:rPr>
        <w:t xml:space="preserve">The Government supports NNMEAN reviewing the Accreditation standards to identify if further work is required to meet this recommendation. </w:t>
      </w:r>
    </w:p>
    <w:p w14:paraId="375BFAE9" w14:textId="77777777" w:rsidR="00447C98" w:rsidRDefault="00447C98" w:rsidP="00447C98">
      <w:pPr>
        <w:spacing w:before="120" w:after="120" w:line="240" w:lineRule="auto"/>
        <w:rPr>
          <w:rFonts w:ascii="Arial" w:eastAsia="Times New Roman" w:hAnsi="Arial" w:cs="Arial"/>
          <w:sz w:val="22"/>
          <w:szCs w:val="22"/>
        </w:rPr>
      </w:pPr>
      <w:r w:rsidRPr="00561095">
        <w:rPr>
          <w:rFonts w:ascii="Arial" w:eastAsia="Times New Roman" w:hAnsi="Arial" w:cs="Arial"/>
          <w:sz w:val="22"/>
          <w:szCs w:val="22"/>
        </w:rPr>
        <w:t>The Government notes that all accreditation standards are regularly reviewed to ensure they are fit</w:t>
      </w:r>
      <w:r>
        <w:rPr>
          <w:rFonts w:ascii="Arial" w:eastAsia="Times New Roman" w:hAnsi="Arial" w:cs="Arial"/>
          <w:sz w:val="22"/>
          <w:szCs w:val="22"/>
        </w:rPr>
        <w:t xml:space="preserve"> for purpose and achieve their objectives under the National Law. Should a standard be found to no longer be fit for purpose, the Government can, through the Ministerial Council, require ANMAC to review and update the standard as required. </w:t>
      </w:r>
    </w:p>
    <w:p w14:paraId="5EB58805" w14:textId="77777777" w:rsidR="00350157" w:rsidRDefault="00350157" w:rsidP="00C7528B">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It is </w:t>
      </w:r>
      <w:r w:rsidRPr="00561095">
        <w:rPr>
          <w:rFonts w:ascii="Arial" w:eastAsia="Times New Roman" w:hAnsi="Arial" w:cs="Arial"/>
          <w:sz w:val="22"/>
          <w:szCs w:val="22"/>
        </w:rPr>
        <w:t>noted</w:t>
      </w:r>
      <w:r w:rsidRPr="006D7CAA">
        <w:rPr>
          <w:rFonts w:ascii="Arial" w:eastAsia="Times New Roman" w:hAnsi="Arial" w:cs="Arial"/>
          <w:sz w:val="22"/>
          <w:szCs w:val="22"/>
        </w:rPr>
        <w:t xml:space="preserve"> that implementation of </w:t>
      </w:r>
      <w:r w:rsidRPr="006D7CAA">
        <w:rPr>
          <w:rFonts w:ascii="Arial" w:eastAsia="Times New Roman" w:hAnsi="Arial" w:cs="Arial"/>
          <w:b/>
          <w:sz w:val="22"/>
          <w:szCs w:val="22"/>
        </w:rPr>
        <w:t>recommendations 6 and 7</w:t>
      </w:r>
      <w:r w:rsidRPr="006D7CAA">
        <w:rPr>
          <w:rFonts w:ascii="Arial" w:eastAsia="Times New Roman" w:hAnsi="Arial" w:cs="Arial"/>
          <w:sz w:val="22"/>
          <w:szCs w:val="22"/>
        </w:rPr>
        <w:t xml:space="preserve"> may also support this issue.</w:t>
      </w:r>
    </w:p>
    <w:p w14:paraId="75301DAD" w14:textId="77777777" w:rsidR="00350157" w:rsidRPr="006E4761" w:rsidRDefault="00350157" w:rsidP="00E94D35">
      <w:pPr>
        <w:pStyle w:val="Heading2"/>
        <w:spacing w:before="120" w:after="120" w:line="240" w:lineRule="auto"/>
        <w:rPr>
          <w:rFonts w:ascii="Arial" w:eastAsia="Times New Roman" w:hAnsi="Arial" w:cs="Arial"/>
        </w:rPr>
      </w:pPr>
      <w:bookmarkStart w:id="44" w:name="_Toc57387197"/>
      <w:r w:rsidRPr="006D7CAA">
        <w:rPr>
          <w:rFonts w:ascii="Arial" w:eastAsia="Times New Roman" w:hAnsi="Arial" w:cs="Arial"/>
        </w:rPr>
        <w:t>The complexity of patient care and the need for inter-disciplinary teams</w:t>
      </w:r>
      <w:bookmarkEnd w:id="44"/>
    </w:p>
    <w:tbl>
      <w:tblPr>
        <w:tblStyle w:val="TableGrid"/>
        <w:tblW w:w="0" w:type="auto"/>
        <w:tblLook w:val="04A0" w:firstRow="1" w:lastRow="0" w:firstColumn="1" w:lastColumn="0" w:noHBand="0" w:noVBand="1"/>
      </w:tblPr>
      <w:tblGrid>
        <w:gridCol w:w="9016"/>
      </w:tblGrid>
      <w:tr w:rsidR="00350157" w:rsidRPr="006D7CAA" w14:paraId="305DAFB8" w14:textId="77777777" w:rsidTr="00A470CF">
        <w:trPr>
          <w:trHeight w:val="1844"/>
        </w:trPr>
        <w:tc>
          <w:tcPr>
            <w:tcW w:w="9016" w:type="dxa"/>
          </w:tcPr>
          <w:p w14:paraId="51EF6B56" w14:textId="77777777" w:rsidR="00350157" w:rsidRPr="006D7CAA" w:rsidRDefault="00350157" w:rsidP="00A470CF">
            <w:pPr>
              <w:pStyle w:val="Heading3"/>
              <w:outlineLvl w:val="2"/>
              <w:rPr>
                <w:rFonts w:ascii="Arial" w:eastAsia="Times New Roman" w:hAnsi="Arial" w:cs="Arial"/>
              </w:rPr>
            </w:pPr>
            <w:bookmarkStart w:id="45" w:name="_Toc57387198"/>
            <w:r w:rsidRPr="006D7CAA">
              <w:rPr>
                <w:rFonts w:ascii="Arial" w:eastAsia="Times New Roman" w:hAnsi="Arial" w:cs="Arial"/>
              </w:rPr>
              <w:t>Recommendation 19</w:t>
            </w:r>
            <w:bookmarkEnd w:id="45"/>
          </w:p>
          <w:p w14:paraId="68F594E3"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ANMAC's accreditation standards require inter-professional learning to be "embedded in the curriculum." The EN accreditation standards should contain the same requirement. In both cases, the accreditation standards should include specific learning outcomes and assessments. AHPRA should consider establishing a national centre for interprofessional practice to guide the development of interprofessional education and collaborative practice.</w:t>
            </w:r>
          </w:p>
        </w:tc>
      </w:tr>
    </w:tbl>
    <w:p w14:paraId="152AE4DD"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Australian Government response</w:t>
      </w:r>
    </w:p>
    <w:p w14:paraId="299A9C8C" w14:textId="77777777" w:rsidR="00350157" w:rsidRPr="00561095" w:rsidRDefault="00350157" w:rsidP="00DF5E51">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The </w:t>
      </w:r>
      <w:r w:rsidRPr="00561095">
        <w:rPr>
          <w:rFonts w:ascii="Arial" w:eastAsia="Times New Roman" w:hAnsi="Arial" w:cs="Arial"/>
          <w:sz w:val="22"/>
          <w:szCs w:val="22"/>
        </w:rPr>
        <w:t>Government acknowledges that inter</w:t>
      </w:r>
      <w:r w:rsidR="001761D5" w:rsidRPr="00561095">
        <w:rPr>
          <w:rFonts w:ascii="Arial" w:eastAsia="Times New Roman" w:hAnsi="Arial" w:cs="Arial"/>
          <w:sz w:val="22"/>
          <w:szCs w:val="22"/>
        </w:rPr>
        <w:t>-</w:t>
      </w:r>
      <w:r w:rsidRPr="00561095">
        <w:rPr>
          <w:rFonts w:ascii="Arial" w:eastAsia="Times New Roman" w:hAnsi="Arial" w:cs="Arial"/>
          <w:sz w:val="22"/>
          <w:szCs w:val="22"/>
        </w:rPr>
        <w:t>professional learning for all health professionals will become increasingly important in the delivery of health care into the future.</w:t>
      </w:r>
    </w:p>
    <w:p w14:paraId="2B746B6C" w14:textId="77777777" w:rsidR="001001DB" w:rsidRPr="00561095" w:rsidRDefault="00350157">
      <w:pPr>
        <w:spacing w:before="120" w:after="120" w:line="240" w:lineRule="auto"/>
        <w:rPr>
          <w:rFonts w:ascii="Arial" w:eastAsia="Times New Roman" w:hAnsi="Arial" w:cs="Arial"/>
          <w:sz w:val="22"/>
          <w:szCs w:val="22"/>
        </w:rPr>
      </w:pPr>
      <w:r w:rsidRPr="00561095">
        <w:rPr>
          <w:rFonts w:ascii="Arial" w:eastAsia="Times New Roman" w:hAnsi="Arial" w:cs="Arial"/>
          <w:sz w:val="22"/>
          <w:szCs w:val="22"/>
        </w:rPr>
        <w:t>The Government notes that there is an established inter</w:t>
      </w:r>
      <w:r w:rsidR="001761D5" w:rsidRPr="00561095">
        <w:rPr>
          <w:rFonts w:ascii="Arial" w:eastAsia="Times New Roman" w:hAnsi="Arial" w:cs="Arial"/>
          <w:sz w:val="22"/>
          <w:szCs w:val="22"/>
        </w:rPr>
        <w:t>-</w:t>
      </w:r>
      <w:r w:rsidRPr="00561095">
        <w:rPr>
          <w:rFonts w:ascii="Arial" w:eastAsia="Times New Roman" w:hAnsi="Arial" w:cs="Arial"/>
          <w:sz w:val="22"/>
          <w:szCs w:val="22"/>
        </w:rPr>
        <w:t xml:space="preserve">professional working group within the Health Professions Accreditation Collaborative Forum and </w:t>
      </w:r>
      <w:r w:rsidR="001761D5" w:rsidRPr="00561095">
        <w:rPr>
          <w:rFonts w:ascii="Arial" w:eastAsia="Times New Roman" w:hAnsi="Arial" w:cs="Arial"/>
          <w:sz w:val="22"/>
          <w:szCs w:val="22"/>
        </w:rPr>
        <w:t>that ANMAC is a member.</w:t>
      </w:r>
    </w:p>
    <w:p w14:paraId="2C49C96E" w14:textId="77777777" w:rsidR="001761D5" w:rsidRPr="00561095" w:rsidRDefault="001761D5" w:rsidP="001761D5">
      <w:pPr>
        <w:spacing w:before="120" w:after="120" w:line="240" w:lineRule="auto"/>
        <w:rPr>
          <w:rFonts w:ascii="Arial" w:eastAsia="Times New Roman" w:hAnsi="Arial" w:cs="Arial"/>
          <w:sz w:val="22"/>
          <w:szCs w:val="22"/>
        </w:rPr>
      </w:pPr>
      <w:bookmarkStart w:id="46" w:name="_Toc57387199"/>
      <w:r w:rsidRPr="00561095">
        <w:rPr>
          <w:rFonts w:ascii="Arial" w:eastAsia="Times New Roman" w:hAnsi="Arial" w:cs="Arial"/>
          <w:sz w:val="22"/>
          <w:szCs w:val="22"/>
        </w:rPr>
        <w:t>The Government notes that recommendation 4 of the ASR relates to cross-profession policies and guidelines being developed by the newly formed independent accreditation committee.</w:t>
      </w:r>
    </w:p>
    <w:p w14:paraId="25C14778" w14:textId="77777777" w:rsidR="001761D5" w:rsidRDefault="001761D5" w:rsidP="001761D5">
      <w:pPr>
        <w:spacing w:before="120" w:after="120" w:line="240" w:lineRule="auto"/>
        <w:rPr>
          <w:rFonts w:ascii="Arial" w:eastAsia="Times New Roman" w:hAnsi="Arial" w:cs="Arial"/>
          <w:sz w:val="22"/>
          <w:szCs w:val="22"/>
        </w:rPr>
      </w:pPr>
      <w:r w:rsidRPr="00561095">
        <w:rPr>
          <w:rFonts w:ascii="Arial" w:eastAsia="Times New Roman" w:hAnsi="Arial" w:cs="Arial"/>
          <w:sz w:val="22"/>
          <w:szCs w:val="22"/>
        </w:rPr>
        <w:t>The Government undertakes to</w:t>
      </w:r>
      <w:r>
        <w:rPr>
          <w:rFonts w:ascii="Arial" w:eastAsia="Times New Roman" w:hAnsi="Arial" w:cs="Arial"/>
          <w:sz w:val="22"/>
          <w:szCs w:val="22"/>
        </w:rPr>
        <w:t xml:space="preserve"> work with jurisdictions, the independent accreditation committee, ANMAC and Ahpra to align implementation of recommendations from the ASR and this report.</w:t>
      </w:r>
    </w:p>
    <w:p w14:paraId="02DF9D84" w14:textId="77777777" w:rsidR="00350157" w:rsidRPr="006E4761" w:rsidRDefault="00350157" w:rsidP="00E94D35">
      <w:pPr>
        <w:pStyle w:val="Heading2"/>
        <w:spacing w:before="120" w:after="120" w:line="240" w:lineRule="auto"/>
        <w:rPr>
          <w:rFonts w:ascii="Arial" w:eastAsia="Times New Roman" w:hAnsi="Arial" w:cs="Arial"/>
        </w:rPr>
      </w:pPr>
      <w:r w:rsidRPr="006D7CAA">
        <w:rPr>
          <w:rFonts w:ascii="Arial" w:eastAsia="Times New Roman" w:hAnsi="Arial" w:cs="Arial"/>
        </w:rPr>
        <w:lastRenderedPageBreak/>
        <w:t>Explosive growth in technology</w:t>
      </w:r>
      <w:bookmarkEnd w:id="46"/>
    </w:p>
    <w:tbl>
      <w:tblPr>
        <w:tblStyle w:val="TableGrid"/>
        <w:tblW w:w="0" w:type="auto"/>
        <w:tblLook w:val="04A0" w:firstRow="1" w:lastRow="0" w:firstColumn="1" w:lastColumn="0" w:noHBand="0" w:noVBand="1"/>
      </w:tblPr>
      <w:tblGrid>
        <w:gridCol w:w="9016"/>
      </w:tblGrid>
      <w:tr w:rsidR="00350157" w:rsidRPr="006D7CAA" w14:paraId="08BEF4DE" w14:textId="77777777" w:rsidTr="00A470CF">
        <w:trPr>
          <w:trHeight w:val="1085"/>
        </w:trPr>
        <w:tc>
          <w:tcPr>
            <w:tcW w:w="9016" w:type="dxa"/>
          </w:tcPr>
          <w:p w14:paraId="57AA790A" w14:textId="77777777" w:rsidR="00350157" w:rsidRPr="006D7CAA" w:rsidRDefault="00350157" w:rsidP="00A470CF">
            <w:pPr>
              <w:pStyle w:val="Heading3"/>
              <w:outlineLvl w:val="2"/>
              <w:rPr>
                <w:rFonts w:ascii="Arial" w:eastAsia="Times New Roman" w:hAnsi="Arial" w:cs="Arial"/>
                <w:color w:val="943634"/>
              </w:rPr>
            </w:pPr>
            <w:bookmarkStart w:id="47" w:name="_Toc57387200"/>
            <w:r w:rsidRPr="006D7CAA">
              <w:rPr>
                <w:rFonts w:ascii="Arial" w:eastAsia="Times New Roman" w:hAnsi="Arial" w:cs="Arial"/>
              </w:rPr>
              <w:t>Recommendation 20</w:t>
            </w:r>
            <w:bookmarkEnd w:id="47"/>
          </w:p>
          <w:p w14:paraId="41F2554B" w14:textId="77777777" w:rsidR="00350157" w:rsidRPr="006D7CAA" w:rsidRDefault="00350157" w:rsidP="00A470CF">
            <w:pPr>
              <w:autoSpaceDE w:val="0"/>
              <w:autoSpaceDN w:val="0"/>
              <w:adjustRightInd w:val="0"/>
              <w:spacing w:line="221" w:lineRule="atLeast"/>
              <w:rPr>
                <w:rFonts w:ascii="Arial" w:eastAsia="Times New Roman" w:hAnsi="Arial" w:cs="Arial"/>
                <w:color w:val="943634"/>
              </w:rPr>
            </w:pPr>
            <w:r w:rsidRPr="006D7CAA">
              <w:rPr>
                <w:rFonts w:ascii="Arial" w:eastAsia="Times New Roman" w:hAnsi="Arial" w:cs="Arial"/>
                <w:color w:val="000000"/>
                <w:sz w:val="22"/>
                <w:szCs w:val="22"/>
                <w:lang w:eastAsia="en-AU"/>
              </w:rPr>
              <w:t xml:space="preserve">ANMAC’s RN accreditation standards for health informatics and digital health technologies should specify learning outcomes and the level of expertise required. The EN accreditation standards should contain similar specifications. </w:t>
            </w:r>
          </w:p>
        </w:tc>
      </w:tr>
    </w:tbl>
    <w:p w14:paraId="20C49B3A" w14:textId="77777777" w:rsidR="00B122B6" w:rsidRDefault="00350157">
      <w:pPr>
        <w:spacing w:before="120" w:after="120" w:line="240" w:lineRule="auto"/>
        <w:rPr>
          <w:rFonts w:ascii="Arial" w:eastAsia="Times New Roman" w:hAnsi="Arial" w:cs="Arial"/>
          <w:sz w:val="22"/>
          <w:szCs w:val="22"/>
        </w:rPr>
      </w:pPr>
      <w:r w:rsidRPr="006D7CAA">
        <w:rPr>
          <w:rFonts w:ascii="Arial" w:hAnsi="Arial" w:cs="Arial"/>
          <w:b/>
        </w:rPr>
        <w:t>Australian Government response</w:t>
      </w:r>
    </w:p>
    <w:p w14:paraId="3183CADA" w14:textId="77777777" w:rsidR="00350157" w:rsidRPr="00943545" w:rsidRDefault="00350157">
      <w:pPr>
        <w:spacing w:before="120" w:after="120" w:line="240" w:lineRule="auto"/>
        <w:rPr>
          <w:rFonts w:ascii="Arial" w:eastAsia="Times New Roman" w:hAnsi="Arial" w:cs="Arial"/>
          <w:sz w:val="22"/>
          <w:szCs w:val="22"/>
        </w:rPr>
      </w:pPr>
      <w:r w:rsidRPr="00943545">
        <w:rPr>
          <w:rFonts w:ascii="Arial" w:eastAsia="Times New Roman" w:hAnsi="Arial" w:cs="Arial"/>
          <w:sz w:val="22"/>
          <w:szCs w:val="22"/>
        </w:rPr>
        <w:t xml:space="preserve">The Government </w:t>
      </w:r>
      <w:r w:rsidRPr="00561095">
        <w:rPr>
          <w:rFonts w:ascii="Arial" w:eastAsia="Times New Roman" w:hAnsi="Arial" w:cs="Arial"/>
          <w:sz w:val="22"/>
          <w:szCs w:val="22"/>
        </w:rPr>
        <w:t>notes</w:t>
      </w:r>
      <w:r w:rsidRPr="00943545">
        <w:rPr>
          <w:rFonts w:ascii="Arial" w:eastAsia="Times New Roman" w:hAnsi="Arial" w:cs="Arial"/>
          <w:sz w:val="22"/>
          <w:szCs w:val="22"/>
        </w:rPr>
        <w:t xml:space="preserve"> that the Digital Health Agency, in conjunction with the Australasian Institute of Digital Health has </w:t>
      </w:r>
      <w:r w:rsidR="003321FF">
        <w:rPr>
          <w:rFonts w:ascii="Arial" w:eastAsia="Times New Roman" w:hAnsi="Arial" w:cs="Arial"/>
          <w:sz w:val="22"/>
          <w:szCs w:val="22"/>
        </w:rPr>
        <w:t>developed</w:t>
      </w:r>
      <w:r w:rsidRPr="00943545">
        <w:rPr>
          <w:rFonts w:ascii="Arial" w:eastAsia="Times New Roman" w:hAnsi="Arial" w:cs="Arial"/>
          <w:sz w:val="22"/>
          <w:szCs w:val="22"/>
        </w:rPr>
        <w:t xml:space="preserve"> the National Nursing and Midwifery Digital Health Capability Framework. The Framework is a resource to guide individuals, employers and educators in their workforce and professional development planning. This Framework recognises the unique digital health capabilities of nurses and midwives, outlining the core skills, knowledge and behaviours required for contemporary professional practice.</w:t>
      </w:r>
    </w:p>
    <w:p w14:paraId="2809CB50" w14:textId="77777777" w:rsidR="00631344" w:rsidRDefault="00350157" w:rsidP="00631344">
      <w:pPr>
        <w:spacing w:before="120" w:after="120" w:line="240" w:lineRule="auto"/>
        <w:rPr>
          <w:rFonts w:ascii="Arial" w:eastAsia="Times New Roman" w:hAnsi="Arial" w:cs="Arial"/>
          <w:sz w:val="22"/>
          <w:szCs w:val="22"/>
        </w:rPr>
      </w:pPr>
      <w:r w:rsidRPr="00943545">
        <w:rPr>
          <w:rFonts w:ascii="Arial" w:eastAsia="Times New Roman" w:hAnsi="Arial" w:cs="Arial"/>
          <w:sz w:val="22"/>
          <w:szCs w:val="22"/>
        </w:rPr>
        <w:t>Development of the Framework was undertaken in collaboration with the A</w:t>
      </w:r>
      <w:r>
        <w:rPr>
          <w:rFonts w:ascii="Arial" w:eastAsia="Times New Roman" w:hAnsi="Arial" w:cs="Arial"/>
          <w:sz w:val="22"/>
          <w:szCs w:val="22"/>
        </w:rPr>
        <w:t xml:space="preserve">ustralian </w:t>
      </w:r>
      <w:r w:rsidRPr="00943545">
        <w:rPr>
          <w:rFonts w:ascii="Arial" w:eastAsia="Times New Roman" w:hAnsi="Arial" w:cs="Arial"/>
          <w:sz w:val="22"/>
          <w:szCs w:val="22"/>
        </w:rPr>
        <w:t>C</w:t>
      </w:r>
      <w:r>
        <w:rPr>
          <w:rFonts w:ascii="Arial" w:eastAsia="Times New Roman" w:hAnsi="Arial" w:cs="Arial"/>
          <w:sz w:val="22"/>
          <w:szCs w:val="22"/>
        </w:rPr>
        <w:t xml:space="preserve">ollege of </w:t>
      </w:r>
      <w:r w:rsidRPr="00943545">
        <w:rPr>
          <w:rFonts w:ascii="Arial" w:eastAsia="Times New Roman" w:hAnsi="Arial" w:cs="Arial"/>
          <w:sz w:val="22"/>
          <w:szCs w:val="22"/>
        </w:rPr>
        <w:t>N</w:t>
      </w:r>
      <w:r>
        <w:rPr>
          <w:rFonts w:ascii="Arial" w:eastAsia="Times New Roman" w:hAnsi="Arial" w:cs="Arial"/>
          <w:sz w:val="22"/>
          <w:szCs w:val="22"/>
        </w:rPr>
        <w:t>ursing</w:t>
      </w:r>
      <w:r w:rsidRPr="00943545">
        <w:rPr>
          <w:rFonts w:ascii="Arial" w:eastAsia="Times New Roman" w:hAnsi="Arial" w:cs="Arial"/>
          <w:sz w:val="22"/>
          <w:szCs w:val="22"/>
        </w:rPr>
        <w:t>, the A</w:t>
      </w:r>
      <w:r>
        <w:rPr>
          <w:rFonts w:ascii="Arial" w:eastAsia="Times New Roman" w:hAnsi="Arial" w:cs="Arial"/>
          <w:sz w:val="22"/>
          <w:szCs w:val="22"/>
        </w:rPr>
        <w:t xml:space="preserve">ustralian </w:t>
      </w:r>
      <w:r w:rsidRPr="00943545">
        <w:rPr>
          <w:rFonts w:ascii="Arial" w:eastAsia="Times New Roman" w:hAnsi="Arial" w:cs="Arial"/>
          <w:sz w:val="22"/>
          <w:szCs w:val="22"/>
        </w:rPr>
        <w:t>C</w:t>
      </w:r>
      <w:r>
        <w:rPr>
          <w:rFonts w:ascii="Arial" w:eastAsia="Times New Roman" w:hAnsi="Arial" w:cs="Arial"/>
          <w:sz w:val="22"/>
          <w:szCs w:val="22"/>
        </w:rPr>
        <w:t xml:space="preserve">ollege of </w:t>
      </w:r>
      <w:r w:rsidRPr="00943545">
        <w:rPr>
          <w:rFonts w:ascii="Arial" w:eastAsia="Times New Roman" w:hAnsi="Arial" w:cs="Arial"/>
          <w:sz w:val="22"/>
          <w:szCs w:val="22"/>
        </w:rPr>
        <w:t>M</w:t>
      </w:r>
      <w:r>
        <w:rPr>
          <w:rFonts w:ascii="Arial" w:eastAsia="Times New Roman" w:hAnsi="Arial" w:cs="Arial"/>
          <w:sz w:val="22"/>
          <w:szCs w:val="22"/>
        </w:rPr>
        <w:t>idwives</w:t>
      </w:r>
      <w:r w:rsidRPr="00943545">
        <w:rPr>
          <w:rFonts w:ascii="Arial" w:eastAsia="Times New Roman" w:hAnsi="Arial" w:cs="Arial"/>
          <w:sz w:val="22"/>
          <w:szCs w:val="22"/>
        </w:rPr>
        <w:t>, the A</w:t>
      </w:r>
      <w:r>
        <w:rPr>
          <w:rFonts w:ascii="Arial" w:eastAsia="Times New Roman" w:hAnsi="Arial" w:cs="Arial"/>
          <w:sz w:val="22"/>
          <w:szCs w:val="22"/>
        </w:rPr>
        <w:t xml:space="preserve">ustralian </w:t>
      </w:r>
      <w:r w:rsidRPr="00943545">
        <w:rPr>
          <w:rFonts w:ascii="Arial" w:eastAsia="Times New Roman" w:hAnsi="Arial" w:cs="Arial"/>
          <w:sz w:val="22"/>
          <w:szCs w:val="22"/>
        </w:rPr>
        <w:t>N</w:t>
      </w:r>
      <w:r>
        <w:rPr>
          <w:rFonts w:ascii="Arial" w:eastAsia="Times New Roman" w:hAnsi="Arial" w:cs="Arial"/>
          <w:sz w:val="22"/>
          <w:szCs w:val="22"/>
        </w:rPr>
        <w:t xml:space="preserve">ursing and </w:t>
      </w:r>
      <w:r w:rsidRPr="00943545">
        <w:rPr>
          <w:rFonts w:ascii="Arial" w:eastAsia="Times New Roman" w:hAnsi="Arial" w:cs="Arial"/>
          <w:sz w:val="22"/>
          <w:szCs w:val="22"/>
        </w:rPr>
        <w:t>M</w:t>
      </w:r>
      <w:r>
        <w:rPr>
          <w:rFonts w:ascii="Arial" w:eastAsia="Times New Roman" w:hAnsi="Arial" w:cs="Arial"/>
          <w:sz w:val="22"/>
          <w:szCs w:val="22"/>
        </w:rPr>
        <w:t xml:space="preserve">idwifery </w:t>
      </w:r>
      <w:r w:rsidRPr="00943545">
        <w:rPr>
          <w:rFonts w:ascii="Arial" w:eastAsia="Times New Roman" w:hAnsi="Arial" w:cs="Arial"/>
          <w:sz w:val="22"/>
          <w:szCs w:val="22"/>
        </w:rPr>
        <w:t>F</w:t>
      </w:r>
      <w:r>
        <w:rPr>
          <w:rFonts w:ascii="Arial" w:eastAsia="Times New Roman" w:hAnsi="Arial" w:cs="Arial"/>
          <w:sz w:val="22"/>
          <w:szCs w:val="22"/>
        </w:rPr>
        <w:t>ederation</w:t>
      </w:r>
      <w:r w:rsidRPr="00943545">
        <w:rPr>
          <w:rFonts w:ascii="Arial" w:eastAsia="Times New Roman" w:hAnsi="Arial" w:cs="Arial"/>
          <w:sz w:val="22"/>
          <w:szCs w:val="22"/>
        </w:rPr>
        <w:t>,</w:t>
      </w:r>
      <w:r>
        <w:rPr>
          <w:rFonts w:ascii="Arial" w:eastAsia="Times New Roman" w:hAnsi="Arial" w:cs="Arial"/>
          <w:sz w:val="22"/>
          <w:szCs w:val="22"/>
        </w:rPr>
        <w:t xml:space="preserve"> </w:t>
      </w:r>
      <w:proofErr w:type="spellStart"/>
      <w:r w:rsidRPr="00943545">
        <w:rPr>
          <w:rFonts w:ascii="Arial" w:eastAsia="Times New Roman" w:hAnsi="Arial" w:cs="Arial"/>
          <w:sz w:val="22"/>
          <w:szCs w:val="22"/>
        </w:rPr>
        <w:t>CATSINaM</w:t>
      </w:r>
      <w:proofErr w:type="spellEnd"/>
      <w:r w:rsidRPr="00943545">
        <w:rPr>
          <w:rFonts w:ascii="Arial" w:eastAsia="Times New Roman" w:hAnsi="Arial" w:cs="Arial"/>
          <w:sz w:val="22"/>
          <w:szCs w:val="22"/>
        </w:rPr>
        <w:t xml:space="preserve">, ANMAC, NMBA, </w:t>
      </w:r>
      <w:r>
        <w:rPr>
          <w:rFonts w:ascii="Arial" w:eastAsia="Times New Roman" w:hAnsi="Arial" w:cs="Arial"/>
          <w:sz w:val="22"/>
          <w:szCs w:val="22"/>
        </w:rPr>
        <w:t xml:space="preserve">the </w:t>
      </w:r>
      <w:r w:rsidRPr="00943545">
        <w:rPr>
          <w:rFonts w:ascii="Arial" w:eastAsia="Times New Roman" w:hAnsi="Arial" w:cs="Arial"/>
          <w:sz w:val="22"/>
          <w:szCs w:val="22"/>
        </w:rPr>
        <w:t>A</w:t>
      </w:r>
      <w:r>
        <w:rPr>
          <w:rFonts w:ascii="Arial" w:eastAsia="Times New Roman" w:hAnsi="Arial" w:cs="Arial"/>
          <w:sz w:val="22"/>
          <w:szCs w:val="22"/>
        </w:rPr>
        <w:t xml:space="preserve">ustralian </w:t>
      </w:r>
      <w:r w:rsidRPr="00943545">
        <w:rPr>
          <w:rFonts w:ascii="Arial" w:eastAsia="Times New Roman" w:hAnsi="Arial" w:cs="Arial"/>
          <w:sz w:val="22"/>
          <w:szCs w:val="22"/>
        </w:rPr>
        <w:t>P</w:t>
      </w:r>
      <w:r>
        <w:rPr>
          <w:rFonts w:ascii="Arial" w:eastAsia="Times New Roman" w:hAnsi="Arial" w:cs="Arial"/>
          <w:sz w:val="22"/>
          <w:szCs w:val="22"/>
        </w:rPr>
        <w:t xml:space="preserve">rimary Health Care </w:t>
      </w:r>
      <w:r w:rsidRPr="00943545">
        <w:rPr>
          <w:rFonts w:ascii="Arial" w:eastAsia="Times New Roman" w:hAnsi="Arial" w:cs="Arial"/>
          <w:sz w:val="22"/>
          <w:szCs w:val="22"/>
        </w:rPr>
        <w:t>N</w:t>
      </w:r>
      <w:r>
        <w:rPr>
          <w:rFonts w:ascii="Arial" w:eastAsia="Times New Roman" w:hAnsi="Arial" w:cs="Arial"/>
          <w:sz w:val="22"/>
          <w:szCs w:val="22"/>
        </w:rPr>
        <w:t xml:space="preserve">urses </w:t>
      </w:r>
      <w:r w:rsidRPr="00943545">
        <w:rPr>
          <w:rFonts w:ascii="Arial" w:eastAsia="Times New Roman" w:hAnsi="Arial" w:cs="Arial"/>
          <w:sz w:val="22"/>
          <w:szCs w:val="22"/>
        </w:rPr>
        <w:t>A</w:t>
      </w:r>
      <w:r>
        <w:rPr>
          <w:rFonts w:ascii="Arial" w:eastAsia="Times New Roman" w:hAnsi="Arial" w:cs="Arial"/>
          <w:sz w:val="22"/>
          <w:szCs w:val="22"/>
        </w:rPr>
        <w:t>ssociation</w:t>
      </w:r>
      <w:r w:rsidRPr="00943545">
        <w:rPr>
          <w:rFonts w:ascii="Arial" w:eastAsia="Times New Roman" w:hAnsi="Arial" w:cs="Arial"/>
          <w:sz w:val="22"/>
          <w:szCs w:val="22"/>
        </w:rPr>
        <w:t>, the Digital Health Cooperative Research Centre and the Queensland Chief Nursing and Midwifery Officer, along with other key stakeholders from across the nursing and midwifery sectors.</w:t>
      </w:r>
      <w:r w:rsidR="003321FF">
        <w:rPr>
          <w:rFonts w:ascii="Arial" w:eastAsia="Times New Roman" w:hAnsi="Arial" w:cs="Arial"/>
          <w:sz w:val="22"/>
          <w:szCs w:val="22"/>
        </w:rPr>
        <w:t xml:space="preserve"> The framework </w:t>
      </w:r>
      <w:r w:rsidR="00DA5E8B">
        <w:rPr>
          <w:rFonts w:ascii="Arial" w:eastAsia="Times New Roman" w:hAnsi="Arial" w:cs="Arial"/>
          <w:sz w:val="22"/>
          <w:szCs w:val="22"/>
        </w:rPr>
        <w:t xml:space="preserve">was published in October 2020 and </w:t>
      </w:r>
      <w:r w:rsidR="003321FF">
        <w:rPr>
          <w:rFonts w:ascii="Arial" w:eastAsia="Times New Roman" w:hAnsi="Arial" w:cs="Arial"/>
          <w:sz w:val="22"/>
          <w:szCs w:val="22"/>
        </w:rPr>
        <w:t xml:space="preserve">is available from </w:t>
      </w:r>
      <w:r w:rsidR="00DA5E8B" w:rsidRPr="00E81E86">
        <w:rPr>
          <w:rFonts w:ascii="Arial" w:eastAsia="Times New Roman" w:hAnsi="Arial" w:cs="Arial"/>
          <w:sz w:val="22"/>
          <w:szCs w:val="22"/>
          <w:u w:val="single"/>
        </w:rPr>
        <w:t>digitalhealth.gov.au</w:t>
      </w:r>
      <w:r w:rsidR="00DA5E8B">
        <w:rPr>
          <w:rFonts w:ascii="Arial" w:eastAsia="Times New Roman" w:hAnsi="Arial" w:cs="Arial"/>
          <w:sz w:val="22"/>
          <w:szCs w:val="22"/>
        </w:rPr>
        <w:t>.</w:t>
      </w:r>
      <w:r w:rsidR="00BE7294">
        <w:rPr>
          <w:rFonts w:ascii="Arial" w:eastAsia="Times New Roman" w:hAnsi="Arial" w:cs="Arial"/>
          <w:sz w:val="22"/>
          <w:szCs w:val="22"/>
        </w:rPr>
        <w:t xml:space="preserve"> </w:t>
      </w:r>
      <w:r w:rsidR="00561095">
        <w:rPr>
          <w:rFonts w:ascii="Arial" w:eastAsia="Times New Roman" w:hAnsi="Arial" w:cs="Arial"/>
          <w:sz w:val="22"/>
          <w:szCs w:val="22"/>
        </w:rPr>
        <w:t>T</w:t>
      </w:r>
      <w:r w:rsidR="00631344">
        <w:rPr>
          <w:rFonts w:ascii="Arial" w:eastAsia="Times New Roman" w:hAnsi="Arial" w:cs="Arial"/>
          <w:sz w:val="22"/>
          <w:szCs w:val="22"/>
        </w:rPr>
        <w:t xml:space="preserve">he framework may address some or </w:t>
      </w:r>
      <w:proofErr w:type="gramStart"/>
      <w:r w:rsidR="00631344">
        <w:rPr>
          <w:rFonts w:ascii="Arial" w:eastAsia="Times New Roman" w:hAnsi="Arial" w:cs="Arial"/>
          <w:sz w:val="22"/>
          <w:szCs w:val="22"/>
        </w:rPr>
        <w:t>all of</w:t>
      </w:r>
      <w:proofErr w:type="gramEnd"/>
      <w:r w:rsidR="00631344">
        <w:rPr>
          <w:rFonts w:ascii="Arial" w:eastAsia="Times New Roman" w:hAnsi="Arial" w:cs="Arial"/>
          <w:sz w:val="22"/>
          <w:szCs w:val="22"/>
        </w:rPr>
        <w:t xml:space="preserve"> this recommendation. </w:t>
      </w:r>
    </w:p>
    <w:p w14:paraId="1AC985CB" w14:textId="77777777" w:rsidR="001761D5" w:rsidRDefault="001761D5" w:rsidP="001761D5">
      <w:pPr>
        <w:spacing w:before="120" w:after="120" w:line="240" w:lineRule="auto"/>
        <w:rPr>
          <w:rFonts w:ascii="Arial" w:eastAsia="Times New Roman" w:hAnsi="Arial" w:cs="Arial"/>
          <w:sz w:val="22"/>
          <w:szCs w:val="22"/>
        </w:rPr>
      </w:pPr>
      <w:r>
        <w:rPr>
          <w:rFonts w:ascii="Arial" w:eastAsia="Times New Roman" w:hAnsi="Arial" w:cs="Arial"/>
          <w:sz w:val="22"/>
          <w:szCs w:val="22"/>
        </w:rPr>
        <w:t xml:space="preserve">The Government </w:t>
      </w:r>
      <w:r w:rsidRPr="00561095">
        <w:rPr>
          <w:rFonts w:ascii="Arial" w:eastAsia="Times New Roman" w:hAnsi="Arial" w:cs="Arial"/>
          <w:sz w:val="22"/>
          <w:szCs w:val="22"/>
        </w:rPr>
        <w:t>supports</w:t>
      </w:r>
      <w:r>
        <w:rPr>
          <w:rFonts w:ascii="Arial" w:eastAsia="Times New Roman" w:hAnsi="Arial" w:cs="Arial"/>
          <w:sz w:val="22"/>
          <w:szCs w:val="22"/>
        </w:rPr>
        <w:t xml:space="preserve"> NNMEAN reviewing the accreditation standards to identify if further work is required to </w:t>
      </w:r>
      <w:r w:rsidR="00561095">
        <w:rPr>
          <w:rFonts w:ascii="Arial" w:eastAsia="Times New Roman" w:hAnsi="Arial" w:cs="Arial"/>
          <w:sz w:val="22"/>
          <w:szCs w:val="22"/>
        </w:rPr>
        <w:t>implement</w:t>
      </w:r>
      <w:r>
        <w:rPr>
          <w:rFonts w:ascii="Arial" w:eastAsia="Times New Roman" w:hAnsi="Arial" w:cs="Arial"/>
          <w:sz w:val="22"/>
          <w:szCs w:val="22"/>
        </w:rPr>
        <w:t xml:space="preserve"> this recommendation. </w:t>
      </w:r>
    </w:p>
    <w:p w14:paraId="401E8C65" w14:textId="77777777" w:rsidR="001761D5" w:rsidRPr="006D7CAA" w:rsidRDefault="001761D5" w:rsidP="001761D5">
      <w:pPr>
        <w:spacing w:before="120" w:after="120" w:line="240" w:lineRule="auto"/>
        <w:rPr>
          <w:rFonts w:ascii="Arial" w:eastAsia="Times New Roman" w:hAnsi="Arial" w:cs="Arial"/>
          <w:sz w:val="22"/>
          <w:szCs w:val="22"/>
        </w:rPr>
      </w:pPr>
      <w:r>
        <w:rPr>
          <w:rFonts w:ascii="Arial" w:eastAsia="Times New Roman" w:hAnsi="Arial" w:cs="Arial"/>
          <w:sz w:val="22"/>
          <w:szCs w:val="22"/>
        </w:rPr>
        <w:t xml:space="preserve">The Government </w:t>
      </w:r>
      <w:r w:rsidRPr="00561095">
        <w:rPr>
          <w:rFonts w:ascii="Arial" w:eastAsia="Times New Roman" w:hAnsi="Arial" w:cs="Arial"/>
          <w:sz w:val="22"/>
          <w:szCs w:val="22"/>
        </w:rPr>
        <w:t>notes</w:t>
      </w:r>
      <w:r>
        <w:rPr>
          <w:rFonts w:ascii="Arial" w:eastAsia="Times New Roman" w:hAnsi="Arial" w:cs="Arial"/>
          <w:sz w:val="22"/>
          <w:szCs w:val="22"/>
        </w:rPr>
        <w:t xml:space="preserve"> that all accreditation standards are regularly reviewed to ensure they are fit for purpose and achieve their objectives under the National Law. Should a standard be found to no longer be fit for purpose, the Government can, through the Ministerial Council, require ANMAC to review and update the standard as required. </w:t>
      </w:r>
    </w:p>
    <w:p w14:paraId="6EFCDBC0" w14:textId="77777777" w:rsidR="00350157" w:rsidRPr="006D7CAA" w:rsidRDefault="00350157">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It is also </w:t>
      </w:r>
      <w:r w:rsidRPr="00561095">
        <w:rPr>
          <w:rFonts w:ascii="Arial" w:eastAsia="Times New Roman" w:hAnsi="Arial" w:cs="Arial"/>
          <w:sz w:val="22"/>
          <w:szCs w:val="22"/>
        </w:rPr>
        <w:t>noted</w:t>
      </w:r>
      <w:r w:rsidRPr="006D7CAA">
        <w:rPr>
          <w:rFonts w:ascii="Arial" w:eastAsia="Times New Roman" w:hAnsi="Arial" w:cs="Arial"/>
          <w:sz w:val="22"/>
          <w:szCs w:val="22"/>
        </w:rPr>
        <w:t xml:space="preserve"> that the implementation of </w:t>
      </w:r>
      <w:r w:rsidRPr="006D7CAA">
        <w:rPr>
          <w:rFonts w:ascii="Arial" w:eastAsia="Times New Roman" w:hAnsi="Arial" w:cs="Arial"/>
          <w:b/>
          <w:sz w:val="22"/>
          <w:szCs w:val="22"/>
        </w:rPr>
        <w:t>recommendations 6 and 7</w:t>
      </w:r>
      <w:r w:rsidRPr="006D7CAA">
        <w:rPr>
          <w:rFonts w:ascii="Arial" w:eastAsia="Times New Roman" w:hAnsi="Arial" w:cs="Arial"/>
          <w:sz w:val="22"/>
          <w:szCs w:val="22"/>
        </w:rPr>
        <w:t xml:space="preserve"> may address this issue.</w:t>
      </w:r>
    </w:p>
    <w:p w14:paraId="75874584" w14:textId="77777777" w:rsidR="00350157" w:rsidRPr="006D7CAA" w:rsidRDefault="00350157" w:rsidP="00350157">
      <w:pPr>
        <w:pStyle w:val="Heading1"/>
        <w:rPr>
          <w:rFonts w:ascii="Arial" w:eastAsia="Times New Roman" w:hAnsi="Arial" w:cs="Arial"/>
        </w:rPr>
      </w:pPr>
      <w:bookmarkStart w:id="48" w:name="_Toc57387201"/>
      <w:r w:rsidRPr="006D7CAA">
        <w:rPr>
          <w:rFonts w:ascii="Arial" w:eastAsia="Times New Roman" w:hAnsi="Arial" w:cs="Arial"/>
        </w:rPr>
        <w:t>PREPARING FOR THE FUTURE</w:t>
      </w:r>
      <w:bookmarkEnd w:id="48"/>
    </w:p>
    <w:tbl>
      <w:tblPr>
        <w:tblStyle w:val="TableGrid"/>
        <w:tblW w:w="0" w:type="auto"/>
        <w:tblLook w:val="04A0" w:firstRow="1" w:lastRow="0" w:firstColumn="1" w:lastColumn="0" w:noHBand="0" w:noVBand="1"/>
      </w:tblPr>
      <w:tblGrid>
        <w:gridCol w:w="9016"/>
      </w:tblGrid>
      <w:tr w:rsidR="00350157" w:rsidRPr="006D7CAA" w14:paraId="182D445C" w14:textId="77777777" w:rsidTr="00A470CF">
        <w:trPr>
          <w:trHeight w:val="1085"/>
        </w:trPr>
        <w:tc>
          <w:tcPr>
            <w:tcW w:w="9016" w:type="dxa"/>
          </w:tcPr>
          <w:p w14:paraId="6182C107" w14:textId="77777777" w:rsidR="00350157" w:rsidRPr="006D7CAA" w:rsidRDefault="00350157" w:rsidP="00A470CF">
            <w:pPr>
              <w:pStyle w:val="Heading3"/>
              <w:outlineLvl w:val="2"/>
              <w:rPr>
                <w:rFonts w:ascii="Arial" w:eastAsia="Times New Roman" w:hAnsi="Arial" w:cs="Arial"/>
              </w:rPr>
            </w:pPr>
            <w:bookmarkStart w:id="49" w:name="_Toc57387202"/>
            <w:r w:rsidRPr="006D7CAA">
              <w:rPr>
                <w:rFonts w:ascii="Arial" w:eastAsia="Times New Roman" w:hAnsi="Arial" w:cs="Arial"/>
              </w:rPr>
              <w:t>Recommendation 21</w:t>
            </w:r>
            <w:bookmarkEnd w:id="49"/>
          </w:p>
          <w:p w14:paraId="70340EEB"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In the process of specifying the core knowledge, skills, and procedural competence newly registered ENs and RNs need to function in any workplace setting (see Recommendation 6), NMBA should use national and local health priorities as a guide.</w:t>
            </w:r>
          </w:p>
        </w:tc>
      </w:tr>
    </w:tbl>
    <w:p w14:paraId="1BA441FC" w14:textId="77777777" w:rsidR="00350157" w:rsidRDefault="00350157" w:rsidP="00C7528B">
      <w:pPr>
        <w:spacing w:before="120" w:after="120" w:line="240" w:lineRule="auto"/>
        <w:rPr>
          <w:rFonts w:ascii="Arial" w:eastAsia="Times New Roman" w:hAnsi="Arial" w:cs="Arial"/>
          <w:b/>
          <w:sz w:val="22"/>
          <w:szCs w:val="22"/>
        </w:rPr>
      </w:pPr>
      <w:r w:rsidRPr="006D7CAA">
        <w:rPr>
          <w:rFonts w:ascii="Arial" w:hAnsi="Arial" w:cs="Arial"/>
          <w:b/>
        </w:rPr>
        <w:t>Australian Government response</w:t>
      </w:r>
    </w:p>
    <w:p w14:paraId="07841BBE" w14:textId="77777777" w:rsidR="001761D5" w:rsidRPr="00561095" w:rsidRDefault="001761D5" w:rsidP="001761D5">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The Government </w:t>
      </w:r>
      <w:r w:rsidRPr="00561095">
        <w:rPr>
          <w:rFonts w:ascii="Arial" w:eastAsia="Times New Roman" w:hAnsi="Arial" w:cs="Arial"/>
          <w:sz w:val="22"/>
          <w:szCs w:val="22"/>
        </w:rPr>
        <w:t xml:space="preserve">notes that the ANMAC RN Accreditation Standards were updated in 2019 and the changes may have addressed some or </w:t>
      </w:r>
      <w:proofErr w:type="gramStart"/>
      <w:r w:rsidRPr="00561095">
        <w:rPr>
          <w:rFonts w:ascii="Arial" w:eastAsia="Times New Roman" w:hAnsi="Arial" w:cs="Arial"/>
          <w:sz w:val="22"/>
          <w:szCs w:val="22"/>
        </w:rPr>
        <w:t>all of</w:t>
      </w:r>
      <w:proofErr w:type="gramEnd"/>
      <w:r w:rsidRPr="00561095">
        <w:rPr>
          <w:rFonts w:ascii="Arial" w:eastAsia="Times New Roman" w:hAnsi="Arial" w:cs="Arial"/>
          <w:sz w:val="22"/>
          <w:szCs w:val="22"/>
        </w:rPr>
        <w:t xml:space="preserve"> this recommendation.</w:t>
      </w:r>
    </w:p>
    <w:p w14:paraId="72290E87" w14:textId="77777777" w:rsidR="001761D5" w:rsidRPr="00561095" w:rsidRDefault="001761D5" w:rsidP="001761D5">
      <w:pPr>
        <w:spacing w:before="120" w:after="120" w:line="240" w:lineRule="auto"/>
        <w:rPr>
          <w:rFonts w:ascii="Arial" w:eastAsia="Times New Roman" w:hAnsi="Arial" w:cs="Arial"/>
          <w:sz w:val="22"/>
          <w:szCs w:val="22"/>
        </w:rPr>
      </w:pPr>
      <w:r w:rsidRPr="00561095">
        <w:rPr>
          <w:rFonts w:ascii="Arial" w:eastAsia="Times New Roman" w:hAnsi="Arial" w:cs="Arial"/>
          <w:sz w:val="22"/>
          <w:szCs w:val="22"/>
        </w:rPr>
        <w:t xml:space="preserve">The Government supports NNMEAN reviewing the Accreditation standards to identify if further work is required to meet this recommendation. </w:t>
      </w:r>
    </w:p>
    <w:p w14:paraId="2C1F4E53" w14:textId="77777777" w:rsidR="001761D5" w:rsidRDefault="001761D5" w:rsidP="001761D5">
      <w:pPr>
        <w:spacing w:before="120" w:after="120" w:line="240" w:lineRule="auto"/>
        <w:rPr>
          <w:rFonts w:ascii="Arial" w:eastAsia="Times New Roman" w:hAnsi="Arial" w:cs="Arial"/>
          <w:sz w:val="22"/>
          <w:szCs w:val="22"/>
        </w:rPr>
      </w:pPr>
      <w:r w:rsidRPr="00561095">
        <w:rPr>
          <w:rFonts w:ascii="Arial" w:eastAsia="Times New Roman" w:hAnsi="Arial" w:cs="Arial"/>
          <w:sz w:val="22"/>
          <w:szCs w:val="22"/>
        </w:rPr>
        <w:t>The Government notes that</w:t>
      </w:r>
      <w:r>
        <w:rPr>
          <w:rFonts w:ascii="Arial" w:eastAsia="Times New Roman" w:hAnsi="Arial" w:cs="Arial"/>
          <w:sz w:val="22"/>
          <w:szCs w:val="22"/>
        </w:rPr>
        <w:t xml:space="preserve"> all accreditation standards are regularly reviewed to ensure they are fit for purpose and achieve their objectives under the National Law. Should a standard be found to no longer be fit for purpose, the Government can, through the Ministerial Council, require ANMAC to review and update the standard as required. </w:t>
      </w:r>
    </w:p>
    <w:p w14:paraId="480C949A" w14:textId="77777777" w:rsidR="00350157" w:rsidRPr="006D7CAA" w:rsidRDefault="00350157" w:rsidP="00E94D35">
      <w:pPr>
        <w:pStyle w:val="Heading2"/>
        <w:spacing w:before="120" w:after="120" w:line="240" w:lineRule="auto"/>
        <w:rPr>
          <w:rFonts w:ascii="Arial" w:eastAsia="Times New Roman" w:hAnsi="Arial" w:cs="Arial"/>
          <w:szCs w:val="22"/>
          <w:lang w:eastAsia="en-AU"/>
        </w:rPr>
      </w:pPr>
      <w:bookmarkStart w:id="50" w:name="_Toc57387203"/>
      <w:r w:rsidRPr="006D7CAA">
        <w:rPr>
          <w:rFonts w:ascii="Arial" w:eastAsia="Times New Roman" w:hAnsi="Arial" w:cs="Arial"/>
        </w:rPr>
        <w:t>How many nurses do we need?</w:t>
      </w:r>
      <w:bookmarkEnd w:id="50"/>
    </w:p>
    <w:tbl>
      <w:tblPr>
        <w:tblStyle w:val="TableGrid"/>
        <w:tblW w:w="0" w:type="auto"/>
        <w:tblLook w:val="04A0" w:firstRow="1" w:lastRow="0" w:firstColumn="1" w:lastColumn="0" w:noHBand="0" w:noVBand="1"/>
      </w:tblPr>
      <w:tblGrid>
        <w:gridCol w:w="9016"/>
      </w:tblGrid>
      <w:tr w:rsidR="00350157" w:rsidRPr="006D7CAA" w14:paraId="6C752CBD" w14:textId="77777777" w:rsidTr="00A470CF">
        <w:trPr>
          <w:trHeight w:val="1085"/>
        </w:trPr>
        <w:tc>
          <w:tcPr>
            <w:tcW w:w="9016" w:type="dxa"/>
          </w:tcPr>
          <w:p w14:paraId="25ADB89B" w14:textId="77777777" w:rsidR="00350157" w:rsidRPr="006D7CAA" w:rsidRDefault="00350157" w:rsidP="00A470CF">
            <w:pPr>
              <w:pStyle w:val="Heading3"/>
              <w:outlineLvl w:val="2"/>
              <w:rPr>
                <w:rFonts w:ascii="Arial" w:eastAsia="Times New Roman" w:hAnsi="Arial" w:cs="Arial"/>
              </w:rPr>
            </w:pPr>
            <w:bookmarkStart w:id="51" w:name="_Toc57387204"/>
            <w:r w:rsidRPr="006D7CAA">
              <w:rPr>
                <w:rFonts w:ascii="Arial" w:eastAsia="Times New Roman" w:hAnsi="Arial" w:cs="Arial"/>
              </w:rPr>
              <w:t>Recommendation 22</w:t>
            </w:r>
            <w:bookmarkEnd w:id="51"/>
          </w:p>
          <w:p w14:paraId="148FD1ED"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In partnership with states and territories, the Commonwealth Department of Health should initiate an ongoing assessment of replacement, recruitment, and retention rates for generalist and specialist nurses across the country. </w:t>
            </w:r>
          </w:p>
        </w:tc>
      </w:tr>
    </w:tbl>
    <w:p w14:paraId="66423EFA"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Australian Government response</w:t>
      </w:r>
    </w:p>
    <w:p w14:paraId="1676E174" w14:textId="77777777" w:rsidR="00350157" w:rsidRPr="006D7CAA" w:rsidRDefault="00350157" w:rsidP="00C7528B">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lang w:eastAsia="en-AU"/>
        </w:rPr>
        <w:lastRenderedPageBreak/>
        <w:t xml:space="preserve">The Government </w:t>
      </w:r>
      <w:r w:rsidRPr="00561095">
        <w:rPr>
          <w:rFonts w:ascii="Arial" w:eastAsia="Times New Roman" w:hAnsi="Arial" w:cs="Arial"/>
          <w:sz w:val="22"/>
          <w:szCs w:val="22"/>
          <w:lang w:eastAsia="en-AU"/>
        </w:rPr>
        <w:t>supports in principle this recommendation</w:t>
      </w:r>
      <w:r w:rsidR="002C11FC" w:rsidRPr="00561095">
        <w:rPr>
          <w:rFonts w:ascii="Arial" w:eastAsia="Times New Roman" w:hAnsi="Arial" w:cs="Arial"/>
          <w:sz w:val="22"/>
          <w:szCs w:val="22"/>
          <w:lang w:eastAsia="en-AU"/>
        </w:rPr>
        <w:t xml:space="preserve"> and undertakes to</w:t>
      </w:r>
      <w:r w:rsidR="002C11FC">
        <w:rPr>
          <w:rFonts w:ascii="Arial" w:eastAsia="Times New Roman" w:hAnsi="Arial" w:cs="Arial"/>
          <w:sz w:val="22"/>
          <w:szCs w:val="22"/>
          <w:lang w:eastAsia="en-AU"/>
        </w:rPr>
        <w:t xml:space="preserve"> </w:t>
      </w:r>
      <w:r w:rsidRPr="006D7CAA">
        <w:rPr>
          <w:rFonts w:ascii="Arial" w:eastAsia="Times New Roman" w:hAnsi="Arial" w:cs="Arial"/>
          <w:sz w:val="22"/>
          <w:szCs w:val="22"/>
        </w:rPr>
        <w:t>work with jurisdictions</w:t>
      </w:r>
      <w:r w:rsidR="002C11FC">
        <w:rPr>
          <w:rFonts w:ascii="Arial" w:eastAsia="Times New Roman" w:hAnsi="Arial" w:cs="Arial"/>
          <w:sz w:val="22"/>
          <w:szCs w:val="22"/>
        </w:rPr>
        <w:t xml:space="preserve"> </w:t>
      </w:r>
      <w:r w:rsidRPr="006D7CAA">
        <w:rPr>
          <w:rFonts w:ascii="Arial" w:eastAsia="Times New Roman" w:hAnsi="Arial" w:cs="Arial"/>
          <w:sz w:val="22"/>
          <w:szCs w:val="22"/>
        </w:rPr>
        <w:t>to broaden current areas of nursing workforce surveillance to ensure greater access to more current data that will help inform future workforce development.</w:t>
      </w:r>
    </w:p>
    <w:p w14:paraId="69B3D071" w14:textId="77777777" w:rsidR="00350157" w:rsidRPr="006D7CAA" w:rsidRDefault="00350157" w:rsidP="00E94D35">
      <w:pPr>
        <w:pStyle w:val="Heading2"/>
        <w:spacing w:before="120" w:after="120" w:line="240" w:lineRule="auto"/>
        <w:rPr>
          <w:rFonts w:ascii="Arial" w:eastAsia="Times New Roman" w:hAnsi="Arial" w:cs="Arial"/>
          <w:szCs w:val="20"/>
          <w:lang w:eastAsia="en-AU"/>
        </w:rPr>
      </w:pPr>
      <w:bookmarkStart w:id="52" w:name="_Toc57387205"/>
      <w:r w:rsidRPr="006D7CAA">
        <w:rPr>
          <w:rFonts w:ascii="Arial" w:eastAsia="Times New Roman" w:hAnsi="Arial" w:cs="Arial"/>
        </w:rPr>
        <w:t>Online course delivery and simulated learning</w:t>
      </w:r>
      <w:bookmarkEnd w:id="52"/>
    </w:p>
    <w:tbl>
      <w:tblPr>
        <w:tblStyle w:val="TableGrid"/>
        <w:tblW w:w="0" w:type="auto"/>
        <w:tblLook w:val="04A0" w:firstRow="1" w:lastRow="0" w:firstColumn="1" w:lastColumn="0" w:noHBand="0" w:noVBand="1"/>
      </w:tblPr>
      <w:tblGrid>
        <w:gridCol w:w="9016"/>
      </w:tblGrid>
      <w:tr w:rsidR="00350157" w:rsidRPr="006D7CAA" w14:paraId="03D0B2CF" w14:textId="77777777" w:rsidTr="00A470CF">
        <w:trPr>
          <w:trHeight w:val="1085"/>
        </w:trPr>
        <w:tc>
          <w:tcPr>
            <w:tcW w:w="9016" w:type="dxa"/>
          </w:tcPr>
          <w:p w14:paraId="32506CD2" w14:textId="77777777" w:rsidR="00350157" w:rsidRPr="006D7CAA" w:rsidRDefault="00350157" w:rsidP="00A470CF">
            <w:pPr>
              <w:pStyle w:val="Heading3"/>
              <w:outlineLvl w:val="2"/>
              <w:rPr>
                <w:rFonts w:ascii="Arial" w:eastAsia="Times New Roman" w:hAnsi="Arial" w:cs="Arial"/>
              </w:rPr>
            </w:pPr>
            <w:bookmarkStart w:id="53" w:name="_Toc57387206"/>
            <w:r w:rsidRPr="006D7CAA">
              <w:rPr>
                <w:rFonts w:ascii="Arial" w:eastAsia="Times New Roman" w:hAnsi="Arial" w:cs="Arial"/>
              </w:rPr>
              <w:t>Recommendation 23</w:t>
            </w:r>
            <w:bookmarkEnd w:id="53"/>
          </w:p>
          <w:p w14:paraId="526B9219"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The Commonwealth Department of Health should sponsor research aimed at determining the ideal mix of online and face-to-face teaching as well as how best to integrate simulation and clinical placements. </w:t>
            </w:r>
          </w:p>
        </w:tc>
      </w:tr>
    </w:tbl>
    <w:p w14:paraId="78686DFC"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Australian Government response</w:t>
      </w:r>
    </w:p>
    <w:p w14:paraId="595064FD" w14:textId="77777777" w:rsidR="00350157" w:rsidRPr="006D7CAA" w:rsidRDefault="00F26383" w:rsidP="00C7528B">
      <w:pPr>
        <w:spacing w:before="120" w:after="120" w:line="240" w:lineRule="auto"/>
        <w:rPr>
          <w:rFonts w:ascii="Arial" w:eastAsia="Times New Roman" w:hAnsi="Arial" w:cs="Arial"/>
          <w:sz w:val="22"/>
          <w:szCs w:val="22"/>
          <w:lang w:eastAsia="en-AU"/>
        </w:rPr>
      </w:pPr>
      <w:r>
        <w:rPr>
          <w:rFonts w:ascii="Arial" w:eastAsia="Times New Roman" w:hAnsi="Arial" w:cs="Arial"/>
          <w:sz w:val="22"/>
          <w:szCs w:val="22"/>
          <w:lang w:eastAsia="en-AU"/>
        </w:rPr>
        <w:t xml:space="preserve">Commonwealth research funding is available through competitive processes such as the Medical Research Future Fund and the National Health and Medical Research Council. </w:t>
      </w:r>
    </w:p>
    <w:p w14:paraId="7C3F3544" w14:textId="77777777" w:rsidR="00350157" w:rsidRPr="006D7CAA" w:rsidRDefault="00F26383" w:rsidP="00C7528B">
      <w:pPr>
        <w:spacing w:before="120" w:after="120" w:line="240" w:lineRule="auto"/>
        <w:rPr>
          <w:rFonts w:ascii="Arial" w:eastAsia="Times New Roman" w:hAnsi="Arial" w:cs="Arial"/>
          <w:sz w:val="22"/>
          <w:szCs w:val="22"/>
          <w:lang w:eastAsia="en-AU"/>
        </w:rPr>
      </w:pPr>
      <w:r>
        <w:rPr>
          <w:rFonts w:ascii="Arial" w:eastAsia="Times New Roman" w:hAnsi="Arial" w:cs="Arial"/>
          <w:sz w:val="22"/>
          <w:szCs w:val="22"/>
          <w:lang w:eastAsia="en-AU"/>
        </w:rPr>
        <w:t>The Government</w:t>
      </w:r>
      <w:r w:rsidR="00E02F4F">
        <w:rPr>
          <w:rFonts w:ascii="Arial" w:eastAsia="Times New Roman" w:hAnsi="Arial" w:cs="Arial"/>
          <w:sz w:val="22"/>
          <w:szCs w:val="22"/>
          <w:lang w:eastAsia="en-AU"/>
        </w:rPr>
        <w:t xml:space="preserve"> </w:t>
      </w:r>
      <w:r w:rsidRPr="00561095">
        <w:rPr>
          <w:rFonts w:ascii="Arial" w:eastAsia="Times New Roman" w:hAnsi="Arial" w:cs="Arial"/>
          <w:sz w:val="22"/>
          <w:szCs w:val="22"/>
          <w:lang w:eastAsia="en-AU"/>
        </w:rPr>
        <w:t>notes</w:t>
      </w:r>
      <w:r>
        <w:rPr>
          <w:rFonts w:ascii="Arial" w:eastAsia="Times New Roman" w:hAnsi="Arial" w:cs="Arial"/>
          <w:sz w:val="22"/>
          <w:szCs w:val="22"/>
          <w:lang w:eastAsia="en-AU"/>
        </w:rPr>
        <w:t xml:space="preserve"> that</w:t>
      </w:r>
      <w:r w:rsidR="00CC77E3">
        <w:rPr>
          <w:rFonts w:ascii="Arial" w:eastAsia="Times New Roman" w:hAnsi="Arial" w:cs="Arial"/>
          <w:sz w:val="22"/>
          <w:szCs w:val="22"/>
          <w:lang w:eastAsia="en-AU"/>
        </w:rPr>
        <w:t xml:space="preserve"> </w:t>
      </w:r>
      <w:r>
        <w:rPr>
          <w:rFonts w:ascii="Arial" w:eastAsia="Times New Roman" w:hAnsi="Arial" w:cs="Arial"/>
          <w:sz w:val="22"/>
          <w:szCs w:val="22"/>
          <w:lang w:eastAsia="en-AU"/>
        </w:rPr>
        <w:t>HWA</w:t>
      </w:r>
      <w:r w:rsidR="00350157" w:rsidRPr="006D7CAA">
        <w:rPr>
          <w:rFonts w:ascii="Arial" w:eastAsia="Times New Roman" w:hAnsi="Arial" w:cs="Arial"/>
          <w:sz w:val="22"/>
          <w:szCs w:val="22"/>
          <w:lang w:eastAsia="en-AU"/>
        </w:rPr>
        <w:t xml:space="preserve"> developed the Simul</w:t>
      </w:r>
      <w:r w:rsidR="00350157">
        <w:rPr>
          <w:rFonts w:ascii="Arial" w:eastAsia="Times New Roman" w:hAnsi="Arial" w:cs="Arial"/>
          <w:sz w:val="22"/>
          <w:szCs w:val="22"/>
          <w:lang w:eastAsia="en-AU"/>
        </w:rPr>
        <w:t>ated Learning Environments</w:t>
      </w:r>
      <w:r w:rsidR="00350157" w:rsidRPr="006D7CAA">
        <w:rPr>
          <w:rFonts w:ascii="Arial" w:eastAsia="Times New Roman" w:hAnsi="Arial" w:cs="Arial"/>
          <w:sz w:val="22"/>
          <w:szCs w:val="22"/>
          <w:lang w:eastAsia="en-AU"/>
        </w:rPr>
        <w:t xml:space="preserve"> program as part of its Clinical Training Reform agenda, providing a significant investment of over $115 million in funding from June 2010 to December 2014.  </w:t>
      </w:r>
    </w:p>
    <w:p w14:paraId="1FEB7F78" w14:textId="77777777" w:rsidR="00350157" w:rsidRPr="006D7CAA" w:rsidRDefault="00350157" w:rsidP="00C7528B">
      <w:pPr>
        <w:spacing w:before="120" w:after="120" w:line="240" w:lineRule="auto"/>
        <w:rPr>
          <w:rFonts w:ascii="Arial" w:eastAsia="Times New Roman" w:hAnsi="Arial" w:cs="Arial"/>
          <w:sz w:val="22"/>
          <w:szCs w:val="22"/>
          <w:lang w:eastAsia="en-AU"/>
        </w:rPr>
      </w:pPr>
      <w:r w:rsidRPr="006D7CAA">
        <w:rPr>
          <w:rFonts w:ascii="Arial" w:eastAsia="Times New Roman" w:hAnsi="Arial" w:cs="Arial"/>
          <w:sz w:val="22"/>
          <w:szCs w:val="22"/>
          <w:lang w:eastAsia="en-AU"/>
        </w:rPr>
        <w:t xml:space="preserve">The Government understands that large, well-resourced projects (randomised controlled trials) have been conducted for the professions of Occupational Therapy and Speech Pathology. These projects were managed by the Department of Health, following the closure of </w:t>
      </w:r>
      <w:r w:rsidR="00C63021">
        <w:rPr>
          <w:rFonts w:ascii="Arial" w:eastAsia="Times New Roman" w:hAnsi="Arial" w:cs="Arial"/>
          <w:sz w:val="22"/>
          <w:szCs w:val="22"/>
          <w:lang w:eastAsia="en-AU"/>
        </w:rPr>
        <w:t>Health Workforce Australia (</w:t>
      </w:r>
      <w:r w:rsidRPr="006D7CAA">
        <w:rPr>
          <w:rFonts w:ascii="Arial" w:eastAsia="Times New Roman" w:hAnsi="Arial" w:cs="Arial"/>
          <w:sz w:val="22"/>
          <w:szCs w:val="22"/>
          <w:lang w:eastAsia="en-AU"/>
        </w:rPr>
        <w:t>HWA</w:t>
      </w:r>
      <w:r w:rsidR="00C63021">
        <w:rPr>
          <w:rFonts w:ascii="Arial" w:eastAsia="Times New Roman" w:hAnsi="Arial" w:cs="Arial"/>
          <w:sz w:val="22"/>
          <w:szCs w:val="22"/>
          <w:lang w:eastAsia="en-AU"/>
        </w:rPr>
        <w:t>)</w:t>
      </w:r>
      <w:r w:rsidRPr="006D7CAA">
        <w:rPr>
          <w:rFonts w:ascii="Arial" w:eastAsia="Times New Roman" w:hAnsi="Arial" w:cs="Arial"/>
          <w:sz w:val="22"/>
          <w:szCs w:val="22"/>
          <w:lang w:eastAsia="en-AU"/>
        </w:rPr>
        <w:t xml:space="preserve">. The projects involved substituting </w:t>
      </w:r>
      <w:proofErr w:type="gramStart"/>
      <w:r w:rsidRPr="006D7CAA">
        <w:rPr>
          <w:rFonts w:ascii="Arial" w:eastAsia="Times New Roman" w:hAnsi="Arial" w:cs="Arial"/>
          <w:sz w:val="22"/>
          <w:szCs w:val="22"/>
          <w:lang w:eastAsia="en-AU"/>
        </w:rPr>
        <w:t>a number of</w:t>
      </w:r>
      <w:proofErr w:type="gramEnd"/>
      <w:r w:rsidRPr="006D7CAA">
        <w:rPr>
          <w:rFonts w:ascii="Arial" w:eastAsia="Times New Roman" w:hAnsi="Arial" w:cs="Arial"/>
          <w:sz w:val="22"/>
          <w:szCs w:val="22"/>
          <w:lang w:eastAsia="en-AU"/>
        </w:rPr>
        <w:t xml:space="preserve"> traditional clinical placement hours with simulated learning.</w:t>
      </w:r>
      <w:r>
        <w:rPr>
          <w:rFonts w:ascii="Arial" w:eastAsia="Times New Roman" w:hAnsi="Arial" w:cs="Arial"/>
          <w:sz w:val="22"/>
          <w:szCs w:val="22"/>
          <w:lang w:eastAsia="en-AU"/>
        </w:rPr>
        <w:t xml:space="preserve"> </w:t>
      </w:r>
      <w:r w:rsidRPr="006D7CAA">
        <w:rPr>
          <w:rFonts w:ascii="Arial" w:eastAsia="Times New Roman" w:hAnsi="Arial" w:cs="Arial"/>
          <w:sz w:val="22"/>
          <w:szCs w:val="22"/>
          <w:lang w:eastAsia="en-AU"/>
        </w:rPr>
        <w:t>The Department would be able to provide contacts from the funded organisations that managed the Occupational Therapy and Speech Pathology projects</w:t>
      </w:r>
      <w:r>
        <w:rPr>
          <w:rFonts w:ascii="Arial" w:eastAsia="Times New Roman" w:hAnsi="Arial" w:cs="Arial"/>
          <w:sz w:val="22"/>
          <w:szCs w:val="22"/>
          <w:lang w:eastAsia="en-AU"/>
        </w:rPr>
        <w:t xml:space="preserve"> to researchers, to enable</w:t>
      </w:r>
      <w:r w:rsidRPr="006D7CAA">
        <w:rPr>
          <w:rFonts w:ascii="Arial" w:eastAsia="Times New Roman" w:hAnsi="Arial" w:cs="Arial"/>
          <w:sz w:val="22"/>
          <w:szCs w:val="22"/>
          <w:lang w:eastAsia="en-AU"/>
        </w:rPr>
        <w:t xml:space="preserve"> sharing of the experiences of these professions during and after the projects. This may lead to a replication of these projects in nursing</w:t>
      </w:r>
      <w:r>
        <w:rPr>
          <w:rFonts w:ascii="Arial" w:eastAsia="Times New Roman" w:hAnsi="Arial" w:cs="Arial"/>
          <w:sz w:val="22"/>
          <w:szCs w:val="22"/>
          <w:lang w:eastAsia="en-AU"/>
        </w:rPr>
        <w:t xml:space="preserve"> by Universities</w:t>
      </w:r>
      <w:r w:rsidRPr="006D7CAA">
        <w:rPr>
          <w:rFonts w:ascii="Arial" w:eastAsia="Times New Roman" w:hAnsi="Arial" w:cs="Arial"/>
          <w:sz w:val="22"/>
          <w:szCs w:val="22"/>
          <w:lang w:eastAsia="en-AU"/>
        </w:rPr>
        <w:t>, noting ANMAC and the NMBA would need to be involved.</w:t>
      </w:r>
    </w:p>
    <w:p w14:paraId="2885EB8C" w14:textId="77777777" w:rsidR="00350157" w:rsidRPr="006D7CAA" w:rsidRDefault="00350157" w:rsidP="00350157">
      <w:pPr>
        <w:pStyle w:val="Heading1"/>
        <w:rPr>
          <w:rFonts w:ascii="Arial" w:eastAsia="Times New Roman" w:hAnsi="Arial" w:cs="Arial"/>
        </w:rPr>
      </w:pPr>
      <w:bookmarkStart w:id="54" w:name="_Toc57387207"/>
      <w:r w:rsidRPr="006D7CAA">
        <w:rPr>
          <w:rFonts w:ascii="Arial" w:eastAsia="Times New Roman" w:hAnsi="Arial" w:cs="Arial"/>
        </w:rPr>
        <w:t>NURSE PRACTITIONERS, SPECIALISTS AND ACADEMICS</w:t>
      </w:r>
      <w:bookmarkEnd w:id="54"/>
    </w:p>
    <w:p w14:paraId="34AA223E" w14:textId="77777777" w:rsidR="00350157" w:rsidRPr="006E4761" w:rsidRDefault="00350157" w:rsidP="00E94D35">
      <w:pPr>
        <w:pStyle w:val="Heading2"/>
        <w:spacing w:before="120" w:after="120" w:line="240" w:lineRule="auto"/>
        <w:rPr>
          <w:rFonts w:ascii="Arial" w:eastAsia="Times New Roman" w:hAnsi="Arial" w:cs="Arial"/>
        </w:rPr>
      </w:pPr>
      <w:bookmarkStart w:id="55" w:name="_Toc57387208"/>
      <w:r w:rsidRPr="006D7CAA">
        <w:rPr>
          <w:rFonts w:ascii="Arial" w:eastAsia="Times New Roman" w:hAnsi="Arial" w:cs="Arial"/>
        </w:rPr>
        <w:t>Back to the future</w:t>
      </w:r>
      <w:bookmarkEnd w:id="55"/>
    </w:p>
    <w:tbl>
      <w:tblPr>
        <w:tblStyle w:val="TableGrid"/>
        <w:tblW w:w="0" w:type="auto"/>
        <w:tblLook w:val="04A0" w:firstRow="1" w:lastRow="0" w:firstColumn="1" w:lastColumn="0" w:noHBand="0" w:noVBand="1"/>
      </w:tblPr>
      <w:tblGrid>
        <w:gridCol w:w="9016"/>
      </w:tblGrid>
      <w:tr w:rsidR="00350157" w:rsidRPr="006D7CAA" w14:paraId="55F816DA" w14:textId="77777777" w:rsidTr="00A470CF">
        <w:trPr>
          <w:trHeight w:val="1591"/>
        </w:trPr>
        <w:tc>
          <w:tcPr>
            <w:tcW w:w="9016" w:type="dxa"/>
          </w:tcPr>
          <w:p w14:paraId="7DF069D4" w14:textId="77777777" w:rsidR="00350157" w:rsidRPr="006D7CAA" w:rsidRDefault="00350157" w:rsidP="00A470CF">
            <w:pPr>
              <w:pStyle w:val="Heading3"/>
              <w:outlineLvl w:val="2"/>
              <w:rPr>
                <w:rFonts w:ascii="Arial" w:eastAsia="Times New Roman" w:hAnsi="Arial" w:cs="Arial"/>
              </w:rPr>
            </w:pPr>
            <w:bookmarkStart w:id="56" w:name="_Toc57387209"/>
            <w:r w:rsidRPr="006D7CAA">
              <w:rPr>
                <w:rFonts w:ascii="Arial" w:eastAsia="Times New Roman" w:hAnsi="Arial" w:cs="Arial"/>
              </w:rPr>
              <w:t>Recommendation 24</w:t>
            </w:r>
            <w:bookmarkEnd w:id="56"/>
          </w:p>
          <w:p w14:paraId="0B18EAE5"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In line with national health priorities, Nurse Practitioner education should be oriented toward primary care, particularly in the regions. Advanced practice requirements should be revised to encourage the formation of the broad skills required in primary practice. Expertise should be demonstrated by independent assessments. Access to the Medicare Benefits Schedule for NP services should be reviewed. </w:t>
            </w:r>
          </w:p>
        </w:tc>
      </w:tr>
    </w:tbl>
    <w:p w14:paraId="299183DC"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Australian Government response</w:t>
      </w:r>
    </w:p>
    <w:p w14:paraId="4E7C6085" w14:textId="77777777" w:rsidR="00350157" w:rsidRPr="006D7CAA" w:rsidRDefault="00350157" w:rsidP="00C7528B">
      <w:pPr>
        <w:spacing w:before="120" w:after="120" w:line="240" w:lineRule="auto"/>
        <w:rPr>
          <w:rFonts w:ascii="Arial" w:eastAsia="Times New Roman" w:hAnsi="Arial" w:cs="Arial"/>
          <w:sz w:val="22"/>
          <w:szCs w:val="22"/>
          <w:lang w:eastAsia="en-AU"/>
        </w:rPr>
      </w:pPr>
      <w:r w:rsidRPr="006D7CAA">
        <w:rPr>
          <w:rFonts w:ascii="Arial" w:eastAsia="Times New Roman" w:hAnsi="Arial" w:cs="Arial"/>
          <w:sz w:val="22"/>
          <w:szCs w:val="22"/>
          <w:lang w:eastAsia="en-AU"/>
        </w:rPr>
        <w:t xml:space="preserve">The </w:t>
      </w:r>
      <w:r>
        <w:rPr>
          <w:rFonts w:ascii="Arial" w:eastAsia="Times New Roman" w:hAnsi="Arial" w:cs="Arial"/>
          <w:sz w:val="22"/>
          <w:szCs w:val="22"/>
          <w:lang w:eastAsia="en-AU"/>
        </w:rPr>
        <w:t xml:space="preserve">Government </w:t>
      </w:r>
      <w:r w:rsidRPr="00561095">
        <w:rPr>
          <w:rFonts w:ascii="Arial" w:eastAsia="Times New Roman" w:hAnsi="Arial" w:cs="Arial"/>
          <w:sz w:val="22"/>
          <w:szCs w:val="22"/>
          <w:lang w:eastAsia="en-AU"/>
        </w:rPr>
        <w:t>notes</w:t>
      </w:r>
      <w:r>
        <w:rPr>
          <w:rFonts w:ascii="Arial" w:eastAsia="Times New Roman" w:hAnsi="Arial" w:cs="Arial"/>
          <w:sz w:val="22"/>
          <w:szCs w:val="22"/>
          <w:lang w:eastAsia="en-AU"/>
        </w:rPr>
        <w:t xml:space="preserve"> that the </w:t>
      </w:r>
      <w:r w:rsidRPr="006D7CAA">
        <w:rPr>
          <w:rFonts w:ascii="Arial" w:eastAsia="Times New Roman" w:hAnsi="Arial" w:cs="Arial"/>
          <w:sz w:val="22"/>
          <w:szCs w:val="22"/>
          <w:lang w:eastAsia="en-AU"/>
        </w:rPr>
        <w:t>Cost Benefit Analysis of Nurse Practitioner</w:t>
      </w:r>
      <w:r>
        <w:rPr>
          <w:rFonts w:ascii="Arial" w:eastAsia="Times New Roman" w:hAnsi="Arial" w:cs="Arial"/>
          <w:sz w:val="22"/>
          <w:szCs w:val="22"/>
          <w:lang w:eastAsia="en-AU"/>
        </w:rPr>
        <w:t xml:space="preserve"> (NP)</w:t>
      </w:r>
      <w:r w:rsidRPr="006D7CAA">
        <w:rPr>
          <w:rFonts w:ascii="Arial" w:eastAsia="Times New Roman" w:hAnsi="Arial" w:cs="Arial"/>
          <w:sz w:val="22"/>
          <w:szCs w:val="22"/>
          <w:lang w:eastAsia="en-AU"/>
        </w:rPr>
        <w:t xml:space="preserve"> Models of Care </w:t>
      </w:r>
      <w:r>
        <w:rPr>
          <w:rFonts w:ascii="Arial" w:eastAsia="Times New Roman" w:hAnsi="Arial" w:cs="Arial"/>
          <w:sz w:val="22"/>
          <w:szCs w:val="22"/>
          <w:lang w:eastAsia="en-AU"/>
        </w:rPr>
        <w:t xml:space="preserve">commissioned by the Department of Health </w:t>
      </w:r>
      <w:r w:rsidRPr="006D7CAA">
        <w:rPr>
          <w:rFonts w:ascii="Arial" w:eastAsia="Times New Roman" w:hAnsi="Arial" w:cs="Arial"/>
          <w:sz w:val="22"/>
          <w:szCs w:val="22"/>
          <w:lang w:eastAsia="en-AU"/>
        </w:rPr>
        <w:t xml:space="preserve">demonstrates that there could be significant cost savings to the health system and improved access for Australians if there is an expansion of NP roles in primary care, particularly in rural and regional Australia.  </w:t>
      </w:r>
    </w:p>
    <w:p w14:paraId="148FA0BE" w14:textId="77777777" w:rsidR="00350157" w:rsidRPr="006D7CAA" w:rsidRDefault="00350157" w:rsidP="00C7528B">
      <w:pPr>
        <w:spacing w:before="120" w:after="120" w:line="240" w:lineRule="auto"/>
        <w:rPr>
          <w:rFonts w:ascii="Arial" w:eastAsia="Times New Roman" w:hAnsi="Arial" w:cs="Arial"/>
          <w:sz w:val="22"/>
          <w:szCs w:val="22"/>
          <w:lang w:eastAsia="en-AU"/>
        </w:rPr>
      </w:pPr>
      <w:r w:rsidRPr="006D7CAA">
        <w:rPr>
          <w:rFonts w:ascii="Arial" w:eastAsia="Times New Roman" w:hAnsi="Arial" w:cs="Arial"/>
          <w:sz w:val="22"/>
          <w:szCs w:val="22"/>
          <w:lang w:eastAsia="en-AU"/>
        </w:rPr>
        <w:t>The Wor</w:t>
      </w:r>
      <w:r>
        <w:rPr>
          <w:rFonts w:ascii="Arial" w:eastAsia="Times New Roman" w:hAnsi="Arial" w:cs="Arial"/>
          <w:sz w:val="22"/>
          <w:szCs w:val="22"/>
          <w:lang w:eastAsia="en-AU"/>
        </w:rPr>
        <w:t xml:space="preserve">kforce Incentive Program (WIP) </w:t>
      </w:r>
      <w:r w:rsidRPr="006D7CAA">
        <w:rPr>
          <w:rFonts w:ascii="Arial" w:eastAsia="Times New Roman" w:hAnsi="Arial" w:cs="Arial"/>
          <w:sz w:val="22"/>
          <w:szCs w:val="22"/>
          <w:lang w:eastAsia="en-AU"/>
        </w:rPr>
        <w:t xml:space="preserve">includes the addition of NPs as eligible health professionals under the WIP-Practice Stream. The WIP-Practice Stream provides financial incentives to support general practices to engage nurses (including NPs), Aboriginal and Torres Strait Islander Health Practitioners and Health Workers and eligible allied health professionals.  </w:t>
      </w:r>
    </w:p>
    <w:p w14:paraId="65164501" w14:textId="77777777" w:rsidR="00350157" w:rsidRPr="006D7CAA" w:rsidRDefault="00350157" w:rsidP="00C7528B">
      <w:pPr>
        <w:spacing w:before="120" w:after="120" w:line="240" w:lineRule="auto"/>
        <w:rPr>
          <w:rFonts w:ascii="Arial" w:eastAsia="Times New Roman" w:hAnsi="Arial" w:cs="Arial"/>
          <w:sz w:val="22"/>
          <w:szCs w:val="20"/>
          <w:lang w:eastAsia="en-AU"/>
        </w:rPr>
      </w:pPr>
      <w:r w:rsidRPr="006D7CAA">
        <w:rPr>
          <w:rFonts w:ascii="Arial" w:eastAsia="Times New Roman" w:hAnsi="Arial" w:cs="Arial"/>
          <w:sz w:val="22"/>
          <w:szCs w:val="22"/>
          <w:lang w:eastAsia="en-AU"/>
        </w:rPr>
        <w:t xml:space="preserve">It is </w:t>
      </w:r>
      <w:r w:rsidRPr="00561095">
        <w:rPr>
          <w:rFonts w:ascii="Arial" w:eastAsia="Times New Roman" w:hAnsi="Arial" w:cs="Arial"/>
          <w:sz w:val="22"/>
          <w:szCs w:val="22"/>
          <w:lang w:eastAsia="en-AU"/>
        </w:rPr>
        <w:t>noted</w:t>
      </w:r>
      <w:r w:rsidRPr="006D7CAA">
        <w:rPr>
          <w:rFonts w:ascii="Arial" w:eastAsia="Times New Roman" w:hAnsi="Arial" w:cs="Arial"/>
          <w:sz w:val="22"/>
          <w:szCs w:val="22"/>
          <w:lang w:eastAsia="en-AU"/>
        </w:rPr>
        <w:t xml:space="preserve"> that the first part of this recommendation needs to be considered following the implementation of </w:t>
      </w:r>
      <w:r w:rsidRPr="00970469">
        <w:rPr>
          <w:rFonts w:ascii="Arial" w:eastAsia="Times New Roman" w:hAnsi="Arial" w:cs="Arial"/>
          <w:b/>
          <w:sz w:val="22"/>
          <w:szCs w:val="22"/>
          <w:lang w:eastAsia="en-AU"/>
        </w:rPr>
        <w:t>recommendation 6 and 7</w:t>
      </w:r>
      <w:r w:rsidRPr="006D7CAA">
        <w:rPr>
          <w:rFonts w:ascii="Arial" w:eastAsia="Times New Roman" w:hAnsi="Arial" w:cs="Arial"/>
          <w:sz w:val="22"/>
          <w:szCs w:val="22"/>
          <w:lang w:eastAsia="en-AU"/>
        </w:rPr>
        <w:t xml:space="preserve">, which should address the first two points. </w:t>
      </w:r>
    </w:p>
    <w:p w14:paraId="2262291B" w14:textId="77777777" w:rsidR="002C11FC" w:rsidRDefault="00350157" w:rsidP="00DF5E51">
      <w:pPr>
        <w:spacing w:before="120" w:after="120" w:line="240" w:lineRule="auto"/>
        <w:rPr>
          <w:rFonts w:ascii="Arial" w:eastAsia="Times New Roman" w:hAnsi="Arial" w:cs="Arial"/>
          <w:sz w:val="22"/>
          <w:szCs w:val="22"/>
          <w:lang w:eastAsia="en-AU"/>
        </w:rPr>
      </w:pPr>
      <w:r w:rsidRPr="006D7CAA">
        <w:rPr>
          <w:rFonts w:ascii="Arial" w:eastAsia="Times New Roman" w:hAnsi="Arial" w:cs="Arial"/>
          <w:sz w:val="22"/>
          <w:szCs w:val="22"/>
          <w:lang w:eastAsia="en-AU"/>
        </w:rPr>
        <w:t xml:space="preserve">It is also </w:t>
      </w:r>
      <w:r w:rsidRPr="00561095">
        <w:rPr>
          <w:rFonts w:ascii="Arial" w:eastAsia="Times New Roman" w:hAnsi="Arial" w:cs="Arial"/>
          <w:sz w:val="22"/>
          <w:szCs w:val="22"/>
          <w:lang w:eastAsia="en-AU"/>
        </w:rPr>
        <w:t>noted</w:t>
      </w:r>
      <w:r w:rsidRPr="006D7CAA">
        <w:rPr>
          <w:rFonts w:ascii="Arial" w:eastAsia="Times New Roman" w:hAnsi="Arial" w:cs="Arial"/>
          <w:sz w:val="22"/>
          <w:szCs w:val="22"/>
          <w:lang w:eastAsia="en-AU"/>
        </w:rPr>
        <w:t xml:space="preserve"> that</w:t>
      </w:r>
      <w:r w:rsidR="009434C2">
        <w:rPr>
          <w:rFonts w:ascii="Arial" w:eastAsia="Times New Roman" w:hAnsi="Arial" w:cs="Arial"/>
          <w:sz w:val="22"/>
          <w:szCs w:val="22"/>
          <w:lang w:eastAsia="en-AU"/>
        </w:rPr>
        <w:t xml:space="preserve"> the Government is considering</w:t>
      </w:r>
      <w:r w:rsidRPr="006D7CAA">
        <w:rPr>
          <w:rFonts w:ascii="Arial" w:eastAsia="Times New Roman" w:hAnsi="Arial" w:cs="Arial"/>
          <w:sz w:val="22"/>
          <w:szCs w:val="22"/>
          <w:lang w:eastAsia="en-AU"/>
        </w:rPr>
        <w:t xml:space="preserve"> the</w:t>
      </w:r>
      <w:r w:rsidR="009434C2">
        <w:rPr>
          <w:rFonts w:ascii="Arial" w:eastAsia="Times New Roman" w:hAnsi="Arial" w:cs="Arial"/>
          <w:sz w:val="22"/>
          <w:szCs w:val="22"/>
          <w:lang w:eastAsia="en-AU"/>
        </w:rPr>
        <w:t xml:space="preserve"> recommendations from the review of the</w:t>
      </w:r>
      <w:r w:rsidRPr="006D7CAA">
        <w:rPr>
          <w:rFonts w:ascii="Arial" w:eastAsia="Times New Roman" w:hAnsi="Arial" w:cs="Arial"/>
          <w:sz w:val="22"/>
          <w:szCs w:val="22"/>
          <w:lang w:eastAsia="en-AU"/>
        </w:rPr>
        <w:t xml:space="preserve"> Medicare Benefits Scheme (MBS)</w:t>
      </w:r>
      <w:r w:rsidR="00FE618B">
        <w:rPr>
          <w:rFonts w:ascii="Arial" w:eastAsia="Times New Roman" w:hAnsi="Arial" w:cs="Arial"/>
          <w:sz w:val="22"/>
          <w:szCs w:val="22"/>
          <w:lang w:eastAsia="en-AU"/>
        </w:rPr>
        <w:t>.</w:t>
      </w:r>
      <w:r w:rsidRPr="006D7CAA">
        <w:rPr>
          <w:rFonts w:ascii="Arial" w:eastAsia="Times New Roman" w:hAnsi="Arial" w:cs="Arial"/>
          <w:sz w:val="22"/>
          <w:szCs w:val="22"/>
          <w:lang w:eastAsia="en-AU"/>
        </w:rPr>
        <w:t xml:space="preserve"> </w:t>
      </w:r>
      <w:r w:rsidR="00FE618B">
        <w:rPr>
          <w:rFonts w:ascii="Arial" w:eastAsia="Times New Roman" w:hAnsi="Arial" w:cs="Arial"/>
          <w:sz w:val="22"/>
          <w:szCs w:val="22"/>
          <w:lang w:eastAsia="en-AU"/>
        </w:rPr>
        <w:t>There w</w:t>
      </w:r>
      <w:r w:rsidR="00913FC6">
        <w:rPr>
          <w:rFonts w:ascii="Arial" w:eastAsia="Times New Roman" w:hAnsi="Arial" w:cs="Arial"/>
          <w:sz w:val="22"/>
          <w:szCs w:val="22"/>
          <w:lang w:eastAsia="en-AU"/>
        </w:rPr>
        <w:t>as</w:t>
      </w:r>
      <w:r w:rsidRPr="006D7CAA">
        <w:rPr>
          <w:rFonts w:ascii="Arial" w:eastAsia="Times New Roman" w:hAnsi="Arial" w:cs="Arial"/>
          <w:sz w:val="22"/>
          <w:szCs w:val="22"/>
          <w:lang w:eastAsia="en-AU"/>
        </w:rPr>
        <w:t xml:space="preserve"> a specif</w:t>
      </w:r>
      <w:r w:rsidR="00913FC6">
        <w:rPr>
          <w:rFonts w:ascii="Arial" w:eastAsia="Times New Roman" w:hAnsi="Arial" w:cs="Arial"/>
          <w:sz w:val="22"/>
          <w:szCs w:val="22"/>
          <w:lang w:eastAsia="en-AU"/>
        </w:rPr>
        <w:t>ic NP</w:t>
      </w:r>
      <w:r w:rsidRPr="006D7CAA">
        <w:rPr>
          <w:rFonts w:ascii="Arial" w:eastAsia="Times New Roman" w:hAnsi="Arial" w:cs="Arial"/>
          <w:sz w:val="22"/>
          <w:szCs w:val="22"/>
          <w:lang w:eastAsia="en-AU"/>
        </w:rPr>
        <w:t xml:space="preserve"> Reference Group providing advice on how improvements can be made to better support the growth and integration of NPs into Australia’s health system. </w:t>
      </w:r>
      <w:r w:rsidRPr="00215E88">
        <w:rPr>
          <w:rFonts w:ascii="Arial" w:eastAsia="Times New Roman" w:hAnsi="Arial" w:cs="Arial"/>
          <w:sz w:val="22"/>
          <w:szCs w:val="22"/>
          <w:lang w:eastAsia="en-AU"/>
        </w:rPr>
        <w:t>The Government will work with the profession once the outcomes of the MBS Taskforce review are known.</w:t>
      </w:r>
    </w:p>
    <w:p w14:paraId="2ACFC04F" w14:textId="77777777" w:rsidR="002C11FC" w:rsidRDefault="002C11FC" w:rsidP="00DF5E51">
      <w:pPr>
        <w:spacing w:before="120" w:after="120" w:line="240" w:lineRule="auto"/>
        <w:rPr>
          <w:rFonts w:ascii="Arial" w:eastAsia="Times New Roman" w:hAnsi="Arial" w:cs="Arial"/>
          <w:sz w:val="22"/>
          <w:szCs w:val="22"/>
          <w:lang w:eastAsia="en-AU"/>
        </w:rPr>
      </w:pPr>
      <w:r>
        <w:rPr>
          <w:rFonts w:ascii="Arial" w:eastAsia="Times New Roman" w:hAnsi="Arial" w:cs="Arial"/>
          <w:sz w:val="22"/>
          <w:szCs w:val="22"/>
          <w:lang w:eastAsia="en-AU"/>
        </w:rPr>
        <w:lastRenderedPageBreak/>
        <w:t xml:space="preserve">The Government also </w:t>
      </w:r>
      <w:r w:rsidRPr="00561095">
        <w:rPr>
          <w:rFonts w:ascii="Arial" w:eastAsia="Times New Roman" w:hAnsi="Arial" w:cs="Arial"/>
          <w:sz w:val="22"/>
          <w:szCs w:val="22"/>
          <w:lang w:eastAsia="en-AU"/>
        </w:rPr>
        <w:t>notes</w:t>
      </w:r>
      <w:r>
        <w:rPr>
          <w:rFonts w:ascii="Arial" w:eastAsia="Times New Roman" w:hAnsi="Arial" w:cs="Arial"/>
          <w:sz w:val="22"/>
          <w:szCs w:val="22"/>
          <w:lang w:eastAsia="en-AU"/>
        </w:rPr>
        <w:t xml:space="preserve"> that t</w:t>
      </w:r>
      <w:r w:rsidRPr="002C11FC">
        <w:rPr>
          <w:rFonts w:ascii="Arial" w:eastAsia="Times New Roman" w:hAnsi="Arial" w:cs="Arial"/>
          <w:sz w:val="22"/>
          <w:szCs w:val="22"/>
          <w:lang w:eastAsia="en-AU"/>
        </w:rPr>
        <w:t>he NMBA will ensure the foundation of this recommendation is includ</w:t>
      </w:r>
      <w:r>
        <w:rPr>
          <w:rFonts w:ascii="Arial" w:eastAsia="Times New Roman" w:hAnsi="Arial" w:cs="Arial"/>
          <w:sz w:val="22"/>
          <w:szCs w:val="22"/>
          <w:lang w:eastAsia="en-AU"/>
        </w:rPr>
        <w:t>ed in the current review of NP s</w:t>
      </w:r>
      <w:r w:rsidRPr="002C11FC">
        <w:rPr>
          <w:rFonts w:ascii="Arial" w:eastAsia="Times New Roman" w:hAnsi="Arial" w:cs="Arial"/>
          <w:sz w:val="22"/>
          <w:szCs w:val="22"/>
          <w:lang w:eastAsia="en-AU"/>
        </w:rPr>
        <w:t xml:space="preserve">tandards for </w:t>
      </w:r>
      <w:r>
        <w:rPr>
          <w:rFonts w:ascii="Arial" w:eastAsia="Times New Roman" w:hAnsi="Arial" w:cs="Arial"/>
          <w:sz w:val="22"/>
          <w:szCs w:val="22"/>
          <w:lang w:eastAsia="en-AU"/>
        </w:rPr>
        <w:t>p</w:t>
      </w:r>
      <w:r w:rsidRPr="002C11FC">
        <w:rPr>
          <w:rFonts w:ascii="Arial" w:eastAsia="Times New Roman" w:hAnsi="Arial" w:cs="Arial"/>
          <w:sz w:val="22"/>
          <w:szCs w:val="22"/>
          <w:lang w:eastAsia="en-AU"/>
        </w:rPr>
        <w:t>ractice and that this flows on to the NP Accreditation Standards review planned for 2021</w:t>
      </w:r>
      <w:r>
        <w:rPr>
          <w:rFonts w:ascii="Arial" w:eastAsia="Times New Roman" w:hAnsi="Arial" w:cs="Arial"/>
          <w:sz w:val="22"/>
          <w:szCs w:val="22"/>
          <w:lang w:eastAsia="en-AU"/>
        </w:rPr>
        <w:t xml:space="preserve">. </w:t>
      </w:r>
    </w:p>
    <w:p w14:paraId="7F1165D2" w14:textId="77777777" w:rsidR="00350157" w:rsidRPr="00E94D35" w:rsidRDefault="009E7997" w:rsidP="00DF5E51">
      <w:pPr>
        <w:spacing w:before="120" w:after="120" w:line="240" w:lineRule="auto"/>
        <w:rPr>
          <w:rFonts w:ascii="Arial" w:eastAsia="Times New Roman" w:hAnsi="Arial" w:cs="Arial"/>
          <w:sz w:val="22"/>
          <w:szCs w:val="22"/>
        </w:rPr>
      </w:pPr>
      <w:r>
        <w:rPr>
          <w:rFonts w:ascii="Arial" w:eastAsia="Times New Roman" w:hAnsi="Arial" w:cs="Arial"/>
          <w:sz w:val="22"/>
          <w:szCs w:val="22"/>
        </w:rPr>
        <w:t xml:space="preserve">The Government </w:t>
      </w:r>
      <w:r w:rsidRPr="00561095">
        <w:rPr>
          <w:rFonts w:ascii="Arial" w:eastAsia="Times New Roman" w:hAnsi="Arial" w:cs="Arial"/>
          <w:sz w:val="22"/>
          <w:szCs w:val="22"/>
        </w:rPr>
        <w:t>notes</w:t>
      </w:r>
      <w:r>
        <w:rPr>
          <w:rFonts w:ascii="Arial" w:eastAsia="Times New Roman" w:hAnsi="Arial" w:cs="Arial"/>
          <w:sz w:val="22"/>
          <w:szCs w:val="22"/>
        </w:rPr>
        <w:t xml:space="preserve"> that all registration standards are regularly reviewed to ensure they are fit for purpose and achieve their objectives under the National Law. Should a standard be found to no longer be fit for purpose, the Government can, through the Ministerial Council, require NMBA to review and up</w:t>
      </w:r>
      <w:r w:rsidR="00E94D35">
        <w:rPr>
          <w:rFonts w:ascii="Arial" w:eastAsia="Times New Roman" w:hAnsi="Arial" w:cs="Arial"/>
          <w:sz w:val="22"/>
          <w:szCs w:val="22"/>
        </w:rPr>
        <w:t xml:space="preserve">date the standard as required. </w:t>
      </w:r>
    </w:p>
    <w:tbl>
      <w:tblPr>
        <w:tblStyle w:val="TableGrid"/>
        <w:tblW w:w="0" w:type="auto"/>
        <w:tblLook w:val="04A0" w:firstRow="1" w:lastRow="0" w:firstColumn="1" w:lastColumn="0" w:noHBand="0" w:noVBand="1"/>
      </w:tblPr>
      <w:tblGrid>
        <w:gridCol w:w="9016"/>
      </w:tblGrid>
      <w:tr w:rsidR="00350157" w:rsidRPr="006D7CAA" w14:paraId="5390512B" w14:textId="77777777" w:rsidTr="00A470CF">
        <w:trPr>
          <w:trHeight w:val="832"/>
        </w:trPr>
        <w:tc>
          <w:tcPr>
            <w:tcW w:w="9016" w:type="dxa"/>
          </w:tcPr>
          <w:p w14:paraId="597C224C" w14:textId="77777777" w:rsidR="00350157" w:rsidRPr="006D7CAA" w:rsidRDefault="00350157" w:rsidP="00A470CF">
            <w:pPr>
              <w:pStyle w:val="Heading3"/>
              <w:outlineLvl w:val="2"/>
              <w:rPr>
                <w:rFonts w:ascii="Arial" w:eastAsia="Times New Roman" w:hAnsi="Arial" w:cs="Arial"/>
              </w:rPr>
            </w:pPr>
            <w:bookmarkStart w:id="57" w:name="_Toc57387210"/>
            <w:r w:rsidRPr="006D7CAA">
              <w:rPr>
                <w:rFonts w:ascii="Arial" w:eastAsia="Times New Roman" w:hAnsi="Arial" w:cs="Arial"/>
              </w:rPr>
              <w:t>Recommendation 25</w:t>
            </w:r>
            <w:bookmarkEnd w:id="57"/>
          </w:p>
          <w:p w14:paraId="0A3CA4F0"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Government and HEPs should increase their support for doctoral studies in nursing, especially for members of minority groups. </w:t>
            </w:r>
          </w:p>
        </w:tc>
      </w:tr>
    </w:tbl>
    <w:p w14:paraId="6286D17C"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Australian Government response</w:t>
      </w:r>
    </w:p>
    <w:p w14:paraId="691F6D58" w14:textId="77777777" w:rsidR="00350157" w:rsidRPr="00350157" w:rsidRDefault="00350157" w:rsidP="00C7528B">
      <w:pPr>
        <w:spacing w:before="120" w:after="120" w:line="240" w:lineRule="auto"/>
        <w:rPr>
          <w:rFonts w:ascii="Arial" w:eastAsia="Times New Roman" w:hAnsi="Arial" w:cs="Arial"/>
          <w:sz w:val="22"/>
          <w:szCs w:val="22"/>
          <w:lang w:eastAsia="en-AU"/>
        </w:rPr>
      </w:pPr>
      <w:r w:rsidRPr="006D7CAA">
        <w:rPr>
          <w:rFonts w:ascii="Arial" w:eastAsia="Times New Roman" w:hAnsi="Arial" w:cs="Arial"/>
          <w:sz w:val="22"/>
          <w:szCs w:val="22"/>
          <w:lang w:eastAsia="en-AU"/>
        </w:rPr>
        <w:t xml:space="preserve">The Government </w:t>
      </w:r>
      <w:r w:rsidRPr="00561095">
        <w:rPr>
          <w:rFonts w:ascii="Arial" w:eastAsia="Times New Roman" w:hAnsi="Arial" w:cs="Arial"/>
          <w:sz w:val="22"/>
          <w:szCs w:val="22"/>
          <w:lang w:eastAsia="en-AU"/>
        </w:rPr>
        <w:t>notes</w:t>
      </w:r>
      <w:r w:rsidRPr="006D7CAA">
        <w:rPr>
          <w:rFonts w:ascii="Arial" w:eastAsia="Times New Roman" w:hAnsi="Arial" w:cs="Arial"/>
          <w:b/>
          <w:sz w:val="22"/>
          <w:szCs w:val="22"/>
          <w:lang w:eastAsia="en-AU"/>
        </w:rPr>
        <w:t xml:space="preserve"> </w:t>
      </w:r>
      <w:r w:rsidRPr="006D7CAA">
        <w:rPr>
          <w:rFonts w:ascii="Arial" w:eastAsia="Times New Roman" w:hAnsi="Arial" w:cs="Arial"/>
          <w:sz w:val="22"/>
          <w:szCs w:val="22"/>
          <w:lang w:eastAsia="en-AU"/>
        </w:rPr>
        <w:t xml:space="preserve">the recommendation and provides the following </w:t>
      </w:r>
      <w:r>
        <w:rPr>
          <w:rFonts w:ascii="Arial" w:eastAsia="Times New Roman" w:hAnsi="Arial" w:cs="Arial"/>
          <w:sz w:val="22"/>
          <w:szCs w:val="22"/>
          <w:lang w:eastAsia="en-AU"/>
        </w:rPr>
        <w:t>observations.</w:t>
      </w:r>
      <w:r w:rsidRPr="006D7CAA">
        <w:rPr>
          <w:rFonts w:ascii="Arial" w:eastAsia="Times New Roman" w:hAnsi="Arial" w:cs="Arial"/>
          <w:sz w:val="22"/>
          <w:szCs w:val="22"/>
          <w:lang w:eastAsia="en-AU"/>
        </w:rPr>
        <w:t xml:space="preserve"> </w:t>
      </w:r>
    </w:p>
    <w:p w14:paraId="75B2A700" w14:textId="77777777" w:rsidR="00350157" w:rsidRPr="00B34C5F" w:rsidRDefault="00350157" w:rsidP="00DF5E51">
      <w:pPr>
        <w:spacing w:before="120" w:after="120" w:line="240" w:lineRule="auto"/>
        <w:rPr>
          <w:rFonts w:ascii="Arial" w:eastAsia="Times New Roman" w:hAnsi="Arial" w:cs="Arial"/>
          <w:bCs/>
          <w:sz w:val="22"/>
          <w:szCs w:val="22"/>
          <w:lang w:val="en-GB" w:eastAsia="en-AU"/>
        </w:rPr>
      </w:pPr>
      <w:r w:rsidRPr="00B34C5F">
        <w:rPr>
          <w:rFonts w:ascii="Arial" w:eastAsia="Times New Roman" w:hAnsi="Arial" w:cs="Arial"/>
          <w:bCs/>
          <w:sz w:val="22"/>
          <w:szCs w:val="22"/>
          <w:lang w:val="en-GB" w:eastAsia="en-AU"/>
        </w:rPr>
        <w:t xml:space="preserve">The Government's research block grants, established under the </w:t>
      </w:r>
      <w:r w:rsidRPr="000011BA">
        <w:rPr>
          <w:rFonts w:ascii="Arial" w:hAnsi="Arial"/>
          <w:i/>
          <w:sz w:val="22"/>
          <w:lang w:val="en-GB"/>
        </w:rPr>
        <w:t>Higher Education Support Act 2003</w:t>
      </w:r>
      <w:r w:rsidRPr="00B34C5F">
        <w:rPr>
          <w:rFonts w:ascii="Arial" w:eastAsia="Times New Roman" w:hAnsi="Arial" w:cs="Arial"/>
          <w:bCs/>
          <w:sz w:val="22"/>
          <w:szCs w:val="22"/>
          <w:lang w:val="en-GB" w:eastAsia="en-AU"/>
        </w:rPr>
        <w:t xml:space="preserve">, provide block funding to eligible Australian </w:t>
      </w:r>
      <w:r w:rsidR="007A7827" w:rsidRPr="00B34C5F">
        <w:rPr>
          <w:rFonts w:ascii="Arial" w:eastAsia="Times New Roman" w:hAnsi="Arial" w:cs="Arial"/>
          <w:bCs/>
          <w:sz w:val="22"/>
          <w:szCs w:val="22"/>
          <w:lang w:val="en-GB" w:eastAsia="en-AU"/>
        </w:rPr>
        <w:t>HEP</w:t>
      </w:r>
      <w:r w:rsidR="0011549B">
        <w:rPr>
          <w:rFonts w:ascii="Arial" w:eastAsia="Times New Roman" w:hAnsi="Arial" w:cs="Arial"/>
          <w:bCs/>
          <w:sz w:val="22"/>
          <w:szCs w:val="22"/>
          <w:lang w:val="en-GB" w:eastAsia="en-AU"/>
        </w:rPr>
        <w:t>s</w:t>
      </w:r>
      <w:r w:rsidRPr="00B34C5F">
        <w:rPr>
          <w:rFonts w:ascii="Arial" w:eastAsia="Times New Roman" w:hAnsi="Arial" w:cs="Arial"/>
          <w:bCs/>
          <w:sz w:val="22"/>
          <w:szCs w:val="22"/>
          <w:lang w:val="en-GB" w:eastAsia="en-AU"/>
        </w:rPr>
        <w:t xml:space="preserve"> for research and research training under the Research Training Program (RTP), and the Research Support Program.</w:t>
      </w:r>
    </w:p>
    <w:p w14:paraId="61BDA9A1" w14:textId="77777777" w:rsidR="00350157" w:rsidRPr="00B34C5F" w:rsidRDefault="00350157" w:rsidP="00DF5E51">
      <w:pPr>
        <w:spacing w:before="120" w:after="120" w:line="240" w:lineRule="auto"/>
        <w:rPr>
          <w:rFonts w:ascii="Arial" w:eastAsia="Times New Roman" w:hAnsi="Arial" w:cs="Arial"/>
          <w:bCs/>
          <w:sz w:val="22"/>
          <w:szCs w:val="22"/>
          <w:lang w:val="en-GB" w:eastAsia="en-AU"/>
        </w:rPr>
      </w:pPr>
      <w:r w:rsidRPr="000011BA">
        <w:rPr>
          <w:rFonts w:ascii="Arial" w:hAnsi="Arial"/>
          <w:sz w:val="22"/>
          <w:lang w:val="en-GB"/>
        </w:rPr>
        <w:t>The RTP is providing $1.</w:t>
      </w:r>
      <w:r w:rsidR="007A7827" w:rsidRPr="00F66024">
        <w:rPr>
          <w:rFonts w:ascii="Arial" w:eastAsia="Times New Roman" w:hAnsi="Arial" w:cs="Arial"/>
          <w:bCs/>
          <w:sz w:val="22"/>
          <w:szCs w:val="22"/>
          <w:lang w:val="en-GB" w:eastAsia="en-AU"/>
        </w:rPr>
        <w:t>0</w:t>
      </w:r>
      <w:r w:rsidR="0011549B">
        <w:rPr>
          <w:rFonts w:ascii="Arial" w:eastAsia="Times New Roman" w:hAnsi="Arial" w:cs="Arial"/>
          <w:bCs/>
          <w:sz w:val="22"/>
          <w:szCs w:val="22"/>
          <w:lang w:val="en-GB" w:eastAsia="en-AU"/>
        </w:rPr>
        <w:t>646</w:t>
      </w:r>
      <w:r w:rsidRPr="000011BA">
        <w:rPr>
          <w:rFonts w:ascii="Arial" w:hAnsi="Arial"/>
          <w:sz w:val="22"/>
          <w:lang w:val="en-GB"/>
        </w:rPr>
        <w:t xml:space="preserve"> billion in </w:t>
      </w:r>
      <w:r w:rsidR="007A7827" w:rsidRPr="00F66024">
        <w:rPr>
          <w:rFonts w:ascii="Arial" w:eastAsia="Times New Roman" w:hAnsi="Arial" w:cs="Arial"/>
          <w:bCs/>
          <w:sz w:val="22"/>
          <w:szCs w:val="22"/>
          <w:lang w:val="en-GB" w:eastAsia="en-AU"/>
        </w:rPr>
        <w:t>202</w:t>
      </w:r>
      <w:r w:rsidR="0011549B">
        <w:rPr>
          <w:rFonts w:ascii="Arial" w:eastAsia="Times New Roman" w:hAnsi="Arial" w:cs="Arial"/>
          <w:bCs/>
          <w:sz w:val="22"/>
          <w:szCs w:val="22"/>
          <w:lang w:val="en-GB" w:eastAsia="en-AU"/>
        </w:rPr>
        <w:t>1</w:t>
      </w:r>
      <w:r w:rsidRPr="000011BA">
        <w:rPr>
          <w:rFonts w:ascii="Arial" w:hAnsi="Arial"/>
          <w:sz w:val="22"/>
          <w:lang w:val="en-GB"/>
        </w:rPr>
        <w:t xml:space="preserve"> to Australian universities to support higher degree by research students</w:t>
      </w:r>
      <w:r w:rsidRPr="00B34C5F">
        <w:rPr>
          <w:rFonts w:ascii="Arial" w:eastAsia="Times New Roman" w:hAnsi="Arial" w:cs="Arial"/>
          <w:bCs/>
          <w:sz w:val="22"/>
          <w:szCs w:val="22"/>
          <w:lang w:val="en-GB" w:eastAsia="en-AU"/>
        </w:rPr>
        <w:t xml:space="preserve">. The RTP funds scholarships for tuition fees, stipends to support students’ general living costs and allowances for ancillary costs of </w:t>
      </w:r>
      <w:r w:rsidR="00C63021">
        <w:rPr>
          <w:rFonts w:ascii="Arial" w:eastAsia="Times New Roman" w:hAnsi="Arial" w:cs="Arial"/>
          <w:bCs/>
          <w:sz w:val="22"/>
          <w:szCs w:val="22"/>
          <w:lang w:val="en-GB" w:eastAsia="en-AU"/>
        </w:rPr>
        <w:t>Higher Degree by Research (</w:t>
      </w:r>
      <w:r w:rsidRPr="00B34C5F">
        <w:rPr>
          <w:rFonts w:ascii="Arial" w:eastAsia="Times New Roman" w:hAnsi="Arial" w:cs="Arial"/>
          <w:bCs/>
          <w:sz w:val="22"/>
          <w:szCs w:val="22"/>
          <w:lang w:val="en-GB" w:eastAsia="en-AU"/>
        </w:rPr>
        <w:t>HDR</w:t>
      </w:r>
      <w:r w:rsidR="00C63021">
        <w:rPr>
          <w:rFonts w:ascii="Arial" w:eastAsia="Times New Roman" w:hAnsi="Arial" w:cs="Arial"/>
          <w:bCs/>
          <w:sz w:val="22"/>
          <w:szCs w:val="22"/>
          <w:lang w:val="en-GB" w:eastAsia="en-AU"/>
        </w:rPr>
        <w:t>)</w:t>
      </w:r>
      <w:r w:rsidRPr="00B34C5F">
        <w:rPr>
          <w:rFonts w:ascii="Arial" w:eastAsia="Times New Roman" w:hAnsi="Arial" w:cs="Arial"/>
          <w:bCs/>
          <w:sz w:val="22"/>
          <w:szCs w:val="22"/>
          <w:lang w:val="en-GB" w:eastAsia="en-AU"/>
        </w:rPr>
        <w:t xml:space="preserve"> studies.</w:t>
      </w:r>
    </w:p>
    <w:p w14:paraId="44215E6E" w14:textId="77777777" w:rsidR="00350157" w:rsidRPr="00B34C5F" w:rsidRDefault="00350157">
      <w:pPr>
        <w:spacing w:before="120" w:after="120" w:line="240" w:lineRule="auto"/>
        <w:rPr>
          <w:rFonts w:ascii="Arial" w:eastAsia="Times New Roman" w:hAnsi="Arial" w:cs="Arial"/>
          <w:bCs/>
          <w:sz w:val="22"/>
          <w:szCs w:val="22"/>
          <w:lang w:val="en-GB" w:eastAsia="en-AU"/>
        </w:rPr>
      </w:pPr>
      <w:r w:rsidRPr="00B34C5F">
        <w:rPr>
          <w:rFonts w:ascii="Arial" w:eastAsia="Times New Roman" w:hAnsi="Arial" w:cs="Arial"/>
          <w:bCs/>
          <w:sz w:val="22"/>
          <w:szCs w:val="22"/>
          <w:lang w:val="en-GB" w:eastAsia="en-AU"/>
        </w:rPr>
        <w:t xml:space="preserve">The awarding of RTP scholarships to HDR students is merit-based, and </w:t>
      </w:r>
      <w:r w:rsidR="007A7827" w:rsidRPr="00B34C5F">
        <w:rPr>
          <w:rFonts w:ascii="Arial" w:eastAsia="Times New Roman" w:hAnsi="Arial" w:cs="Arial"/>
          <w:bCs/>
          <w:sz w:val="22"/>
          <w:szCs w:val="22"/>
          <w:lang w:val="en-GB" w:eastAsia="en-AU"/>
        </w:rPr>
        <w:t>HEP</w:t>
      </w:r>
      <w:r w:rsidR="0062341C">
        <w:rPr>
          <w:rFonts w:ascii="Arial" w:eastAsia="Times New Roman" w:hAnsi="Arial" w:cs="Arial"/>
          <w:bCs/>
          <w:sz w:val="22"/>
          <w:szCs w:val="22"/>
          <w:lang w:val="en-GB" w:eastAsia="en-AU"/>
        </w:rPr>
        <w:t>s</w:t>
      </w:r>
      <w:r w:rsidRPr="00B34C5F">
        <w:rPr>
          <w:rFonts w:ascii="Arial" w:eastAsia="Times New Roman" w:hAnsi="Arial" w:cs="Arial"/>
          <w:bCs/>
          <w:sz w:val="22"/>
          <w:szCs w:val="22"/>
          <w:lang w:val="en-GB" w:eastAsia="en-AU"/>
        </w:rPr>
        <w:t xml:space="preserve"> are responsible for managing the RTP application, selection and offer processes. </w:t>
      </w:r>
      <w:r w:rsidRPr="000011BA">
        <w:rPr>
          <w:rFonts w:ascii="Arial" w:hAnsi="Arial"/>
          <w:i/>
          <w:sz w:val="22"/>
          <w:lang w:val="en-GB"/>
        </w:rPr>
        <w:t>The Commonwealth Scholarship Guidelines (Research) 2017</w:t>
      </w:r>
      <w:r w:rsidRPr="00B34C5F">
        <w:rPr>
          <w:rFonts w:ascii="Arial" w:eastAsia="Times New Roman" w:hAnsi="Arial" w:cs="Arial"/>
          <w:bCs/>
          <w:sz w:val="22"/>
          <w:szCs w:val="22"/>
          <w:lang w:val="en-GB" w:eastAsia="en-AU"/>
        </w:rPr>
        <w:t xml:space="preserve"> provide the legislative basis for the provision of funding to this program. </w:t>
      </w:r>
    </w:p>
    <w:p w14:paraId="4F306CBD" w14:textId="77777777" w:rsidR="00350157" w:rsidRPr="00B34C5F" w:rsidRDefault="007A7827">
      <w:pPr>
        <w:spacing w:before="120" w:after="120" w:line="240" w:lineRule="auto"/>
        <w:rPr>
          <w:rFonts w:ascii="Arial" w:eastAsia="Times New Roman" w:hAnsi="Arial" w:cs="Arial"/>
          <w:bCs/>
          <w:sz w:val="22"/>
          <w:szCs w:val="22"/>
          <w:lang w:val="en-GB" w:eastAsia="en-AU"/>
        </w:rPr>
      </w:pPr>
      <w:r w:rsidRPr="00B34C5F">
        <w:rPr>
          <w:rFonts w:ascii="Arial" w:eastAsia="Times New Roman" w:hAnsi="Arial" w:cs="Arial"/>
          <w:bCs/>
          <w:sz w:val="22"/>
          <w:szCs w:val="22"/>
          <w:lang w:val="en-GB" w:eastAsia="en-AU"/>
        </w:rPr>
        <w:t>HEP</w:t>
      </w:r>
      <w:r w:rsidR="0062341C">
        <w:rPr>
          <w:rFonts w:ascii="Arial" w:eastAsia="Times New Roman" w:hAnsi="Arial" w:cs="Arial"/>
          <w:bCs/>
          <w:sz w:val="22"/>
          <w:szCs w:val="22"/>
          <w:lang w:val="en-GB" w:eastAsia="en-AU"/>
        </w:rPr>
        <w:t>s</w:t>
      </w:r>
      <w:r w:rsidR="00350157" w:rsidRPr="00B34C5F">
        <w:rPr>
          <w:rFonts w:ascii="Arial" w:eastAsia="Times New Roman" w:hAnsi="Arial" w:cs="Arial"/>
          <w:bCs/>
          <w:sz w:val="22"/>
          <w:szCs w:val="22"/>
          <w:lang w:val="en-GB" w:eastAsia="en-AU"/>
        </w:rPr>
        <w:t xml:space="preserve"> are required to publish information about processes, policies and conditions relating to their RTP </w:t>
      </w:r>
      <w:r w:rsidR="0062341C">
        <w:rPr>
          <w:rFonts w:ascii="Arial" w:eastAsia="Times New Roman" w:hAnsi="Arial" w:cs="Arial"/>
          <w:bCs/>
          <w:sz w:val="22"/>
          <w:szCs w:val="22"/>
          <w:lang w:val="en-GB" w:eastAsia="en-AU"/>
        </w:rPr>
        <w:t>s</w:t>
      </w:r>
      <w:r w:rsidRPr="00B34C5F">
        <w:rPr>
          <w:rFonts w:ascii="Arial" w:eastAsia="Times New Roman" w:hAnsi="Arial" w:cs="Arial"/>
          <w:bCs/>
          <w:sz w:val="22"/>
          <w:szCs w:val="22"/>
          <w:lang w:val="en-GB" w:eastAsia="en-AU"/>
        </w:rPr>
        <w:t xml:space="preserve">cholarship </w:t>
      </w:r>
      <w:r w:rsidR="0062341C">
        <w:rPr>
          <w:rFonts w:ascii="Arial" w:eastAsia="Times New Roman" w:hAnsi="Arial" w:cs="Arial"/>
          <w:bCs/>
          <w:sz w:val="22"/>
          <w:szCs w:val="22"/>
          <w:lang w:val="en-GB" w:eastAsia="en-AU"/>
        </w:rPr>
        <w:t>p</w:t>
      </w:r>
      <w:r w:rsidR="00350157" w:rsidRPr="00B34C5F">
        <w:rPr>
          <w:rFonts w:ascii="Arial" w:eastAsia="Times New Roman" w:hAnsi="Arial" w:cs="Arial"/>
          <w:bCs/>
          <w:sz w:val="22"/>
          <w:szCs w:val="22"/>
          <w:lang w:val="en-GB" w:eastAsia="en-AU"/>
        </w:rPr>
        <w:t>olicies. This provides transparency for all students seeking support to undertake HDR studies.</w:t>
      </w:r>
    </w:p>
    <w:p w14:paraId="0FC87324" w14:textId="77777777" w:rsidR="00350157" w:rsidRDefault="00350157">
      <w:pPr>
        <w:spacing w:before="120" w:after="120" w:line="240" w:lineRule="auto"/>
        <w:rPr>
          <w:rFonts w:ascii="Arial" w:eastAsia="Times New Roman" w:hAnsi="Arial" w:cs="Arial"/>
          <w:bCs/>
          <w:sz w:val="22"/>
          <w:szCs w:val="22"/>
          <w:lang w:val="en-GB" w:eastAsia="en-AU"/>
        </w:rPr>
      </w:pPr>
      <w:r w:rsidRPr="00B34C5F">
        <w:rPr>
          <w:rFonts w:ascii="Arial" w:eastAsia="Times New Roman" w:hAnsi="Arial" w:cs="Arial"/>
          <w:bCs/>
          <w:sz w:val="22"/>
          <w:szCs w:val="22"/>
          <w:lang w:val="en-GB" w:eastAsia="en-AU"/>
        </w:rPr>
        <w:t xml:space="preserve">The Government allocates RTP funding to eligible institutions </w:t>
      </w:r>
      <w:proofErr w:type="gramStart"/>
      <w:r w:rsidRPr="00B34C5F">
        <w:rPr>
          <w:rFonts w:ascii="Arial" w:eastAsia="Times New Roman" w:hAnsi="Arial" w:cs="Arial"/>
          <w:bCs/>
          <w:sz w:val="22"/>
          <w:szCs w:val="22"/>
          <w:lang w:val="en-GB" w:eastAsia="en-AU"/>
        </w:rPr>
        <w:t>on the basis of</w:t>
      </w:r>
      <w:proofErr w:type="gramEnd"/>
      <w:r w:rsidRPr="00B34C5F">
        <w:rPr>
          <w:rFonts w:ascii="Arial" w:eastAsia="Times New Roman" w:hAnsi="Arial" w:cs="Arial"/>
          <w:bCs/>
          <w:sz w:val="22"/>
          <w:szCs w:val="22"/>
          <w:lang w:val="en-GB" w:eastAsia="en-AU"/>
        </w:rPr>
        <w:t xml:space="preserve"> 25 per cent from Australian competitive grant research</w:t>
      </w:r>
      <w:r w:rsidR="0062341C">
        <w:rPr>
          <w:rFonts w:ascii="Arial" w:eastAsia="Times New Roman" w:hAnsi="Arial" w:cs="Arial"/>
          <w:bCs/>
          <w:sz w:val="22"/>
          <w:szCs w:val="22"/>
          <w:lang w:val="en-GB" w:eastAsia="en-AU"/>
        </w:rPr>
        <w:t xml:space="preserve"> income</w:t>
      </w:r>
      <w:r w:rsidRPr="00B34C5F">
        <w:rPr>
          <w:rFonts w:ascii="Arial" w:eastAsia="Times New Roman" w:hAnsi="Arial" w:cs="Arial"/>
          <w:bCs/>
          <w:sz w:val="22"/>
          <w:szCs w:val="22"/>
          <w:lang w:val="en-GB" w:eastAsia="en-AU"/>
        </w:rPr>
        <w:t>, 25 per cent from industry and other research income, and 50 per cent from HDR completions. A higher weighting is applied for Indigenous student completions, to reward universities for supporting Indigenous student</w:t>
      </w:r>
      <w:r>
        <w:rPr>
          <w:rFonts w:ascii="Arial" w:eastAsia="Times New Roman" w:hAnsi="Arial" w:cs="Arial"/>
          <w:bCs/>
          <w:sz w:val="22"/>
          <w:szCs w:val="22"/>
          <w:lang w:val="en-GB" w:eastAsia="en-AU"/>
        </w:rPr>
        <w:t>s to complete their HDR studies</w:t>
      </w:r>
      <w:r w:rsidRPr="006D7CAA">
        <w:rPr>
          <w:rFonts w:ascii="Arial" w:eastAsia="Times New Roman" w:hAnsi="Arial" w:cs="Arial"/>
          <w:bCs/>
          <w:sz w:val="22"/>
          <w:szCs w:val="22"/>
          <w:lang w:val="en-GB" w:eastAsia="en-AU"/>
        </w:rPr>
        <w:t>.</w:t>
      </w:r>
    </w:p>
    <w:p w14:paraId="17F5F5CF" w14:textId="77777777" w:rsidR="00350157" w:rsidRPr="006D7CAA" w:rsidRDefault="00350157" w:rsidP="00350157">
      <w:pPr>
        <w:pStyle w:val="Heading1"/>
        <w:rPr>
          <w:rFonts w:ascii="Arial" w:eastAsia="Times New Roman" w:hAnsi="Arial" w:cs="Arial"/>
        </w:rPr>
      </w:pPr>
      <w:bookmarkStart w:id="58" w:name="_Toc57387211"/>
      <w:r w:rsidRPr="006D7CAA">
        <w:rPr>
          <w:rFonts w:ascii="Arial" w:eastAsia="Times New Roman" w:hAnsi="Arial" w:cs="Arial"/>
        </w:rPr>
        <w:t>IMPLEMENTATION OF RECOMMENDATIONS</w:t>
      </w:r>
      <w:bookmarkEnd w:id="58"/>
    </w:p>
    <w:tbl>
      <w:tblPr>
        <w:tblStyle w:val="TableGrid"/>
        <w:tblW w:w="0" w:type="auto"/>
        <w:tblLook w:val="04A0" w:firstRow="1" w:lastRow="0" w:firstColumn="1" w:lastColumn="0" w:noHBand="0" w:noVBand="1"/>
      </w:tblPr>
      <w:tblGrid>
        <w:gridCol w:w="9016"/>
      </w:tblGrid>
      <w:tr w:rsidR="00350157" w:rsidRPr="006D7CAA" w14:paraId="22349599" w14:textId="77777777" w:rsidTr="00A470CF">
        <w:trPr>
          <w:trHeight w:val="1591"/>
        </w:trPr>
        <w:tc>
          <w:tcPr>
            <w:tcW w:w="9016" w:type="dxa"/>
          </w:tcPr>
          <w:p w14:paraId="51E3D5D9" w14:textId="77777777" w:rsidR="00350157" w:rsidRPr="006D7CAA" w:rsidRDefault="00350157" w:rsidP="00A470CF">
            <w:pPr>
              <w:pStyle w:val="Heading3"/>
              <w:outlineLvl w:val="2"/>
              <w:rPr>
                <w:rFonts w:ascii="Arial" w:eastAsia="Times New Roman" w:hAnsi="Arial" w:cs="Arial"/>
              </w:rPr>
            </w:pPr>
            <w:bookmarkStart w:id="59" w:name="_Toc57387212"/>
            <w:r w:rsidRPr="006D7CAA">
              <w:rPr>
                <w:rFonts w:ascii="Arial" w:eastAsia="Times New Roman" w:hAnsi="Arial" w:cs="Arial"/>
              </w:rPr>
              <w:t>Recommendation 26</w:t>
            </w:r>
            <w:bookmarkEnd w:id="59"/>
          </w:p>
          <w:p w14:paraId="2C8FC2E5" w14:textId="77777777" w:rsidR="00350157" w:rsidRPr="006D7CAA" w:rsidRDefault="00350157" w:rsidP="00A470CF">
            <w:pPr>
              <w:autoSpaceDE w:val="0"/>
              <w:autoSpaceDN w:val="0"/>
              <w:adjustRightInd w:val="0"/>
              <w:spacing w:line="221" w:lineRule="atLeast"/>
              <w:rPr>
                <w:rFonts w:ascii="Arial" w:eastAsia="Times New Roman" w:hAnsi="Arial" w:cs="Arial"/>
              </w:rPr>
            </w:pPr>
            <w:r w:rsidRPr="006D7CAA">
              <w:rPr>
                <w:rFonts w:ascii="Arial" w:eastAsia="Times New Roman" w:hAnsi="Arial" w:cs="Arial"/>
                <w:color w:val="000000"/>
                <w:sz w:val="22"/>
                <w:szCs w:val="22"/>
                <w:lang w:eastAsia="en-AU"/>
              </w:rPr>
              <w:t xml:space="preserve">The National Nursing and Midwifery Education Advisory Network (NNMEAN) should be given responsibility for monitoring the realisation of this review's recommendations. The Government should consider commissioning a follow-up review after four years, with the aim of assessing the progress in implementing the recommendations contained in this report.  </w:t>
            </w:r>
          </w:p>
        </w:tc>
      </w:tr>
    </w:tbl>
    <w:p w14:paraId="565BD038" w14:textId="77777777" w:rsidR="00350157" w:rsidRPr="006D7CAA" w:rsidRDefault="00350157" w:rsidP="00C7528B">
      <w:pPr>
        <w:spacing w:before="120" w:after="120" w:line="240" w:lineRule="auto"/>
        <w:rPr>
          <w:rFonts w:ascii="Arial" w:hAnsi="Arial" w:cs="Arial"/>
          <w:b/>
        </w:rPr>
      </w:pPr>
      <w:r w:rsidRPr="006D7CAA">
        <w:rPr>
          <w:rFonts w:ascii="Arial" w:hAnsi="Arial" w:cs="Arial"/>
          <w:b/>
        </w:rPr>
        <w:t>Australian Government response</w:t>
      </w:r>
    </w:p>
    <w:p w14:paraId="1B4FD2AE" w14:textId="77777777" w:rsidR="00350157" w:rsidRDefault="00350157" w:rsidP="00DF5E51">
      <w:pPr>
        <w:spacing w:before="120" w:after="120" w:line="240" w:lineRule="auto"/>
        <w:rPr>
          <w:rFonts w:ascii="Arial" w:eastAsia="Times New Roman" w:hAnsi="Arial" w:cs="Arial"/>
          <w:sz w:val="22"/>
          <w:szCs w:val="22"/>
        </w:rPr>
      </w:pPr>
      <w:r w:rsidRPr="006D7CAA">
        <w:rPr>
          <w:rFonts w:ascii="Arial" w:eastAsia="Times New Roman" w:hAnsi="Arial" w:cs="Arial"/>
          <w:sz w:val="22"/>
          <w:szCs w:val="22"/>
        </w:rPr>
        <w:t xml:space="preserve">The Government </w:t>
      </w:r>
      <w:r w:rsidRPr="00561095">
        <w:rPr>
          <w:rFonts w:ascii="Arial" w:eastAsia="Times New Roman" w:hAnsi="Arial" w:cs="Arial"/>
          <w:sz w:val="22"/>
          <w:szCs w:val="22"/>
        </w:rPr>
        <w:t>supports</w:t>
      </w:r>
      <w:r w:rsidRPr="006D7CAA">
        <w:rPr>
          <w:rFonts w:ascii="Arial" w:eastAsia="Times New Roman" w:hAnsi="Arial" w:cs="Arial"/>
          <w:sz w:val="22"/>
          <w:szCs w:val="22"/>
        </w:rPr>
        <w:t xml:space="preserve"> the recommendation</w:t>
      </w:r>
      <w:r w:rsidR="003A5057">
        <w:rPr>
          <w:rFonts w:ascii="Arial" w:eastAsia="Times New Roman" w:hAnsi="Arial" w:cs="Arial"/>
          <w:sz w:val="22"/>
          <w:szCs w:val="22"/>
        </w:rPr>
        <w:t xml:space="preserve"> that </w:t>
      </w:r>
      <w:r w:rsidR="00A919E1">
        <w:rPr>
          <w:rFonts w:ascii="Arial" w:eastAsia="Times New Roman" w:hAnsi="Arial" w:cs="Arial"/>
          <w:sz w:val="22"/>
          <w:szCs w:val="22"/>
        </w:rPr>
        <w:t>N</w:t>
      </w:r>
      <w:r w:rsidR="003A5057">
        <w:rPr>
          <w:rFonts w:ascii="Arial" w:eastAsia="Times New Roman" w:hAnsi="Arial" w:cs="Arial"/>
          <w:sz w:val="22"/>
          <w:szCs w:val="22"/>
        </w:rPr>
        <w:t xml:space="preserve">NMEAN be given responsibility for monitoring </w:t>
      </w:r>
      <w:r w:rsidR="00A919E1">
        <w:rPr>
          <w:rFonts w:ascii="Arial" w:eastAsia="Times New Roman" w:hAnsi="Arial" w:cs="Arial"/>
          <w:sz w:val="22"/>
          <w:szCs w:val="22"/>
        </w:rPr>
        <w:t xml:space="preserve">implementation of </w:t>
      </w:r>
      <w:r w:rsidR="003A5057">
        <w:rPr>
          <w:rFonts w:ascii="Arial" w:eastAsia="Times New Roman" w:hAnsi="Arial" w:cs="Arial"/>
          <w:sz w:val="22"/>
          <w:szCs w:val="22"/>
        </w:rPr>
        <w:t>the</w:t>
      </w:r>
      <w:r w:rsidR="00CC77E3">
        <w:rPr>
          <w:rFonts w:ascii="Arial" w:eastAsia="Times New Roman" w:hAnsi="Arial" w:cs="Arial"/>
          <w:sz w:val="22"/>
          <w:szCs w:val="22"/>
        </w:rPr>
        <w:t xml:space="preserve"> recommendations of this review</w:t>
      </w:r>
      <w:r w:rsidR="003A5057">
        <w:rPr>
          <w:rFonts w:ascii="Arial" w:eastAsia="Times New Roman" w:hAnsi="Arial" w:cs="Arial"/>
          <w:sz w:val="22"/>
          <w:szCs w:val="22"/>
        </w:rPr>
        <w:t xml:space="preserve"> and will consider further work should implementation of the recommendations not be completed</w:t>
      </w:r>
      <w:r w:rsidRPr="006D7CAA">
        <w:rPr>
          <w:rFonts w:ascii="Arial" w:eastAsia="Times New Roman" w:hAnsi="Arial" w:cs="Arial"/>
          <w:sz w:val="22"/>
          <w:szCs w:val="22"/>
        </w:rPr>
        <w:t xml:space="preserve">. </w:t>
      </w:r>
    </w:p>
    <w:sectPr w:rsidR="00350157" w:rsidSect="009E1D5C">
      <w:headerReference w:type="default" r:id="rId12"/>
      <w:footerReference w:type="default" r:id="rId13"/>
      <w:pgSz w:w="11906" w:h="16838"/>
      <w:pgMar w:top="1440" w:right="1133"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EEB3A" w14:textId="77777777" w:rsidR="001D2817" w:rsidRDefault="001D2817">
      <w:pPr>
        <w:spacing w:after="0" w:line="240" w:lineRule="auto"/>
      </w:pPr>
      <w:r>
        <w:separator/>
      </w:r>
    </w:p>
  </w:endnote>
  <w:endnote w:type="continuationSeparator" w:id="0">
    <w:p w14:paraId="71E300AF" w14:textId="77777777" w:rsidR="001D2817" w:rsidRDefault="001D2817">
      <w:pPr>
        <w:spacing w:after="0" w:line="240" w:lineRule="auto"/>
      </w:pPr>
      <w:r>
        <w:continuationSeparator/>
      </w:r>
    </w:p>
  </w:endnote>
  <w:endnote w:type="continuationNotice" w:id="1">
    <w:p w14:paraId="7809D288" w14:textId="77777777" w:rsidR="001D2817" w:rsidRDefault="001D2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1342310"/>
      <w:docPartObj>
        <w:docPartGallery w:val="Page Numbers (Bottom of Page)"/>
        <w:docPartUnique/>
      </w:docPartObj>
    </w:sdtPr>
    <w:sdtEndPr/>
    <w:sdtContent>
      <w:sdt>
        <w:sdtPr>
          <w:id w:val="-1769616900"/>
          <w:docPartObj>
            <w:docPartGallery w:val="Page Numbers (Top of Page)"/>
            <w:docPartUnique/>
          </w:docPartObj>
        </w:sdtPr>
        <w:sdtEndPr/>
        <w:sdtContent>
          <w:p w14:paraId="5B830635" w14:textId="77777777" w:rsidR="00EE16F1" w:rsidRDefault="00EE16F1">
            <w:pPr>
              <w:pStyle w:val="Footer"/>
              <w:jc w:val="right"/>
            </w:pPr>
            <w:r w:rsidRPr="0034352F">
              <w:rPr>
                <w:rFonts w:ascii="Arial" w:hAnsi="Arial" w:cs="Arial"/>
                <w:sz w:val="16"/>
                <w:szCs w:val="16"/>
              </w:rPr>
              <w:t xml:space="preserve">Page </w:t>
            </w:r>
            <w:r w:rsidRPr="0034352F">
              <w:rPr>
                <w:rFonts w:ascii="Arial" w:hAnsi="Arial" w:cs="Arial"/>
                <w:b/>
                <w:bCs/>
                <w:sz w:val="16"/>
                <w:szCs w:val="16"/>
              </w:rPr>
              <w:fldChar w:fldCharType="begin"/>
            </w:r>
            <w:r w:rsidRPr="0034352F">
              <w:rPr>
                <w:rFonts w:ascii="Arial" w:hAnsi="Arial" w:cs="Arial"/>
                <w:b/>
                <w:bCs/>
                <w:sz w:val="16"/>
                <w:szCs w:val="16"/>
              </w:rPr>
              <w:instrText xml:space="preserve"> PAGE </w:instrText>
            </w:r>
            <w:r w:rsidRPr="0034352F">
              <w:rPr>
                <w:rFonts w:ascii="Arial" w:hAnsi="Arial" w:cs="Arial"/>
                <w:b/>
                <w:bCs/>
                <w:sz w:val="16"/>
                <w:szCs w:val="16"/>
              </w:rPr>
              <w:fldChar w:fldCharType="separate"/>
            </w:r>
            <w:r w:rsidR="00EF2F0B">
              <w:rPr>
                <w:rFonts w:ascii="Arial" w:hAnsi="Arial" w:cs="Arial"/>
                <w:b/>
                <w:bCs/>
                <w:noProof/>
                <w:sz w:val="16"/>
                <w:szCs w:val="16"/>
              </w:rPr>
              <w:t>11</w:t>
            </w:r>
            <w:r w:rsidRPr="0034352F">
              <w:rPr>
                <w:rFonts w:ascii="Arial" w:hAnsi="Arial" w:cs="Arial"/>
                <w:b/>
                <w:bCs/>
                <w:sz w:val="16"/>
                <w:szCs w:val="16"/>
              </w:rPr>
              <w:fldChar w:fldCharType="end"/>
            </w:r>
            <w:r w:rsidRPr="0034352F">
              <w:rPr>
                <w:rFonts w:ascii="Arial" w:hAnsi="Arial" w:cs="Arial"/>
                <w:sz w:val="16"/>
                <w:szCs w:val="16"/>
              </w:rPr>
              <w:t xml:space="preserve"> of </w:t>
            </w:r>
            <w:r w:rsidRPr="0034352F">
              <w:rPr>
                <w:rFonts w:ascii="Arial" w:hAnsi="Arial" w:cs="Arial"/>
                <w:b/>
                <w:bCs/>
                <w:sz w:val="16"/>
                <w:szCs w:val="16"/>
              </w:rPr>
              <w:fldChar w:fldCharType="begin"/>
            </w:r>
            <w:r w:rsidRPr="0034352F">
              <w:rPr>
                <w:rFonts w:ascii="Arial" w:hAnsi="Arial" w:cs="Arial"/>
                <w:b/>
                <w:bCs/>
                <w:sz w:val="16"/>
                <w:szCs w:val="16"/>
              </w:rPr>
              <w:instrText xml:space="preserve"> NUMPAGES  </w:instrText>
            </w:r>
            <w:r w:rsidRPr="0034352F">
              <w:rPr>
                <w:rFonts w:ascii="Arial" w:hAnsi="Arial" w:cs="Arial"/>
                <w:b/>
                <w:bCs/>
                <w:sz w:val="16"/>
                <w:szCs w:val="16"/>
              </w:rPr>
              <w:fldChar w:fldCharType="separate"/>
            </w:r>
            <w:r w:rsidR="00EF2F0B">
              <w:rPr>
                <w:rFonts w:ascii="Arial" w:hAnsi="Arial" w:cs="Arial"/>
                <w:b/>
                <w:bCs/>
                <w:noProof/>
                <w:sz w:val="16"/>
                <w:szCs w:val="16"/>
              </w:rPr>
              <w:t>18</w:t>
            </w:r>
            <w:r w:rsidRPr="0034352F">
              <w:rPr>
                <w:rFonts w:ascii="Arial" w:hAnsi="Arial" w:cs="Arial"/>
                <w:b/>
                <w:bCs/>
                <w:sz w:val="16"/>
                <w:szCs w:val="16"/>
              </w:rPr>
              <w:fldChar w:fldCharType="end"/>
            </w:r>
          </w:p>
        </w:sdtContent>
      </w:sdt>
    </w:sdtContent>
  </w:sdt>
  <w:p w14:paraId="4C9208E7" w14:textId="77777777" w:rsidR="00EE16F1" w:rsidRDefault="00EE16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C641B" w14:textId="77777777" w:rsidR="001D2817" w:rsidRDefault="001D2817">
      <w:pPr>
        <w:spacing w:after="0" w:line="240" w:lineRule="auto"/>
      </w:pPr>
      <w:r>
        <w:separator/>
      </w:r>
    </w:p>
  </w:footnote>
  <w:footnote w:type="continuationSeparator" w:id="0">
    <w:p w14:paraId="6E491FA5" w14:textId="77777777" w:rsidR="001D2817" w:rsidRDefault="001D2817">
      <w:pPr>
        <w:spacing w:after="0" w:line="240" w:lineRule="auto"/>
      </w:pPr>
      <w:r>
        <w:continuationSeparator/>
      </w:r>
    </w:p>
  </w:footnote>
  <w:footnote w:type="continuationNotice" w:id="1">
    <w:p w14:paraId="0609355B" w14:textId="77777777" w:rsidR="001D2817" w:rsidRDefault="001D2817">
      <w:pPr>
        <w:spacing w:after="0" w:line="240" w:lineRule="auto"/>
      </w:pPr>
    </w:p>
  </w:footnote>
  <w:footnote w:id="2">
    <w:p w14:paraId="2A50A612" w14:textId="77777777" w:rsidR="00EE16F1" w:rsidRDefault="00EE16F1">
      <w:pPr>
        <w:pStyle w:val="FootnoteText"/>
      </w:pPr>
      <w:r>
        <w:rPr>
          <w:rStyle w:val="FootnoteReference"/>
        </w:rPr>
        <w:footnoteRef/>
      </w:r>
      <w:r>
        <w:t xml:space="preserve"> Available at </w:t>
      </w:r>
      <w:r w:rsidRPr="007E29C0">
        <w:t>https://www.coaghealthcouncil.gov.au/Portals/0/ASReview%20FINAL%20Report.pdf</w:t>
      </w:r>
    </w:p>
  </w:footnote>
  <w:footnote w:id="3">
    <w:p w14:paraId="72FFDB59" w14:textId="77777777" w:rsidR="000011BA" w:rsidRDefault="000011BA">
      <w:pPr>
        <w:pStyle w:val="FootnoteText"/>
      </w:pPr>
      <w:r>
        <w:rPr>
          <w:rStyle w:val="FootnoteReference"/>
        </w:rPr>
        <w:footnoteRef/>
      </w:r>
      <w:r>
        <w:t xml:space="preserve"> Available at </w:t>
      </w:r>
      <w:r w:rsidRPr="000011BA">
        <w:t>https://agedcare.royalcommission.gov.au/publications/final-report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7F437" w14:textId="77777777" w:rsidR="00EE16F1" w:rsidRDefault="00EE1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711"/>
    <w:multiLevelType w:val="hybridMultilevel"/>
    <w:tmpl w:val="C064476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663CAA"/>
    <w:multiLevelType w:val="hybridMultilevel"/>
    <w:tmpl w:val="6EB46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6B7E33"/>
    <w:multiLevelType w:val="hybridMultilevel"/>
    <w:tmpl w:val="83583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F067B8"/>
    <w:multiLevelType w:val="hybridMultilevel"/>
    <w:tmpl w:val="937EE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9A385D"/>
    <w:multiLevelType w:val="hybridMultilevel"/>
    <w:tmpl w:val="FAE4BB08"/>
    <w:lvl w:ilvl="0" w:tplc="2C728390">
      <w:start w:val="1"/>
      <w:numFmt w:val="bullet"/>
      <w:lvlText w:val=""/>
      <w:lvlJc w:val="left"/>
      <w:pPr>
        <w:ind w:left="720" w:hanging="360"/>
      </w:pPr>
      <w:rPr>
        <w:rFonts w:ascii="Symbol" w:hAnsi="Symbol" w:cs="Times New Roman" w:hint="default"/>
      </w:rPr>
    </w:lvl>
    <w:lvl w:ilvl="1" w:tplc="D53A8BE0" w:tentative="1">
      <w:start w:val="1"/>
      <w:numFmt w:val="bullet"/>
      <w:lvlText w:val="o"/>
      <w:lvlJc w:val="left"/>
      <w:pPr>
        <w:ind w:left="1440" w:hanging="360"/>
      </w:pPr>
      <w:rPr>
        <w:rFonts w:ascii="Courier New" w:hAnsi="Courier New" w:cs="Courier New" w:hint="default"/>
      </w:rPr>
    </w:lvl>
    <w:lvl w:ilvl="2" w:tplc="8E38888E" w:tentative="1">
      <w:start w:val="1"/>
      <w:numFmt w:val="bullet"/>
      <w:lvlText w:val=""/>
      <w:lvlJc w:val="left"/>
      <w:pPr>
        <w:ind w:left="2160" w:hanging="360"/>
      </w:pPr>
      <w:rPr>
        <w:rFonts w:ascii="Wingdings" w:hAnsi="Wingdings" w:hint="default"/>
      </w:rPr>
    </w:lvl>
    <w:lvl w:ilvl="3" w:tplc="11180DF2" w:tentative="1">
      <w:start w:val="1"/>
      <w:numFmt w:val="bullet"/>
      <w:lvlText w:val=""/>
      <w:lvlJc w:val="left"/>
      <w:pPr>
        <w:ind w:left="2880" w:hanging="360"/>
      </w:pPr>
      <w:rPr>
        <w:rFonts w:ascii="Symbol" w:hAnsi="Symbol" w:hint="default"/>
      </w:rPr>
    </w:lvl>
    <w:lvl w:ilvl="4" w:tplc="38C89DB0" w:tentative="1">
      <w:start w:val="1"/>
      <w:numFmt w:val="bullet"/>
      <w:lvlText w:val="o"/>
      <w:lvlJc w:val="left"/>
      <w:pPr>
        <w:ind w:left="3600" w:hanging="360"/>
      </w:pPr>
      <w:rPr>
        <w:rFonts w:ascii="Courier New" w:hAnsi="Courier New" w:cs="Courier New" w:hint="default"/>
      </w:rPr>
    </w:lvl>
    <w:lvl w:ilvl="5" w:tplc="16E6F800" w:tentative="1">
      <w:start w:val="1"/>
      <w:numFmt w:val="bullet"/>
      <w:lvlText w:val=""/>
      <w:lvlJc w:val="left"/>
      <w:pPr>
        <w:ind w:left="4320" w:hanging="360"/>
      </w:pPr>
      <w:rPr>
        <w:rFonts w:ascii="Wingdings" w:hAnsi="Wingdings" w:hint="default"/>
      </w:rPr>
    </w:lvl>
    <w:lvl w:ilvl="6" w:tplc="CE9E0020" w:tentative="1">
      <w:start w:val="1"/>
      <w:numFmt w:val="bullet"/>
      <w:lvlText w:val=""/>
      <w:lvlJc w:val="left"/>
      <w:pPr>
        <w:ind w:left="5040" w:hanging="360"/>
      </w:pPr>
      <w:rPr>
        <w:rFonts w:ascii="Symbol" w:hAnsi="Symbol" w:hint="default"/>
      </w:rPr>
    </w:lvl>
    <w:lvl w:ilvl="7" w:tplc="0D584D64" w:tentative="1">
      <w:start w:val="1"/>
      <w:numFmt w:val="bullet"/>
      <w:lvlText w:val="o"/>
      <w:lvlJc w:val="left"/>
      <w:pPr>
        <w:ind w:left="5760" w:hanging="360"/>
      </w:pPr>
      <w:rPr>
        <w:rFonts w:ascii="Courier New" w:hAnsi="Courier New" w:cs="Courier New" w:hint="default"/>
      </w:rPr>
    </w:lvl>
    <w:lvl w:ilvl="8" w:tplc="6FC41E36" w:tentative="1">
      <w:start w:val="1"/>
      <w:numFmt w:val="bullet"/>
      <w:lvlText w:val=""/>
      <w:lvlJc w:val="left"/>
      <w:pPr>
        <w:ind w:left="6480" w:hanging="360"/>
      </w:pPr>
      <w:rPr>
        <w:rFonts w:ascii="Wingdings" w:hAnsi="Wingdings" w:hint="default"/>
      </w:rPr>
    </w:lvl>
  </w:abstractNum>
  <w:abstractNum w:abstractNumId="5" w15:restartNumberingAfterBreak="0">
    <w:nsid w:val="39716C09"/>
    <w:multiLevelType w:val="hybridMultilevel"/>
    <w:tmpl w:val="AE16F1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701E8C"/>
    <w:multiLevelType w:val="hybridMultilevel"/>
    <w:tmpl w:val="0DCC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85139B"/>
    <w:multiLevelType w:val="hybridMultilevel"/>
    <w:tmpl w:val="CEECF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E4599E"/>
    <w:multiLevelType w:val="hybridMultilevel"/>
    <w:tmpl w:val="A9ACA892"/>
    <w:lvl w:ilvl="0" w:tplc="00C4AA5C">
      <w:start w:val="1"/>
      <w:numFmt w:val="bullet"/>
      <w:lvlText w:val=""/>
      <w:lvlJc w:val="left"/>
      <w:pPr>
        <w:ind w:left="720" w:hanging="360"/>
      </w:pPr>
      <w:rPr>
        <w:rFonts w:ascii="Symbol" w:hAnsi="Symbol" w:hint="default"/>
      </w:rPr>
    </w:lvl>
    <w:lvl w:ilvl="1" w:tplc="0030AC42" w:tentative="1">
      <w:start w:val="1"/>
      <w:numFmt w:val="bullet"/>
      <w:lvlText w:val="o"/>
      <w:lvlJc w:val="left"/>
      <w:pPr>
        <w:ind w:left="1440" w:hanging="360"/>
      </w:pPr>
      <w:rPr>
        <w:rFonts w:ascii="Courier New" w:hAnsi="Courier New" w:cs="Courier New" w:hint="default"/>
      </w:rPr>
    </w:lvl>
    <w:lvl w:ilvl="2" w:tplc="D2A8182C" w:tentative="1">
      <w:start w:val="1"/>
      <w:numFmt w:val="bullet"/>
      <w:lvlText w:val=""/>
      <w:lvlJc w:val="left"/>
      <w:pPr>
        <w:ind w:left="2160" w:hanging="360"/>
      </w:pPr>
      <w:rPr>
        <w:rFonts w:ascii="Wingdings" w:hAnsi="Wingdings" w:hint="default"/>
      </w:rPr>
    </w:lvl>
    <w:lvl w:ilvl="3" w:tplc="ADA29808" w:tentative="1">
      <w:start w:val="1"/>
      <w:numFmt w:val="bullet"/>
      <w:lvlText w:val=""/>
      <w:lvlJc w:val="left"/>
      <w:pPr>
        <w:ind w:left="2880" w:hanging="360"/>
      </w:pPr>
      <w:rPr>
        <w:rFonts w:ascii="Symbol" w:hAnsi="Symbol" w:hint="default"/>
      </w:rPr>
    </w:lvl>
    <w:lvl w:ilvl="4" w:tplc="DB8AEC44" w:tentative="1">
      <w:start w:val="1"/>
      <w:numFmt w:val="bullet"/>
      <w:lvlText w:val="o"/>
      <w:lvlJc w:val="left"/>
      <w:pPr>
        <w:ind w:left="3600" w:hanging="360"/>
      </w:pPr>
      <w:rPr>
        <w:rFonts w:ascii="Courier New" w:hAnsi="Courier New" w:cs="Courier New" w:hint="default"/>
      </w:rPr>
    </w:lvl>
    <w:lvl w:ilvl="5" w:tplc="77D23C56" w:tentative="1">
      <w:start w:val="1"/>
      <w:numFmt w:val="bullet"/>
      <w:lvlText w:val=""/>
      <w:lvlJc w:val="left"/>
      <w:pPr>
        <w:ind w:left="4320" w:hanging="360"/>
      </w:pPr>
      <w:rPr>
        <w:rFonts w:ascii="Wingdings" w:hAnsi="Wingdings" w:hint="default"/>
      </w:rPr>
    </w:lvl>
    <w:lvl w:ilvl="6" w:tplc="091CCD2E" w:tentative="1">
      <w:start w:val="1"/>
      <w:numFmt w:val="bullet"/>
      <w:lvlText w:val=""/>
      <w:lvlJc w:val="left"/>
      <w:pPr>
        <w:ind w:left="5040" w:hanging="360"/>
      </w:pPr>
      <w:rPr>
        <w:rFonts w:ascii="Symbol" w:hAnsi="Symbol" w:hint="default"/>
      </w:rPr>
    </w:lvl>
    <w:lvl w:ilvl="7" w:tplc="0040F086" w:tentative="1">
      <w:start w:val="1"/>
      <w:numFmt w:val="bullet"/>
      <w:lvlText w:val="o"/>
      <w:lvlJc w:val="left"/>
      <w:pPr>
        <w:ind w:left="5760" w:hanging="360"/>
      </w:pPr>
      <w:rPr>
        <w:rFonts w:ascii="Courier New" w:hAnsi="Courier New" w:cs="Courier New" w:hint="default"/>
      </w:rPr>
    </w:lvl>
    <w:lvl w:ilvl="8" w:tplc="0B204870" w:tentative="1">
      <w:start w:val="1"/>
      <w:numFmt w:val="bullet"/>
      <w:lvlText w:val=""/>
      <w:lvlJc w:val="left"/>
      <w:pPr>
        <w:ind w:left="6480" w:hanging="360"/>
      </w:pPr>
      <w:rPr>
        <w:rFonts w:ascii="Wingdings" w:hAnsi="Wingdings" w:hint="default"/>
      </w:rPr>
    </w:lvl>
  </w:abstractNum>
  <w:abstractNum w:abstractNumId="9" w15:restartNumberingAfterBreak="0">
    <w:nsid w:val="57620F03"/>
    <w:multiLevelType w:val="hybridMultilevel"/>
    <w:tmpl w:val="24425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1C5A48"/>
    <w:multiLevelType w:val="hybridMultilevel"/>
    <w:tmpl w:val="8C623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2635A5"/>
    <w:multiLevelType w:val="hybridMultilevel"/>
    <w:tmpl w:val="E682CFD6"/>
    <w:lvl w:ilvl="0" w:tplc="11C8A66E">
      <w:start w:val="1"/>
      <w:numFmt w:val="bullet"/>
      <w:lvlText w:val=""/>
      <w:lvlJc w:val="left"/>
      <w:pPr>
        <w:ind w:left="360" w:hanging="360"/>
      </w:pPr>
      <w:rPr>
        <w:rFonts w:ascii="Symbol" w:hAnsi="Symbol" w:hint="default"/>
        <w:color w:val="auto"/>
      </w:rPr>
    </w:lvl>
    <w:lvl w:ilvl="1" w:tplc="836420E2">
      <w:start w:val="1"/>
      <w:numFmt w:val="bullet"/>
      <w:lvlText w:val="o"/>
      <w:lvlJc w:val="left"/>
      <w:pPr>
        <w:ind w:left="1440" w:hanging="360"/>
      </w:pPr>
      <w:rPr>
        <w:rFonts w:ascii="Courier New" w:hAnsi="Courier New" w:cs="Courier New" w:hint="default"/>
      </w:rPr>
    </w:lvl>
    <w:lvl w:ilvl="2" w:tplc="F1144E82" w:tentative="1">
      <w:start w:val="1"/>
      <w:numFmt w:val="bullet"/>
      <w:lvlText w:val=""/>
      <w:lvlJc w:val="left"/>
      <w:pPr>
        <w:ind w:left="2160" w:hanging="360"/>
      </w:pPr>
      <w:rPr>
        <w:rFonts w:ascii="Wingdings" w:hAnsi="Wingdings" w:hint="default"/>
      </w:rPr>
    </w:lvl>
    <w:lvl w:ilvl="3" w:tplc="5468A442" w:tentative="1">
      <w:start w:val="1"/>
      <w:numFmt w:val="bullet"/>
      <w:lvlText w:val=""/>
      <w:lvlJc w:val="left"/>
      <w:pPr>
        <w:ind w:left="2880" w:hanging="360"/>
      </w:pPr>
      <w:rPr>
        <w:rFonts w:ascii="Symbol" w:hAnsi="Symbol" w:hint="default"/>
      </w:rPr>
    </w:lvl>
    <w:lvl w:ilvl="4" w:tplc="116CB8F8" w:tentative="1">
      <w:start w:val="1"/>
      <w:numFmt w:val="bullet"/>
      <w:lvlText w:val="o"/>
      <w:lvlJc w:val="left"/>
      <w:pPr>
        <w:ind w:left="3600" w:hanging="360"/>
      </w:pPr>
      <w:rPr>
        <w:rFonts w:ascii="Courier New" w:hAnsi="Courier New" w:cs="Courier New" w:hint="default"/>
      </w:rPr>
    </w:lvl>
    <w:lvl w:ilvl="5" w:tplc="83EEE9A8" w:tentative="1">
      <w:start w:val="1"/>
      <w:numFmt w:val="bullet"/>
      <w:lvlText w:val=""/>
      <w:lvlJc w:val="left"/>
      <w:pPr>
        <w:ind w:left="4320" w:hanging="360"/>
      </w:pPr>
      <w:rPr>
        <w:rFonts w:ascii="Wingdings" w:hAnsi="Wingdings" w:hint="default"/>
      </w:rPr>
    </w:lvl>
    <w:lvl w:ilvl="6" w:tplc="54AA7394" w:tentative="1">
      <w:start w:val="1"/>
      <w:numFmt w:val="bullet"/>
      <w:lvlText w:val=""/>
      <w:lvlJc w:val="left"/>
      <w:pPr>
        <w:ind w:left="5040" w:hanging="360"/>
      </w:pPr>
      <w:rPr>
        <w:rFonts w:ascii="Symbol" w:hAnsi="Symbol" w:hint="default"/>
      </w:rPr>
    </w:lvl>
    <w:lvl w:ilvl="7" w:tplc="6A827D3C" w:tentative="1">
      <w:start w:val="1"/>
      <w:numFmt w:val="bullet"/>
      <w:lvlText w:val="o"/>
      <w:lvlJc w:val="left"/>
      <w:pPr>
        <w:ind w:left="5760" w:hanging="360"/>
      </w:pPr>
      <w:rPr>
        <w:rFonts w:ascii="Courier New" w:hAnsi="Courier New" w:cs="Courier New" w:hint="default"/>
      </w:rPr>
    </w:lvl>
    <w:lvl w:ilvl="8" w:tplc="CC42A012" w:tentative="1">
      <w:start w:val="1"/>
      <w:numFmt w:val="bullet"/>
      <w:lvlText w:val=""/>
      <w:lvlJc w:val="left"/>
      <w:pPr>
        <w:ind w:left="6480" w:hanging="360"/>
      </w:pPr>
      <w:rPr>
        <w:rFonts w:ascii="Wingdings" w:hAnsi="Wingdings" w:hint="default"/>
      </w:rPr>
    </w:lvl>
  </w:abstractNum>
  <w:abstractNum w:abstractNumId="12" w15:restartNumberingAfterBreak="0">
    <w:nsid w:val="77D870F0"/>
    <w:multiLevelType w:val="hybridMultilevel"/>
    <w:tmpl w:val="0EAC585C"/>
    <w:lvl w:ilvl="0" w:tplc="D194B3BC">
      <w:start w:val="1"/>
      <w:numFmt w:val="bullet"/>
      <w:lvlText w:val=""/>
      <w:lvlJc w:val="left"/>
      <w:pPr>
        <w:ind w:left="720" w:hanging="360"/>
      </w:pPr>
      <w:rPr>
        <w:rFonts w:ascii="Symbol" w:hAnsi="Symbol" w:cs="Times New Roman" w:hint="default"/>
      </w:rPr>
    </w:lvl>
    <w:lvl w:ilvl="1" w:tplc="D4CE8A28" w:tentative="1">
      <w:start w:val="1"/>
      <w:numFmt w:val="bullet"/>
      <w:lvlText w:val="o"/>
      <w:lvlJc w:val="left"/>
      <w:pPr>
        <w:ind w:left="1440" w:hanging="360"/>
      </w:pPr>
      <w:rPr>
        <w:rFonts w:ascii="Courier New" w:hAnsi="Courier New" w:cs="Courier New" w:hint="default"/>
      </w:rPr>
    </w:lvl>
    <w:lvl w:ilvl="2" w:tplc="C66CC468" w:tentative="1">
      <w:start w:val="1"/>
      <w:numFmt w:val="bullet"/>
      <w:lvlText w:val=""/>
      <w:lvlJc w:val="left"/>
      <w:pPr>
        <w:ind w:left="2160" w:hanging="360"/>
      </w:pPr>
      <w:rPr>
        <w:rFonts w:ascii="Wingdings" w:hAnsi="Wingdings" w:hint="default"/>
      </w:rPr>
    </w:lvl>
    <w:lvl w:ilvl="3" w:tplc="4704E214" w:tentative="1">
      <w:start w:val="1"/>
      <w:numFmt w:val="bullet"/>
      <w:lvlText w:val=""/>
      <w:lvlJc w:val="left"/>
      <w:pPr>
        <w:ind w:left="2880" w:hanging="360"/>
      </w:pPr>
      <w:rPr>
        <w:rFonts w:ascii="Symbol" w:hAnsi="Symbol" w:hint="default"/>
      </w:rPr>
    </w:lvl>
    <w:lvl w:ilvl="4" w:tplc="D1204B4C" w:tentative="1">
      <w:start w:val="1"/>
      <w:numFmt w:val="bullet"/>
      <w:lvlText w:val="o"/>
      <w:lvlJc w:val="left"/>
      <w:pPr>
        <w:ind w:left="3600" w:hanging="360"/>
      </w:pPr>
      <w:rPr>
        <w:rFonts w:ascii="Courier New" w:hAnsi="Courier New" w:cs="Courier New" w:hint="default"/>
      </w:rPr>
    </w:lvl>
    <w:lvl w:ilvl="5" w:tplc="2D14D322" w:tentative="1">
      <w:start w:val="1"/>
      <w:numFmt w:val="bullet"/>
      <w:lvlText w:val=""/>
      <w:lvlJc w:val="left"/>
      <w:pPr>
        <w:ind w:left="4320" w:hanging="360"/>
      </w:pPr>
      <w:rPr>
        <w:rFonts w:ascii="Wingdings" w:hAnsi="Wingdings" w:hint="default"/>
      </w:rPr>
    </w:lvl>
    <w:lvl w:ilvl="6" w:tplc="4F04B370" w:tentative="1">
      <w:start w:val="1"/>
      <w:numFmt w:val="bullet"/>
      <w:lvlText w:val=""/>
      <w:lvlJc w:val="left"/>
      <w:pPr>
        <w:ind w:left="5040" w:hanging="360"/>
      </w:pPr>
      <w:rPr>
        <w:rFonts w:ascii="Symbol" w:hAnsi="Symbol" w:hint="default"/>
      </w:rPr>
    </w:lvl>
    <w:lvl w:ilvl="7" w:tplc="7ED427B4" w:tentative="1">
      <w:start w:val="1"/>
      <w:numFmt w:val="bullet"/>
      <w:lvlText w:val="o"/>
      <w:lvlJc w:val="left"/>
      <w:pPr>
        <w:ind w:left="5760" w:hanging="360"/>
      </w:pPr>
      <w:rPr>
        <w:rFonts w:ascii="Courier New" w:hAnsi="Courier New" w:cs="Courier New" w:hint="default"/>
      </w:rPr>
    </w:lvl>
    <w:lvl w:ilvl="8" w:tplc="ADB22ABE" w:tentative="1">
      <w:start w:val="1"/>
      <w:numFmt w:val="bullet"/>
      <w:lvlText w:val=""/>
      <w:lvlJc w:val="left"/>
      <w:pPr>
        <w:ind w:left="6480" w:hanging="360"/>
      </w:pPr>
      <w:rPr>
        <w:rFonts w:ascii="Wingdings" w:hAnsi="Wingdings" w:hint="default"/>
      </w:rPr>
    </w:lvl>
  </w:abstractNum>
  <w:abstractNum w:abstractNumId="13" w15:restartNumberingAfterBreak="0">
    <w:nsid w:val="7D574B53"/>
    <w:multiLevelType w:val="multilevel"/>
    <w:tmpl w:val="C440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8"/>
  </w:num>
  <w:num w:numId="4">
    <w:abstractNumId w:val="3"/>
  </w:num>
  <w:num w:numId="5">
    <w:abstractNumId w:val="12"/>
  </w:num>
  <w:num w:numId="6">
    <w:abstractNumId w:val="11"/>
  </w:num>
  <w:num w:numId="7">
    <w:abstractNumId w:val="5"/>
  </w:num>
  <w:num w:numId="8">
    <w:abstractNumId w:val="6"/>
  </w:num>
  <w:num w:numId="9">
    <w:abstractNumId w:val="7"/>
  </w:num>
  <w:num w:numId="10">
    <w:abstractNumId w:val="0"/>
  </w:num>
  <w:num w:numId="11">
    <w:abstractNumId w:val="9"/>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184"/>
    <w:rsid w:val="000011BA"/>
    <w:rsid w:val="00007073"/>
    <w:rsid w:val="00013B8C"/>
    <w:rsid w:val="00027A05"/>
    <w:rsid w:val="00031FA7"/>
    <w:rsid w:val="0003345D"/>
    <w:rsid w:val="00036751"/>
    <w:rsid w:val="00051A12"/>
    <w:rsid w:val="00053FCA"/>
    <w:rsid w:val="000640E4"/>
    <w:rsid w:val="00066A17"/>
    <w:rsid w:val="00072B85"/>
    <w:rsid w:val="00080ADF"/>
    <w:rsid w:val="00080D66"/>
    <w:rsid w:val="00091FA9"/>
    <w:rsid w:val="000A0143"/>
    <w:rsid w:val="000A07C7"/>
    <w:rsid w:val="000A6713"/>
    <w:rsid w:val="000B0340"/>
    <w:rsid w:val="000B34E0"/>
    <w:rsid w:val="000B657D"/>
    <w:rsid w:val="000B6DBA"/>
    <w:rsid w:val="000C5796"/>
    <w:rsid w:val="000E7530"/>
    <w:rsid w:val="001001DB"/>
    <w:rsid w:val="001070E4"/>
    <w:rsid w:val="0011143B"/>
    <w:rsid w:val="0011549B"/>
    <w:rsid w:val="00125B24"/>
    <w:rsid w:val="00127B02"/>
    <w:rsid w:val="0013211A"/>
    <w:rsid w:val="00132AE1"/>
    <w:rsid w:val="00141E3C"/>
    <w:rsid w:val="001514ED"/>
    <w:rsid w:val="0015317A"/>
    <w:rsid w:val="00154342"/>
    <w:rsid w:val="00160993"/>
    <w:rsid w:val="00164117"/>
    <w:rsid w:val="001722EC"/>
    <w:rsid w:val="001761D5"/>
    <w:rsid w:val="00177C08"/>
    <w:rsid w:val="00182C37"/>
    <w:rsid w:val="0018360B"/>
    <w:rsid w:val="00185E7C"/>
    <w:rsid w:val="001948D8"/>
    <w:rsid w:val="00196411"/>
    <w:rsid w:val="0019707E"/>
    <w:rsid w:val="001A1023"/>
    <w:rsid w:val="001A206E"/>
    <w:rsid w:val="001C5191"/>
    <w:rsid w:val="001C6C23"/>
    <w:rsid w:val="001D2817"/>
    <w:rsid w:val="001D2CA3"/>
    <w:rsid w:val="001D3571"/>
    <w:rsid w:val="001D7CE9"/>
    <w:rsid w:val="001E16A8"/>
    <w:rsid w:val="001E6FEC"/>
    <w:rsid w:val="001F4A1C"/>
    <w:rsid w:val="0020123B"/>
    <w:rsid w:val="00212583"/>
    <w:rsid w:val="00215E88"/>
    <w:rsid w:val="00232003"/>
    <w:rsid w:val="0023773A"/>
    <w:rsid w:val="002477DC"/>
    <w:rsid w:val="00250238"/>
    <w:rsid w:val="0025130E"/>
    <w:rsid w:val="00256A9B"/>
    <w:rsid w:val="00272DFB"/>
    <w:rsid w:val="00275F0A"/>
    <w:rsid w:val="00276DEF"/>
    <w:rsid w:val="00280050"/>
    <w:rsid w:val="00293B8F"/>
    <w:rsid w:val="002A10DB"/>
    <w:rsid w:val="002A1B9B"/>
    <w:rsid w:val="002C0DBC"/>
    <w:rsid w:val="002C11FC"/>
    <w:rsid w:val="002C2ACD"/>
    <w:rsid w:val="002D3E0B"/>
    <w:rsid w:val="002E1764"/>
    <w:rsid w:val="002E6485"/>
    <w:rsid w:val="002E78EF"/>
    <w:rsid w:val="002F0626"/>
    <w:rsid w:val="002F3878"/>
    <w:rsid w:val="002F4888"/>
    <w:rsid w:val="002F60AF"/>
    <w:rsid w:val="002F6EA2"/>
    <w:rsid w:val="003133A9"/>
    <w:rsid w:val="0032569E"/>
    <w:rsid w:val="00325E10"/>
    <w:rsid w:val="00326E3A"/>
    <w:rsid w:val="003321FF"/>
    <w:rsid w:val="00334E48"/>
    <w:rsid w:val="0034352F"/>
    <w:rsid w:val="00350157"/>
    <w:rsid w:val="003515F7"/>
    <w:rsid w:val="0035256B"/>
    <w:rsid w:val="00354B25"/>
    <w:rsid w:val="00356A8F"/>
    <w:rsid w:val="00363C50"/>
    <w:rsid w:val="003744F8"/>
    <w:rsid w:val="00387740"/>
    <w:rsid w:val="00390121"/>
    <w:rsid w:val="00392D54"/>
    <w:rsid w:val="00396DA4"/>
    <w:rsid w:val="003A221C"/>
    <w:rsid w:val="003A41E8"/>
    <w:rsid w:val="003A5057"/>
    <w:rsid w:val="003A764D"/>
    <w:rsid w:val="003B748E"/>
    <w:rsid w:val="003B74D9"/>
    <w:rsid w:val="003C1486"/>
    <w:rsid w:val="003D1BE3"/>
    <w:rsid w:val="003D446C"/>
    <w:rsid w:val="003E0B67"/>
    <w:rsid w:val="003E1FF0"/>
    <w:rsid w:val="003E224B"/>
    <w:rsid w:val="003E4D1E"/>
    <w:rsid w:val="003E61D9"/>
    <w:rsid w:val="003F600E"/>
    <w:rsid w:val="003F7A51"/>
    <w:rsid w:val="00402F5F"/>
    <w:rsid w:val="004031EE"/>
    <w:rsid w:val="00403760"/>
    <w:rsid w:val="00404ED1"/>
    <w:rsid w:val="00413300"/>
    <w:rsid w:val="00417AAB"/>
    <w:rsid w:val="004214EF"/>
    <w:rsid w:val="00435FB9"/>
    <w:rsid w:val="00437493"/>
    <w:rsid w:val="00447C98"/>
    <w:rsid w:val="004500BE"/>
    <w:rsid w:val="00452AD0"/>
    <w:rsid w:val="004532A6"/>
    <w:rsid w:val="00464D0D"/>
    <w:rsid w:val="00464E9D"/>
    <w:rsid w:val="00474763"/>
    <w:rsid w:val="004829E4"/>
    <w:rsid w:val="00484478"/>
    <w:rsid w:val="004905F8"/>
    <w:rsid w:val="0049139C"/>
    <w:rsid w:val="004A1116"/>
    <w:rsid w:val="004B2652"/>
    <w:rsid w:val="004C0D28"/>
    <w:rsid w:val="004D4F0A"/>
    <w:rsid w:val="004E0D98"/>
    <w:rsid w:val="004E6849"/>
    <w:rsid w:val="00501DA1"/>
    <w:rsid w:val="00505F69"/>
    <w:rsid w:val="005072A2"/>
    <w:rsid w:val="00520CA2"/>
    <w:rsid w:val="005379E2"/>
    <w:rsid w:val="0055101B"/>
    <w:rsid w:val="00551C2E"/>
    <w:rsid w:val="005524DA"/>
    <w:rsid w:val="00554677"/>
    <w:rsid w:val="005607EE"/>
    <w:rsid w:val="00561095"/>
    <w:rsid w:val="00572240"/>
    <w:rsid w:val="00572D41"/>
    <w:rsid w:val="005778F7"/>
    <w:rsid w:val="00582E8C"/>
    <w:rsid w:val="0058569B"/>
    <w:rsid w:val="00592D4D"/>
    <w:rsid w:val="00593156"/>
    <w:rsid w:val="005B17D4"/>
    <w:rsid w:val="005B5B77"/>
    <w:rsid w:val="005B78BA"/>
    <w:rsid w:val="005C1032"/>
    <w:rsid w:val="005D58B2"/>
    <w:rsid w:val="005D5984"/>
    <w:rsid w:val="005F20F2"/>
    <w:rsid w:val="005F64D8"/>
    <w:rsid w:val="005F7B2B"/>
    <w:rsid w:val="006063B5"/>
    <w:rsid w:val="0061729F"/>
    <w:rsid w:val="00623290"/>
    <w:rsid w:val="0062341C"/>
    <w:rsid w:val="00631344"/>
    <w:rsid w:val="006431FB"/>
    <w:rsid w:val="0064391B"/>
    <w:rsid w:val="006462DE"/>
    <w:rsid w:val="0065324A"/>
    <w:rsid w:val="00653EA4"/>
    <w:rsid w:val="00655784"/>
    <w:rsid w:val="00655E25"/>
    <w:rsid w:val="00662296"/>
    <w:rsid w:val="006646A6"/>
    <w:rsid w:val="00665037"/>
    <w:rsid w:val="00667397"/>
    <w:rsid w:val="00670D34"/>
    <w:rsid w:val="00692392"/>
    <w:rsid w:val="00692744"/>
    <w:rsid w:val="006A07B1"/>
    <w:rsid w:val="006A145D"/>
    <w:rsid w:val="006A2B27"/>
    <w:rsid w:val="006D4749"/>
    <w:rsid w:val="006D7CAA"/>
    <w:rsid w:val="006E0CCC"/>
    <w:rsid w:val="006E4761"/>
    <w:rsid w:val="006E6D29"/>
    <w:rsid w:val="006F417D"/>
    <w:rsid w:val="00701D6C"/>
    <w:rsid w:val="00723E8D"/>
    <w:rsid w:val="00737FB9"/>
    <w:rsid w:val="00744DB8"/>
    <w:rsid w:val="00744FDC"/>
    <w:rsid w:val="0075205D"/>
    <w:rsid w:val="007664FA"/>
    <w:rsid w:val="007803EB"/>
    <w:rsid w:val="00792993"/>
    <w:rsid w:val="0079530E"/>
    <w:rsid w:val="007A3FD5"/>
    <w:rsid w:val="007A4722"/>
    <w:rsid w:val="007A6D62"/>
    <w:rsid w:val="007A7827"/>
    <w:rsid w:val="007C2B9D"/>
    <w:rsid w:val="007D383C"/>
    <w:rsid w:val="007E13B8"/>
    <w:rsid w:val="007E1FA0"/>
    <w:rsid w:val="007E29C0"/>
    <w:rsid w:val="007F0710"/>
    <w:rsid w:val="007F1FE9"/>
    <w:rsid w:val="007F4E6D"/>
    <w:rsid w:val="00800E55"/>
    <w:rsid w:val="0080220E"/>
    <w:rsid w:val="008034DD"/>
    <w:rsid w:val="008037BF"/>
    <w:rsid w:val="00805F35"/>
    <w:rsid w:val="008138FC"/>
    <w:rsid w:val="0081398A"/>
    <w:rsid w:val="00817C9A"/>
    <w:rsid w:val="00821117"/>
    <w:rsid w:val="0083020F"/>
    <w:rsid w:val="008319BB"/>
    <w:rsid w:val="00842B61"/>
    <w:rsid w:val="00844D4E"/>
    <w:rsid w:val="008535D1"/>
    <w:rsid w:val="00854746"/>
    <w:rsid w:val="00881DD6"/>
    <w:rsid w:val="008827FB"/>
    <w:rsid w:val="008947C9"/>
    <w:rsid w:val="00894AFA"/>
    <w:rsid w:val="008A0C4A"/>
    <w:rsid w:val="008A1E8C"/>
    <w:rsid w:val="008A5250"/>
    <w:rsid w:val="008B4AA0"/>
    <w:rsid w:val="008B5958"/>
    <w:rsid w:val="008C147E"/>
    <w:rsid w:val="008D161B"/>
    <w:rsid w:val="008D69ED"/>
    <w:rsid w:val="00902C5E"/>
    <w:rsid w:val="009067E2"/>
    <w:rsid w:val="00913FC6"/>
    <w:rsid w:val="0092044F"/>
    <w:rsid w:val="00924F80"/>
    <w:rsid w:val="00930CE6"/>
    <w:rsid w:val="009341D5"/>
    <w:rsid w:val="0094328B"/>
    <w:rsid w:val="009434C2"/>
    <w:rsid w:val="00943545"/>
    <w:rsid w:val="00945130"/>
    <w:rsid w:val="00946303"/>
    <w:rsid w:val="0095312A"/>
    <w:rsid w:val="0095636C"/>
    <w:rsid w:val="00966D29"/>
    <w:rsid w:val="00967236"/>
    <w:rsid w:val="00970226"/>
    <w:rsid w:val="00970469"/>
    <w:rsid w:val="00971A87"/>
    <w:rsid w:val="00974F96"/>
    <w:rsid w:val="00975A7B"/>
    <w:rsid w:val="0098033F"/>
    <w:rsid w:val="009847AB"/>
    <w:rsid w:val="0099264B"/>
    <w:rsid w:val="009B5A46"/>
    <w:rsid w:val="009C5921"/>
    <w:rsid w:val="009C718A"/>
    <w:rsid w:val="009D004C"/>
    <w:rsid w:val="009D0170"/>
    <w:rsid w:val="009E1D5C"/>
    <w:rsid w:val="009E2C8D"/>
    <w:rsid w:val="009E7997"/>
    <w:rsid w:val="00A020F7"/>
    <w:rsid w:val="00A0514C"/>
    <w:rsid w:val="00A114A2"/>
    <w:rsid w:val="00A12ACA"/>
    <w:rsid w:val="00A17181"/>
    <w:rsid w:val="00A1751E"/>
    <w:rsid w:val="00A17D2D"/>
    <w:rsid w:val="00A33C3C"/>
    <w:rsid w:val="00A35E1D"/>
    <w:rsid w:val="00A43C73"/>
    <w:rsid w:val="00A470CF"/>
    <w:rsid w:val="00A536FE"/>
    <w:rsid w:val="00A62803"/>
    <w:rsid w:val="00A636CB"/>
    <w:rsid w:val="00A74858"/>
    <w:rsid w:val="00A853EF"/>
    <w:rsid w:val="00A919E1"/>
    <w:rsid w:val="00A940E0"/>
    <w:rsid w:val="00A97FC1"/>
    <w:rsid w:val="00AB0474"/>
    <w:rsid w:val="00AC11AA"/>
    <w:rsid w:val="00AC1563"/>
    <w:rsid w:val="00AC7414"/>
    <w:rsid w:val="00AD1618"/>
    <w:rsid w:val="00AE37FE"/>
    <w:rsid w:val="00AE413C"/>
    <w:rsid w:val="00AE4957"/>
    <w:rsid w:val="00AE55B1"/>
    <w:rsid w:val="00AF3AD0"/>
    <w:rsid w:val="00B122B6"/>
    <w:rsid w:val="00B145A4"/>
    <w:rsid w:val="00B256C8"/>
    <w:rsid w:val="00B30876"/>
    <w:rsid w:val="00B309A8"/>
    <w:rsid w:val="00B3417C"/>
    <w:rsid w:val="00B34C5F"/>
    <w:rsid w:val="00B364C3"/>
    <w:rsid w:val="00B37D08"/>
    <w:rsid w:val="00B44D77"/>
    <w:rsid w:val="00B46F90"/>
    <w:rsid w:val="00B53CD3"/>
    <w:rsid w:val="00B57711"/>
    <w:rsid w:val="00B60004"/>
    <w:rsid w:val="00B60507"/>
    <w:rsid w:val="00B74613"/>
    <w:rsid w:val="00B82DF6"/>
    <w:rsid w:val="00BB3893"/>
    <w:rsid w:val="00BB5445"/>
    <w:rsid w:val="00BC1F2E"/>
    <w:rsid w:val="00BC2795"/>
    <w:rsid w:val="00BC3B82"/>
    <w:rsid w:val="00BC51A8"/>
    <w:rsid w:val="00BE25CA"/>
    <w:rsid w:val="00BE3CC2"/>
    <w:rsid w:val="00BE5A79"/>
    <w:rsid w:val="00BE7294"/>
    <w:rsid w:val="00BF2C82"/>
    <w:rsid w:val="00C03243"/>
    <w:rsid w:val="00C21080"/>
    <w:rsid w:val="00C244AA"/>
    <w:rsid w:val="00C248F3"/>
    <w:rsid w:val="00C41768"/>
    <w:rsid w:val="00C432AF"/>
    <w:rsid w:val="00C44008"/>
    <w:rsid w:val="00C63021"/>
    <w:rsid w:val="00C651BD"/>
    <w:rsid w:val="00C705FB"/>
    <w:rsid w:val="00C73AFC"/>
    <w:rsid w:val="00C7528B"/>
    <w:rsid w:val="00C83494"/>
    <w:rsid w:val="00C87988"/>
    <w:rsid w:val="00CA3ED9"/>
    <w:rsid w:val="00CC3E6C"/>
    <w:rsid w:val="00CC77E3"/>
    <w:rsid w:val="00CD4EED"/>
    <w:rsid w:val="00CF17B5"/>
    <w:rsid w:val="00CF47C2"/>
    <w:rsid w:val="00D00232"/>
    <w:rsid w:val="00D060AA"/>
    <w:rsid w:val="00D06EAE"/>
    <w:rsid w:val="00D12B3A"/>
    <w:rsid w:val="00D14B2F"/>
    <w:rsid w:val="00D22D6D"/>
    <w:rsid w:val="00D378EC"/>
    <w:rsid w:val="00D4402D"/>
    <w:rsid w:val="00D5309A"/>
    <w:rsid w:val="00D565BF"/>
    <w:rsid w:val="00D5736D"/>
    <w:rsid w:val="00D62F39"/>
    <w:rsid w:val="00D63EDF"/>
    <w:rsid w:val="00D67C56"/>
    <w:rsid w:val="00D67D55"/>
    <w:rsid w:val="00D73361"/>
    <w:rsid w:val="00D743F2"/>
    <w:rsid w:val="00D745CC"/>
    <w:rsid w:val="00D74F6E"/>
    <w:rsid w:val="00D74F76"/>
    <w:rsid w:val="00D76ADC"/>
    <w:rsid w:val="00D801A4"/>
    <w:rsid w:val="00D80943"/>
    <w:rsid w:val="00D80E66"/>
    <w:rsid w:val="00D87FE1"/>
    <w:rsid w:val="00D97B0F"/>
    <w:rsid w:val="00DA1153"/>
    <w:rsid w:val="00DA5E8B"/>
    <w:rsid w:val="00DA70C7"/>
    <w:rsid w:val="00DB058B"/>
    <w:rsid w:val="00DB2F5F"/>
    <w:rsid w:val="00DB437D"/>
    <w:rsid w:val="00DC68EB"/>
    <w:rsid w:val="00DD7D11"/>
    <w:rsid w:val="00DE159B"/>
    <w:rsid w:val="00DE2ABC"/>
    <w:rsid w:val="00DF0400"/>
    <w:rsid w:val="00DF5E51"/>
    <w:rsid w:val="00E02F4F"/>
    <w:rsid w:val="00E034C4"/>
    <w:rsid w:val="00E05617"/>
    <w:rsid w:val="00E16BD7"/>
    <w:rsid w:val="00E20D3C"/>
    <w:rsid w:val="00E21D67"/>
    <w:rsid w:val="00E25054"/>
    <w:rsid w:val="00E26507"/>
    <w:rsid w:val="00E36A16"/>
    <w:rsid w:val="00E4520C"/>
    <w:rsid w:val="00E46C00"/>
    <w:rsid w:val="00E50042"/>
    <w:rsid w:val="00E50AE2"/>
    <w:rsid w:val="00E6321B"/>
    <w:rsid w:val="00E6570E"/>
    <w:rsid w:val="00E714DE"/>
    <w:rsid w:val="00E72334"/>
    <w:rsid w:val="00E81B4F"/>
    <w:rsid w:val="00E81E86"/>
    <w:rsid w:val="00E84383"/>
    <w:rsid w:val="00E87CD4"/>
    <w:rsid w:val="00E9112B"/>
    <w:rsid w:val="00E92F8F"/>
    <w:rsid w:val="00E94D35"/>
    <w:rsid w:val="00EA1A9A"/>
    <w:rsid w:val="00EA421E"/>
    <w:rsid w:val="00EC7480"/>
    <w:rsid w:val="00ED1B67"/>
    <w:rsid w:val="00EE0184"/>
    <w:rsid w:val="00EE16F1"/>
    <w:rsid w:val="00EE6D04"/>
    <w:rsid w:val="00EF14E5"/>
    <w:rsid w:val="00EF2F0B"/>
    <w:rsid w:val="00F00D1F"/>
    <w:rsid w:val="00F0555E"/>
    <w:rsid w:val="00F126F8"/>
    <w:rsid w:val="00F13C4E"/>
    <w:rsid w:val="00F14D6C"/>
    <w:rsid w:val="00F1539C"/>
    <w:rsid w:val="00F2352B"/>
    <w:rsid w:val="00F26383"/>
    <w:rsid w:val="00F30AF0"/>
    <w:rsid w:val="00F41B82"/>
    <w:rsid w:val="00F4385D"/>
    <w:rsid w:val="00F43BD2"/>
    <w:rsid w:val="00F510CB"/>
    <w:rsid w:val="00F53493"/>
    <w:rsid w:val="00F6201A"/>
    <w:rsid w:val="00F82184"/>
    <w:rsid w:val="00F91618"/>
    <w:rsid w:val="00F91EA8"/>
    <w:rsid w:val="00F942D4"/>
    <w:rsid w:val="00FA36E1"/>
    <w:rsid w:val="00FA3754"/>
    <w:rsid w:val="00FC6871"/>
    <w:rsid w:val="00FD2818"/>
    <w:rsid w:val="00FD402C"/>
    <w:rsid w:val="00FE6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31D423"/>
  <w15:chartTrackingRefBased/>
  <w15:docId w15:val="{8DB90B5D-C882-4F6C-87CA-C6DF538B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21"/>
  </w:style>
  <w:style w:type="paragraph" w:styleId="Heading1">
    <w:name w:val="heading 1"/>
    <w:basedOn w:val="Normal"/>
    <w:next w:val="Normal"/>
    <w:link w:val="Heading1Char"/>
    <w:uiPriority w:val="9"/>
    <w:qFormat/>
    <w:rsid w:val="00396D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4F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4F7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184"/>
  </w:style>
  <w:style w:type="paragraph" w:styleId="Footer">
    <w:name w:val="footer"/>
    <w:basedOn w:val="Normal"/>
    <w:link w:val="FooterChar"/>
    <w:uiPriority w:val="99"/>
    <w:unhideWhenUsed/>
    <w:rsid w:val="00EE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184"/>
  </w:style>
  <w:style w:type="paragraph" w:styleId="TOC1">
    <w:name w:val="toc 1"/>
    <w:basedOn w:val="Normal"/>
    <w:next w:val="Normal"/>
    <w:autoRedefine/>
    <w:uiPriority w:val="39"/>
    <w:unhideWhenUsed/>
    <w:rsid w:val="00396DA4"/>
    <w:pPr>
      <w:spacing w:after="100"/>
    </w:pPr>
  </w:style>
  <w:style w:type="character" w:styleId="Hyperlink">
    <w:name w:val="Hyperlink"/>
    <w:basedOn w:val="DefaultParagraphFont"/>
    <w:uiPriority w:val="99"/>
    <w:unhideWhenUsed/>
    <w:rsid w:val="00396DA4"/>
    <w:rPr>
      <w:color w:val="0563C1" w:themeColor="hyperlink"/>
      <w:u w:val="single"/>
    </w:rPr>
  </w:style>
  <w:style w:type="character" w:customStyle="1" w:styleId="Heading1Char">
    <w:name w:val="Heading 1 Char"/>
    <w:basedOn w:val="DefaultParagraphFont"/>
    <w:link w:val="Heading1"/>
    <w:uiPriority w:val="9"/>
    <w:rsid w:val="00396D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4F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4F76"/>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B256C8"/>
    <w:pPr>
      <w:outlineLvl w:val="9"/>
    </w:pPr>
    <w:rPr>
      <w:lang w:val="en-US"/>
    </w:rPr>
  </w:style>
  <w:style w:type="paragraph" w:styleId="TOC2">
    <w:name w:val="toc 2"/>
    <w:basedOn w:val="Normal"/>
    <w:next w:val="Normal"/>
    <w:autoRedefine/>
    <w:uiPriority w:val="39"/>
    <w:unhideWhenUsed/>
    <w:rsid w:val="00B256C8"/>
    <w:pPr>
      <w:spacing w:after="100"/>
      <w:ind w:left="240"/>
    </w:pPr>
  </w:style>
  <w:style w:type="paragraph" w:styleId="TOC3">
    <w:name w:val="toc 3"/>
    <w:basedOn w:val="Normal"/>
    <w:next w:val="Normal"/>
    <w:autoRedefine/>
    <w:uiPriority w:val="39"/>
    <w:unhideWhenUsed/>
    <w:rsid w:val="00B256C8"/>
    <w:pPr>
      <w:spacing w:after="100"/>
      <w:ind w:left="480"/>
    </w:pPr>
  </w:style>
  <w:style w:type="paragraph" w:styleId="ListParagraph">
    <w:name w:val="List Paragraph"/>
    <w:basedOn w:val="Normal"/>
    <w:uiPriority w:val="34"/>
    <w:qFormat/>
    <w:rsid w:val="00E84383"/>
    <w:pPr>
      <w:ind w:left="720"/>
      <w:contextualSpacing/>
    </w:pPr>
  </w:style>
  <w:style w:type="paragraph" w:styleId="BalloonText">
    <w:name w:val="Balloon Text"/>
    <w:basedOn w:val="Normal"/>
    <w:link w:val="BalloonTextChar"/>
    <w:uiPriority w:val="99"/>
    <w:semiHidden/>
    <w:unhideWhenUsed/>
    <w:rsid w:val="00E72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334"/>
    <w:rPr>
      <w:rFonts w:ascii="Segoe UI" w:hAnsi="Segoe UI" w:cs="Segoe UI"/>
      <w:sz w:val="18"/>
      <w:szCs w:val="18"/>
    </w:rPr>
  </w:style>
  <w:style w:type="character" w:styleId="CommentReference">
    <w:name w:val="annotation reference"/>
    <w:basedOn w:val="DefaultParagraphFont"/>
    <w:uiPriority w:val="99"/>
    <w:semiHidden/>
    <w:unhideWhenUsed/>
    <w:rsid w:val="00EC7480"/>
    <w:rPr>
      <w:sz w:val="16"/>
      <w:szCs w:val="16"/>
    </w:rPr>
  </w:style>
  <w:style w:type="paragraph" w:styleId="CommentText">
    <w:name w:val="annotation text"/>
    <w:basedOn w:val="Normal"/>
    <w:link w:val="CommentTextChar"/>
    <w:uiPriority w:val="99"/>
    <w:semiHidden/>
    <w:unhideWhenUsed/>
    <w:rsid w:val="00EC7480"/>
    <w:pPr>
      <w:spacing w:line="240" w:lineRule="auto"/>
    </w:pPr>
    <w:rPr>
      <w:sz w:val="20"/>
      <w:szCs w:val="20"/>
    </w:rPr>
  </w:style>
  <w:style w:type="character" w:customStyle="1" w:styleId="CommentTextChar">
    <w:name w:val="Comment Text Char"/>
    <w:basedOn w:val="DefaultParagraphFont"/>
    <w:link w:val="CommentText"/>
    <w:uiPriority w:val="99"/>
    <w:semiHidden/>
    <w:rsid w:val="00EC7480"/>
    <w:rPr>
      <w:sz w:val="20"/>
      <w:szCs w:val="20"/>
    </w:rPr>
  </w:style>
  <w:style w:type="paragraph" w:styleId="CommentSubject">
    <w:name w:val="annotation subject"/>
    <w:basedOn w:val="CommentText"/>
    <w:next w:val="CommentText"/>
    <w:link w:val="CommentSubjectChar"/>
    <w:uiPriority w:val="99"/>
    <w:semiHidden/>
    <w:unhideWhenUsed/>
    <w:rsid w:val="00EC7480"/>
    <w:rPr>
      <w:b/>
      <w:bCs/>
    </w:rPr>
  </w:style>
  <w:style w:type="character" w:customStyle="1" w:styleId="CommentSubjectChar">
    <w:name w:val="Comment Subject Char"/>
    <w:basedOn w:val="CommentTextChar"/>
    <w:link w:val="CommentSubject"/>
    <w:uiPriority w:val="99"/>
    <w:semiHidden/>
    <w:rsid w:val="00EC7480"/>
    <w:rPr>
      <w:b/>
      <w:bCs/>
      <w:sz w:val="20"/>
      <w:szCs w:val="20"/>
    </w:rPr>
  </w:style>
  <w:style w:type="table" w:styleId="TableGrid">
    <w:name w:val="Table Grid"/>
    <w:basedOn w:val="TableNormal"/>
    <w:uiPriority w:val="39"/>
    <w:rsid w:val="00A33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4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02C"/>
    <w:rPr>
      <w:sz w:val="20"/>
      <w:szCs w:val="20"/>
    </w:rPr>
  </w:style>
  <w:style w:type="character" w:styleId="FootnoteReference">
    <w:name w:val="footnote reference"/>
    <w:basedOn w:val="DefaultParagraphFont"/>
    <w:uiPriority w:val="99"/>
    <w:semiHidden/>
    <w:unhideWhenUsed/>
    <w:rsid w:val="00FD402C"/>
    <w:rPr>
      <w:vertAlign w:val="superscript"/>
    </w:rPr>
  </w:style>
  <w:style w:type="paragraph" w:styleId="Revision">
    <w:name w:val="Revision"/>
    <w:hidden/>
    <w:uiPriority w:val="99"/>
    <w:semiHidden/>
    <w:rsid w:val="004A1116"/>
    <w:pPr>
      <w:spacing w:after="0" w:line="240" w:lineRule="auto"/>
    </w:pPr>
  </w:style>
  <w:style w:type="paragraph" w:styleId="NormalWeb">
    <w:name w:val="Normal (Web)"/>
    <w:basedOn w:val="Normal"/>
    <w:uiPriority w:val="99"/>
    <w:semiHidden/>
    <w:unhideWhenUsed/>
    <w:rsid w:val="00154342"/>
    <w:pPr>
      <w:spacing w:before="100" w:beforeAutospacing="1" w:after="100" w:afterAutospacing="1" w:line="240" w:lineRule="auto"/>
    </w:pPr>
    <w:rPr>
      <w:rFonts w:eastAsia="Times New Roman"/>
      <w:lang w:eastAsia="en-AU"/>
    </w:rPr>
  </w:style>
  <w:style w:type="character" w:styleId="Strong">
    <w:name w:val="Strong"/>
    <w:basedOn w:val="DefaultParagraphFont"/>
    <w:uiPriority w:val="22"/>
    <w:qFormat/>
    <w:rsid w:val="00F91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82808">
      <w:bodyDiv w:val="1"/>
      <w:marLeft w:val="0"/>
      <w:marRight w:val="0"/>
      <w:marTop w:val="0"/>
      <w:marBottom w:val="0"/>
      <w:divBdr>
        <w:top w:val="none" w:sz="0" w:space="0" w:color="auto"/>
        <w:left w:val="none" w:sz="0" w:space="0" w:color="auto"/>
        <w:bottom w:val="none" w:sz="0" w:space="0" w:color="auto"/>
        <w:right w:val="none" w:sz="0" w:space="0" w:color="auto"/>
      </w:divBdr>
    </w:div>
    <w:div w:id="7619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666A417FA43478497961C3D914F46" ma:contentTypeVersion="4" ma:contentTypeDescription="Create a new document." ma:contentTypeScope="" ma:versionID="f8dfc081430694a1e428ac810630627a">
  <xsd:schema xmlns:xsd="http://www.w3.org/2001/XMLSchema" xmlns:xs="http://www.w3.org/2001/XMLSchema" xmlns:p="http://schemas.microsoft.com/office/2006/metadata/properties" xmlns:ns3="acd534c7-6d34-411c-9784-3d5f55e6dd28" targetNamespace="http://schemas.microsoft.com/office/2006/metadata/properties" ma:root="true" ma:fieldsID="7a22b66d125e05eec355c5e564c0197e" ns3:_="">
    <xsd:import namespace="acd534c7-6d34-411c-9784-3d5f55e6dd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534c7-6d34-411c-9784-3d5f55e6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EC072-A546-4A0E-ADFA-13A9F5F96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534c7-6d34-411c-9784-3d5f55e6d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7B7C6-87BE-41E1-812B-42E77B0E15BE}">
  <ds:schemaRefs>
    <ds:schemaRef ds:uri="http://purl.org/dc/dcmitype/"/>
    <ds:schemaRef ds:uri="http://schemas.microsoft.com/office/infopath/2007/PartnerControls"/>
    <ds:schemaRef ds:uri="acd534c7-6d34-411c-9784-3d5f55e6dd2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E7CA990-4AD5-4BE6-8CB8-0C3F5ABEB0FD}">
  <ds:schemaRefs>
    <ds:schemaRef ds:uri="http://schemas.openxmlformats.org/officeDocument/2006/bibliography"/>
  </ds:schemaRefs>
</ds:datastoreItem>
</file>

<file path=customXml/itemProps4.xml><?xml version="1.0" encoding="utf-8"?>
<ds:datastoreItem xmlns:ds="http://schemas.openxmlformats.org/officeDocument/2006/customXml" ds:itemID="{B6D13E2F-318F-4FF9-911F-A55148C42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8096</Words>
  <Characters>46148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Educating the Nurse of the Future report</dc:title>
  <dc:subject/>
  <dc:creator>Australian Government Department of Health</dc:creator>
  <cp:keywords>Nurses and midwives</cp:keywords>
  <dc:description/>
  <cp:lastModifiedBy>ROBERTSON, Jen</cp:lastModifiedBy>
  <cp:revision>3</cp:revision>
  <cp:lastPrinted>2021-06-24T01:43:00Z</cp:lastPrinted>
  <dcterms:created xsi:type="dcterms:W3CDTF">2021-09-24T01:18:00Z</dcterms:created>
  <dcterms:modified xsi:type="dcterms:W3CDTF">2021-09-27T04:02:00Z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0x010100248666A417FA43478497961C3D914F46</vt:lpwstr>
  </property>
</Properties>
</file>